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IgA Nephropathy</w:t>
      </w:r>
    </w:p>
    <w:p>
      <w:pPr>
        <w:spacing w:before="0" w:after="160"/>
      </w:pPr>
      <w:r>
        <w:rPr>
          <w:rFonts w:ascii="Calibri" w:hAnsi="Calibri"/>
          <w:b/>
          <w:i w:val="0"/>
          <w:color w:val="212121"/>
          <w:sz w:val="22"/>
        </w:rPr>
        <w:t xml:space="preserve">AKA </w:t>
      </w:r>
      <w:r>
        <w:rPr>
          <w:rFonts w:ascii="Calibri" w:hAnsi="Calibri"/>
          <w:b w:val="0"/>
          <w:i w:val="0"/>
          <w:color w:val="212121"/>
          <w:sz w:val="22"/>
        </w:rPr>
        <w:t>i.e., Berger's disease, Berger disease, IgAN, Immunoglobulin A nephropathy, Synpharyngitic haematuria (when triggered by throat/respiratory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IgA nephropathy is the most common primary glomerulonephritis worldwide and in India, characterized by deposition of immunoglobulin A (IgA) immune complexes in the glomerular mesangium, which trigger mesangial cell proliferation, complement activation, inflammation and progressive nephron loss. It classically presents either as episodes of visible (macroscopic) haematuria coinciding with an upper-respiratory or gastrointestinal mucosal infection (“synpharyngitic” haematuria) or as asymptomatic microscopic haematuria with proteinuria found on routine screening. A definitive diagnosis requires a kidney biopsy showing dominant or co-dominant mesangial IgA on immunofluorescence, and a substantial minority of patients progress to chronic kidney disease and end-stage renal disease over 10–20 years.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IgA nephropathy is the single most common primary glomerulonephritis in India, accounting for roughly 16.5% of native kidney biopsies in a pooled Indian meta-analysis, with a male-to-female ratio near 1.8:1. Single-centre South Indian data report it in about 7.8% of native renal biopsies, with a mean age at presentation in the third-to-fourth decade. Indian patients frequently present later than Western cohorts, with a higher proportion already showing hypertension and reduced kidney function at the time of biopsy.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IgA nephropathy cannot be diagnosed on clinical grounds alone; kidney biopsy is mandatory, and secondary causes must be excluded.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Kidney biopsy with immunofluorescence showing dominant or co-dominant mesangial IgA deposits (the diagnostic gold standard);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Light microscopy demonstrating mesangial hypercellularity and mesangial matrix expansion, with variable endocapillary proliferation, segmental sclerosis or crescents;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Electron microscopy showing electron-dense immune deposits in the mesangium (and occasionally paramesangial/subendothelial areas);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Urinalysis and phase-contrast microscopy showing glomerular (dysmorphic) red cells, red-cell casts and haematuria, with quantified proteinuria (urine protein-creatinine ratio or 24-hour protein) — proteinuria ≥ 1 g/day is a key adverse prognostic threshold;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creatinine with estimated GFR (eGFR) to stage kidney function, and blood pressure measurement;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secondary IgA nephropathy (chronic liver disease/cirrhosis, coeliac disease, inflammatory bowel disease, HIV, and IgA vasculitis/Henoch–Schönlein purpura), since serum complement C3/C4 are typically normal in primary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IgA nephropathy is classified by aetiology, by clinical syndrome, and — most importantly for prognosis — by the biopsy-based Oxford MEST-C histological score:</w:t>
      </w:r>
    </w:p>
    <w:p>
      <w:pPr>
        <w:spacing w:before="0" w:after="80"/>
      </w:pPr>
      <w:r>
        <w:rPr>
          <w:rFonts w:ascii="Calibri" w:hAnsi="Calibri"/>
          <w:b w:val="0"/>
          <w:i w:val="0"/>
          <w:color w:val="212121"/>
          <w:sz w:val="21"/>
        </w:rPr>
        <w:t>(1) Primary (idiopathic) IgA nephropathy, comprising more than 90% of cases, driven by galactose-deficient IgA1 and mesangial immune-complex deposition; versus secondary IgA nephropathy occurring with cirrhosis, coeliac disease, inflammatory bowel disease, HIV and other conditions.</w:t>
      </w:r>
    </w:p>
    <w:p>
      <w:pPr>
        <w:spacing w:before="0" w:after="80"/>
      </w:pPr>
      <w:r>
        <w:rPr>
          <w:rFonts w:ascii="Calibri" w:hAnsi="Calibri"/>
          <w:b w:val="0"/>
          <w:i w:val="0"/>
          <w:color w:val="212121"/>
          <w:sz w:val="21"/>
        </w:rPr>
        <w:t>(2) Clinical presentation syndromes: asymptomatic microscopic haematuria with or without mild proteinuria (often incidental and lower-risk); recurrent macroscopic (“synpharyngitic”) haematuria; overt proteinuria including nephrotic-range; chronic kidney disease with hypertension; and, uncommonly, rapidly progressive (crescentic) glomerulonephritis with acute kidney injury.</w:t>
      </w:r>
    </w:p>
    <w:p>
      <w:pPr>
        <w:spacing w:before="0" w:after="80"/>
      </w:pPr>
      <w:r>
        <w:rPr>
          <w:rFonts w:ascii="Calibri" w:hAnsi="Calibri"/>
          <w:b w:val="0"/>
          <w:i w:val="0"/>
          <w:color w:val="212121"/>
          <w:sz w:val="21"/>
        </w:rPr>
        <w:t>(3) Oxford MEST-C classification, scored on a biopsy with ≥ 8 glomeruli: M — mesangial hypercellularity (M0 ≤ 50% vs M1 &gt; 50% of glomeruli involved); E — endocapillary hypercellularity (E0 absent/E1 present); S — segmental glomerulosclerosis (S0/S1); T — tubular atrophy/interstitial fibrosis (T0 ≤ 25%, T1 26–50%, T2 &gt; 50% of cortex, the strongest predictor of poor outcome); and C — crescents (C0 none, C1 in &lt; 25%, C2 in ≥ 25% of glomeruli).</w:t>
      </w:r>
    </w:p>
    <w:p>
      <w:pPr>
        <w:spacing w:before="0" w:after="80"/>
      </w:pPr>
      <w:r>
        <w:rPr>
          <w:rFonts w:ascii="Calibri" w:hAnsi="Calibri"/>
          <w:b w:val="0"/>
          <w:i w:val="0"/>
          <w:color w:val="212121"/>
          <w:sz w:val="21"/>
        </w:rPr>
        <w:t>(4) IgA vasculitis (Henoch–Schönlein purpura) is regarded as the systemic form of the same disease, sharing identical renal histology but adding palpable purpura, arthralgia and gastrointestinal involvement, and typically affecting children under 15 years.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Galactose-deficient IgA1 (Gd-IgA1): Overproduction of IgA1 molecules lacking terminal galactose in the hinge region (“hit 1”) is the pivotal initiating abnormality, partly genetically determined.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Anti-glycan autoantibodies: IgG or IgA antibodies recognise the exposed Gd-IgA1 hinge as a neoepitope (“hit 2”), driving circulating immune-complex formation (“hit 3”).</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Mesangial deposition and injury: Immune complexes deposit in the mesangium (“hit 4”), activating mesangial cells to release IL-6 and PDGF and triggering complement, causing proliferation and matrix expansion.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Mucosal immunity and gut dysbiosis: Aberrant mucosal (gut and tonsillar/nasopharyngeal) IgA responses with BAFF/APRIL over-signalling and mucin-degrading bacterial overgrowth explain the link with respiratory/gut infections and synpharyngitic flares.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Complement activation: The alternative and lectin complement pathways are engaged (mesangial C3 with normal serum C3), amplifying glomerular inflammation.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predisposition: Familial clustering, HLA associations and a markedly higher susceptibility and progression risk in East Asian and Pacific-Asian populations point to inherited risk.</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Secondary triggers: Chronic liver disease/cirrhosis, coeliac disease, inflammatory bowel disease, HIV and certain drugs can drive impaired IgA clearance or increased mucosal IgA production.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(2nd–3rd decade)</w:t>
            </w:r>
          </w:p>
        </w:tc>
        <w:tc>
          <w:tcPr>
            <w:tcW w:type="dxa" w:w="4276"/>
            <w:vAlign w:val="top"/>
          </w:tcPr>
          <w:p>
            <w:pPr>
              <w:spacing w:after="60" w:line="259" w:lineRule="auto"/>
            </w:pPr>
            <w:r>
              <w:rPr>
                <w:rFonts w:ascii="Calibri" w:hAnsi="Calibri"/>
                <w:b w:val="0"/>
                <w:i w:val="0"/>
                <w:color w:val="212121"/>
                <w:sz w:val="19"/>
              </w:rPr>
              <w:t>IgA nephropathy has its peak incidence in the second and third decades of life, when active mucosal immune responses to respiratory and gut infections drive Gd-IgA1 production and synpharyngitic macroscopic haematuria. This is often when otherwise healthy young Indians are first diagnosed, frequently incidentally.</w:t>
            </w:r>
          </w:p>
          <w:p>
            <w:pPr>
              <w:spacing w:after="40" w:before="60" w:line="259" w:lineRule="auto"/>
            </w:pPr>
            <w:r>
              <w:rPr>
                <w:rFonts w:ascii="Calibri" w:hAnsi="Calibri"/>
                <w:b w:val="0"/>
                <w:i w:val="0"/>
                <w:color w:val="212121"/>
                <w:sz w:val="19"/>
              </w:rPr>
              <w:t>Peak onset is in the second and third decades of life; Indian series report a mean age at presentation in the third-to-fourth decade (about 27–49 years across studies).</w:t>
            </w:r>
          </w:p>
          <w:p>
            <w:pPr>
              <w:spacing w:after="40" w:line="252" w:lineRule="auto"/>
            </w:pPr>
            <w:hyperlink r:id="rId9">
              <w:r>
                <w:rPr>
                  <w:rFonts w:ascii="Calibri" w:hAnsi="Calibri" w:cs="Calibri"/>
                  <w:sz w:val="18"/>
                  <w:color w:val="1155CC"/>
                  <w:u w:val="single"/>
                </w:rPr>
                <w:t xml:space="preserve">ncbi.nlm.nih.gov — IgA Nephropathy (StatPearls)</w:t>
              </w:r>
            </w:hyperlink>
          </w:p>
          <w:p>
            <w:pPr>
              <w:spacing w:before="60" w:after="40"/>
            </w:pPr>
            <w:r>
              <w:rPr>
                <w:rFonts w:ascii="Calibri" w:hAnsi="Calibri"/>
                <w:b w:val="0"/>
                <w:i w:val="0"/>
                <w:color w:val="5A5A5A"/>
                <w:sz w:val="18"/>
              </w:rPr>
              <w:t>#IgAN  #youngadults  #synpharyngitic  #mucosalimmunity  #haematuria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more often present with hypertension, higher chronic damage (tubular atrophy/interstitial fibrosis) and reduced eGFR, giving a worse renal prognosis despite a less florid haematuric presentation. Comorbid vascular disease compounds nephron loss.</w:t>
            </w:r>
          </w:p>
          <w:p>
            <w:pPr>
              <w:spacing w:after="40" w:before="60" w:line="259" w:lineRule="auto"/>
            </w:pPr>
            <w:r>
              <w:rPr>
                <w:rFonts w:ascii="Calibri" w:hAnsi="Calibri"/>
                <w:b w:val="0"/>
                <w:i w:val="0"/>
                <w:color w:val="212121"/>
                <w:sz w:val="19"/>
              </w:rPr>
              <w:t>Advanced tubular atrophy/interstitial fibrosis (T score) is the strongest histological predictor of progression, and older patients more often carry higher chronicity at biopsy.</w:t>
            </w:r>
          </w:p>
          <w:p>
            <w:pPr>
              <w:spacing w:after="40" w:line="252" w:lineRule="auto"/>
            </w:pPr>
            <w:hyperlink r:id="rId9">
              <w:r>
                <w:rPr>
                  <w:rFonts w:ascii="Calibri" w:hAnsi="Calibri" w:cs="Calibri"/>
                  <w:sz w:val="18"/>
                  <w:color w:val="1155CC"/>
                  <w:u w:val="single"/>
                </w:rPr>
                <w:t xml:space="preserve">ncbi.nlm.nih.gov — IgA Nephropathy (StatPearls)</w:t>
              </w:r>
            </w:hyperlink>
          </w:p>
          <w:p>
            <w:pPr>
              <w:spacing w:before="60" w:after="40"/>
            </w:pPr>
            <w:r>
              <w:rPr>
                <w:rFonts w:ascii="Calibri" w:hAnsi="Calibri"/>
                <w:b w:val="0"/>
                <w:i w:val="0"/>
                <w:color w:val="5A5A5A"/>
                <w:sz w:val="18"/>
              </w:rPr>
              <w:t>#elderly  #chronicity  #tubularatrophy  #CKD  #hypertension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Males are affected more often and, in several cohorts, progress faster to kidney failure, reflecting hormonal and haemodynamic influences on glomerular injury and proteinuria.</w:t>
            </w:r>
          </w:p>
          <w:p>
            <w:pPr>
              <w:spacing w:after="40" w:before="60" w:line="259" w:lineRule="auto"/>
            </w:pPr>
            <w:r>
              <w:rPr>
                <w:rFonts w:ascii="Calibri" w:hAnsi="Calibri"/>
                <w:b w:val="0"/>
                <w:i w:val="0"/>
                <w:color w:val="212121"/>
                <w:sz w:val="19"/>
              </w:rPr>
              <w:t>Indian pooled data show a male-to-female ratio of about 1.8:1; Western series report up to 2.5:1, while East-Asian series approach 1:1.</w:t>
            </w:r>
          </w:p>
          <w:p>
            <w:pPr>
              <w:spacing w:after="40" w:line="252" w:lineRule="auto"/>
            </w:pPr>
            <w:hyperlink r:id="rId10">
              <w:r>
                <w:rPr>
                  <w:rFonts w:ascii="Calibri" w:hAnsi="Calibri" w:cs="Calibri"/>
                  <w:sz w:val="18"/>
                  <w:color w:val="1155CC"/>
                  <w:u w:val="single"/>
                </w:rPr>
                <w:t xml:space="preserve">ajol.info — Indian scenario of IgA nephropathy (meta-analysis)</w:t>
              </w:r>
            </w:hyperlink>
          </w:p>
          <w:p>
            <w:pPr>
              <w:spacing w:before="60" w:after="40"/>
            </w:pPr>
            <w:r>
              <w:rPr>
                <w:rFonts w:ascii="Calibri" w:hAnsi="Calibri"/>
                <w:b w:val="0"/>
                <w:i w:val="0"/>
                <w:color w:val="5A5A5A"/>
                <w:sz w:val="18"/>
              </w:rPr>
              <w:t>#malepredominance  #progression  #proteinuria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adults with limited nephrology access</w:t>
            </w:r>
          </w:p>
        </w:tc>
        <w:tc>
          <w:tcPr>
            <w:tcW w:type="dxa" w:w="4276"/>
            <w:vAlign w:val="top"/>
          </w:tcPr>
          <w:p>
            <w:pPr>
              <w:spacing w:after="60" w:line="259" w:lineRule="auto"/>
            </w:pPr>
            <w:r>
              <w:rPr>
                <w:rFonts w:ascii="Calibri" w:hAnsi="Calibri"/>
                <w:b w:val="0"/>
                <w:i w:val="0"/>
                <w:color w:val="212121"/>
                <w:sz w:val="19"/>
              </w:rPr>
              <w:t>Limited access to urinalysis screening and kidney biopsy means many Indian patients are diagnosed only after symptomatic disease or advanced CKD, missing the early, treatable window when proteinuria control preserves nephrons.</w:t>
            </w:r>
          </w:p>
          <w:p>
            <w:pPr>
              <w:spacing w:after="40" w:before="60" w:line="259" w:lineRule="auto"/>
            </w:pPr>
            <w:r>
              <w:rPr>
                <w:rFonts w:ascii="Calibri" w:hAnsi="Calibri"/>
                <w:b w:val="0"/>
                <w:i w:val="0"/>
                <w:color w:val="212121"/>
                <w:sz w:val="19"/>
              </w:rPr>
              <w:t>Indian patients frequently present later than Western cohorts, with a higher proportion already hypertensive and with reduced kidney function at biopsy.</w:t>
            </w:r>
          </w:p>
          <w:p>
            <w:pPr>
              <w:spacing w:after="40" w:line="252" w:lineRule="auto"/>
            </w:pPr>
            <w:hyperlink r:id="rId11">
              <w:r>
                <w:rPr>
                  <w:rFonts w:ascii="Calibri" w:hAnsi="Calibri" w:cs="Calibri"/>
                  <w:sz w:val="18"/>
                  <w:color w:val="1155CC"/>
                  <w:u w:val="single"/>
                </w:rPr>
                <w:t xml:space="preserve">indianjnephrol.org — IgAN in a tertiary care center, South India</w:t>
              </w:r>
            </w:hyperlink>
          </w:p>
          <w:p>
            <w:pPr>
              <w:spacing w:before="60" w:after="40"/>
            </w:pPr>
            <w:r>
              <w:rPr>
                <w:rFonts w:ascii="Calibri" w:hAnsi="Calibri"/>
                <w:b w:val="0"/>
                <w:i w:val="0"/>
                <w:color w:val="5A5A5A"/>
                <w:sz w:val="18"/>
              </w:rPr>
              <w:t>#latediagnosis  #accessgap  #screening  #advancedCKD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East Asian &amp; Pacific-Asian origin</w:t>
            </w:r>
          </w:p>
        </w:tc>
        <w:tc>
          <w:tcPr>
            <w:tcW w:type="dxa" w:w="4276"/>
            <w:vAlign w:val="top"/>
          </w:tcPr>
          <w:p>
            <w:pPr>
              <w:spacing w:after="60" w:line="259" w:lineRule="auto"/>
            </w:pPr>
            <w:r>
              <w:rPr>
                <w:rFonts w:ascii="Calibri" w:hAnsi="Calibri"/>
                <w:b w:val="0"/>
                <w:i w:val="0"/>
                <w:color w:val="212121"/>
                <w:sz w:val="19"/>
              </w:rPr>
              <w:t>IgA nephropathy is far more common and more aggressive in East-Asian and Pacific-Asian populations, where it makes up 30–40% of primary glomerulopathies and carries a higher risk of progression to end-stage renal disease, reflecting genetic susceptibility.</w:t>
            </w:r>
          </w:p>
          <w:p>
            <w:pPr>
              <w:spacing w:after="40" w:before="60" w:line="259" w:lineRule="auto"/>
            </w:pPr>
            <w:r>
              <w:rPr>
                <w:rFonts w:ascii="Calibri" w:hAnsi="Calibri"/>
                <w:b w:val="0"/>
                <w:i w:val="0"/>
                <w:color w:val="212121"/>
                <w:sz w:val="19"/>
              </w:rPr>
              <w:t>IgAN accounts for 30–40% of primary glomerulopathies in East Asia, versus roughly 20% in Europe and 10% in North America.</w:t>
            </w:r>
          </w:p>
          <w:p>
            <w:pPr>
              <w:spacing w:after="40" w:line="252" w:lineRule="auto"/>
            </w:pPr>
            <w:hyperlink r:id="rId12">
              <w:r>
                <w:rPr>
                  <w:rFonts w:ascii="Calibri" w:hAnsi="Calibri" w:cs="Calibri"/>
                  <w:sz w:val="18"/>
                  <w:color w:val="1155CC"/>
                  <w:u w:val="single"/>
                </w:rPr>
                <w:t xml:space="preserve">mdpi.com — IgA Nephropathy: Epidemiology &amp; Outcomes</w:t>
              </w:r>
            </w:hyperlink>
          </w:p>
          <w:p>
            <w:pPr>
              <w:spacing w:before="60" w:after="40"/>
            </w:pPr>
            <w:r>
              <w:rPr>
                <w:rFonts w:ascii="Calibri" w:hAnsi="Calibri"/>
                <w:b w:val="0"/>
                <w:i w:val="0"/>
                <w:color w:val="5A5A5A"/>
                <w:sz w:val="18"/>
              </w:rPr>
              <w:t>#eastasian  #geneticrisk  #aggressive  #ESRDrisk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Indian subcontinent (North &amp; South India)</w:t>
            </w:r>
          </w:p>
        </w:tc>
        <w:tc>
          <w:tcPr>
            <w:tcW w:type="dxa" w:w="4276"/>
            <w:vAlign w:val="top"/>
          </w:tcPr>
          <w:p>
            <w:pPr>
              <w:spacing w:after="60" w:line="259" w:lineRule="auto"/>
            </w:pPr>
            <w:r>
              <w:rPr>
                <w:rFonts w:ascii="Calibri" w:hAnsi="Calibri"/>
                <w:b w:val="0"/>
                <w:i w:val="0"/>
                <w:color w:val="212121"/>
                <w:sz w:val="19"/>
              </w:rPr>
              <w:t>Across Indian biopsy registries IgA nephropathy is the leading primary glomerulonephritis, though it is often detected at a more advanced stage than in high-income countries, with prominent proteinuria and chronic damage.</w:t>
            </w:r>
          </w:p>
          <w:p>
            <w:pPr>
              <w:spacing w:after="40" w:before="60" w:line="259" w:lineRule="auto"/>
            </w:pPr>
            <w:r>
              <w:rPr>
                <w:rFonts w:ascii="Calibri" w:hAnsi="Calibri"/>
                <w:b w:val="0"/>
                <w:i w:val="0"/>
                <w:color w:val="212121"/>
                <w:sz w:val="19"/>
              </w:rPr>
              <w:t>IgAN forms about 16.5% of native kidney biopsies in a pooled Indian meta-analysis, and about 7.8% of biopsies in a single South-Indian centre.</w:t>
            </w:r>
          </w:p>
          <w:p>
            <w:pPr>
              <w:spacing w:after="40" w:line="252" w:lineRule="auto"/>
            </w:pPr>
            <w:hyperlink r:id="rId10">
              <w:r>
                <w:rPr>
                  <w:rFonts w:ascii="Calibri" w:hAnsi="Calibri" w:cs="Calibri"/>
                  <w:sz w:val="18"/>
                  <w:color w:val="1155CC"/>
                  <w:u w:val="single"/>
                </w:rPr>
                <w:t xml:space="preserve">ajol.info — Indian scenario of IgA nephropathy (meta-analysis)</w:t>
              </w:r>
            </w:hyperlink>
          </w:p>
          <w:p>
            <w:pPr>
              <w:spacing w:before="60" w:after="40"/>
            </w:pPr>
            <w:r>
              <w:rPr>
                <w:rFonts w:ascii="Calibri" w:hAnsi="Calibri"/>
                <w:b w:val="0"/>
                <w:i w:val="0"/>
                <w:color w:val="5A5A5A"/>
                <w:sz w:val="18"/>
              </w:rPr>
              <w:t>#India  #biopsyregistry  #commonestGN  #advancedpresentation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Sedentary, hypertensive office workers</w:t>
            </w:r>
          </w:p>
        </w:tc>
        <w:tc>
          <w:tcPr>
            <w:tcW w:type="dxa" w:w="4276"/>
            <w:vAlign w:val="top"/>
          </w:tcPr>
          <w:p>
            <w:pPr>
              <w:spacing w:after="60" w:line="259" w:lineRule="auto"/>
            </w:pPr>
            <w:r>
              <w:rPr>
                <w:rFonts w:ascii="Calibri" w:hAnsi="Calibri"/>
                <w:b w:val="0"/>
                <w:i w:val="0"/>
                <w:color w:val="212121"/>
                <w:sz w:val="19"/>
              </w:rPr>
              <w:t>Physical inactivity clusters with hypertension, weight gain and poorer blood-pressure control, all of which raise intraglomerular pressure and accelerate proteinuric nephron loss in established IgA nephropathy.</w:t>
            </w:r>
          </w:p>
          <w:p>
            <w:pPr>
              <w:spacing w:after="40" w:before="60" w:line="259" w:lineRule="auto"/>
            </w:pPr>
            <w:r>
              <w:rPr>
                <w:rFonts w:ascii="Calibri" w:hAnsi="Calibri"/>
                <w:b w:val="0"/>
                <w:i w:val="0"/>
                <w:color w:val="212121"/>
                <w:sz w:val="19"/>
              </w:rPr>
              <w:t>Sustained hypertension is one of the three strongest predictors of progression to end-stage renal disease in IgA nephropathy.</w:t>
            </w:r>
          </w:p>
          <w:p>
            <w:pPr>
              <w:spacing w:after="40" w:line="252" w:lineRule="auto"/>
            </w:pPr>
            <w:hyperlink r:id="rId9">
              <w:r>
                <w:rPr>
                  <w:rFonts w:ascii="Calibri" w:hAnsi="Calibri" w:cs="Calibri"/>
                  <w:sz w:val="18"/>
                  <w:color w:val="1155CC"/>
                  <w:u w:val="single"/>
                </w:rPr>
                <w:t xml:space="preserve">ncbi.nlm.nih.gov — IgA Nephropathy (StatPearls)</w:t>
              </w:r>
            </w:hyperlink>
          </w:p>
          <w:p>
            <w:pPr>
              <w:spacing w:before="60" w:after="40"/>
            </w:pPr>
            <w:r>
              <w:rPr>
                <w:rFonts w:ascii="Calibri" w:hAnsi="Calibri"/>
                <w:b w:val="0"/>
                <w:i w:val="0"/>
                <w:color w:val="5A5A5A"/>
                <w:sz w:val="18"/>
              </w:rPr>
              <w:t>#sedentary  #hypertension  #intraglomerularpressure  #progression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&amp; obese adults</w:t>
            </w:r>
          </w:p>
        </w:tc>
        <w:tc>
          <w:tcPr>
            <w:tcW w:type="dxa" w:w="4276"/>
            <w:vAlign w:val="top"/>
          </w:tcPr>
          <w:p>
            <w:pPr>
              <w:spacing w:after="60" w:line="259" w:lineRule="auto"/>
            </w:pPr>
            <w:r>
              <w:rPr>
                <w:rFonts w:ascii="Calibri" w:hAnsi="Calibri"/>
                <w:b w:val="0"/>
                <w:i w:val="0"/>
                <w:color w:val="212121"/>
                <w:sz w:val="19"/>
              </w:rPr>
              <w:t>Obesity adds glomerular hyperfiltration, insulin resistance and secondary focal segmental sclerosis on top of IgA-mediated injury, worsening proteinuria and the rate of eGFR decline.</w:t>
            </w:r>
          </w:p>
          <w:p>
            <w:pPr>
              <w:spacing w:after="40" w:before="60" w:line="259" w:lineRule="auto"/>
            </w:pPr>
            <w:r>
              <w:rPr>
                <w:rFonts w:ascii="Calibri" w:hAnsi="Calibri"/>
                <w:b w:val="0"/>
                <w:i w:val="0"/>
                <w:color w:val="212121"/>
                <w:sz w:val="19"/>
              </w:rPr>
              <w:t>Obesity is associated with worse renal prognosis in IgA nephropathy, with effects varying by baseline kidney function and sex.</w:t>
            </w:r>
          </w:p>
          <w:p>
            <w:pPr>
              <w:spacing w:after="40" w:line="252" w:lineRule="auto"/>
            </w:pPr>
            <w:hyperlink r:id="rId13">
              <w:r>
                <w:rPr>
                  <w:rFonts w:ascii="Calibri" w:hAnsi="Calibri" w:cs="Calibri"/>
                  <w:sz w:val="18"/>
                  <w:color w:val="1155CC"/>
                  <w:u w:val="single"/>
                </w:rPr>
                <w:t xml:space="preserve">pubmed.ncbi.nlm.nih.gov/38831156 — obesity &amp; IgAN prognosis</w:t>
              </w:r>
            </w:hyperlink>
          </w:p>
          <w:p>
            <w:pPr>
              <w:spacing w:before="60" w:after="40"/>
            </w:pPr>
            <w:r>
              <w:rPr>
                <w:rFonts w:ascii="Calibri" w:hAnsi="Calibri"/>
                <w:b w:val="0"/>
                <w:i w:val="0"/>
                <w:color w:val="5A5A5A"/>
                <w:sz w:val="18"/>
              </w:rPr>
              <w:t>#obesity  #hyperfiltration  #FSGS  #proteinuria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Cigarette smoking causes endothelial injury, oxidative stress and vasoconstriction that independently accelerate kidney-function decline in IgA nephropathy, in a dose-dependent manner.</w:t>
            </w:r>
          </w:p>
          <w:p>
            <w:pPr>
              <w:spacing w:after="40" w:before="60" w:line="259" w:lineRule="auto"/>
            </w:pPr>
            <w:r>
              <w:rPr>
                <w:rFonts w:ascii="Calibri" w:hAnsi="Calibri"/>
                <w:b w:val="0"/>
                <w:i w:val="0"/>
                <w:color w:val="212121"/>
                <w:sz w:val="19"/>
              </w:rPr>
              <w:t>Smoking is an independent risk factor for progression (HR ~1.58); smokers with &gt; 20 pack-years had a 143% higher risk of ESRD or 50% eGFR decline versus non-smokers.</w:t>
            </w:r>
          </w:p>
          <w:p>
            <w:pPr>
              <w:spacing w:after="40" w:line="252" w:lineRule="auto"/>
            </w:pPr>
            <w:hyperlink r:id="rId14">
              <w:r>
                <w:rPr>
                  <w:rFonts w:ascii="Calibri" w:hAnsi="Calibri" w:cs="Calibri"/>
                  <w:sz w:val="18"/>
                  <w:color w:val="1155CC"/>
                  <w:u w:val="single"/>
                </w:rPr>
                <w:t xml:space="preserve">bmcnephrol.biomedcentral.com — smoking accelerates IgAN</w:t>
              </w:r>
            </w:hyperlink>
          </w:p>
          <w:p>
            <w:pPr>
              <w:spacing w:before="60" w:after="40"/>
            </w:pPr>
            <w:r>
              <w:rPr>
                <w:rFonts w:ascii="Calibri" w:hAnsi="Calibri"/>
                <w:b w:val="0"/>
                <w:i w:val="0"/>
                <w:color w:val="5A5A5A"/>
                <w:sz w:val="18"/>
              </w:rPr>
              <w:t>#smoking  #packyears  #eGFRdecline  #oxidativestress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 / chronic liver disease</w:t>
            </w:r>
          </w:p>
        </w:tc>
        <w:tc>
          <w:tcPr>
            <w:tcW w:type="dxa" w:w="4276"/>
            <w:vAlign w:val="top"/>
          </w:tcPr>
          <w:p>
            <w:pPr>
              <w:spacing w:after="60" w:line="259" w:lineRule="auto"/>
            </w:pPr>
            <w:r>
              <w:rPr>
                <w:rFonts w:ascii="Calibri" w:hAnsi="Calibri"/>
                <w:b w:val="0"/>
                <w:i w:val="0"/>
                <w:color w:val="212121"/>
                <w:sz w:val="19"/>
              </w:rPr>
              <w:t>Chronic liver disease and cirrhosis impair hepatic clearance of IgA immune complexes and increase gut bacterial translocation, and are the most common cause of secondary IgA deposition in the kidney.</w:t>
            </w:r>
          </w:p>
          <w:p>
            <w:pPr>
              <w:spacing w:after="40" w:before="60" w:line="259" w:lineRule="auto"/>
            </w:pPr>
            <w:r>
              <w:rPr>
                <w:rFonts w:ascii="Calibri" w:hAnsi="Calibri"/>
                <w:b w:val="0"/>
                <w:i w:val="0"/>
                <w:color w:val="212121"/>
                <w:sz w:val="19"/>
              </w:rPr>
              <w:t>Cirrhosis/chronic liver disease is the most common cause of secondary IgA nephropathy.</w:t>
            </w:r>
          </w:p>
          <w:p>
            <w:pPr>
              <w:spacing w:after="40" w:line="252" w:lineRule="auto"/>
            </w:pPr>
            <w:hyperlink r:id="rId9">
              <w:r>
                <w:rPr>
                  <w:rFonts w:ascii="Calibri" w:hAnsi="Calibri" w:cs="Calibri"/>
                  <w:sz w:val="18"/>
                  <w:color w:val="1155CC"/>
                  <w:u w:val="single"/>
                </w:rPr>
                <w:t xml:space="preserve">ncbi.nlm.nih.gov — IgA Nephropathy (StatPearls)</w:t>
              </w:r>
            </w:hyperlink>
          </w:p>
          <w:p>
            <w:pPr>
              <w:spacing w:before="60" w:after="40"/>
            </w:pPr>
            <w:r>
              <w:rPr>
                <w:rFonts w:ascii="Calibri" w:hAnsi="Calibri"/>
                <w:b w:val="0"/>
                <w:i w:val="0"/>
                <w:color w:val="5A5A5A"/>
                <w:sz w:val="18"/>
              </w:rPr>
              <w:t>#alcohol  #cirrhosis  #secondaryIgAN  #IgAclearance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 salt intake</w:t>
            </w:r>
          </w:p>
        </w:tc>
        <w:tc>
          <w:tcPr>
            <w:tcW w:type="dxa" w:w="2160"/>
            <w:vAlign w:val="top"/>
          </w:tcPr>
          <w:p>
            <w:pPr>
              <w:spacing w:after="40" w:before="0" w:line="259" w:lineRule="auto"/>
            </w:pPr>
            <w:r>
              <w:rPr>
                <w:rFonts w:ascii="Calibri" w:hAnsi="Calibri"/>
                <w:b w:val="0"/>
                <w:i w:val="0"/>
                <w:color w:val="212121"/>
                <w:sz w:val="19"/>
              </w:rPr>
              <w:t>High-sodium Indian diets</w:t>
            </w:r>
          </w:p>
        </w:tc>
        <w:tc>
          <w:tcPr>
            <w:tcW w:type="dxa" w:w="4276"/>
            <w:vAlign w:val="top"/>
          </w:tcPr>
          <w:p>
            <w:pPr>
              <w:spacing w:after="60" w:line="259" w:lineRule="auto"/>
            </w:pPr>
            <w:r>
              <w:rPr>
                <w:rFonts w:ascii="Calibri" w:hAnsi="Calibri"/>
                <w:b w:val="0"/>
                <w:i w:val="0"/>
                <w:color w:val="212121"/>
                <w:sz w:val="19"/>
              </w:rPr>
              <w:t>Excess dietary salt raises blood pressure and blunts the anti-proteinuric effect of ACE inhibitors/ARBs, directly accelerating glomerular damage — a major issue given very high habitual sodium intake in India.</w:t>
            </w:r>
          </w:p>
          <w:p>
            <w:pPr>
              <w:spacing w:after="40" w:before="60" w:line="259" w:lineRule="auto"/>
            </w:pPr>
            <w:r>
              <w:rPr>
                <w:rFonts w:ascii="Calibri" w:hAnsi="Calibri"/>
                <w:b w:val="0"/>
                <w:i w:val="0"/>
                <w:color w:val="212121"/>
                <w:sz w:val="19"/>
              </w:rPr>
              <w:t>Mean salt intake in India is about 11 g/day, roughly 2.2 times the WHO limit of &lt; 5 g/day; guidelines advise salt restriction to &lt; 2 g sodium/day in IgAN.</w:t>
            </w:r>
          </w:p>
          <w:p>
            <w:pPr>
              <w:spacing w:after="40" w:line="252" w:lineRule="auto"/>
            </w:pPr>
            <w:hyperlink r:id="rId15">
              <w:r>
                <w:rPr>
                  <w:rFonts w:ascii="Calibri" w:hAnsi="Calibri" w:cs="Calibri"/>
                  <w:sz w:val="18"/>
                  <w:color w:val="1155CC"/>
                  <w:u w:val="single"/>
                </w:rPr>
                <w:t xml:space="preserve">medicaldialogues.in — ICMR: India salt intake 11 g/day</w:t>
              </w:r>
            </w:hyperlink>
          </w:p>
          <w:p>
            <w:pPr>
              <w:spacing w:before="60" w:after="40"/>
            </w:pPr>
            <w:r>
              <w:rPr>
                <w:rFonts w:ascii="Calibri" w:hAnsi="Calibri"/>
                <w:b w:val="0"/>
                <w:i w:val="0"/>
                <w:color w:val="5A5A5A"/>
                <w:sz w:val="18"/>
              </w:rPr>
              <w:t>#saltintake  #sodium  #ICMR  #RAASblockade  #bloodpressure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 protein intake</w:t>
            </w:r>
          </w:p>
        </w:tc>
        <w:tc>
          <w:tcPr>
            <w:tcW w:type="dxa" w:w="2160"/>
            <w:vAlign w:val="top"/>
          </w:tcPr>
          <w:p>
            <w:pPr>
              <w:spacing w:after="40" w:before="0" w:line="259" w:lineRule="auto"/>
            </w:pPr>
            <w:r>
              <w:rPr>
                <w:rFonts w:ascii="Calibri" w:hAnsi="Calibri"/>
                <w:b w:val="0"/>
                <w:i w:val="0"/>
                <w:color w:val="212121"/>
                <w:sz w:val="19"/>
              </w:rPr>
              <w:t>High animal-protein diets</w:t>
            </w:r>
          </w:p>
        </w:tc>
        <w:tc>
          <w:tcPr>
            <w:tcW w:type="dxa" w:w="4276"/>
            <w:vAlign w:val="top"/>
          </w:tcPr>
          <w:p>
            <w:pPr>
              <w:spacing w:after="60" w:line="259" w:lineRule="auto"/>
            </w:pPr>
            <w:r>
              <w:rPr>
                <w:rFonts w:ascii="Calibri" w:hAnsi="Calibri"/>
                <w:b w:val="0"/>
                <w:i w:val="0"/>
                <w:color w:val="212121"/>
                <w:sz w:val="19"/>
              </w:rPr>
              <w:t>A high protein load increases intraglomerular pressure and hyperfiltration, which can worsen proteinuria and hasten nephron loss in chronic glomerular disease; moderate protein intake is advised once CKD is established.</w:t>
            </w:r>
          </w:p>
          <w:p>
            <w:pPr>
              <w:spacing w:after="40" w:before="60" w:line="259" w:lineRule="auto"/>
            </w:pPr>
            <w:r>
              <w:rPr>
                <w:rFonts w:ascii="Calibri" w:hAnsi="Calibri"/>
                <w:b w:val="0"/>
                <w:i w:val="0"/>
                <w:color w:val="212121"/>
                <w:sz w:val="19"/>
              </w:rPr>
              <w:t>Guideline-based supportive care favours moderating dietary protein and sodium to reduce intraglomerular hypertension and proteinuria.</w:t>
            </w:r>
          </w:p>
          <w:p>
            <w:pPr>
              <w:spacing w:after="40" w:line="252" w:lineRule="auto"/>
            </w:pPr>
            <w:hyperlink r:id="rId16">
              <w:r>
                <w:rPr>
                  <w:rFonts w:ascii="Calibri" w:hAnsi="Calibri" w:cs="Calibri"/>
                  <w:sz w:val="18"/>
                  <w:color w:val="1155CC"/>
                  <w:u w:val="single"/>
                </w:rPr>
                <w:t xml:space="preserve">ccjm.org — IgA nephropathy: pathogenesis &amp; treatment</w:t>
              </w:r>
            </w:hyperlink>
          </w:p>
          <w:p>
            <w:pPr>
              <w:spacing w:before="60" w:after="40"/>
            </w:pPr>
            <w:r>
              <w:rPr>
                <w:rFonts w:ascii="Calibri" w:hAnsi="Calibri"/>
                <w:b w:val="0"/>
                <w:i w:val="0"/>
                <w:color w:val="5A5A5A"/>
                <w:sz w:val="18"/>
              </w:rPr>
              <w:t>#dietaryprotein  #hyperfiltration  #CKDdiet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 familial IgAN</w:t>
            </w:r>
          </w:p>
        </w:tc>
        <w:tc>
          <w:tcPr>
            <w:tcW w:type="dxa" w:w="4276"/>
            <w:vAlign w:val="top"/>
          </w:tcPr>
          <w:p>
            <w:pPr>
              <w:spacing w:after="60" w:line="259" w:lineRule="auto"/>
            </w:pPr>
            <w:r>
              <w:rPr>
                <w:rFonts w:ascii="Calibri" w:hAnsi="Calibri"/>
                <w:b w:val="0"/>
                <w:i w:val="0"/>
                <w:color w:val="212121"/>
                <w:sz w:val="19"/>
              </w:rPr>
              <w:t>Inherited abnormalities in IgA1 glycosylation cluster in families, and familial forms exist; a family history of IgA nephropathy or unexplained CKD raises an individual's risk.</w:t>
            </w:r>
          </w:p>
          <w:p>
            <w:pPr>
              <w:spacing w:after="40" w:before="60" w:line="259" w:lineRule="auto"/>
            </w:pPr>
            <w:r>
              <w:rPr>
                <w:rFonts w:ascii="Calibri" w:hAnsi="Calibri"/>
                <w:b w:val="0"/>
                <w:i w:val="0"/>
                <w:color w:val="212121"/>
                <w:sz w:val="19"/>
              </w:rPr>
              <w:t>Familial clustering and HLA associations are well described; genetically-driven Gd-IgA1 overproduction underlies inherited susceptibility.</w:t>
            </w:r>
          </w:p>
          <w:p>
            <w:pPr>
              <w:spacing w:after="40" w:line="252" w:lineRule="auto"/>
            </w:pPr>
            <w:hyperlink r:id="rId16">
              <w:r>
                <w:rPr>
                  <w:rFonts w:ascii="Calibri" w:hAnsi="Calibri" w:cs="Calibri"/>
                  <w:sz w:val="18"/>
                  <w:color w:val="1155CC"/>
                  <w:u w:val="single"/>
                </w:rPr>
                <w:t xml:space="preserve">ccjm.org — IgA nephropathy: pathogenesis &amp; treatment</w:t>
              </w:r>
            </w:hyperlink>
          </w:p>
          <w:p>
            <w:pPr>
              <w:spacing w:before="60" w:after="40"/>
            </w:pPr>
            <w:r>
              <w:rPr>
                <w:rFonts w:ascii="Calibri" w:hAnsi="Calibri"/>
                <w:b w:val="0"/>
                <w:i w:val="0"/>
                <w:color w:val="5A5A5A"/>
                <w:sz w:val="18"/>
              </w:rPr>
              <w:t>#familyhistory  #GdIgA1  #HLA  #hereditary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Patients with hypertension</w:t>
            </w:r>
          </w:p>
        </w:tc>
        <w:tc>
          <w:tcPr>
            <w:tcW w:type="dxa" w:w="4276"/>
            <w:vAlign w:val="top"/>
          </w:tcPr>
          <w:p>
            <w:pPr>
              <w:spacing w:after="60" w:line="259" w:lineRule="auto"/>
            </w:pPr>
            <w:r>
              <w:rPr>
                <w:rFonts w:ascii="Calibri" w:hAnsi="Calibri"/>
                <w:b w:val="0"/>
                <w:i w:val="0"/>
                <w:color w:val="212121"/>
                <w:sz w:val="19"/>
              </w:rPr>
              <w:t>Hypertension is both a consequence of IgA-mediated nephron loss and an independent driver of further glomerular injury, creating a self-reinforcing cycle that predicts progression to ESRD.</w:t>
            </w:r>
          </w:p>
          <w:p>
            <w:pPr>
              <w:spacing w:after="40" w:before="60" w:line="259" w:lineRule="auto"/>
            </w:pPr>
            <w:r>
              <w:rPr>
                <w:rFonts w:ascii="Calibri" w:hAnsi="Calibri"/>
                <w:b w:val="0"/>
                <w:i w:val="0"/>
                <w:color w:val="212121"/>
                <w:sz w:val="19"/>
              </w:rPr>
              <w:t>About 25.8% of Indian IgAN patients are hypertensive at diagnosis in pooled data (up to ~48% in some single-centre series).</w:t>
            </w:r>
          </w:p>
          <w:p>
            <w:pPr>
              <w:spacing w:after="40" w:line="252" w:lineRule="auto"/>
            </w:pPr>
            <w:hyperlink r:id="rId10">
              <w:r>
                <w:rPr>
                  <w:rFonts w:ascii="Calibri" w:hAnsi="Calibri" w:cs="Calibri"/>
                  <w:sz w:val="18"/>
                  <w:color w:val="1155CC"/>
                  <w:u w:val="single"/>
                </w:rPr>
                <w:t xml:space="preserve">ajol.info — Indian scenario of IgA nephropathy (meta-analysis)</w:t>
              </w:r>
            </w:hyperlink>
          </w:p>
          <w:p>
            <w:pPr>
              <w:spacing w:before="60" w:after="40"/>
            </w:pPr>
            <w:r>
              <w:rPr>
                <w:rFonts w:ascii="Calibri" w:hAnsi="Calibri"/>
                <w:b w:val="0"/>
                <w:i w:val="0"/>
                <w:color w:val="5A5A5A"/>
                <w:sz w:val="18"/>
              </w:rPr>
              <w:t>#hypertension  #vicious cycle  #ESRDpredictor  #BPcontrol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liver disease</w:t>
            </w:r>
          </w:p>
        </w:tc>
        <w:tc>
          <w:tcPr>
            <w:tcW w:type="dxa" w:w="2160"/>
            <w:vAlign w:val="top"/>
          </w:tcPr>
          <w:p>
            <w:pPr>
              <w:spacing w:after="40" w:before="0" w:line="259" w:lineRule="auto"/>
            </w:pPr>
            <w:r>
              <w:rPr>
                <w:rFonts w:ascii="Calibri" w:hAnsi="Calibri"/>
                <w:b w:val="0"/>
                <w:i w:val="0"/>
                <w:color w:val="212121"/>
                <w:sz w:val="19"/>
              </w:rPr>
              <w:t>Cirrhosis / portal hypertension</w:t>
            </w:r>
          </w:p>
        </w:tc>
        <w:tc>
          <w:tcPr>
            <w:tcW w:type="dxa" w:w="4276"/>
            <w:vAlign w:val="top"/>
          </w:tcPr>
          <w:p>
            <w:pPr>
              <w:spacing w:after="60" w:line="259" w:lineRule="auto"/>
            </w:pPr>
            <w:r>
              <w:rPr>
                <w:rFonts w:ascii="Calibri" w:hAnsi="Calibri"/>
                <w:b w:val="0"/>
                <w:i w:val="0"/>
                <w:color w:val="212121"/>
                <w:sz w:val="19"/>
              </w:rPr>
              <w:t>Reduced hepatic clearance of circulating IgA complexes plus gut bacterial translocation lead to mesangial IgA deposition, making cirrhosis the commonest secondary cause of IgA nephropathy.</w:t>
            </w:r>
          </w:p>
          <w:p>
            <w:pPr>
              <w:spacing w:after="40" w:before="60" w:line="259" w:lineRule="auto"/>
            </w:pPr>
            <w:r>
              <w:rPr>
                <w:rFonts w:ascii="Calibri" w:hAnsi="Calibri"/>
                <w:b w:val="0"/>
                <w:i w:val="0"/>
                <w:color w:val="212121"/>
                <w:sz w:val="19"/>
              </w:rPr>
              <w:t>Chronic liver disease is the most common secondary cause of IgA deposition in the glomerulus.</w:t>
            </w:r>
          </w:p>
          <w:p>
            <w:pPr>
              <w:spacing w:after="40" w:line="252" w:lineRule="auto"/>
            </w:pPr>
            <w:hyperlink r:id="rId9">
              <w:r>
                <w:rPr>
                  <w:rFonts w:ascii="Calibri" w:hAnsi="Calibri" w:cs="Calibri"/>
                  <w:sz w:val="18"/>
                  <w:color w:val="1155CC"/>
                  <w:u w:val="single"/>
                </w:rPr>
                <w:t xml:space="preserve">ncbi.nlm.nih.gov — IgA Nephropathy (StatPearls)</w:t>
              </w:r>
            </w:hyperlink>
          </w:p>
          <w:p>
            <w:pPr>
              <w:spacing w:before="60" w:after="40"/>
            </w:pPr>
            <w:r>
              <w:rPr>
                <w:rFonts w:ascii="Calibri" w:hAnsi="Calibri"/>
                <w:b w:val="0"/>
                <w:i w:val="0"/>
                <w:color w:val="5A5A5A"/>
                <w:sz w:val="18"/>
              </w:rPr>
              <w:t>#cirrhosis  #secondaryIgAN  #IgAclearance  #gutliveraxis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Coeliac disease</w:t>
            </w:r>
          </w:p>
        </w:tc>
        <w:tc>
          <w:tcPr>
            <w:tcW w:type="dxa" w:w="2160"/>
            <w:vAlign w:val="top"/>
          </w:tcPr>
          <w:p>
            <w:pPr>
              <w:spacing w:after="40" w:before="0" w:line="259" w:lineRule="auto"/>
            </w:pPr>
            <w:r>
              <w:rPr>
                <w:rFonts w:ascii="Calibri" w:hAnsi="Calibri"/>
                <w:b w:val="0"/>
                <w:i w:val="0"/>
                <w:color w:val="212121"/>
                <w:sz w:val="19"/>
              </w:rPr>
              <w:t>Patients with coeliac disease</w:t>
            </w:r>
          </w:p>
        </w:tc>
        <w:tc>
          <w:tcPr>
            <w:tcW w:type="dxa" w:w="4276"/>
            <w:vAlign w:val="top"/>
          </w:tcPr>
          <w:p>
            <w:pPr>
              <w:spacing w:after="60" w:line="259" w:lineRule="auto"/>
            </w:pPr>
            <w:r>
              <w:rPr>
                <w:rFonts w:ascii="Calibri" w:hAnsi="Calibri"/>
                <w:b w:val="0"/>
                <w:i w:val="0"/>
                <w:color w:val="212121"/>
                <w:sz w:val="19"/>
              </w:rPr>
              <w:t>Coeliac disease shares an HLA-DQ2/DQ8 autoimmune basis and drives mucosal IgA autoantibody production against transglutaminase, and is strongly correlated with IgA nephropathy.</w:t>
            </w:r>
          </w:p>
          <w:p>
            <w:pPr>
              <w:spacing w:after="40" w:before="60" w:line="259" w:lineRule="auto"/>
            </w:pPr>
            <w:r>
              <w:rPr>
                <w:rFonts w:ascii="Calibri" w:hAnsi="Calibri"/>
                <w:b w:val="0"/>
                <w:i w:val="0"/>
                <w:color w:val="212121"/>
                <w:sz w:val="19"/>
              </w:rPr>
              <w:t>Coeliac disease is strongly correlated with IgAN through shared HLA-DQ2/DQ8-linked mucosal autoimmunity.</w:t>
            </w:r>
          </w:p>
          <w:p>
            <w:pPr>
              <w:spacing w:after="40" w:line="252" w:lineRule="auto"/>
            </w:pPr>
            <w:hyperlink r:id="rId9">
              <w:r>
                <w:rPr>
                  <w:rFonts w:ascii="Calibri" w:hAnsi="Calibri" w:cs="Calibri"/>
                  <w:sz w:val="18"/>
                  <w:color w:val="1155CC"/>
                  <w:u w:val="single"/>
                </w:rPr>
                <w:t xml:space="preserve">ncbi.nlm.nih.gov — IgA Nephropathy (StatPearls)</w:t>
              </w:r>
            </w:hyperlink>
          </w:p>
          <w:p>
            <w:pPr>
              <w:spacing w:before="60" w:after="40"/>
            </w:pPr>
            <w:r>
              <w:rPr>
                <w:rFonts w:ascii="Calibri" w:hAnsi="Calibri"/>
                <w:b w:val="0"/>
                <w:i w:val="0"/>
                <w:color w:val="5A5A5A"/>
                <w:sz w:val="18"/>
              </w:rPr>
              <w:t>#coeliac  #HLADQ2  #mucosalautoimmunity  #glutensensitivity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IgA vasculitis (HSP)</w:t>
            </w:r>
          </w:p>
        </w:tc>
        <w:tc>
          <w:tcPr>
            <w:tcW w:type="dxa" w:w="2160"/>
            <w:vAlign w:val="top"/>
          </w:tcPr>
          <w:p>
            <w:pPr>
              <w:spacing w:after="40" w:before="0" w:line="259" w:lineRule="auto"/>
            </w:pPr>
            <w:r>
              <w:rPr>
                <w:rFonts w:ascii="Calibri" w:hAnsi="Calibri"/>
                <w:b w:val="0"/>
                <w:i w:val="0"/>
                <w:color w:val="212121"/>
                <w:sz w:val="19"/>
              </w:rPr>
              <w:t>Henoch–Schönlein purpura</w:t>
            </w:r>
          </w:p>
        </w:tc>
        <w:tc>
          <w:tcPr>
            <w:tcW w:type="dxa" w:w="4276"/>
            <w:vAlign w:val="top"/>
          </w:tcPr>
          <w:p>
            <w:pPr>
              <w:spacing w:after="60" w:line="259" w:lineRule="auto"/>
            </w:pPr>
            <w:r>
              <w:rPr>
                <w:rFonts w:ascii="Calibri" w:hAnsi="Calibri"/>
                <w:b w:val="0"/>
                <w:i w:val="0"/>
                <w:color w:val="212121"/>
                <w:sz w:val="19"/>
              </w:rPr>
              <w:t>IgA vasculitis is the systemic counterpart of IgA nephropathy, with identical renal immune deposits but additional purpura, arthralgia and gut involvement; nephritis in these patients follows the same mechanisms.</w:t>
            </w:r>
          </w:p>
          <w:p>
            <w:pPr>
              <w:spacing w:after="40" w:before="60" w:line="259" w:lineRule="auto"/>
            </w:pPr>
            <w:r>
              <w:rPr>
                <w:rFonts w:ascii="Calibri" w:hAnsi="Calibri"/>
                <w:b w:val="0"/>
                <w:i w:val="0"/>
                <w:color w:val="212121"/>
                <w:sz w:val="19"/>
              </w:rPr>
              <w:t>IgA vasculitis and IgA nephropathy share identical renal histology; vasculitis typically presents under 15 years and nephropathy at ≥ 15 years.</w:t>
            </w:r>
          </w:p>
          <w:p>
            <w:pPr>
              <w:spacing w:after="40" w:line="252" w:lineRule="auto"/>
            </w:pPr>
            <w:hyperlink r:id="rId9">
              <w:r>
                <w:rPr>
                  <w:rFonts w:ascii="Calibri" w:hAnsi="Calibri" w:cs="Calibri"/>
                  <w:sz w:val="18"/>
                  <w:color w:val="1155CC"/>
                  <w:u w:val="single"/>
                </w:rPr>
                <w:t xml:space="preserve">ncbi.nlm.nih.gov — IgA Nephropathy (StatPearls)</w:t>
              </w:r>
            </w:hyperlink>
          </w:p>
          <w:p>
            <w:pPr>
              <w:spacing w:before="60" w:after="40"/>
            </w:pPr>
            <w:r>
              <w:rPr>
                <w:rFonts w:ascii="Calibri" w:hAnsi="Calibri"/>
                <w:b w:val="0"/>
                <w:i w:val="0"/>
                <w:color w:val="5A5A5A"/>
                <w:sz w:val="18"/>
              </w:rPr>
              <w:t>#IgAvasculitis  #HSP  #purpura  #systemicform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Reduced eGFR at diagnosis</w:t>
            </w:r>
          </w:p>
        </w:tc>
        <w:tc>
          <w:tcPr>
            <w:tcW w:type="dxa" w:w="4276"/>
            <w:vAlign w:val="top"/>
          </w:tcPr>
          <w:p>
            <w:pPr>
              <w:spacing w:after="60" w:line="259" w:lineRule="auto"/>
            </w:pPr>
            <w:r>
              <w:rPr>
                <w:rFonts w:ascii="Calibri" w:hAnsi="Calibri"/>
                <w:b w:val="0"/>
                <w:i w:val="0"/>
                <w:color w:val="212121"/>
                <w:sz w:val="19"/>
              </w:rPr>
              <w:t>Patients biopsied with already reduced eGFR and heavy proteinuria have limited reversible disease and the highest risk of reaching dialysis or transplantation, so early detection is critical.</w:t>
            </w:r>
          </w:p>
          <w:p>
            <w:pPr>
              <w:spacing w:after="40" w:before="60" w:line="259" w:lineRule="auto"/>
            </w:pPr>
            <w:r>
              <w:rPr>
                <w:rFonts w:ascii="Calibri" w:hAnsi="Calibri"/>
                <w:b w:val="0"/>
                <w:i w:val="0"/>
                <w:color w:val="212121"/>
                <w:sz w:val="19"/>
              </w:rPr>
              <w:t>Roughly 10–20% of IgAN patients develop end-stage renal disease within 10–20 years, and up to 20–50% within 20 years in some cohorts.</w:t>
            </w:r>
          </w:p>
          <w:p>
            <w:pPr>
              <w:spacing w:after="40" w:line="252" w:lineRule="auto"/>
            </w:pPr>
            <w:hyperlink r:id="rId12">
              <w:r>
                <w:rPr>
                  <w:rFonts w:ascii="Calibri" w:hAnsi="Calibri" w:cs="Calibri"/>
                  <w:sz w:val="18"/>
                  <w:color w:val="1155CC"/>
                  <w:u w:val="single"/>
                </w:rPr>
                <w:t xml:space="preserve">mdpi.com — IgA Nephropathy: Epidemiology &amp; Outcomes</w:t>
              </w:r>
            </w:hyperlink>
          </w:p>
          <w:p>
            <w:pPr>
              <w:spacing w:before="60" w:after="40"/>
            </w:pPr>
            <w:r>
              <w:rPr>
                <w:rFonts w:ascii="Calibri" w:hAnsi="Calibri"/>
                <w:b w:val="0"/>
                <w:i w:val="0"/>
                <w:color w:val="5A5A5A"/>
                <w:sz w:val="18"/>
              </w:rPr>
              <w:t>#CKD  #ESRD  #proteinuria  #earlydetection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activity aids blood-pressure and weight control, which lower intraglomerular pressure and proteinuria; inactivity clusters with hypertension and obesity, both linked to faster eGFR decline in IgAN.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 dietary sodium raises blood pressure and blunts RAAS-blockade efficacy, while excess protein increases hyperfiltration; salt restriction (&lt; 2 g sodium/day) and moderate protein intake are core supportive measures.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and untreated sleep apnoea can worsen hypertension and cardiovascular risk in CKD, but direct evidence linking sleep to IgAN progression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Cigarette smoking is an independent, dose-dependent risk factor for progression (HR ~1.58); &gt; 20 pack-years raised ESRD/50% eGFR-decline risk by 143% versus non-smokers.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use causes chronic liver disease/cirrhosis, the commonest secondary cause of IgA deposition, and adds hypertension; moderate intake has no established renal benefit in IgAN.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kidney disease is associated with higher rates of depression and anxiety, which reduce adherence to BP and proteinuria control, though a direct causal role in IgAN is not established.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kidney perfusion, but neither dehydration nor high fluid intake has a proven effect on IgAN activity; fluid needs to be individualised in advanced CKD.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Moderate caffeine has no clear effect on IgAN; excessive intake can transiently raise blood pressure but is not an established disease modifier.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Good oral, dental and respiratory hygiene reduces recurrent tonsillar and mucosal infections that provoke synpharyngitic macroscopic haematuria flares in IgAN.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Upper-respiratory tract infections, tonsillitis and gastrointestinal mucosal infections classically precipitate episodes of visible haematuria within 1–2 days (synpharyngitic pattern).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with IgAN</w:t>
            </w:r>
          </w:p>
        </w:tc>
        <w:tc>
          <w:tcPr>
            <w:tcW w:type="dxa" w:w="1512"/>
            <w:vAlign w:val="top"/>
          </w:tcPr>
          <w:p>
            <w:pPr>
              <w:spacing w:after="40" w:before="0" w:line="259" w:lineRule="auto"/>
            </w:pPr>
            <w:r>
              <w:rPr>
                <w:rFonts w:ascii="Calibri" w:hAnsi="Calibri"/>
                <w:b w:val="0"/>
                <w:i w:val="0"/>
                <w:color w:val="212121"/>
                <w:sz w:val="19"/>
              </w:rPr>
              <w:t>18.5–22.9 kg/m² (Asian cut-offs)</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Obesity adds hyperfiltration and secondary FSGS, worsening proteinuria</w:t>
            </w:r>
          </w:p>
          <w:p>
            <w:pPr>
              <w:spacing w:after="40" w:line="252" w:lineRule="auto"/>
            </w:pPr>
            <w:hyperlink r:id="rId13">
              <w:r>
                <w:rPr>
                  <w:rFonts w:ascii="Calibri" w:hAnsi="Calibri" w:cs="Calibri"/>
                  <w:sz w:val="18"/>
                  <w:color w:val="1155CC"/>
                  <w:u w:val="single"/>
                </w:rPr>
                <w:t xml:space="preserve">https://pubmed.ncbi.nlm.nih.gov/38831156/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IgAN with proteinuria</w:t>
            </w:r>
          </w:p>
        </w:tc>
        <w:tc>
          <w:tcPr>
            <w:tcW w:type="dxa" w:w="1512"/>
            <w:vAlign w:val="top"/>
          </w:tcPr>
          <w:p>
            <w:pPr>
              <w:spacing w:after="40" w:before="0" w:line="259" w:lineRule="auto"/>
            </w:pPr>
            <w:r>
              <w:rPr>
                <w:rFonts w:ascii="Calibri" w:hAnsi="Calibri"/>
                <w:b w:val="0"/>
                <w:i w:val="0"/>
                <w:color w:val="212121"/>
                <w:sz w:val="19"/>
              </w:rPr>
              <w:t>≤ 120/70–130/80 mmHg</w:t>
            </w:r>
          </w:p>
        </w:tc>
        <w:tc>
          <w:tcPr>
            <w:tcW w:type="dxa" w:w="1512"/>
            <w:vAlign w:val="top"/>
          </w:tcPr>
          <w:p>
            <w:pPr>
              <w:spacing w:after="40" w:before="0" w:line="259" w:lineRule="auto"/>
            </w:pPr>
            <w:r>
              <w:rPr>
                <w:rFonts w:ascii="Calibri" w:hAnsi="Calibri"/>
                <w:b w:val="0"/>
                <w:i w:val="0"/>
                <w:color w:val="212121"/>
                <w:sz w:val="19"/>
              </w:rPr>
              <w:t>&gt; 130/80 mmHg sustained</w:t>
            </w:r>
          </w:p>
        </w:tc>
        <w:tc>
          <w:tcPr>
            <w:tcW w:type="dxa" w:w="1468"/>
            <w:vAlign w:val="top"/>
          </w:tcPr>
          <w:p>
            <w:pPr>
              <w:spacing w:after="60" w:line="259" w:lineRule="auto"/>
            </w:pPr>
            <w:r>
              <w:rPr>
                <w:rFonts w:ascii="Calibri" w:hAnsi="Calibri"/>
                <w:b w:val="0"/>
                <w:i w:val="0"/>
                <w:color w:val="212121"/>
                <w:sz w:val="19"/>
              </w:rPr>
              <w:t>Tight BP control is central to slowing progression</w:t>
            </w:r>
          </w:p>
          <w:p>
            <w:pPr>
              <w:spacing w:after="40" w:line="252" w:lineRule="auto"/>
            </w:pPr>
            <w:hyperlink r:id="rId16">
              <w:r>
                <w:rPr>
                  <w:rFonts w:ascii="Calibri" w:hAnsi="Calibri" w:cs="Calibri"/>
                  <w:sz w:val="18"/>
                  <w:color w:val="1155CC"/>
                  <w:u w:val="single"/>
                </w:rPr>
                <w:t xml:space="preserve">https://www.ccjm.org/content/92/6/373</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sodium (g salt/day)</w:t>
            </w:r>
          </w:p>
        </w:tc>
        <w:tc>
          <w:tcPr>
            <w:tcW w:type="dxa" w:w="1655"/>
            <w:vAlign w:val="top"/>
          </w:tcPr>
          <w:p>
            <w:pPr>
              <w:spacing w:after="40" w:before="0" w:line="259" w:lineRule="auto"/>
            </w:pPr>
            <w:r>
              <w:rPr>
                <w:rFonts w:ascii="Calibri" w:hAnsi="Calibri"/>
                <w:b w:val="0"/>
                <w:i w:val="0"/>
                <w:color w:val="212121"/>
                <w:sz w:val="19"/>
              </w:rPr>
              <w:t>IgAN, hypertensive CKD</w:t>
            </w:r>
          </w:p>
        </w:tc>
        <w:tc>
          <w:tcPr>
            <w:tcW w:type="dxa" w:w="1512"/>
            <w:vAlign w:val="top"/>
          </w:tcPr>
          <w:p>
            <w:pPr>
              <w:spacing w:after="40" w:before="0" w:line="259" w:lineRule="auto"/>
            </w:pPr>
            <w:r>
              <w:rPr>
                <w:rFonts w:ascii="Calibri" w:hAnsi="Calibri"/>
                <w:b w:val="0"/>
                <w:i w:val="0"/>
                <w:color w:val="212121"/>
                <w:sz w:val="19"/>
              </w:rPr>
              <w:t>&lt; 5 g salt (&lt; 2 g sodium)/day</w:t>
            </w:r>
          </w:p>
        </w:tc>
        <w:tc>
          <w:tcPr>
            <w:tcW w:type="dxa" w:w="1512"/>
            <w:vAlign w:val="top"/>
          </w:tcPr>
          <w:p>
            <w:pPr>
              <w:spacing w:after="40" w:before="0" w:line="259" w:lineRule="auto"/>
            </w:pPr>
            <w:r>
              <w:rPr>
                <w:rFonts w:ascii="Calibri" w:hAnsi="Calibri"/>
                <w:b w:val="0"/>
                <w:i w:val="0"/>
                <w:color w:val="212121"/>
                <w:sz w:val="19"/>
              </w:rPr>
              <w:t>&gt; 5 g salt/day</w:t>
            </w:r>
          </w:p>
        </w:tc>
        <w:tc>
          <w:tcPr>
            <w:tcW w:type="dxa" w:w="1468"/>
            <w:vAlign w:val="top"/>
          </w:tcPr>
          <w:p>
            <w:pPr>
              <w:spacing w:after="60" w:line="259" w:lineRule="auto"/>
            </w:pPr>
            <w:r>
              <w:rPr>
                <w:rFonts w:ascii="Calibri" w:hAnsi="Calibri"/>
                <w:b w:val="0"/>
                <w:i w:val="0"/>
                <w:color w:val="212121"/>
                <w:sz w:val="19"/>
              </w:rPr>
              <w:t>Indian mean is ~11 g/day; high salt blunts RAAS-blockade</w:t>
            </w:r>
          </w:p>
          <w:p>
            <w:pPr>
              <w:spacing w:after="40" w:line="252" w:lineRule="auto"/>
            </w:pPr>
            <w:hyperlink r:id="rId15">
              <w:r>
                <w:rPr>
                  <w:rFonts w:ascii="Calibri" w:hAnsi="Calibri" w:cs="Calibri"/>
                  <w:sz w:val="18"/>
                  <w:color w:val="1155CC"/>
                  <w:u w:val="single"/>
                </w:rPr>
                <w:t xml:space="preserve">https://health.medicaldialogues.in/diet-and-nutrition/indias-salt-consumption-22-times-higher-than-who-limit-icmr-warns-of-stroke-and-bp-risks-151941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protein (g/kg/day)</w:t>
            </w:r>
          </w:p>
        </w:tc>
        <w:tc>
          <w:tcPr>
            <w:tcW w:type="dxa" w:w="1655"/>
            <w:vAlign w:val="top"/>
          </w:tcPr>
          <w:p>
            <w:pPr>
              <w:spacing w:after="40" w:before="0" w:line="259" w:lineRule="auto"/>
            </w:pPr>
            <w:r>
              <w:rPr>
                <w:rFonts w:ascii="Calibri" w:hAnsi="Calibri"/>
                <w:b w:val="0"/>
                <w:i w:val="0"/>
                <w:color w:val="212121"/>
                <w:sz w:val="19"/>
              </w:rPr>
              <w:t>IgAN with CKD</w:t>
            </w:r>
          </w:p>
        </w:tc>
        <w:tc>
          <w:tcPr>
            <w:tcW w:type="dxa" w:w="1512"/>
            <w:vAlign w:val="top"/>
          </w:tcPr>
          <w:p>
            <w:pPr>
              <w:spacing w:after="40" w:before="0" w:line="259" w:lineRule="auto"/>
            </w:pPr>
            <w:r>
              <w:rPr>
                <w:rFonts w:ascii="Calibri" w:hAnsi="Calibri"/>
                <w:b w:val="0"/>
                <w:i w:val="0"/>
                <w:color w:val="212121"/>
                <w:sz w:val="19"/>
              </w:rPr>
              <w:t>~0.8 g/kg/day</w:t>
            </w:r>
          </w:p>
        </w:tc>
        <w:tc>
          <w:tcPr>
            <w:tcW w:type="dxa" w:w="1512"/>
            <w:vAlign w:val="top"/>
          </w:tcPr>
          <w:p>
            <w:pPr>
              <w:spacing w:after="40" w:before="0" w:line="259" w:lineRule="auto"/>
            </w:pPr>
            <w:r>
              <w:rPr>
                <w:rFonts w:ascii="Calibri" w:hAnsi="Calibri"/>
                <w:b w:val="0"/>
                <w:i w:val="0"/>
                <w:color w:val="212121"/>
                <w:sz w:val="19"/>
              </w:rPr>
              <w:t>&gt; 1.0 g/kg/day (high load)</w:t>
            </w:r>
          </w:p>
        </w:tc>
        <w:tc>
          <w:tcPr>
            <w:tcW w:type="dxa" w:w="1468"/>
            <w:vAlign w:val="top"/>
          </w:tcPr>
          <w:p>
            <w:pPr>
              <w:spacing w:after="60" w:line="259" w:lineRule="auto"/>
            </w:pPr>
            <w:r>
              <w:rPr>
                <w:rFonts w:ascii="Calibri" w:hAnsi="Calibri"/>
                <w:b w:val="0"/>
                <w:i w:val="0"/>
                <w:color w:val="212121"/>
                <w:sz w:val="19"/>
              </w:rPr>
              <w:t>High protein increases intraglomerular pressure and proteinuria</w:t>
            </w:r>
          </w:p>
          <w:p>
            <w:pPr>
              <w:spacing w:after="40" w:line="252" w:lineRule="auto"/>
            </w:pPr>
            <w:hyperlink r:id="rId16">
              <w:r>
                <w:rPr>
                  <w:rFonts w:ascii="Calibri" w:hAnsi="Calibri" w:cs="Calibri"/>
                  <w:sz w:val="18"/>
                  <w:color w:val="1155CC"/>
                  <w:u w:val="single"/>
                </w:rPr>
                <w:t xml:space="preserve">https://www.ccjm.org/content/92/6/373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Proteinuria (UPCR / 24-h protein)</w:t>
            </w:r>
          </w:p>
        </w:tc>
        <w:tc>
          <w:tcPr>
            <w:tcW w:type="dxa" w:w="1655"/>
            <w:vAlign w:val="top"/>
          </w:tcPr>
          <w:p>
            <w:pPr>
              <w:spacing w:after="40" w:before="0" w:line="259" w:lineRule="auto"/>
            </w:pPr>
            <w:r>
              <w:rPr>
                <w:rFonts w:ascii="Calibri" w:hAnsi="Calibri"/>
                <w:b w:val="0"/>
                <w:i w:val="0"/>
                <w:color w:val="212121"/>
                <w:sz w:val="19"/>
              </w:rPr>
              <w:t>All IgAN patients</w:t>
            </w:r>
          </w:p>
        </w:tc>
        <w:tc>
          <w:tcPr>
            <w:tcW w:type="dxa" w:w="1512"/>
            <w:vAlign w:val="top"/>
          </w:tcPr>
          <w:p>
            <w:pPr>
              <w:spacing w:after="40" w:before="0" w:line="259" w:lineRule="auto"/>
            </w:pPr>
            <w:r>
              <w:rPr>
                <w:rFonts w:ascii="Calibri" w:hAnsi="Calibri"/>
                <w:b w:val="0"/>
                <w:i w:val="0"/>
                <w:color w:val="212121"/>
                <w:sz w:val="19"/>
              </w:rPr>
              <w:t>&lt; 0.5 g/day (target)</w:t>
            </w:r>
          </w:p>
        </w:tc>
        <w:tc>
          <w:tcPr>
            <w:tcW w:type="dxa" w:w="1512"/>
            <w:vAlign w:val="top"/>
          </w:tcPr>
          <w:p>
            <w:pPr>
              <w:spacing w:after="40" w:before="0" w:line="259" w:lineRule="auto"/>
            </w:pPr>
            <w:r>
              <w:rPr>
                <w:rFonts w:ascii="Calibri" w:hAnsi="Calibri"/>
                <w:b w:val="0"/>
                <w:i w:val="0"/>
                <w:color w:val="212121"/>
                <w:sz w:val="19"/>
              </w:rPr>
              <w:t>≥ 1 g/day</w:t>
            </w:r>
          </w:p>
        </w:tc>
        <w:tc>
          <w:tcPr>
            <w:tcW w:type="dxa" w:w="1468"/>
            <w:vAlign w:val="top"/>
          </w:tcPr>
          <w:p>
            <w:pPr>
              <w:spacing w:after="60" w:line="259" w:lineRule="auto"/>
            </w:pPr>
            <w:r>
              <w:rPr>
                <w:rFonts w:ascii="Calibri" w:hAnsi="Calibri"/>
                <w:b w:val="0"/>
                <w:i w:val="0"/>
                <w:color w:val="212121"/>
                <w:sz w:val="19"/>
              </w:rPr>
              <w:t>Proteinuria ≥ 1 g/day is a key predictor of ESRD</w:t>
            </w:r>
          </w:p>
          <w:p>
            <w:pPr>
              <w:spacing w:after="40" w:line="252" w:lineRule="auto"/>
            </w:pPr>
            <w:hyperlink r:id="rId9">
              <w:r>
                <w:rPr>
                  <w:rFonts w:ascii="Calibri" w:hAnsi="Calibri" w:cs="Calibri"/>
                  <w:sz w:val="18"/>
                  <w:color w:val="1155CC"/>
                  <w:u w:val="single"/>
                </w:rPr>
                <w:t xml:space="preserve">https://www.ncbi.nlm.nih.gov/books/NBK538214/</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 exposure (pack-years)</w:t>
            </w:r>
          </w:p>
        </w:tc>
        <w:tc>
          <w:tcPr>
            <w:tcW w:type="dxa" w:w="1655"/>
            <w:vAlign w:val="top"/>
          </w:tcPr>
          <w:p>
            <w:pPr>
              <w:spacing w:after="40" w:before="0" w:line="259" w:lineRule="auto"/>
            </w:pPr>
            <w:r>
              <w:rPr>
                <w:rFonts w:ascii="Calibri" w:hAnsi="Calibri"/>
                <w:b w:val="0"/>
                <w:i w:val="0"/>
                <w:color w:val="212121"/>
                <w:sz w:val="19"/>
              </w:rPr>
              <w:t>IgAN smokers</w:t>
            </w:r>
          </w:p>
        </w:tc>
        <w:tc>
          <w:tcPr>
            <w:tcW w:type="dxa" w:w="1512"/>
            <w:vAlign w:val="top"/>
          </w:tcPr>
          <w:p>
            <w:pPr>
              <w:spacing w:after="40" w:before="0" w:line="259" w:lineRule="auto"/>
            </w:pPr>
            <w:r>
              <w:rPr>
                <w:rFonts w:ascii="Calibri" w:hAnsi="Calibri"/>
                <w:b w:val="0"/>
                <w:i w:val="0"/>
                <w:color w:val="212121"/>
                <w:sz w:val="19"/>
              </w:rPr>
              <w:t>0 (non-smoker)</w:t>
            </w:r>
          </w:p>
        </w:tc>
        <w:tc>
          <w:tcPr>
            <w:tcW w:type="dxa" w:w="1512"/>
            <w:vAlign w:val="top"/>
          </w:tcPr>
          <w:p>
            <w:pPr>
              <w:spacing w:after="40" w:before="0" w:line="259" w:lineRule="auto"/>
            </w:pPr>
            <w:r>
              <w:rPr>
                <w:rFonts w:ascii="Calibri" w:hAnsi="Calibri"/>
                <w:b w:val="0"/>
                <w:i w:val="0"/>
                <w:color w:val="212121"/>
                <w:sz w:val="19"/>
              </w:rPr>
              <w:t>Any smoking; &gt; 20 pack-years high risk</w:t>
            </w:r>
          </w:p>
        </w:tc>
        <w:tc>
          <w:tcPr>
            <w:tcW w:type="dxa" w:w="1468"/>
            <w:vAlign w:val="top"/>
          </w:tcPr>
          <w:p>
            <w:pPr>
              <w:spacing w:after="60" w:line="259" w:lineRule="auto"/>
            </w:pPr>
            <w:r>
              <w:rPr>
                <w:rFonts w:ascii="Calibri" w:hAnsi="Calibri"/>
                <w:b w:val="0"/>
                <w:i w:val="0"/>
                <w:color w:val="212121"/>
                <w:sz w:val="19"/>
              </w:rPr>
              <w:t>&gt; 20 pack-years raised progression risk by 143%</w:t>
            </w:r>
          </w:p>
          <w:p>
            <w:pPr>
              <w:spacing w:after="40" w:line="252" w:lineRule="auto"/>
            </w:pPr>
            <w:hyperlink r:id="rId14">
              <w:r>
                <w:rPr>
                  <w:rFonts w:ascii="Calibri" w:hAnsi="Calibri" w:cs="Calibri"/>
                  <w:sz w:val="18"/>
                  <w:color w:val="1155CC"/>
                  <w:u w:val="single"/>
                </w:rPr>
                <w:t xml:space="preserve">https://bmcnephrol.biomedcentral.com/articles/10.1186/s12882-021-02453-4</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IgAN adults</w:t>
            </w:r>
          </w:p>
        </w:tc>
        <w:tc>
          <w:tcPr>
            <w:tcW w:type="dxa" w:w="1512"/>
            <w:vAlign w:val="top"/>
          </w:tcPr>
          <w:p>
            <w:pPr>
              <w:spacing w:after="40" w:before="0" w:line="259" w:lineRule="auto"/>
            </w:pPr>
            <w:r>
              <w:rPr>
                <w:rFonts w:ascii="Calibri" w:hAnsi="Calibri"/>
                <w:b w:val="0"/>
                <w:i w:val="0"/>
                <w:color w:val="212121"/>
                <w:sz w:val="19"/>
              </w:rPr>
              <w:t>None to minimal</w:t>
            </w:r>
          </w:p>
        </w:tc>
        <w:tc>
          <w:tcPr>
            <w:tcW w:type="dxa" w:w="1512"/>
            <w:vAlign w:val="top"/>
          </w:tcPr>
          <w:p>
            <w:pPr>
              <w:spacing w:after="40" w:before="0" w:line="259" w:lineRule="auto"/>
            </w:pPr>
            <w:r>
              <w:rPr>
                <w:rFonts w:ascii="Calibri" w:hAnsi="Calibri"/>
                <w:b w:val="0"/>
                <w:i w:val="0"/>
                <w:color w:val="212121"/>
                <w:sz w:val="19"/>
              </w:rPr>
              <w:t>Heavy/harmful use</w:t>
            </w:r>
          </w:p>
        </w:tc>
        <w:tc>
          <w:tcPr>
            <w:tcW w:type="dxa" w:w="1468"/>
            <w:vAlign w:val="top"/>
          </w:tcPr>
          <w:p>
            <w:pPr>
              <w:spacing w:after="60" w:line="259" w:lineRule="auto"/>
            </w:pPr>
            <w:r>
              <w:rPr>
                <w:rFonts w:ascii="Calibri" w:hAnsi="Calibri"/>
                <w:b w:val="0"/>
                <w:i w:val="0"/>
                <w:color w:val="212121"/>
                <w:sz w:val="19"/>
              </w:rPr>
              <w:t>Heavy use risks cirrhosis-related secondary IgA deposition</w:t>
            </w:r>
          </w:p>
          <w:p>
            <w:pPr>
              <w:spacing w:after="40" w:line="252" w:lineRule="auto"/>
            </w:pPr>
            <w:hyperlink r:id="rId9">
              <w:r>
                <w:rPr>
                  <w:rFonts w:ascii="Calibri" w:hAnsi="Calibri" w:cs="Calibri"/>
                  <w:sz w:val="18"/>
                  <w:color w:val="1155CC"/>
                  <w:u w:val="single"/>
                </w:rPr>
                <w:t xml:space="preserve">https://www.ncbi.nlm.nih.gov/books/NBK538214/</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Estimated GFR (mL/min/1.73 m²)</w:t>
            </w:r>
          </w:p>
        </w:tc>
        <w:tc>
          <w:tcPr>
            <w:tcW w:type="dxa" w:w="1655"/>
            <w:vAlign w:val="top"/>
          </w:tcPr>
          <w:p>
            <w:pPr>
              <w:spacing w:after="40" w:before="0" w:line="259" w:lineRule="auto"/>
            </w:pPr>
            <w:r>
              <w:rPr>
                <w:rFonts w:ascii="Calibri" w:hAnsi="Calibri"/>
                <w:b w:val="0"/>
                <w:i w:val="0"/>
                <w:color w:val="212121"/>
                <w:sz w:val="19"/>
              </w:rPr>
              <w:t>IgAN at diagnosis</w:t>
            </w:r>
          </w:p>
        </w:tc>
        <w:tc>
          <w:tcPr>
            <w:tcW w:type="dxa" w:w="1512"/>
            <w:vAlign w:val="top"/>
          </w:tcPr>
          <w:p>
            <w:pPr>
              <w:spacing w:after="40" w:before="0" w:line="259" w:lineRule="auto"/>
            </w:pPr>
            <w:r>
              <w:rPr>
                <w:rFonts w:ascii="Calibri" w:hAnsi="Calibri"/>
                <w:b w:val="0"/>
                <w:i w:val="0"/>
                <w:color w:val="212121"/>
                <w:sz w:val="19"/>
              </w:rPr>
              <w:t>≥ 90 (G1)</w:t>
            </w:r>
          </w:p>
        </w:tc>
        <w:tc>
          <w:tcPr>
            <w:tcW w:type="dxa" w:w="1512"/>
            <w:vAlign w:val="top"/>
          </w:tcPr>
          <w:p>
            <w:pPr>
              <w:spacing w:after="40" w:before="0" w:line="259" w:lineRule="auto"/>
            </w:pPr>
            <w:r>
              <w:rPr>
                <w:rFonts w:ascii="Calibri" w:hAnsi="Calibri"/>
                <w:b w:val="0"/>
                <w:i w:val="0"/>
                <w:color w:val="212121"/>
                <w:sz w:val="19"/>
              </w:rPr>
              <w:t>&lt; 60 (G3–G5)</w:t>
            </w:r>
          </w:p>
        </w:tc>
        <w:tc>
          <w:tcPr>
            <w:tcW w:type="dxa" w:w="1468"/>
            <w:vAlign w:val="top"/>
          </w:tcPr>
          <w:p>
            <w:pPr>
              <w:spacing w:after="60" w:line="259" w:lineRule="auto"/>
            </w:pPr>
            <w:r>
              <w:rPr>
                <w:rFonts w:ascii="Calibri" w:hAnsi="Calibri"/>
                <w:b w:val="0"/>
                <w:i w:val="0"/>
                <w:color w:val="212121"/>
                <w:sz w:val="19"/>
              </w:rPr>
              <w:t>Low eGFR at biopsy signals limited reversible disease</w:t>
            </w:r>
          </w:p>
          <w:p>
            <w:pPr>
              <w:spacing w:after="40" w:line="252" w:lineRule="auto"/>
            </w:pPr>
            <w:hyperlink r:id="rId12">
              <w:r>
                <w:rPr>
                  <w:rFonts w:ascii="Calibri" w:hAnsi="Calibri" w:cs="Calibri"/>
                  <w:sz w:val="18"/>
                  <w:color w:val="1155CC"/>
                  <w:u w:val="single"/>
                </w:rPr>
                <w:t xml:space="preserve">https://www.mdpi.com/2077-0383/15/5/2046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Haematuria (glomerular RBCs)</w:t>
            </w:r>
          </w:p>
        </w:tc>
        <w:tc>
          <w:tcPr>
            <w:tcW w:type="dxa" w:w="1655"/>
            <w:vAlign w:val="top"/>
          </w:tcPr>
          <w:p>
            <w:pPr>
              <w:spacing w:after="40" w:before="0" w:line="259" w:lineRule="auto"/>
            </w:pPr>
            <w:r>
              <w:rPr>
                <w:rFonts w:ascii="Calibri" w:hAnsi="Calibri"/>
                <w:b w:val="0"/>
                <w:i w:val="0"/>
                <w:color w:val="212121"/>
                <w:sz w:val="19"/>
              </w:rPr>
              <w:t>IgAN, active disease</w:t>
            </w:r>
          </w:p>
        </w:tc>
        <w:tc>
          <w:tcPr>
            <w:tcW w:type="dxa" w:w="1512"/>
            <w:vAlign w:val="top"/>
          </w:tcPr>
          <w:p>
            <w:pPr>
              <w:spacing w:after="40" w:before="0" w:line="259" w:lineRule="auto"/>
            </w:pPr>
            <w:r>
              <w:rPr>
                <w:rFonts w:ascii="Calibri" w:hAnsi="Calibri"/>
                <w:b w:val="0"/>
                <w:i w:val="0"/>
                <w:color w:val="212121"/>
                <w:sz w:val="19"/>
              </w:rPr>
              <w:t>Absent</w:t>
            </w:r>
          </w:p>
        </w:tc>
        <w:tc>
          <w:tcPr>
            <w:tcW w:type="dxa" w:w="1512"/>
            <w:vAlign w:val="top"/>
          </w:tcPr>
          <w:p>
            <w:pPr>
              <w:spacing w:after="40" w:before="0" w:line="259" w:lineRule="auto"/>
            </w:pPr>
            <w:r>
              <w:rPr>
                <w:rFonts w:ascii="Calibri" w:hAnsi="Calibri"/>
                <w:b w:val="0"/>
                <w:i w:val="0"/>
                <w:color w:val="212121"/>
                <w:sz w:val="19"/>
              </w:rPr>
              <w:t>Dysmorphic RBCs / RBC casts</w:t>
            </w:r>
          </w:p>
        </w:tc>
        <w:tc>
          <w:tcPr>
            <w:tcW w:type="dxa" w:w="1468"/>
            <w:vAlign w:val="top"/>
          </w:tcPr>
          <w:p>
            <w:pPr>
              <w:spacing w:after="60" w:line="259" w:lineRule="auto"/>
            </w:pPr>
            <w:r>
              <w:rPr>
                <w:rFonts w:ascii="Calibri" w:hAnsi="Calibri"/>
                <w:b w:val="0"/>
                <w:i w:val="0"/>
                <w:color w:val="212121"/>
                <w:sz w:val="19"/>
              </w:rPr>
              <w:t>Persistent haematuria reflects ongoing glomerular activity</w:t>
            </w:r>
          </w:p>
          <w:p>
            <w:pPr>
              <w:spacing w:after="40" w:line="252" w:lineRule="auto"/>
            </w:pPr>
            <w:hyperlink r:id="rId9">
              <w:r>
                <w:rPr>
                  <w:rFonts w:ascii="Calibri" w:hAnsi="Calibri" w:cs="Calibri"/>
                  <w:sz w:val="18"/>
                  <w:color w:val="1155CC"/>
                  <w:u w:val="single"/>
                </w:rPr>
                <w:t xml:space="preserve">https://www.ncbi.nlm.nih.gov/books/NBK538214/</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Recurrent mucosal infections (episodes/year)</w:t>
            </w:r>
          </w:p>
        </w:tc>
        <w:tc>
          <w:tcPr>
            <w:tcW w:type="dxa" w:w="1655"/>
            <w:vAlign w:val="top"/>
          </w:tcPr>
          <w:p>
            <w:pPr>
              <w:spacing w:after="40" w:before="0" w:line="259" w:lineRule="auto"/>
            </w:pPr>
            <w:r>
              <w:rPr>
                <w:rFonts w:ascii="Calibri" w:hAnsi="Calibri"/>
                <w:b w:val="0"/>
                <w:i w:val="0"/>
                <w:color w:val="212121"/>
                <w:sz w:val="19"/>
              </w:rPr>
              <w:t>IgAN with synpharyngitic flares</w:t>
            </w:r>
          </w:p>
        </w:tc>
        <w:tc>
          <w:tcPr>
            <w:tcW w:type="dxa" w:w="1512"/>
            <w:vAlign w:val="top"/>
          </w:tcPr>
          <w:p>
            <w:pPr>
              <w:spacing w:after="40" w:before="0" w:line="259" w:lineRule="auto"/>
            </w:pPr>
            <w:r>
              <w:rPr>
                <w:rFonts w:ascii="Calibri" w:hAnsi="Calibri"/>
                <w:b w:val="0"/>
                <w:i w:val="0"/>
                <w:color w:val="212121"/>
                <w:sz w:val="19"/>
              </w:rPr>
              <w:t>Minimal</w:t>
            </w:r>
          </w:p>
        </w:tc>
        <w:tc>
          <w:tcPr>
            <w:tcW w:type="dxa" w:w="1512"/>
            <w:vAlign w:val="top"/>
          </w:tcPr>
          <w:p>
            <w:pPr>
              <w:spacing w:after="40" w:before="0" w:line="259" w:lineRule="auto"/>
            </w:pPr>
            <w:r>
              <w:rPr>
                <w:rFonts w:ascii="Calibri" w:hAnsi="Calibri"/>
                <w:b w:val="0"/>
                <w:i w:val="0"/>
                <w:color w:val="212121"/>
                <w:sz w:val="19"/>
              </w:rPr>
              <w:t>Frequent tonsillitis/URTIs</w:t>
            </w:r>
          </w:p>
        </w:tc>
        <w:tc>
          <w:tcPr>
            <w:tcW w:type="dxa" w:w="1468"/>
            <w:vAlign w:val="top"/>
          </w:tcPr>
          <w:p>
            <w:pPr>
              <w:spacing w:after="60" w:line="259" w:lineRule="auto"/>
            </w:pPr>
            <w:r>
              <w:rPr>
                <w:rFonts w:ascii="Calibri" w:hAnsi="Calibri"/>
                <w:b w:val="0"/>
                <w:i w:val="0"/>
                <w:color w:val="212121"/>
                <w:sz w:val="19"/>
              </w:rPr>
              <w:t>Infections precipitate visible-haematuria flares</w:t>
            </w:r>
          </w:p>
          <w:p>
            <w:pPr>
              <w:spacing w:after="40" w:line="252" w:lineRule="auto"/>
            </w:pPr>
            <w:hyperlink r:id="rId9">
              <w:r>
                <w:rPr>
                  <w:rFonts w:ascii="Calibri" w:hAnsi="Calibri" w:cs="Calibri"/>
                  <w:sz w:val="18"/>
                  <w:color w:val="1155CC"/>
                  <w:u w:val="single"/>
                </w:rPr>
                <w:t xml:space="preserve">https://www.ncbi.nlm.nih.gov/books/NBK538214/</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w:t>
            </w:r>
          </w:p>
        </w:tc>
        <w:tc>
          <w:tcPr>
            <w:tcW w:type="dxa" w:w="1036"/>
            <w:vAlign w:val="top"/>
          </w:tcPr>
          <w:p>
            <w:pPr>
              <w:spacing w:after="40" w:before="0" w:line="259" w:lineRule="auto"/>
            </w:pPr>
            <w:r>
              <w:rPr>
                <w:rFonts w:ascii="Calibri" w:hAnsi="Calibri"/>
                <w:b w:val="0"/>
                <w:i w:val="0"/>
                <w:color w:val="212121"/>
                <w:sz w:val="16"/>
              </w:rPr>
              <w:t>Urinalysis &amp; microscopy (haematuria, RBC casts)</w:t>
            </w:r>
          </w:p>
        </w:tc>
        <w:tc>
          <w:tcPr>
            <w:tcW w:type="dxa" w:w="892"/>
            <w:vAlign w:val="top"/>
          </w:tcPr>
          <w:p>
            <w:pPr>
              <w:spacing w:after="40" w:before="0" w:line="259" w:lineRule="auto"/>
            </w:pPr>
            <w:r>
              <w:rPr>
                <w:rFonts w:ascii="Calibri" w:hAnsi="Calibri"/>
                <w:b w:val="0"/>
                <w:i w:val="0"/>
                <w:color w:val="212121"/>
                <w:sz w:val="16"/>
              </w:rPr>
              <w:t>Urine routine + phase-contrast microscopy</w:t>
            </w:r>
          </w:p>
        </w:tc>
        <w:tc>
          <w:tcPr>
            <w:tcW w:type="dxa" w:w="950"/>
            <w:vAlign w:val="top"/>
          </w:tcPr>
          <w:p>
            <w:pPr>
              <w:spacing w:after="40" w:before="0" w:line="259" w:lineRule="auto"/>
            </w:pPr>
            <w:r>
              <w:rPr>
                <w:rFonts w:ascii="Calibri" w:hAnsi="Calibri"/>
                <w:b w:val="0"/>
                <w:i w:val="0"/>
                <w:color w:val="212121"/>
                <w:sz w:val="16"/>
              </w:rPr>
              <w:t>No blood; &lt; 3 RBC/hpf</w:t>
            </w:r>
          </w:p>
        </w:tc>
        <w:tc>
          <w:tcPr>
            <w:tcW w:type="dxa" w:w="950"/>
            <w:vAlign w:val="top"/>
          </w:tcPr>
          <w:p>
            <w:pPr>
              <w:spacing w:after="40" w:before="0" w:line="259" w:lineRule="auto"/>
            </w:pPr>
            <w:r>
              <w:rPr>
                <w:rFonts w:ascii="Calibri" w:hAnsi="Calibri"/>
                <w:b w:val="0"/>
                <w:i w:val="0"/>
                <w:color w:val="212121"/>
                <w:sz w:val="16"/>
              </w:rPr>
              <w:t>Dysmorphic RBCs, RBC casts, haematuria</w:t>
            </w:r>
          </w:p>
        </w:tc>
        <w:tc>
          <w:tcPr>
            <w:tcW w:type="dxa" w:w="1036"/>
            <w:vAlign w:val="top"/>
          </w:tcPr>
          <w:p>
            <w:pPr>
              <w:spacing w:after="40" w:before="0" w:line="259" w:lineRule="auto"/>
            </w:pPr>
            <w:r>
              <w:rPr>
                <w:rFonts w:ascii="Calibri" w:hAnsi="Calibri"/>
                <w:b w:val="0"/>
                <w:i w:val="0"/>
                <w:color w:val="212121"/>
                <w:sz w:val="16"/>
              </w:rPr>
              <w:t>Indicates active glomerular bleeding — hallmark of IgAN</w:t>
            </w:r>
          </w:p>
        </w:tc>
        <w:tc>
          <w:tcPr>
            <w:tcW w:type="dxa" w:w="1036"/>
            <w:vAlign w:val="top"/>
          </w:tcPr>
          <w:p>
            <w:pPr>
              <w:spacing w:after="40" w:before="0" w:line="259" w:lineRule="auto"/>
            </w:pPr>
            <w:r>
              <w:rPr>
                <w:rFonts w:ascii="Calibri" w:hAnsi="Calibri"/>
                <w:b w:val="0"/>
                <w:i w:val="0"/>
                <w:color w:val="212121"/>
                <w:sz w:val="16"/>
              </w:rPr>
              <w:t>Young adults with visible haematuria, screen-detected microscopic haematuria</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 / Gold standard</w:t>
            </w:r>
          </w:p>
        </w:tc>
        <w:tc>
          <w:tcPr>
            <w:tcW w:type="dxa" w:w="720"/>
            <w:vAlign w:val="top"/>
          </w:tcPr>
          <w:p>
            <w:pPr>
              <w:spacing w:after="40" w:before="0" w:line="259" w:lineRule="auto"/>
            </w:pPr>
            <w:r>
              <w:rPr>
                <w:rFonts w:ascii="Calibri" w:hAnsi="Calibri"/>
                <w:b w:val="0"/>
                <w:i w:val="0"/>
                <w:color w:val="212121"/>
                <w:sz w:val="16"/>
              </w:rPr>
              <w:t>Synpharyngitic flares coincide with mucosal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w:t>
            </w:r>
          </w:p>
        </w:tc>
        <w:tc>
          <w:tcPr>
            <w:tcW w:type="dxa" w:w="1036"/>
            <w:vAlign w:val="top"/>
          </w:tcPr>
          <w:p>
            <w:pPr>
              <w:spacing w:after="40" w:before="0" w:line="259" w:lineRule="auto"/>
            </w:pPr>
            <w:r>
              <w:rPr>
                <w:rFonts w:ascii="Calibri" w:hAnsi="Calibri"/>
                <w:b w:val="0"/>
                <w:i w:val="0"/>
                <w:color w:val="212121"/>
                <w:sz w:val="16"/>
              </w:rPr>
              <w:t>Proteinuria (UPCR or 24-h protein)</w:t>
            </w:r>
          </w:p>
        </w:tc>
        <w:tc>
          <w:tcPr>
            <w:tcW w:type="dxa" w:w="892"/>
            <w:vAlign w:val="top"/>
          </w:tcPr>
          <w:p>
            <w:pPr>
              <w:spacing w:after="40" w:before="0" w:line="259" w:lineRule="auto"/>
            </w:pPr>
            <w:r>
              <w:rPr>
                <w:rFonts w:ascii="Calibri" w:hAnsi="Calibri"/>
                <w:b w:val="0"/>
                <w:i w:val="0"/>
                <w:color w:val="212121"/>
                <w:sz w:val="16"/>
              </w:rPr>
              <w:t>Urine protein quantification</w:t>
            </w:r>
          </w:p>
        </w:tc>
        <w:tc>
          <w:tcPr>
            <w:tcW w:type="dxa" w:w="950"/>
            <w:vAlign w:val="top"/>
          </w:tcPr>
          <w:p>
            <w:pPr>
              <w:spacing w:after="40" w:before="0" w:line="259" w:lineRule="auto"/>
            </w:pPr>
            <w:r>
              <w:rPr>
                <w:rFonts w:ascii="Calibri" w:hAnsi="Calibri"/>
                <w:b w:val="0"/>
                <w:i w:val="0"/>
                <w:color w:val="212121"/>
                <w:sz w:val="16"/>
              </w:rPr>
              <w:t>&lt; 0.15 g/day</w:t>
            </w:r>
          </w:p>
        </w:tc>
        <w:tc>
          <w:tcPr>
            <w:tcW w:type="dxa" w:w="950"/>
            <w:vAlign w:val="top"/>
          </w:tcPr>
          <w:p>
            <w:pPr>
              <w:spacing w:after="40" w:before="0" w:line="259" w:lineRule="auto"/>
            </w:pPr>
            <w:r>
              <w:rPr>
                <w:rFonts w:ascii="Calibri" w:hAnsi="Calibri"/>
                <w:b w:val="0"/>
                <w:i w:val="0"/>
                <w:color w:val="212121"/>
                <w:sz w:val="16"/>
              </w:rPr>
              <w:t>≥ 1 g/day (adverse); nephrotic &gt; 3.5 g/day</w:t>
            </w:r>
          </w:p>
        </w:tc>
        <w:tc>
          <w:tcPr>
            <w:tcW w:type="dxa" w:w="1036"/>
            <w:vAlign w:val="top"/>
          </w:tcPr>
          <w:p>
            <w:pPr>
              <w:spacing w:after="40" w:before="0" w:line="259" w:lineRule="auto"/>
            </w:pPr>
            <w:r>
              <w:rPr>
                <w:rFonts w:ascii="Calibri" w:hAnsi="Calibri"/>
                <w:b w:val="0"/>
                <w:i w:val="0"/>
                <w:color w:val="212121"/>
                <w:sz w:val="16"/>
              </w:rPr>
              <w:t>Degree of proteinuria is the strongest modifiable predictor of progression</w:t>
            </w:r>
          </w:p>
        </w:tc>
        <w:tc>
          <w:tcPr>
            <w:tcW w:type="dxa" w:w="1036"/>
            <w:vAlign w:val="top"/>
          </w:tcPr>
          <w:p>
            <w:pPr>
              <w:spacing w:after="40" w:before="0" w:line="259" w:lineRule="auto"/>
            </w:pPr>
            <w:r>
              <w:rPr>
                <w:rFonts w:ascii="Calibri" w:hAnsi="Calibri"/>
                <w:b w:val="0"/>
                <w:i w:val="0"/>
                <w:color w:val="212121"/>
                <w:sz w:val="16"/>
              </w:rPr>
              <w:t>All IgAN patients; those on RAAS blockade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 (prognostic)</w:t>
            </w:r>
          </w:p>
        </w:tc>
        <w:tc>
          <w:tcPr>
            <w:tcW w:type="dxa" w:w="720"/>
            <w:vAlign w:val="top"/>
          </w:tcPr>
          <w:p>
            <w:pPr>
              <w:spacing w:after="40" w:before="0" w:line="259" w:lineRule="auto"/>
            </w:pPr>
            <w:r>
              <w:rPr>
                <w:rFonts w:ascii="Calibri" w:hAnsi="Calibri"/>
                <w:b w:val="0"/>
                <w:i w:val="0"/>
                <w:color w:val="212121"/>
                <w:sz w:val="16"/>
              </w:rPr>
              <w:t>Target &lt; 0.5–1 g/day on treatment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&amp; eGFR</w:t>
            </w:r>
          </w:p>
        </w:tc>
        <w:tc>
          <w:tcPr>
            <w:tcW w:type="dxa" w:w="892"/>
            <w:vAlign w:val="top"/>
          </w:tcPr>
          <w:p>
            <w:pPr>
              <w:spacing w:after="40" w:before="0" w:line="259" w:lineRule="auto"/>
            </w:pPr>
            <w:r>
              <w:rPr>
                <w:rFonts w:ascii="Calibri" w:hAnsi="Calibri"/>
                <w:b w:val="0"/>
                <w:i w:val="0"/>
                <w:color w:val="212121"/>
                <w:sz w:val="16"/>
              </w:rPr>
              <w:t>Renal function panel</w:t>
            </w:r>
          </w:p>
        </w:tc>
        <w:tc>
          <w:tcPr>
            <w:tcW w:type="dxa" w:w="950"/>
            <w:vAlign w:val="top"/>
          </w:tcPr>
          <w:p>
            <w:pPr>
              <w:spacing w:after="40" w:before="0" w:line="259" w:lineRule="auto"/>
            </w:pPr>
            <w:r>
              <w:rPr>
                <w:rFonts w:ascii="Calibri" w:hAnsi="Calibri"/>
                <w:b w:val="0"/>
                <w:i w:val="0"/>
                <w:color w:val="212121"/>
                <w:sz w:val="16"/>
              </w:rPr>
              <w:t>eGFR ≥ 90 mL/min/1.73 m²</w:t>
            </w:r>
          </w:p>
        </w:tc>
        <w:tc>
          <w:tcPr>
            <w:tcW w:type="dxa" w:w="950"/>
            <w:vAlign w:val="top"/>
          </w:tcPr>
          <w:p>
            <w:pPr>
              <w:spacing w:after="40" w:before="0" w:line="259" w:lineRule="auto"/>
            </w:pPr>
            <w:r>
              <w:rPr>
                <w:rFonts w:ascii="Calibri" w:hAnsi="Calibri"/>
                <w:b w:val="0"/>
                <w:i w:val="0"/>
                <w:color w:val="212121"/>
                <w:sz w:val="16"/>
              </w:rPr>
              <w:t>Rising creatinine; eGFR &lt; 60</w:t>
            </w:r>
          </w:p>
        </w:tc>
        <w:tc>
          <w:tcPr>
            <w:tcW w:type="dxa" w:w="1036"/>
            <w:vAlign w:val="top"/>
          </w:tcPr>
          <w:p>
            <w:pPr>
              <w:spacing w:after="40" w:before="0" w:line="259" w:lineRule="auto"/>
            </w:pPr>
            <w:r>
              <w:rPr>
                <w:rFonts w:ascii="Calibri" w:hAnsi="Calibri"/>
                <w:b w:val="0"/>
                <w:i w:val="0"/>
                <w:color w:val="212121"/>
                <w:sz w:val="16"/>
              </w:rPr>
              <w:t>Stages CKD and tracks decline</w:t>
            </w:r>
          </w:p>
        </w:tc>
        <w:tc>
          <w:tcPr>
            <w:tcW w:type="dxa" w:w="1036"/>
            <w:vAlign w:val="top"/>
          </w:tcPr>
          <w:p>
            <w:pPr>
              <w:spacing w:after="40" w:before="0" w:line="259" w:lineRule="auto"/>
            </w:pPr>
            <w:r>
              <w:rPr>
                <w:rFonts w:ascii="Calibri" w:hAnsi="Calibri"/>
                <w:b w:val="0"/>
                <w:i w:val="0"/>
                <w:color w:val="212121"/>
                <w:sz w:val="16"/>
              </w:rPr>
              <w:t>Elderly, late-presenting, hypertensive IgAN</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Baseline eGFR strongly influences prognosis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Kidney biopsy — immunofluorescence (mesangial IgA) + Oxford MEST-C</w:t>
            </w:r>
          </w:p>
        </w:tc>
        <w:tc>
          <w:tcPr>
            <w:tcW w:type="dxa" w:w="892"/>
            <w:vAlign w:val="top"/>
          </w:tcPr>
          <w:p>
            <w:pPr>
              <w:spacing w:after="40" w:before="0" w:line="259" w:lineRule="auto"/>
            </w:pPr>
            <w:r>
              <w:rPr>
                <w:rFonts w:ascii="Calibri" w:hAnsi="Calibri"/>
                <w:b w:val="0"/>
                <w:i w:val="0"/>
                <w:color w:val="212121"/>
                <w:sz w:val="16"/>
              </w:rPr>
              <w:t>Percutaneous renal biopsy</w:t>
            </w:r>
          </w:p>
        </w:tc>
        <w:tc>
          <w:tcPr>
            <w:tcW w:type="dxa" w:w="950"/>
            <w:vAlign w:val="top"/>
          </w:tcPr>
          <w:p>
            <w:pPr>
              <w:spacing w:after="40" w:before="0" w:line="259" w:lineRule="auto"/>
            </w:pPr>
            <w:r>
              <w:rPr>
                <w:rFonts w:ascii="Calibri" w:hAnsi="Calibri"/>
                <w:b w:val="0"/>
                <w:i w:val="0"/>
                <w:color w:val="212121"/>
                <w:sz w:val="16"/>
              </w:rPr>
              <w:t>No mesangial IgA</w:t>
            </w:r>
          </w:p>
        </w:tc>
        <w:tc>
          <w:tcPr>
            <w:tcW w:type="dxa" w:w="950"/>
            <w:vAlign w:val="top"/>
          </w:tcPr>
          <w:p>
            <w:pPr>
              <w:spacing w:after="40" w:before="0" w:line="259" w:lineRule="auto"/>
            </w:pPr>
            <w:r>
              <w:rPr>
                <w:rFonts w:ascii="Calibri" w:hAnsi="Calibri"/>
                <w:b w:val="0"/>
                <w:i w:val="0"/>
                <w:color w:val="212121"/>
                <w:sz w:val="16"/>
              </w:rPr>
              <w:t>Dominant/co-dominant mesangial IgA; MEST-C lesions</w:t>
            </w:r>
          </w:p>
        </w:tc>
        <w:tc>
          <w:tcPr>
            <w:tcW w:type="dxa" w:w="1036"/>
            <w:vAlign w:val="top"/>
          </w:tcPr>
          <w:p>
            <w:pPr>
              <w:spacing w:after="40" w:before="0" w:line="259" w:lineRule="auto"/>
            </w:pPr>
            <w:r>
              <w:rPr>
                <w:rFonts w:ascii="Calibri" w:hAnsi="Calibri"/>
                <w:b w:val="0"/>
                <w:i w:val="0"/>
                <w:color w:val="212121"/>
                <w:sz w:val="16"/>
              </w:rPr>
              <w:t>Definitive diagnosis and prognostic scoring (T score most predictive)</w:t>
            </w:r>
          </w:p>
        </w:tc>
        <w:tc>
          <w:tcPr>
            <w:tcW w:type="dxa" w:w="1036"/>
            <w:vAlign w:val="top"/>
          </w:tcPr>
          <w:p>
            <w:pPr>
              <w:spacing w:after="40" w:before="0" w:line="259" w:lineRule="auto"/>
            </w:pPr>
            <w:r>
              <w:rPr>
                <w:rFonts w:ascii="Calibri" w:hAnsi="Calibri"/>
                <w:b w:val="0"/>
                <w:i w:val="0"/>
                <w:color w:val="212121"/>
                <w:sz w:val="16"/>
              </w:rPr>
              <w:t>All suspected primary IgAN after exclusion of secondary causes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gold standard</w:t>
            </w:r>
          </w:p>
        </w:tc>
        <w:tc>
          <w:tcPr>
            <w:tcW w:type="dxa" w:w="720"/>
            <w:vAlign w:val="top"/>
          </w:tcPr>
          <w:p>
            <w:pPr>
              <w:spacing w:after="40" w:before="0" w:line="259" w:lineRule="auto"/>
            </w:pPr>
            <w:r>
              <w:rPr>
                <w:rFonts w:ascii="Calibri" w:hAnsi="Calibri"/>
                <w:b w:val="0"/>
                <w:i w:val="0"/>
                <w:color w:val="212121"/>
                <w:sz w:val="16"/>
              </w:rPr>
              <w:t>Requires ≥ 8 glomeruli for full MEST-C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complement C3/C4</w:t>
            </w:r>
          </w:p>
        </w:tc>
        <w:tc>
          <w:tcPr>
            <w:tcW w:type="dxa" w:w="892"/>
            <w:vAlign w:val="top"/>
          </w:tcPr>
          <w:p>
            <w:pPr>
              <w:spacing w:after="40" w:before="0" w:line="259" w:lineRule="auto"/>
            </w:pPr>
            <w:r>
              <w:rPr>
                <w:rFonts w:ascii="Calibri" w:hAnsi="Calibri"/>
                <w:b w:val="0"/>
                <w:i w:val="0"/>
                <w:color w:val="212121"/>
                <w:sz w:val="16"/>
              </w:rPr>
              <w:t>Complement assay</w:t>
            </w:r>
          </w:p>
        </w:tc>
        <w:tc>
          <w:tcPr>
            <w:tcW w:type="dxa" w:w="950"/>
            <w:vAlign w:val="top"/>
          </w:tcPr>
          <w:p>
            <w:pPr>
              <w:spacing w:after="40" w:before="0" w:line="259" w:lineRule="auto"/>
            </w:pPr>
            <w:r>
              <w:rPr>
                <w:rFonts w:ascii="Calibri" w:hAnsi="Calibri"/>
                <w:b w:val="0"/>
                <w:i w:val="0"/>
                <w:color w:val="212121"/>
                <w:sz w:val="16"/>
              </w:rPr>
              <w:t>Normal C3 and C4</w:t>
            </w:r>
          </w:p>
        </w:tc>
        <w:tc>
          <w:tcPr>
            <w:tcW w:type="dxa" w:w="950"/>
            <w:vAlign w:val="top"/>
          </w:tcPr>
          <w:p>
            <w:pPr>
              <w:spacing w:after="40" w:before="0" w:line="259" w:lineRule="auto"/>
            </w:pPr>
            <w:r>
              <w:rPr>
                <w:rFonts w:ascii="Calibri" w:hAnsi="Calibri"/>
                <w:b w:val="0"/>
                <w:i w:val="0"/>
                <w:color w:val="212121"/>
                <w:sz w:val="16"/>
              </w:rPr>
              <w:t>Usually normal in primary IgAN</w:t>
            </w:r>
          </w:p>
        </w:tc>
        <w:tc>
          <w:tcPr>
            <w:tcW w:type="dxa" w:w="1036"/>
            <w:vAlign w:val="top"/>
          </w:tcPr>
          <w:p>
            <w:pPr>
              <w:spacing w:after="40" w:before="0" w:line="259" w:lineRule="auto"/>
            </w:pPr>
            <w:r>
              <w:rPr>
                <w:rFonts w:ascii="Calibri" w:hAnsi="Calibri"/>
                <w:b w:val="0"/>
                <w:i w:val="0"/>
                <w:color w:val="212121"/>
                <w:sz w:val="16"/>
              </w:rPr>
              <w:t>Normal complement helps exclude lupus/post-infectious/MPGN</w:t>
            </w:r>
          </w:p>
        </w:tc>
        <w:tc>
          <w:tcPr>
            <w:tcW w:type="dxa" w:w="1036"/>
            <w:vAlign w:val="top"/>
          </w:tcPr>
          <w:p>
            <w:pPr>
              <w:spacing w:after="40" w:before="0" w:line="259" w:lineRule="auto"/>
            </w:pPr>
            <w:r>
              <w:rPr>
                <w:rFonts w:ascii="Calibri" w:hAnsi="Calibri"/>
                <w:b w:val="0"/>
                <w:i w:val="0"/>
                <w:color w:val="212121"/>
                <w:sz w:val="16"/>
              </w:rPr>
              <w:t>Patients being worked up for glomerulonephritis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(exclusion)</w:t>
            </w:r>
          </w:p>
        </w:tc>
        <w:tc>
          <w:tcPr>
            <w:tcW w:type="dxa" w:w="720"/>
            <w:vAlign w:val="top"/>
          </w:tcPr>
          <w:p>
            <w:pPr>
              <w:spacing w:after="40" w:before="0" w:line="259" w:lineRule="auto"/>
            </w:pPr>
            <w:r>
              <w:rPr>
                <w:rFonts w:ascii="Calibri" w:hAnsi="Calibri"/>
                <w:b w:val="0"/>
                <w:i w:val="0"/>
                <w:color w:val="212121"/>
                <w:sz w:val="16"/>
              </w:rPr>
              <w:t>Low C3 suggests an alternative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albumin &amp; lipid profile</w:t>
            </w:r>
          </w:p>
        </w:tc>
        <w:tc>
          <w:tcPr>
            <w:tcW w:type="dxa" w:w="892"/>
            <w:vAlign w:val="top"/>
          </w:tcPr>
          <w:p>
            <w:pPr>
              <w:spacing w:after="40" w:before="0" w:line="259" w:lineRule="auto"/>
            </w:pPr>
            <w:r>
              <w:rPr>
                <w:rFonts w:ascii="Calibri" w:hAnsi="Calibri"/>
                <w:b w:val="0"/>
                <w:i w:val="0"/>
                <w:color w:val="212121"/>
                <w:sz w:val="16"/>
              </w:rPr>
              <w:t>Nephrotic screen</w:t>
            </w:r>
          </w:p>
        </w:tc>
        <w:tc>
          <w:tcPr>
            <w:tcW w:type="dxa" w:w="950"/>
            <w:vAlign w:val="top"/>
          </w:tcPr>
          <w:p>
            <w:pPr>
              <w:spacing w:after="40" w:before="0" w:line="259" w:lineRule="auto"/>
            </w:pPr>
            <w:r>
              <w:rPr>
                <w:rFonts w:ascii="Calibri" w:hAnsi="Calibri"/>
                <w:b w:val="0"/>
                <w:i w:val="0"/>
                <w:color w:val="212121"/>
                <w:sz w:val="16"/>
              </w:rPr>
              <w:t>Albumin 3.5–5.0 g/dL</w:t>
            </w:r>
          </w:p>
        </w:tc>
        <w:tc>
          <w:tcPr>
            <w:tcW w:type="dxa" w:w="950"/>
            <w:vAlign w:val="top"/>
          </w:tcPr>
          <w:p>
            <w:pPr>
              <w:spacing w:after="40" w:before="0" w:line="259" w:lineRule="auto"/>
            </w:pPr>
            <w:r>
              <w:rPr>
                <w:rFonts w:ascii="Calibri" w:hAnsi="Calibri"/>
                <w:b w:val="0"/>
                <w:i w:val="0"/>
                <w:color w:val="212121"/>
                <w:sz w:val="16"/>
              </w:rPr>
              <w:t>Hypoalbuminaemia; hyperlipidaemia if nephrotic</w:t>
            </w:r>
          </w:p>
        </w:tc>
        <w:tc>
          <w:tcPr>
            <w:tcW w:type="dxa" w:w="1036"/>
            <w:vAlign w:val="top"/>
          </w:tcPr>
          <w:p>
            <w:pPr>
              <w:spacing w:after="40" w:before="0" w:line="259" w:lineRule="auto"/>
            </w:pPr>
            <w:r>
              <w:rPr>
                <w:rFonts w:ascii="Calibri" w:hAnsi="Calibri"/>
                <w:b w:val="0"/>
                <w:i w:val="0"/>
                <w:color w:val="212121"/>
                <w:sz w:val="16"/>
              </w:rPr>
              <w:t>Assesses nephrotic-range disease and cardiovascular risk</w:t>
            </w:r>
          </w:p>
        </w:tc>
        <w:tc>
          <w:tcPr>
            <w:tcW w:type="dxa" w:w="1036"/>
            <w:vAlign w:val="top"/>
          </w:tcPr>
          <w:p>
            <w:pPr>
              <w:spacing w:after="40" w:before="0" w:line="259" w:lineRule="auto"/>
            </w:pPr>
            <w:r>
              <w:rPr>
                <w:rFonts w:ascii="Calibri" w:hAnsi="Calibri"/>
                <w:b w:val="0"/>
                <w:i w:val="0"/>
                <w:color w:val="212121"/>
                <w:sz w:val="16"/>
              </w:rPr>
              <w:t>IgAN with heavy proteinuria/oedema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Nephrotic-range proteinuria seen in ~16% of Indian IgAN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Secondary-cause screen (LFTs, tTG/anti-endomysial, HIV)</w:t>
            </w:r>
          </w:p>
        </w:tc>
        <w:tc>
          <w:tcPr>
            <w:tcW w:type="dxa" w:w="892"/>
            <w:vAlign w:val="top"/>
          </w:tcPr>
          <w:p>
            <w:pPr>
              <w:spacing w:after="40" w:before="0" w:line="259" w:lineRule="auto"/>
            </w:pPr>
            <w:r>
              <w:rPr>
                <w:rFonts w:ascii="Calibri" w:hAnsi="Calibri"/>
                <w:b w:val="0"/>
                <w:i w:val="0"/>
                <w:color w:val="212121"/>
                <w:sz w:val="16"/>
              </w:rPr>
              <w:t>Aetiology panel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Deranged LFTs, positive coeliac serology or HIV</w:t>
            </w:r>
          </w:p>
        </w:tc>
        <w:tc>
          <w:tcPr>
            <w:tcW w:type="dxa" w:w="1036"/>
            <w:vAlign w:val="top"/>
          </w:tcPr>
          <w:p>
            <w:pPr>
              <w:spacing w:after="40" w:before="0" w:line="259" w:lineRule="auto"/>
            </w:pPr>
            <w:r>
              <w:rPr>
                <w:rFonts w:ascii="Calibri" w:hAnsi="Calibri"/>
                <w:b w:val="0"/>
                <w:i w:val="0"/>
                <w:color w:val="212121"/>
                <w:sz w:val="16"/>
              </w:rPr>
              <w:t>Identifies secondary IgAN (cirrhosis, coeliac, HIV)</w:t>
            </w:r>
          </w:p>
        </w:tc>
        <w:tc>
          <w:tcPr>
            <w:tcW w:type="dxa" w:w="1036"/>
            <w:vAlign w:val="top"/>
          </w:tcPr>
          <w:p>
            <w:pPr>
              <w:spacing w:after="40" w:before="0" w:line="259" w:lineRule="auto"/>
            </w:pPr>
            <w:r>
              <w:rPr>
                <w:rFonts w:ascii="Calibri" w:hAnsi="Calibri"/>
                <w:b w:val="0"/>
                <w:i w:val="0"/>
                <w:color w:val="212121"/>
                <w:sz w:val="16"/>
              </w:rPr>
              <w:t>Patients with liver disease, GI symptoms or risk factors</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Diagnostic (exclusion)</w:t>
            </w:r>
          </w:p>
        </w:tc>
        <w:tc>
          <w:tcPr>
            <w:tcW w:type="dxa" w:w="720"/>
            <w:vAlign w:val="top"/>
          </w:tcPr>
          <w:p>
            <w:pPr>
              <w:spacing w:after="40" w:before="0" w:line="259" w:lineRule="auto"/>
            </w:pPr>
            <w:r>
              <w:rPr>
                <w:rFonts w:ascii="Calibri" w:hAnsi="Calibri"/>
                <w:b w:val="0"/>
                <w:i w:val="0"/>
                <w:color w:val="212121"/>
                <w:sz w:val="16"/>
              </w:rPr>
              <w:t>Alters management if secondary cause found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Visible (cola/red-brown) haematuria with sore throat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Macroscopic haematuria 1–2 days after URTI</w:t>
            </w:r>
          </w:p>
        </w:tc>
        <w:tc>
          <w:tcPr>
            <w:tcW w:type="dxa" w:w="1036"/>
            <w:vAlign w:val="top"/>
          </w:tcPr>
          <w:p>
            <w:pPr>
              <w:spacing w:after="40" w:before="0" w:line="259" w:lineRule="auto"/>
            </w:pPr>
            <w:r>
              <w:rPr>
                <w:rFonts w:ascii="Calibri" w:hAnsi="Calibri"/>
                <w:b w:val="0"/>
                <w:i w:val="0"/>
                <w:color w:val="212121"/>
                <w:sz w:val="16"/>
              </w:rPr>
              <w:t>Classic synpharyngitic presentation of IgAN</w:t>
            </w:r>
          </w:p>
        </w:tc>
        <w:tc>
          <w:tcPr>
            <w:tcW w:type="dxa" w:w="1036"/>
            <w:vAlign w:val="top"/>
          </w:tcPr>
          <w:p>
            <w:pPr>
              <w:spacing w:after="40" w:before="0" w:line="259" w:lineRule="auto"/>
            </w:pPr>
            <w:r>
              <w:rPr>
                <w:rFonts w:ascii="Calibri" w:hAnsi="Calibri"/>
                <w:b w:val="0"/>
                <w:i w:val="0"/>
                <w:color w:val="212121"/>
                <w:sz w:val="16"/>
              </w:rPr>
              <w:t>Young adults, recurrent tonsillitis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Distinct from post-streptococcal GN (which lags 1–3 weeks)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personal history</w:t>
            </w:r>
          </w:p>
        </w:tc>
        <w:tc>
          <w:tcPr>
            <w:tcW w:type="dxa" w:w="979"/>
            <w:vAlign w:val="top"/>
          </w:tcPr>
          <w:p>
            <w:pPr>
              <w:spacing w:after="40" w:before="0" w:line="259" w:lineRule="auto"/>
            </w:pPr>
            <w:r>
              <w:rPr>
                <w:rFonts w:ascii="Calibri" w:hAnsi="Calibri"/>
                <w:b w:val="0"/>
                <w:i w:val="0"/>
                <w:color w:val="212121"/>
                <w:sz w:val="16"/>
              </w:rPr>
              <w:t>Family history of kidney disease / haematuria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First-degree relative with IgAN or CKD</w:t>
            </w:r>
          </w:p>
        </w:tc>
        <w:tc>
          <w:tcPr>
            <w:tcW w:type="dxa" w:w="1036"/>
            <w:vAlign w:val="top"/>
          </w:tcPr>
          <w:p>
            <w:pPr>
              <w:spacing w:after="40" w:before="0" w:line="259" w:lineRule="auto"/>
            </w:pPr>
            <w:r>
              <w:rPr>
                <w:rFonts w:ascii="Calibri" w:hAnsi="Calibri"/>
                <w:b w:val="0"/>
                <w:i w:val="0"/>
                <w:color w:val="212121"/>
                <w:sz w:val="16"/>
              </w:rPr>
              <w:t>Suggests inherited susceptibility</w:t>
            </w:r>
          </w:p>
        </w:tc>
        <w:tc>
          <w:tcPr>
            <w:tcW w:type="dxa" w:w="1036"/>
            <w:vAlign w:val="top"/>
          </w:tcPr>
          <w:p>
            <w:pPr>
              <w:spacing w:after="40" w:before="0" w:line="259" w:lineRule="auto"/>
            </w:pPr>
            <w:r>
              <w:rPr>
                <w:rFonts w:ascii="Calibri" w:hAnsi="Calibri"/>
                <w:b w:val="0"/>
                <w:i w:val="0"/>
                <w:color w:val="212121"/>
                <w:sz w:val="16"/>
              </w:rPr>
              <w:t>First-degree relatives, familial IgAN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and dialysis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Secondary-cause &amp; systemic review</w:t>
            </w:r>
          </w:p>
        </w:tc>
        <w:tc>
          <w:tcPr>
            <w:tcW w:type="dxa" w:w="979"/>
            <w:vAlign w:val="top"/>
          </w:tcPr>
          <w:p>
            <w:pPr>
              <w:spacing w:after="40" w:before="0" w:line="259" w:lineRule="auto"/>
            </w:pPr>
            <w:r>
              <w:rPr>
                <w:rFonts w:ascii="Calibri" w:hAnsi="Calibri"/>
                <w:b w:val="0"/>
                <w:i w:val="0"/>
                <w:color w:val="212121"/>
                <w:sz w:val="16"/>
              </w:rPr>
              <w:t>Liver disease, GI symptoms, skin rash, joint pain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Purpura, arthralgia, chronic diarrhoea, jaundice</w:t>
            </w:r>
          </w:p>
        </w:tc>
        <w:tc>
          <w:tcPr>
            <w:tcW w:type="dxa" w:w="1036"/>
            <w:vAlign w:val="top"/>
          </w:tcPr>
          <w:p>
            <w:pPr>
              <w:spacing w:after="40" w:before="0" w:line="259" w:lineRule="auto"/>
            </w:pPr>
            <w:r>
              <w:rPr>
                <w:rFonts w:ascii="Calibri" w:hAnsi="Calibri"/>
                <w:b w:val="0"/>
                <w:i w:val="0"/>
                <w:color w:val="212121"/>
                <w:sz w:val="16"/>
              </w:rPr>
              <w:t>Points to IgA vasculitis, coeliac disease or cirrhosis</w:t>
            </w:r>
          </w:p>
        </w:tc>
        <w:tc>
          <w:tcPr>
            <w:tcW w:type="dxa" w:w="1036"/>
            <w:vAlign w:val="top"/>
          </w:tcPr>
          <w:p>
            <w:pPr>
              <w:spacing w:after="40" w:before="0" w:line="259" w:lineRule="auto"/>
            </w:pPr>
            <w:r>
              <w:rPr>
                <w:rFonts w:ascii="Calibri" w:hAnsi="Calibri"/>
                <w:b w:val="0"/>
                <w:i w:val="0"/>
                <w:color w:val="212121"/>
                <w:sz w:val="16"/>
              </w:rPr>
              <w:t>Patients with systemic features</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Diagnostic (exclusion)</w:t>
            </w:r>
          </w:p>
        </w:tc>
        <w:tc>
          <w:tcPr>
            <w:tcW w:type="dxa" w:w="720"/>
            <w:vAlign w:val="top"/>
          </w:tcPr>
          <w:p>
            <w:pPr>
              <w:spacing w:after="40" w:before="0" w:line="259" w:lineRule="auto"/>
            </w:pPr>
            <w:r>
              <w:rPr>
                <w:rFonts w:ascii="Calibri" w:hAnsi="Calibri"/>
                <w:b w:val="0"/>
                <w:i w:val="0"/>
                <w:color w:val="212121"/>
                <w:sz w:val="16"/>
              </w:rPr>
              <w:t>Palpable purpura suggests IgA vasculitis (HSP)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Blood pressure</w:t>
            </w:r>
          </w:p>
        </w:tc>
        <w:tc>
          <w:tcPr>
            <w:tcW w:type="dxa" w:w="979"/>
            <w:vAlign w:val="top"/>
          </w:tcPr>
          <w:p>
            <w:pPr>
              <w:spacing w:after="40" w:before="0" w:line="259" w:lineRule="auto"/>
            </w:pPr>
            <w:r>
              <w:rPr>
                <w:rFonts w:ascii="Calibri" w:hAnsi="Calibri"/>
                <w:b w:val="0"/>
                <w:i w:val="0"/>
                <w:color w:val="212121"/>
                <w:sz w:val="16"/>
              </w:rPr>
              <w:t>Sustained hypertension</w:t>
            </w:r>
          </w:p>
        </w:tc>
        <w:tc>
          <w:tcPr>
            <w:tcW w:type="dxa" w:w="950"/>
            <w:vAlign w:val="top"/>
          </w:tcPr>
          <w:p>
            <w:pPr>
              <w:spacing w:after="40" w:before="0" w:line="259" w:lineRule="auto"/>
            </w:pPr>
            <w:r>
              <w:rPr>
                <w:rFonts w:ascii="Calibri" w:hAnsi="Calibri"/>
                <w:b w:val="0"/>
                <w:i w:val="0"/>
                <w:color w:val="212121"/>
                <w:sz w:val="16"/>
              </w:rPr>
              <w:t>&lt; 130/80 mmHg</w:t>
            </w:r>
          </w:p>
        </w:tc>
        <w:tc>
          <w:tcPr>
            <w:tcW w:type="dxa" w:w="950"/>
            <w:vAlign w:val="top"/>
          </w:tcPr>
          <w:p>
            <w:pPr>
              <w:spacing w:after="40" w:before="0" w:line="259" w:lineRule="auto"/>
            </w:pPr>
            <w:r>
              <w:rPr>
                <w:rFonts w:ascii="Calibri" w:hAnsi="Calibri"/>
                <w:b w:val="0"/>
                <w:i w:val="0"/>
                <w:color w:val="212121"/>
                <w:sz w:val="16"/>
              </w:rPr>
              <w:t>≥ 130/80 mmHg sustained</w:t>
            </w:r>
          </w:p>
        </w:tc>
        <w:tc>
          <w:tcPr>
            <w:tcW w:type="dxa" w:w="1036"/>
            <w:vAlign w:val="top"/>
          </w:tcPr>
          <w:p>
            <w:pPr>
              <w:spacing w:after="40" w:before="0" w:line="259" w:lineRule="auto"/>
            </w:pPr>
            <w:r>
              <w:rPr>
                <w:rFonts w:ascii="Calibri" w:hAnsi="Calibri"/>
                <w:b w:val="0"/>
                <w:i w:val="0"/>
                <w:color w:val="212121"/>
                <w:sz w:val="16"/>
              </w:rPr>
              <w:t>Both a consequence and a driver of progression</w:t>
            </w:r>
          </w:p>
        </w:tc>
        <w:tc>
          <w:tcPr>
            <w:tcW w:type="dxa" w:w="1036"/>
            <w:vAlign w:val="top"/>
          </w:tcPr>
          <w:p>
            <w:pPr>
              <w:spacing w:after="40" w:before="0" w:line="259" w:lineRule="auto"/>
            </w:pPr>
            <w:r>
              <w:rPr>
                <w:rFonts w:ascii="Calibri" w:hAnsi="Calibri"/>
                <w:b w:val="0"/>
                <w:i w:val="0"/>
                <w:color w:val="212121"/>
                <w:sz w:val="16"/>
              </w:rPr>
              <w:t>Adults, elderly, reduced-eGFR IgAN</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Prognostic / Screening</w:t>
            </w:r>
          </w:p>
        </w:tc>
        <w:tc>
          <w:tcPr>
            <w:tcW w:type="dxa" w:w="720"/>
            <w:vAlign w:val="top"/>
          </w:tcPr>
          <w:p>
            <w:pPr>
              <w:spacing w:after="40" w:before="0" w:line="259" w:lineRule="auto"/>
            </w:pPr>
            <w:r>
              <w:rPr>
                <w:rFonts w:ascii="Calibri" w:hAnsi="Calibri"/>
                <w:b w:val="0"/>
                <w:i w:val="0"/>
                <w:color w:val="212121"/>
                <w:sz w:val="16"/>
              </w:rPr>
              <w:t>One of the three strongest ESRD predictors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Volume status</w:t>
            </w:r>
          </w:p>
        </w:tc>
        <w:tc>
          <w:tcPr>
            <w:tcW w:type="dxa" w:w="979"/>
            <w:vAlign w:val="top"/>
          </w:tcPr>
          <w:p>
            <w:pPr>
              <w:spacing w:after="40" w:before="0" w:line="259" w:lineRule="auto"/>
            </w:pPr>
            <w:r>
              <w:rPr>
                <w:rFonts w:ascii="Calibri" w:hAnsi="Calibri"/>
                <w:b w:val="0"/>
                <w:i w:val="0"/>
                <w:color w:val="212121"/>
                <w:sz w:val="16"/>
              </w:rPr>
              <w:t>Peripheral / periorbital oedema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Pedal or facial oedema, raised JVP</w:t>
            </w:r>
          </w:p>
        </w:tc>
        <w:tc>
          <w:tcPr>
            <w:tcW w:type="dxa" w:w="1036"/>
            <w:vAlign w:val="top"/>
          </w:tcPr>
          <w:p>
            <w:pPr>
              <w:spacing w:after="40" w:before="0" w:line="259" w:lineRule="auto"/>
            </w:pPr>
            <w:r>
              <w:rPr>
                <w:rFonts w:ascii="Calibri" w:hAnsi="Calibri"/>
                <w:b w:val="0"/>
                <w:i w:val="0"/>
                <w:color w:val="212121"/>
                <w:sz w:val="16"/>
              </w:rPr>
              <w:t>Reflects nephrotic-range proteinuria or fluid overload</w:t>
            </w:r>
          </w:p>
        </w:tc>
        <w:tc>
          <w:tcPr>
            <w:tcW w:type="dxa" w:w="1036"/>
            <w:vAlign w:val="top"/>
          </w:tcPr>
          <w:p>
            <w:pPr>
              <w:spacing w:after="40" w:before="0" w:line="259" w:lineRule="auto"/>
            </w:pPr>
            <w:r>
              <w:rPr>
                <w:rFonts w:ascii="Calibri" w:hAnsi="Calibri"/>
                <w:b w:val="0"/>
                <w:i w:val="0"/>
                <w:color w:val="212121"/>
                <w:sz w:val="16"/>
              </w:rPr>
              <w:t>IgAN with heavy proteinuria or advanced CKD</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Basal crepitations suggest overload in advanced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General examination</w:t>
            </w:r>
          </w:p>
        </w:tc>
        <w:tc>
          <w:tcPr>
            <w:tcW w:type="dxa" w:w="979"/>
            <w:vAlign w:val="top"/>
          </w:tcPr>
          <w:p>
            <w:pPr>
              <w:spacing w:after="40" w:before="0" w:line="259" w:lineRule="auto"/>
            </w:pPr>
            <w:r>
              <w:rPr>
                <w:rFonts w:ascii="Calibri" w:hAnsi="Calibri"/>
                <w:b w:val="0"/>
                <w:i w:val="0"/>
                <w:color w:val="212121"/>
                <w:sz w:val="16"/>
              </w:rPr>
              <w:t>Pallor / uraemic features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Pallor, lethargy, itch in advanced CKD</w:t>
            </w:r>
          </w:p>
        </w:tc>
        <w:tc>
          <w:tcPr>
            <w:tcW w:type="dxa" w:w="1036"/>
            <w:vAlign w:val="top"/>
          </w:tcPr>
          <w:p>
            <w:pPr>
              <w:spacing w:after="40" w:before="0" w:line="259" w:lineRule="auto"/>
            </w:pPr>
            <w:r>
              <w:rPr>
                <w:rFonts w:ascii="Calibri" w:hAnsi="Calibri"/>
                <w:b w:val="0"/>
                <w:i w:val="0"/>
                <w:color w:val="212121"/>
                <w:sz w:val="16"/>
              </w:rPr>
              <w:t>Indicates anaemia and reduced kidney function</w:t>
            </w:r>
          </w:p>
        </w:tc>
        <w:tc>
          <w:tcPr>
            <w:tcW w:type="dxa" w:w="1036"/>
            <w:vAlign w:val="top"/>
          </w:tcPr>
          <w:p>
            <w:pPr>
              <w:spacing w:after="40" w:before="0" w:line="259" w:lineRule="auto"/>
            </w:pPr>
            <w:r>
              <w:rPr>
                <w:rFonts w:ascii="Calibri" w:hAnsi="Calibri"/>
                <w:b w:val="0"/>
                <w:i w:val="0"/>
                <w:color w:val="212121"/>
                <w:sz w:val="16"/>
              </w:rPr>
              <w:t>Late-presenting / elderly IgAN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Prompts staging and CKD-complication work-up</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Visible (macroscopic) haematuria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Cola-, red- or brown-coloured urine, classically within 1–2 days of a sore throat or respiratory/gut infection (synpharyngitic).</w:t>
            </w:r>
          </w:p>
        </w:tc>
      </w:tr>
      <w:tr>
        <w:trPr>
          <w:cantSplit/>
        </w:trPr>
        <w:tc>
          <w:tcPr>
            <w:tcW w:type="dxa" w:w="2304"/>
            <w:vAlign w:val="top"/>
          </w:tcPr>
          <w:p>
            <w:pPr>
              <w:spacing w:after="40" w:before="0" w:line="259" w:lineRule="auto"/>
            </w:pPr>
            <w:r>
              <w:rPr>
                <w:rFonts w:ascii="Calibri" w:hAnsi="Calibri"/>
                <w:b/>
                <w:i w:val="0"/>
                <w:color w:val="212121"/>
                <w:sz w:val="19"/>
              </w:rPr>
              <w:t>Asymptomatic microscopic haematuria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Blood detected only on dipstick/microscopy during routine or pre-employment screening, often the sole finding.</w:t>
            </w:r>
          </w:p>
        </w:tc>
      </w:tr>
      <w:tr>
        <w:trPr>
          <w:cantSplit/>
        </w:trPr>
        <w:tc>
          <w:tcPr>
            <w:tcW w:type="dxa" w:w="2304"/>
            <w:vAlign w:val="top"/>
          </w:tcPr>
          <w:p>
            <w:pPr>
              <w:spacing w:after="40" w:before="0" w:line="259" w:lineRule="auto"/>
            </w:pPr>
            <w:r>
              <w:rPr>
                <w:rFonts w:ascii="Calibri" w:hAnsi="Calibri"/>
                <w:b/>
                <w:i w:val="0"/>
                <w:color w:val="212121"/>
                <w:sz w:val="19"/>
              </w:rPr>
              <w:t>Foamy / frothy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Indicates proteinuria; heavy foaming suggests nephrotic-range protein loss.</w:t>
            </w:r>
          </w:p>
        </w:tc>
      </w:tr>
      <w:tr>
        <w:trPr>
          <w:cantSplit/>
        </w:trPr>
        <w:tc>
          <w:tcPr>
            <w:tcW w:type="dxa" w:w="2304"/>
            <w:vAlign w:val="top"/>
          </w:tcPr>
          <w:p>
            <w:pPr>
              <w:spacing w:after="40" w:before="0" w:line="259" w:lineRule="auto"/>
            </w:pPr>
            <w:r>
              <w:rPr>
                <w:rFonts w:ascii="Calibri" w:hAnsi="Calibri"/>
                <w:b/>
                <w:i w:val="0"/>
                <w:color w:val="212121"/>
                <w:sz w:val="19"/>
              </w:rPr>
              <w:t>Loin / flank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ache during macroscopic haematuria episodes from glomerular bleeding and clot passage.</w:t>
            </w:r>
          </w:p>
        </w:tc>
      </w:tr>
      <w:tr>
        <w:trPr>
          <w:cantSplit/>
        </w:trPr>
        <w:tc>
          <w:tcPr>
            <w:tcW w:type="dxa" w:w="2304"/>
            <w:vAlign w:val="top"/>
          </w:tcPr>
          <w:p>
            <w:pPr>
              <w:spacing w:after="40" w:before="0" w:line="259" w:lineRule="auto"/>
            </w:pPr>
            <w:r>
              <w:rPr>
                <w:rFonts w:ascii="Calibri" w:hAnsi="Calibri"/>
                <w:b/>
                <w:i w:val="0"/>
                <w:color w:val="212121"/>
                <w:sz w:val="19"/>
              </w:rPr>
              <w:t>Ankle / leg swelling (oedema)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Fluid retention from proteinuria or declining kidney function.</w:t>
            </w:r>
          </w:p>
        </w:tc>
      </w:tr>
      <w:tr>
        <w:trPr>
          <w:cantSplit/>
        </w:trPr>
        <w:tc>
          <w:tcPr>
            <w:tcW w:type="dxa" w:w="2304"/>
            <w:vAlign w:val="top"/>
          </w:tcPr>
          <w:p>
            <w:pPr>
              <w:spacing w:after="40" w:before="0" w:line="259" w:lineRule="auto"/>
            </w:pPr>
            <w:r>
              <w:rPr>
                <w:rFonts w:ascii="Calibri" w:hAnsi="Calibri"/>
                <w:b/>
                <w:i w:val="0"/>
                <w:color w:val="212121"/>
                <w:sz w:val="19"/>
              </w:rPr>
              <w:t>Fatigue / lethargy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may reflect anaemia and reduced kidney function as CKD progresses.</w:t>
            </w:r>
          </w:p>
        </w:tc>
      </w:tr>
      <w:tr>
        <w:trPr>
          <w:cantSplit/>
        </w:trPr>
        <w:tc>
          <w:tcPr>
            <w:tcW w:type="dxa" w:w="2304"/>
            <w:vAlign w:val="top"/>
          </w:tcPr>
          <w:p>
            <w:pPr>
              <w:spacing w:after="40" w:before="0" w:line="259" w:lineRule="auto"/>
            </w:pPr>
            <w:r>
              <w:rPr>
                <w:rFonts w:ascii="Calibri" w:hAnsi="Calibri"/>
                <w:b/>
                <w:i w:val="0"/>
                <w:color w:val="212121"/>
                <w:sz w:val="19"/>
              </w:rPr>
              <w:t>Headache / raised-BP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Related to hypertension, which frequently accompanies established IgAN.</w:t>
            </w:r>
          </w:p>
        </w:tc>
      </w:tr>
      <w:tr>
        <w:trPr>
          <w:cantSplit/>
        </w:trPr>
        <w:tc>
          <w:tcPr>
            <w:tcW w:type="dxa" w:w="2304"/>
            <w:vAlign w:val="top"/>
          </w:tcPr>
          <w:p>
            <w:pPr>
              <w:spacing w:after="40" w:before="0" w:line="259" w:lineRule="auto"/>
            </w:pPr>
            <w:r>
              <w:rPr>
                <w:rFonts w:ascii="Calibri" w:hAnsi="Calibri"/>
                <w:b/>
                <w:i w:val="0"/>
                <w:color w:val="212121"/>
                <w:sz w:val="19"/>
              </w:rPr>
              <w:t>Reduced urine output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acute kidney injury, sometimes during a heavy haematuric episode.</w:t>
            </w:r>
          </w:p>
        </w:tc>
      </w:tr>
      <w:tr>
        <w:trPr>
          <w:cantSplit/>
        </w:trPr>
        <w:tc>
          <w:tcPr>
            <w:tcW w:type="dxa" w:w="2304"/>
            <w:vAlign w:val="top"/>
          </w:tcPr>
          <w:p>
            <w:pPr>
              <w:spacing w:after="40" w:before="0" w:line="259" w:lineRule="auto"/>
            </w:pPr>
            <w:r>
              <w:rPr>
                <w:rFonts w:ascii="Calibri" w:hAnsi="Calibri"/>
                <w:b/>
                <w:i w:val="0"/>
                <w:color w:val="212121"/>
                <w:sz w:val="19"/>
              </w:rPr>
              <w:t>Nausea, poor appetite, itching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Uraemic symptoms appearing with advanced chronic kidney disease.</w:t>
            </w:r>
          </w:p>
        </w:tc>
      </w:tr>
      <w:tr>
        <w:trPr>
          <w:cantSplit/>
        </w:trPr>
        <w:tc>
          <w:tcPr>
            <w:tcW w:type="dxa" w:w="2304"/>
            <w:vAlign w:val="top"/>
          </w:tcPr>
          <w:p>
            <w:pPr>
              <w:spacing w:after="40" w:before="0" w:line="259" w:lineRule="auto"/>
            </w:pPr>
            <w:r>
              <w:rPr>
                <w:rFonts w:ascii="Calibri" w:hAnsi="Calibri"/>
                <w:b/>
                <w:i w:val="0"/>
                <w:color w:val="212121"/>
                <w:sz w:val="19"/>
              </w:rPr>
              <w:t>Skin rash, joint and abdominal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IgA vasculitis (Henoch–Schönlein purpura), the systemic form of the disease.</w:t>
            </w:r>
          </w:p>
        </w:tc>
      </w:tr>
      <w:tr>
        <w:trPr>
          <w:cantSplit/>
        </w:trPr>
        <w:tc>
          <w:tcPr>
            <w:tcW w:type="dxa" w:w="2304"/>
            <w:vAlign w:val="top"/>
          </w:tcPr>
          <w:p>
            <w:pPr>
              <w:spacing w:after="40" w:before="0" w:line="259" w:lineRule="auto"/>
            </w:pPr>
            <w:r>
              <w:rPr>
                <w:rFonts w:ascii="Calibri" w:hAnsi="Calibri"/>
                <w:b/>
                <w:i w:val="0"/>
                <w:color w:val="212121"/>
                <w:sz w:val="19"/>
              </w:rPr>
              <w:t>Rapidly worsening kidney function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Crescentic (rapidly progressive) glomerulonephritis presenting with oliguria and rising creatinine.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Hypertension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Elevated blood pressure is present in a large proportion at diagnosis and drives further nephron loss.</w:t>
            </w:r>
          </w:p>
        </w:tc>
      </w:tr>
      <w:tr>
        <w:trPr>
          <w:cantSplit/>
        </w:trPr>
        <w:tc>
          <w:tcPr>
            <w:tcW w:type="dxa" w:w="3456"/>
            <w:vAlign w:val="top"/>
          </w:tcPr>
          <w:p>
            <w:pPr>
              <w:spacing w:after="40" w:before="0" w:line="259" w:lineRule="auto"/>
            </w:pPr>
            <w:r>
              <w:rPr>
                <w:rFonts w:ascii="Calibri" w:hAnsi="Calibri"/>
                <w:b/>
                <w:i w:val="0"/>
                <w:color w:val="212121"/>
                <w:sz w:val="19"/>
              </w:rPr>
              <w:t>Haematuria on dipstick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Positive blood on urinalysis, often persistent between visible episodes.</w:t>
            </w:r>
          </w:p>
        </w:tc>
      </w:tr>
      <w:tr>
        <w:trPr>
          <w:cantSplit/>
        </w:trPr>
        <w:tc>
          <w:tcPr>
            <w:tcW w:type="dxa" w:w="3456"/>
            <w:vAlign w:val="top"/>
          </w:tcPr>
          <w:p>
            <w:pPr>
              <w:spacing w:after="40" w:before="0" w:line="259" w:lineRule="auto"/>
            </w:pPr>
            <w:r>
              <w:rPr>
                <w:rFonts w:ascii="Calibri" w:hAnsi="Calibri"/>
                <w:b/>
                <w:i w:val="0"/>
                <w:color w:val="212121"/>
                <w:sz w:val="19"/>
              </w:rPr>
              <w:t>Dysmorphic RBCs and RBC casts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Phase-contrast microscopy shows a glomerular (nephritic) urinary sediment.</w:t>
            </w:r>
          </w:p>
        </w:tc>
      </w:tr>
      <w:tr>
        <w:trPr>
          <w:cantSplit/>
        </w:trPr>
        <w:tc>
          <w:tcPr>
            <w:tcW w:type="dxa" w:w="3456"/>
            <w:vAlign w:val="top"/>
          </w:tcPr>
          <w:p>
            <w:pPr>
              <w:spacing w:after="40" w:before="0" w:line="259" w:lineRule="auto"/>
            </w:pPr>
            <w:r>
              <w:rPr>
                <w:rFonts w:ascii="Calibri" w:hAnsi="Calibri"/>
                <w:b/>
                <w:i w:val="0"/>
                <w:color w:val="212121"/>
                <w:sz w:val="19"/>
              </w:rPr>
              <w:t>Proteinuria on dipstick / quantification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Ranges from trace to nephrotic; degree correlates with prognosis.</w:t>
            </w:r>
          </w:p>
        </w:tc>
      </w:tr>
      <w:tr>
        <w:trPr>
          <w:cantSplit/>
        </w:trPr>
        <w:tc>
          <w:tcPr>
            <w:tcW w:type="dxa" w:w="3456"/>
            <w:vAlign w:val="top"/>
          </w:tcPr>
          <w:p>
            <w:pPr>
              <w:spacing w:after="40" w:before="0" w:line="259" w:lineRule="auto"/>
            </w:pPr>
            <w:r>
              <w:rPr>
                <w:rFonts w:ascii="Calibri" w:hAnsi="Calibri"/>
                <w:b/>
                <w:i w:val="0"/>
                <w:color w:val="212121"/>
                <w:sz w:val="19"/>
              </w:rPr>
              <w:t>Peripheral / periorbital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heavy proteinuria or fluid overload from reduced kidney function.</w:t>
            </w:r>
          </w:p>
        </w:tc>
      </w:tr>
      <w:tr>
        <w:trPr>
          <w:cantSplit/>
        </w:trPr>
        <w:tc>
          <w:tcPr>
            <w:tcW w:type="dxa" w:w="3456"/>
            <w:vAlign w:val="top"/>
          </w:tcPr>
          <w:p>
            <w:pPr>
              <w:spacing w:after="40" w:before="0" w:line="259" w:lineRule="auto"/>
            </w:pPr>
            <w:r>
              <w:rPr>
                <w:rFonts w:ascii="Calibri" w:hAnsi="Calibri"/>
                <w:b/>
                <w:i w:val="0"/>
                <w:color w:val="212121"/>
                <w:sz w:val="19"/>
              </w:rPr>
              <w:t>Elevated serum creatinine / reduced eGFR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Common at presentation in Indian and elderly cohorts owing to later diagnosis.</w:t>
            </w:r>
          </w:p>
        </w:tc>
      </w:tr>
      <w:tr>
        <w:trPr>
          <w:cantSplit/>
        </w:trPr>
        <w:tc>
          <w:tcPr>
            <w:tcW w:type="dxa" w:w="3456"/>
            <w:vAlign w:val="top"/>
          </w:tcPr>
          <w:p>
            <w:pPr>
              <w:spacing w:after="40" w:before="0" w:line="259" w:lineRule="auto"/>
            </w:pPr>
            <w:r>
              <w:rPr>
                <w:rFonts w:ascii="Calibri" w:hAnsi="Calibri"/>
                <w:b/>
                <w:i w:val="0"/>
                <w:color w:val="212121"/>
                <w:sz w:val="19"/>
              </w:rPr>
              <w:t>Signs of fluid overload (raised JVP, basal crepitations)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in advanced disease with sodium and water retention.</w:t>
            </w:r>
          </w:p>
        </w:tc>
      </w:tr>
      <w:tr>
        <w:trPr>
          <w:cantSplit/>
        </w:trPr>
        <w:tc>
          <w:tcPr>
            <w:tcW w:type="dxa" w:w="3456"/>
            <w:vAlign w:val="top"/>
          </w:tcPr>
          <w:p>
            <w:pPr>
              <w:spacing w:after="40" w:before="0" w:line="259" w:lineRule="auto"/>
            </w:pPr>
            <w:r>
              <w:rPr>
                <w:rFonts w:ascii="Calibri" w:hAnsi="Calibri"/>
                <w:b/>
                <w:i w:val="0"/>
                <w:color w:val="212121"/>
                <w:sz w:val="19"/>
              </w:rPr>
              <w:t>Pallor of anaemia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Develops with progressive CKD and reduced erythropoietin.</w:t>
            </w:r>
          </w:p>
        </w:tc>
      </w:tr>
      <w:tr>
        <w:trPr>
          <w:cantSplit/>
        </w:trPr>
        <w:tc>
          <w:tcPr>
            <w:tcW w:type="dxa" w:w="3456"/>
            <w:vAlign w:val="top"/>
          </w:tcPr>
          <w:p>
            <w:pPr>
              <w:spacing w:after="40" w:before="0" w:line="259" w:lineRule="auto"/>
            </w:pPr>
            <w:r>
              <w:rPr>
                <w:rFonts w:ascii="Calibri" w:hAnsi="Calibri"/>
                <w:b/>
                <w:i w:val="0"/>
                <w:color w:val="212121"/>
                <w:sz w:val="19"/>
              </w:rPr>
              <w:t>Palpable purpura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Lower-limb non-blanching rash indicating IgA vasculitis (HSP).</w:t>
            </w:r>
          </w:p>
        </w:tc>
      </w:tr>
      <w:tr>
        <w:trPr>
          <w:cantSplit/>
        </w:trPr>
        <w:tc>
          <w:tcPr>
            <w:tcW w:type="dxa" w:w="3456"/>
            <w:vAlign w:val="top"/>
          </w:tcPr>
          <w:p>
            <w:pPr>
              <w:spacing w:after="40" w:before="0" w:line="259" w:lineRule="auto"/>
            </w:pPr>
            <w:r>
              <w:rPr>
                <w:rFonts w:ascii="Calibri" w:hAnsi="Calibri"/>
                <w:b/>
                <w:i w:val="0"/>
                <w:color w:val="212121"/>
                <w:sz w:val="19"/>
              </w:rPr>
              <w:t>Uraemic signs (asterixis, pericardial rub)</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Features of advanced/end-stage kidney failure.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episodes of gross (macroscopic) haematuria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 (macroscopic-haematuria-associated tubular injury or crescentic glomerulonephritis)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Nephrotic-range proteinuria</w:t>
            </w:r>
          </w:p>
        </w:tc>
        <w:tc>
          <w:tcPr>
            <w:tcW w:type="dxa" w:w="2980"/>
            <w:vAlign w:val="top"/>
          </w:tcPr>
          <w:p>
            <w:pPr>
              <w:spacing w:after="40" w:before="0" w:line="259" w:lineRule="auto"/>
            </w:pPr>
            <w:r>
              <w:rPr>
                <w:rFonts w:ascii="Calibri" w:hAnsi="Calibri"/>
                <w:b w:val="0"/>
                <w:i w:val="0"/>
                <w:color w:val="212121"/>
                <w:sz w:val="19"/>
              </w:rPr>
              <w:t>Direct consequences of active mesangial IgA deposition and glomerular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chronic kidney disease (declining eGFR)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 of chronic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CKD–mineral and bone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Fluid overload and electrolyte disturbance</w:t>
            </w:r>
          </w:p>
        </w:tc>
        <w:tc>
          <w:tcPr>
            <w:tcW w:type="dxa" w:w="2980"/>
            <w:vAlign w:val="top"/>
          </w:tcPr>
          <w:p>
            <w:pPr>
              <w:spacing w:after="40" w:before="0" w:line="259" w:lineRule="auto"/>
            </w:pPr>
            <w:r>
              <w:rPr>
                <w:rFonts w:ascii="Calibri" w:hAnsi="Calibri"/>
                <w:b w:val="0"/>
                <w:i w:val="0"/>
                <w:color w:val="212121"/>
                <w:sz w:val="19"/>
              </w:rPr>
              <w:t>Result from cumulative nephron loss and chronic reduction in kidney function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renal disease requiring dialysis or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of IgA nephropathy in the kidney transplant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cardiovascular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mortality</w:t>
            </w:r>
          </w:p>
        </w:tc>
        <w:tc>
          <w:tcPr>
            <w:tcW w:type="dxa" w:w="2980"/>
            <w:vAlign w:val="top"/>
          </w:tcPr>
          <w:p>
            <w:pPr>
              <w:spacing w:after="40" w:before="0" w:line="259" w:lineRule="auto"/>
            </w:pPr>
            <w:r>
              <w:rPr>
                <w:rFonts w:ascii="Calibri" w:hAnsi="Calibri"/>
                <w:b w:val="0"/>
                <w:i w:val="0"/>
                <w:color w:val="212121"/>
                <w:sz w:val="19"/>
              </w:rPr>
              <w:t>Irreversible outcomes of long-standing, uncontrolled disease; ~10–20% reach ESRD within 10–20 years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a result of nephron loss and an independent accelerator of glomerular injury; tight control is central to management.</w:t>
            </w:r>
          </w:p>
          <w:p>
            <w:pPr>
              <w:spacing w:after="40" w:before="0" w:line="259" w:lineRule="auto"/>
            </w:pPr>
            <w:r>
              <w:rPr>
                <w:rFonts w:ascii="Calibri" w:hAnsi="Calibri"/>
                <w:b/>
                <w:i w:val="0"/>
                <w:color w:val="212121"/>
                <w:sz w:val="19"/>
              </w:rPr>
              <w:t>~25.8% at diagnosis (India)</w:t>
            </w:r>
          </w:p>
        </w:tc>
      </w:tr>
      <w:tr>
        <w:trPr>
          <w:cantSplit/>
        </w:trPr>
        <w:tc>
          <w:tcPr>
            <w:tcW w:type="dxa" w:w="2232"/>
            <w:vAlign w:val="top"/>
          </w:tcPr>
          <w:p>
            <w:pPr>
              <w:spacing w:after="40" w:before="0" w:line="259" w:lineRule="auto"/>
            </w:pPr>
            <w:r>
              <w:rPr>
                <w:rFonts w:ascii="Calibri" w:hAnsi="Calibri"/>
                <w:b/>
                <w:i w:val="0"/>
                <w:color w:val="212121"/>
                <w:sz w:val="19"/>
              </w:rPr>
              <w:t>Chronic kidney disease / end-stage renal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principal adverse outcome; proteinuria, hypertension and high MEST-C T score predict progression.</w:t>
            </w:r>
          </w:p>
          <w:p>
            <w:pPr>
              <w:spacing w:after="40" w:before="0" w:line="259" w:lineRule="auto"/>
            </w:pPr>
            <w:r>
              <w:rPr>
                <w:rFonts w:ascii="Calibri" w:hAnsi="Calibri"/>
                <w:b/>
                <w:i w:val="0"/>
                <w:color w:val="212121"/>
                <w:sz w:val="19"/>
              </w:rPr>
              <w:t>~10–20% reach ESRD in 10–20 years</w:t>
            </w:r>
          </w:p>
        </w:tc>
      </w:tr>
      <w:tr>
        <w:trPr>
          <w:cantSplit/>
        </w:trPr>
        <w:tc>
          <w:tcPr>
            <w:tcW w:type="dxa" w:w="2232"/>
            <w:vAlign w:val="top"/>
          </w:tcPr>
          <w:p>
            <w:pPr>
              <w:spacing w:after="40" w:before="0" w:line="259" w:lineRule="auto"/>
            </w:pPr>
            <w:r>
              <w:rPr>
                <w:rFonts w:ascii="Calibri" w:hAnsi="Calibri"/>
                <w:b/>
                <w:i w:val="0"/>
                <w:color w:val="212121"/>
                <w:sz w:val="19"/>
              </w:rPr>
              <w:t>Chronic liver disease / cirrhosis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hepatic IgA clearance and gut bacterial translocation cause secondary mesangial IgA deposition — the commonest secondary cause.</w:t>
            </w:r>
          </w:p>
        </w:tc>
      </w:tr>
      <w:tr>
        <w:trPr>
          <w:cantSplit/>
        </w:trPr>
        <w:tc>
          <w:tcPr>
            <w:tcW w:type="dxa" w:w="2232"/>
            <w:vAlign w:val="top"/>
          </w:tcPr>
          <w:p>
            <w:pPr>
              <w:spacing w:after="40" w:before="0" w:line="259" w:lineRule="auto"/>
            </w:pPr>
            <w:r>
              <w:rPr>
                <w:rFonts w:ascii="Calibri" w:hAnsi="Calibri"/>
                <w:b/>
                <w:i w:val="0"/>
                <w:color w:val="212121"/>
                <w:sz w:val="19"/>
              </w:rPr>
              <w:t>Coeliac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HLA-DQ2/DQ8 mucosal autoimmunity; a gluten-free diet may reduce IgA-driven activity in some patients.</w:t>
            </w:r>
          </w:p>
        </w:tc>
      </w:tr>
      <w:tr>
        <w:trPr>
          <w:cantSplit/>
        </w:trPr>
        <w:tc>
          <w:tcPr>
            <w:tcW w:type="dxa" w:w="2232"/>
            <w:vAlign w:val="top"/>
          </w:tcPr>
          <w:p>
            <w:pPr>
              <w:spacing w:after="40" w:before="0" w:line="259" w:lineRule="auto"/>
            </w:pPr>
            <w:r>
              <w:rPr>
                <w:rFonts w:ascii="Calibri" w:hAnsi="Calibri"/>
                <w:b/>
                <w:i w:val="0"/>
                <w:color w:val="212121"/>
                <w:sz w:val="19"/>
              </w:rPr>
              <w:t>IgA vasculitis (Henoch–Schönlein purpura)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Systemic form with identical renal histology plus purpura, arthralgia and GI involvement.</w:t>
            </w:r>
          </w:p>
        </w:tc>
      </w:tr>
      <w:tr>
        <w:trPr>
          <w:cantSplit/>
        </w:trPr>
        <w:tc>
          <w:tcPr>
            <w:tcW w:type="dxa" w:w="2232"/>
            <w:vAlign w:val="top"/>
          </w:tcPr>
          <w:p>
            <w:pPr>
              <w:spacing w:after="40" w:before="0" w:line="259" w:lineRule="auto"/>
            </w:pPr>
            <w:r>
              <w:rPr>
                <w:rFonts w:ascii="Calibri" w:hAnsi="Calibri"/>
                <w:b/>
                <w:i w:val="0"/>
                <w:color w:val="212121"/>
                <w:sz w:val="19"/>
              </w:rPr>
              <w:t>Inflammatory bowel disease (Crohn's / ulcerative colitis)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mucosal inflammation increases pathogenic IgA production and is associated with secondary IgAN.</w:t>
            </w:r>
          </w:p>
        </w:tc>
      </w:tr>
      <w:tr>
        <w:trPr>
          <w:cantSplit/>
        </w:trPr>
        <w:tc>
          <w:tcPr>
            <w:tcW w:type="dxa" w:w="2232"/>
            <w:vAlign w:val="top"/>
          </w:tcPr>
          <w:p>
            <w:pPr>
              <w:spacing w:after="40" w:before="0" w:line="259" w:lineRule="auto"/>
            </w:pPr>
            <w:r>
              <w:rPr>
                <w:rFonts w:ascii="Calibri" w:hAnsi="Calibri"/>
                <w:b/>
                <w:i w:val="0"/>
                <w:color w:val="212121"/>
                <w:sz w:val="19"/>
              </w:rPr>
              <w:t>HIV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Strongly associated with development of IgA nephropathy through altered mucosal immunity.</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Adds hyperfiltration and secondary FSGS, worsening proteinuria and rate of eGFR decline.</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CKD and hypertension in IgAN accelerate atherosclerosis, the leading cause of death before ESRD.</w:t>
            </w:r>
          </w:p>
        </w:tc>
      </w:tr>
      <w:tr>
        <w:trPr>
          <w:cantSplit/>
        </w:trPr>
        <w:tc>
          <w:tcPr>
            <w:tcW w:type="dxa" w:w="2232"/>
            <w:vAlign w:val="top"/>
          </w:tcPr>
          <w:p>
            <w:pPr>
              <w:spacing w:after="40" w:before="0" w:line="259" w:lineRule="auto"/>
            </w:pPr>
            <w:r>
              <w:rPr>
                <w:rFonts w:ascii="Calibri" w:hAnsi="Calibri"/>
                <w:b/>
                <w:i w:val="0"/>
                <w:color w:val="212121"/>
                <w:sz w:val="19"/>
              </w:rPr>
              <w:t>Anaemia of chronic kidney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Falling erythropoietin and iron dysregulation as kidney function declines.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IgA nephropathy is diagnosed by kidney biopsy and that proteinuria and blood pressure — not the colour of the urine — best predict long-term kidney survival.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any persistent visible (cola-coloured) or dipstick-positive haematuria, foamy urine or unexplained swelling checked, and do not ignore an abnormal routine urine test.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for urine protein, blood pressure and eGFR monitoring, since early treatment protects nephrons.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upper-respiratory and gut infections can trigger visible-haematuria flares, and seek prompt treatment of tonsillitis and other mucosal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read food labels for sodium and adopt a low-salt, kidney-protective diet appropriate for the Indian kitchen (limit papad, pickles, namkeen and packaged snacks).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 with haematuria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First-degree relatives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Screen-detected microscopic haematuria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IgAN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minutes/week of moderate activity (brisk walking, cycling) to support blood-pressure and weight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aerobic activity with gradual weight reduction in overweight/obese patients to reduce hyperfiltration and proteinuria.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sedentary behaviour, which clusters with hypertension and poorer glycaemic and lipid profiles.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Tailor intensity to CKD stage and cardiovascular status, avoiding dehydration during exertion in hot Indian climates.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IgAN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IgAN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stage 1–3</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salt to &lt; 5 g/day (&lt; 2 g sodium) to lower blood pressure and improve the anti-proteinuric effect of ACE inhibitors/ARBs.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dietary protein to around 0.8 g/kg/day once CKD is established, favouring good-quality protein over very high animal-protein loads.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Emphasise fruits, vegetables and whole grains while individualising potassium and phosphate intake in advanced CKD.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ultra-processed, pickled and deep-fried high-sodium foods common in Indian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control lipids to lessen cardiovascular and renal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IgAN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IgAN with proteinuria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stage 3–5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High-salt-diet consumers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habitual low-salt cooking early, given that the average Indian consumes roughly 11 g salt/day (about 2.2 times the WHO limit).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routinely adding table salt and limit high-sodium condiments, sauces and preserved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with water rather than sugary or high-salt drinks.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coeliac disease with a gluten-free diet where confirmed, as it can drive IgA-mediated activity.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 of IgAN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high-salt-diet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coeliac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7–9 hours of good-quality sleep to support blood-pressure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in obese hypertensive patients, as it worsens BP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sleep–wake timing to aid adherence to medication and monitoring.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IgAN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it is an independent, dose-dependent driver of kidney-function decline in IgA nephropathy.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cessation support, nicotine-replacement or pharmacotherapy and repeated counselling.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other tobacco products, including bidis and smokeless tobacco.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that heavy exposure (&gt; 20 pack-years) markedly raises the risk of ESRD or 50% eGFR decline.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 with IgAN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CKD stage 3–4</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IgAN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alcohol use, which can cause cirrhosis — the commonest secondary cause of IgA deposition in the kidney.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intake to protect blood pressure and cardiovascular health, as moderate alcohol has no proven renal benefit in IgAN.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chronic liver disease in those with harmful drinking patterns.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IgAN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anxiety, which are common in chronic kidney disease and reduce adherence to BP and proteinuria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structured support around the uncertainty of a lifelong, potentially progressive 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strategies (yoga, breathing, mindfulness) as adjuncts to help blood-pressure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where needed, mental-health professionals for patients approaching dialysis or transplantation.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stage 4–5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approaching dialysis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8214/" TargetMode="External"/><Relationship Id="rId10" Type="http://schemas.openxmlformats.org/officeDocument/2006/relationships/hyperlink" Target="https://www.ajol.info/index.php/ahs/article/view/206044" TargetMode="External"/><Relationship Id="rId11" Type="http://schemas.openxmlformats.org/officeDocument/2006/relationships/hyperlink" Target="https://indianjnephrol.org/iga-nephropathy-in-a-tertiary-care-center-from-south-india/" TargetMode="External"/><Relationship Id="rId12" Type="http://schemas.openxmlformats.org/officeDocument/2006/relationships/hyperlink" Target="https://www.mdpi.com/2077-0383/15/5/2046" TargetMode="External"/><Relationship Id="rId13" Type="http://schemas.openxmlformats.org/officeDocument/2006/relationships/hyperlink" Target="https://pubmed.ncbi.nlm.nih.gov/38831156/" TargetMode="External"/><Relationship Id="rId14" Type="http://schemas.openxmlformats.org/officeDocument/2006/relationships/hyperlink" Target="https://bmcnephrol.biomedcentral.com/articles/10.1186/s12882-021-02453-4" TargetMode="External"/><Relationship Id="rId15" Type="http://schemas.openxmlformats.org/officeDocument/2006/relationships/hyperlink" Target="https://health.medicaldialogues.in/diet-and-nutrition/indias-salt-consumption-22-times-higher-than-who-limit-icmr-warns-of-stroke-and-bp-risks-151941" TargetMode="External"/><Relationship Id="rId16" Type="http://schemas.openxmlformats.org/officeDocument/2006/relationships/hyperlink" Target="https://www.ccjm.org/content/92/6/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