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Pyelonephritis</w:t>
      </w:r>
    </w:p>
    <w:p>
      <w:pPr>
        <w:spacing w:before="0" w:after="160"/>
      </w:pPr>
      <w:r>
        <w:rPr>
          <w:rFonts w:ascii="Calibri" w:hAnsi="Calibri"/>
          <w:b/>
          <w:i w:val="0"/>
          <w:color w:val="212121"/>
          <w:sz w:val="22"/>
        </w:rPr>
        <w:t xml:space="preserve">AKA </w:t>
      </w:r>
      <w:r>
        <w:rPr>
          <w:rFonts w:ascii="Calibri" w:hAnsi="Calibri"/>
          <w:b w:val="0"/>
          <w:i w:val="0"/>
          <w:color w:val="212121"/>
          <w:sz w:val="22"/>
        </w:rPr>
        <w:t>i.e., Kidney infection, Renal infection, Upper urinary tract infection (upper UTI); includes Acute pyelonephritis and Chronic pyelonephritis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Pyelonephritis is a bacterial infection of the renal parenchyma, calyces and renal pelvis, most often caused by ascending spread of uropathogenic bacteria from the lower urinary tract, with Escherichia coli responsible for the majority of cases. Acute pyelonephritis presents with fever, flank (loin) pain and lower urinary tract symptoms, and may progress to sepsis, renal abscess or acute kidney injury. Chronic pyelonephritis denotes repeated or persistent infection, usually on a background of obstruction or vesicoureteral reflux, producing progressive renal scarring and, over time, chronic kidney disease and hypertension.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Pyelonephritis is one of the commonest causes of febrile urinary tract infection requiring hospital admission in India. Indian hospital series report diabetes mellitus in more than half of admitted patients (54-55%) and E. coli as the leading organism (30-66% of isolates). In population terms, acute pyelonephritis is far more common in women than men - roughly 12-13 outpatient and 3-4 inpatient cases per 10,000 women per year versus about 2-3 per 10,000 men - with the highest incidence among young sexually active women, followed by infants and the elderly.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Pyelonephritis is a clinical diagnosis supported by urinalysis and culture; imaging is reserved for complicated, severe or non-responding disease. It is suggested by the combination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triad of fever (often &gt; 38.5-39 degC with chills/rigors), flank or costovertebral-angle pain, and nausea/vomiting, with or without lower urinary tract symptoms (dysuria, frequency, urgency);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urinalysis showing pyuria (&gt;= 10 WBC/hpf or positive leukocyte esterase), bacteriuria, and frequently nitrites and microscopic haematuria;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urine culture with a uropathogen at &gt;= 10^5 CFU/mL (&gt;= 10^4 CFU/mL accepted with typical symptoms or in men), ideally obtained before antibiotics;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blood tests: leukocytosis with neutrophilia, raised CRP/procalcitonin, and serum creatinine/BUN to assess renal function and sepsis;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(renal ultrasound, or contrast-enhanced CT of abdomen/pelvis) in complicated cases - diabetes, urolithiasis, suspected obstruction/abscess, sepsis, pregnancy, transplant, or failure to improve within 48-72 hours.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Pyelonephritis is classified by course, host risk factors and specific pathological forms:</w:t>
      </w:r>
    </w:p>
    <w:p>
      <w:pPr>
        <w:spacing w:before="0" w:after="80"/>
      </w:pPr>
      <w:r>
        <w:rPr>
          <w:rFonts w:ascii="Calibri" w:hAnsi="Calibri"/>
          <w:b w:val="0"/>
          <w:i w:val="0"/>
          <w:color w:val="212121"/>
          <w:sz w:val="21"/>
        </w:rPr>
        <w:t>(1) Acute uncomplicated pyelonephritis - occurring in otherwise healthy, non-pregnant adults (typically young women) with a structurally and functionally normal urinary tract, usually managed as outpatients or with a short admission;</w:t>
      </w:r>
    </w:p>
    <w:p>
      <w:pPr>
        <w:spacing w:before="0" w:after="80"/>
      </w:pPr>
      <w:r>
        <w:rPr>
          <w:rFonts w:ascii="Calibri" w:hAnsi="Calibri"/>
          <w:b w:val="0"/>
          <w:i w:val="0"/>
          <w:color w:val="212121"/>
          <w:sz w:val="21"/>
        </w:rPr>
        <w:t>(2) Acute complicated pyelonephritis - occurring where there is obstruction, stones, an indwelling catheter or instrumentation, vesicoureteral reflux, diabetes, immunosuppression, renal transplant, pregnancy, or underlying renal disease; carries higher risk of abscess, sepsis and treatment failure;</w:t>
      </w:r>
    </w:p>
    <w:p>
      <w:pPr>
        <w:spacing w:before="0" w:after="80"/>
      </w:pPr>
      <w:r>
        <w:rPr>
          <w:rFonts w:ascii="Calibri" w:hAnsi="Calibri"/>
          <w:b w:val="0"/>
          <w:i w:val="0"/>
          <w:color w:val="212121"/>
          <w:sz w:val="21"/>
        </w:rPr>
        <w:t>(3) Emphysematous pyelonephritis - a severe necrotising infection with gas in the renal parenchyma/collecting system, occurring almost exclusively in (usually poorly controlled) diabetics, typically due to E. coli or Klebsiella, and historically carrying mortality of up to ~38%;</w:t>
      </w:r>
    </w:p>
    <w:p>
      <w:pPr>
        <w:spacing w:before="0" w:after="80"/>
      </w:pPr>
      <w:r>
        <w:rPr>
          <w:rFonts w:ascii="Calibri" w:hAnsi="Calibri"/>
          <w:b w:val="0"/>
          <w:i w:val="0"/>
          <w:color w:val="212121"/>
          <w:sz w:val="21"/>
        </w:rPr>
        <w:t>(4) Chronic pyelonephritis / reflux nephropathy - recurrent or persistent infection with parenchymal scarring, calyceal blunting and cortical thinning, most often on a background of childhood vesicoureteral reflux or chronic obstruction, progressing to CKD and hypertension; and</w:t>
      </w:r>
    </w:p>
    <w:p>
      <w:pPr>
        <w:spacing w:before="0" w:after="80"/>
      </w:pPr>
      <w:r>
        <w:rPr>
          <w:rFonts w:ascii="Calibri" w:hAnsi="Calibri"/>
          <w:b w:val="0"/>
          <w:i w:val="0"/>
          <w:color w:val="212121"/>
          <w:sz w:val="21"/>
        </w:rPr>
        <w:t>(5) Xanthogranulomatous pyelonephritis - a rare chronic destructive granulomatous variant, usually associated with chronic obstruction and infected staghorn calculi (Proteus, E. coli), that typically requires nephrectomy.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Ascending infection: Uropathogenic E. coli and other Enterobacterales colonise the periurethral area, ascend the urethra to the bladder, and travel up the ureter to the kidney - the mechanism in the great majority of cases; E. coli virulence factors such as P-fimbriae mediate adhesion to uroepithelium.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Urinary obstruction and stasis: Calculi, benign prostatic hyperplasia, ureteric stricture, tumour or pregnancy-related dilatation impair urine flow, allowing bacterial multiplication and retrograde ascent.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Vesicoureteral reflux (VUR): Congenital retrograde flow of urine from bladder to ureter/kidney (found in up to 40% of children with UTI) delivers bacteria to the renal pelvis and underlies most reflux nephropathy.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Diabetes mellitus: Glycosuria, impaired neutrophil function, autonomic bladder dysfunction and microvascular disease markedly increase susceptibility and severity, including emphysematous forms.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Female anatomy, sexual activity and instrumentation: A short urethra, its proximity to the anus, sexual intercourse, spermicide use and urinary catheterisation/instrumentation all promote periurethral colonisation and ascent.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and impaired host defence: Renal transplantation, corticosteroids, HIV/AIDS, malignancy and pregnancy-related immune and physiological changes raise the risk of upper-tract infection.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Haematogenous seeding: Less commonly, bacteraemia (e.g., Staphylococcus aureus) or fungaemia seeds the kidney, particularly in debilitated, catheterised or immunocompromised patients.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sexually active women)</w:t>
            </w:r>
          </w:p>
        </w:tc>
        <w:tc>
          <w:tcPr>
            <w:tcW w:type="dxa" w:w="4276"/>
            <w:vAlign w:val="top"/>
          </w:tcPr>
          <w:p>
            <w:pPr>
              <w:spacing w:after="60" w:line="259" w:lineRule="auto"/>
            </w:pPr>
            <w:r>
              <w:rPr>
                <w:rFonts w:ascii="Calibri" w:hAnsi="Calibri"/>
                <w:b w:val="0"/>
                <w:i w:val="0"/>
                <w:color w:val="212121"/>
                <w:sz w:val="19"/>
              </w:rPr>
              <w:t>Peak incidence of acute uncomplicated pyelonephritis is in young sexually active women, in whom intercourse, spermicide use and periurethral colonisation drive ascending infection through a short urethra.</w:t>
            </w:r>
          </w:p>
          <w:p>
            <w:pPr>
              <w:spacing w:after="40" w:before="60" w:line="259" w:lineRule="auto"/>
            </w:pPr>
            <w:r>
              <w:rPr>
                <w:rFonts w:ascii="Calibri" w:hAnsi="Calibri"/>
                <w:b w:val="0"/>
                <w:i w:val="0"/>
                <w:color w:val="212121"/>
                <w:sz w:val="19"/>
              </w:rPr>
              <w:t>Annual outpatient rates are about 12-13 per 10,000 women, with incidence highest among young women; the outpatient-to-inpatient ratio reaches 5:1 to 6:1 in this group.</w:t>
            </w:r>
          </w:p>
          <w:p>
            <w:pPr>
              <w:spacing w:after="40" w:line="252" w:lineRule="auto"/>
            </w:pPr>
            <w:hyperlink r:id="rId9">
              <w:r>
                <w:rPr>
                  <w:rFonts w:ascii="Calibri" w:hAnsi="Calibri" w:cs="Calibri"/>
                  <w:sz w:val="18"/>
                  <w:color w:val="1155CC"/>
                  <w:u w:val="single"/>
                </w:rPr>
                <w:t xml:space="preserve">academic.oup.com/cid — population-based epidemiology of acute pyelonephritis</w:t>
              </w:r>
            </w:hyperlink>
          </w:p>
          <w:p>
            <w:pPr>
              <w:spacing w:before="60" w:after="40"/>
            </w:pPr>
            <w:r>
              <w:rPr>
                <w:rFonts w:ascii="Calibri" w:hAnsi="Calibri"/>
                <w:b w:val="0"/>
                <w:i w:val="0"/>
                <w:color w:val="5A5A5A"/>
                <w:sz w:val="18"/>
              </w:rPr>
              <w:t>#ascendinginfection  #youngwomen  #Ecoli  #shorturethra  #uncomplicated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incomplete bladder emptying, prostatic obstruction, catheters, diabetes and blunted immunity raise risk; presentation is often atypical (confusion, falls, sepsis) and disease is more likely to be complicated.</w:t>
            </w:r>
          </w:p>
          <w:p>
            <w:pPr>
              <w:spacing w:after="40" w:before="60" w:line="259" w:lineRule="auto"/>
            </w:pPr>
            <w:r>
              <w:rPr>
                <w:rFonts w:ascii="Calibri" w:hAnsi="Calibri"/>
                <w:b w:val="0"/>
                <w:i w:val="0"/>
                <w:color w:val="212121"/>
                <w:sz w:val="19"/>
              </w:rPr>
              <w:t>Incidence shows a bimodal pattern - highest in young women, then infants and the elderly; older patients form a large share of hospitalised, complicated cases.</w:t>
            </w:r>
          </w:p>
          <w:p>
            <w:pPr>
              <w:spacing w:after="40" w:line="252" w:lineRule="auto"/>
            </w:pPr>
            <w:hyperlink r:id="rId9">
              <w:r>
                <w:rPr>
                  <w:rFonts w:ascii="Calibri" w:hAnsi="Calibri" w:cs="Calibri"/>
                  <w:sz w:val="18"/>
                  <w:color w:val="1155CC"/>
                  <w:u w:val="single"/>
                </w:rPr>
                <w:t xml:space="preserve">academic.oup.com/cid — bimodal age distribution</w:t>
              </w:r>
            </w:hyperlink>
          </w:p>
          <w:p>
            <w:pPr>
              <w:spacing w:before="60" w:after="40"/>
            </w:pPr>
            <w:r>
              <w:rPr>
                <w:rFonts w:ascii="Calibri" w:hAnsi="Calibri"/>
                <w:b w:val="0"/>
                <w:i w:val="0"/>
                <w:color w:val="5A5A5A"/>
                <w:sz w:val="18"/>
              </w:rPr>
              <w:t>#elderly  #atypical  #urosepsis  #obstruction  #complicated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have far higher overall incidence because of a short urethra sited close to the anus and vagina, facilitating periurethral colonisation and ascent; pregnancy and menopause add further risk.</w:t>
            </w:r>
          </w:p>
          <w:p>
            <w:pPr>
              <w:spacing w:after="40" w:before="60" w:line="259" w:lineRule="auto"/>
            </w:pPr>
            <w:r>
              <w:rPr>
                <w:rFonts w:ascii="Calibri" w:hAnsi="Calibri"/>
                <w:b w:val="0"/>
                <w:i w:val="0"/>
                <w:color w:val="212121"/>
                <w:sz w:val="19"/>
              </w:rPr>
              <w:t>Community rates are roughly 5-6 times higher in women than men (about 12-13 vs 2-3 outpatient cases per 10,000/year).</w:t>
            </w:r>
          </w:p>
          <w:p>
            <w:pPr>
              <w:spacing w:after="40" w:line="252" w:lineRule="auto"/>
            </w:pPr>
            <w:hyperlink r:id="rId9">
              <w:r>
                <w:rPr>
                  <w:rFonts w:ascii="Calibri" w:hAnsi="Calibri" w:cs="Calibri"/>
                  <w:sz w:val="18"/>
                  <w:color w:val="1155CC"/>
                  <w:u w:val="single"/>
                </w:rPr>
                <w:t xml:space="preserve">academic.oup.com/cid — sex differences in incidence</w:t>
              </w:r>
            </w:hyperlink>
          </w:p>
          <w:p>
            <w:pPr>
              <w:spacing w:before="60" w:after="40"/>
            </w:pPr>
            <w:r>
              <w:rPr>
                <w:rFonts w:ascii="Calibri" w:hAnsi="Calibri"/>
                <w:b w:val="0"/>
                <w:i w:val="0"/>
                <w:color w:val="5A5A5A"/>
                <w:sz w:val="18"/>
              </w:rPr>
              <w:t>#femaleanatomy  #periurethral  #pregnancy  #menopause  #higherincidence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(older, with obstruction)</w:t>
            </w:r>
          </w:p>
        </w:tc>
        <w:tc>
          <w:tcPr>
            <w:tcW w:type="dxa" w:w="4276"/>
            <w:vAlign w:val="top"/>
          </w:tcPr>
          <w:p>
            <w:pPr>
              <w:spacing w:after="60" w:line="259" w:lineRule="auto"/>
            </w:pPr>
            <w:r>
              <w:rPr>
                <w:rFonts w:ascii="Calibri" w:hAnsi="Calibri"/>
                <w:b w:val="0"/>
                <w:i w:val="0"/>
                <w:color w:val="212121"/>
                <w:sz w:val="19"/>
              </w:rPr>
              <w:t>Pyelonephritis is less common in men but, when it occurs, is more often complicated by prostatic obstruction, stones, catheters or instrumentation; Indian hospital series of admitted (complicated) cases show a male predominance among older patients.</w:t>
            </w:r>
          </w:p>
          <w:p>
            <w:pPr>
              <w:spacing w:after="40" w:before="60" w:line="259" w:lineRule="auto"/>
            </w:pPr>
            <w:r>
              <w:rPr>
                <w:rFonts w:ascii="Calibri" w:hAnsi="Calibri"/>
                <w:b w:val="0"/>
                <w:i w:val="0"/>
                <w:color w:val="212121"/>
                <w:sz w:val="19"/>
              </w:rPr>
              <w:t>In a large Indian tertiary-care series of hospitalised acute pyelonephritis, 65.9% of patients were male (M:F 1.93:1), reflecting obstruction and diabetes in older men.</w:t>
            </w:r>
          </w:p>
          <w:p>
            <w:pPr>
              <w:spacing w:after="40" w:line="252" w:lineRule="auto"/>
            </w:pPr>
            <w:hyperlink r:id="rId10">
              <w:r>
                <w:rPr>
                  <w:rFonts w:ascii="Calibri" w:hAnsi="Calibri" w:cs="Calibri"/>
                  <w:sz w:val="18"/>
                  <w:color w:val="1155CC"/>
                  <w:u w:val="single"/>
                </w:rPr>
                <w:t xml:space="preserve">indianjnephrol.org — single-centre experience</w:t>
              </w:r>
            </w:hyperlink>
          </w:p>
          <w:p>
            <w:pPr>
              <w:spacing w:before="60" w:after="40"/>
            </w:pPr>
            <w:r>
              <w:rPr>
                <w:rFonts w:ascii="Calibri" w:hAnsi="Calibri"/>
                <w:b w:val="0"/>
                <w:i w:val="0"/>
                <w:color w:val="5A5A5A"/>
                <w:sz w:val="18"/>
              </w:rPr>
              <w:t>#BPH  #obstruction  #complicated  #catheter  #Indianseries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limited water and sanitation access</w:t>
            </w:r>
          </w:p>
        </w:tc>
        <w:tc>
          <w:tcPr>
            <w:tcW w:type="dxa" w:w="4276"/>
            <w:vAlign w:val="top"/>
          </w:tcPr>
          <w:p>
            <w:pPr>
              <w:spacing w:after="60" w:line="259" w:lineRule="auto"/>
            </w:pPr>
            <w:r>
              <w:rPr>
                <w:rFonts w:ascii="Calibri" w:hAnsi="Calibri"/>
                <w:b w:val="0"/>
                <w:i w:val="0"/>
                <w:color w:val="212121"/>
                <w:sz w:val="19"/>
              </w:rPr>
              <w:t>Limited access to clean water and toilets, delayed care, and poor infection control around catheterisation increase both UTI frequency and progression to upper-tract infection.</w:t>
            </w:r>
          </w:p>
          <w:p>
            <w:pPr>
              <w:spacing w:after="40" w:before="60" w:line="259" w:lineRule="auto"/>
            </w:pPr>
            <w:r>
              <w:rPr>
                <w:rFonts w:ascii="Calibri" w:hAnsi="Calibri"/>
                <w:b w:val="0"/>
                <w:i w:val="0"/>
                <w:color w:val="212121"/>
                <w:sz w:val="19"/>
              </w:rPr>
              <w:t>UTI and its complications are strongly patterned by water, sanitation and hygiene access; general clinical association (no single India-wide figure).</w:t>
            </w:r>
          </w:p>
          <w:p>
            <w:pPr>
              <w:spacing w:before="60" w:after="40"/>
            </w:pPr>
            <w:r>
              <w:rPr>
                <w:rFonts w:ascii="Calibri" w:hAnsi="Calibri"/>
                <w:b w:val="0"/>
                <w:i w:val="0"/>
                <w:color w:val="5A5A5A"/>
                <w:sz w:val="18"/>
              </w:rPr>
              <w:t>#WASH  #accesstocare  #delayeddiagnosis  #hygiene  #lowSES</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Hot-climate India; high AMR settings</w:t>
            </w:r>
          </w:p>
        </w:tc>
        <w:tc>
          <w:tcPr>
            <w:tcW w:type="dxa" w:w="4276"/>
            <w:vAlign w:val="top"/>
          </w:tcPr>
          <w:p>
            <w:pPr>
              <w:spacing w:after="60" w:line="259" w:lineRule="auto"/>
            </w:pPr>
            <w:r>
              <w:rPr>
                <w:rFonts w:ascii="Calibri" w:hAnsi="Calibri"/>
                <w:b w:val="0"/>
                <w:i w:val="0"/>
                <w:color w:val="212121"/>
                <w:sz w:val="19"/>
              </w:rPr>
              <w:t>Hot, humid conditions and inadequate fluid intake promote dehydration, concentrated urine and stasis; India also carries a high burden of ESBL-producing and multidrug-resistant uropathogens, complicating treatment.</w:t>
            </w:r>
          </w:p>
          <w:p>
            <w:pPr>
              <w:spacing w:after="40" w:before="60" w:line="259" w:lineRule="auto"/>
            </w:pPr>
            <w:r>
              <w:rPr>
                <w:rFonts w:ascii="Calibri" w:hAnsi="Calibri"/>
                <w:b w:val="0"/>
                <w:i w:val="0"/>
                <w:color w:val="212121"/>
                <w:sz w:val="19"/>
              </w:rPr>
              <w:t>Community uropathogen surveillance across Indian regions documents high rates of resistance among E. coli and Klebsiella, including ESBL producers.</w:t>
            </w:r>
          </w:p>
          <w:p>
            <w:pPr>
              <w:spacing w:after="40" w:line="252" w:lineRule="auto"/>
            </w:pPr>
            <w:hyperlink r:id="rId11">
              <w:r>
                <w:rPr>
                  <w:rFonts w:ascii="Calibri" w:hAnsi="Calibri" w:cs="Calibri"/>
                  <w:sz w:val="18"/>
                  <w:color w:val="1155CC"/>
                  <w:u w:val="single"/>
                </w:rPr>
                <w:t xml:space="preserve">microbiologyresearch.org — uropathogen resistance across Indian regions</w:t>
              </w:r>
            </w:hyperlink>
          </w:p>
          <w:p>
            <w:pPr>
              <w:spacing w:before="60" w:after="40"/>
            </w:pPr>
            <w:r>
              <w:rPr>
                <w:rFonts w:ascii="Calibri" w:hAnsi="Calibri"/>
                <w:b w:val="0"/>
                <w:i w:val="0"/>
                <w:color w:val="5A5A5A"/>
                <w:sz w:val="18"/>
              </w:rPr>
              <w:t>#dehydration  #ESBL  #AMR  #Klebsiella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Low fluid intake / dehydration</w:t>
            </w:r>
          </w:p>
        </w:tc>
        <w:tc>
          <w:tcPr>
            <w:tcW w:type="dxa" w:w="2160"/>
            <w:vAlign w:val="top"/>
          </w:tcPr>
          <w:p>
            <w:pPr>
              <w:spacing w:after="40" w:before="0" w:line="259" w:lineRule="auto"/>
            </w:pPr>
            <w:r>
              <w:rPr>
                <w:rFonts w:ascii="Calibri" w:hAnsi="Calibri"/>
                <w:b w:val="0"/>
                <w:i w:val="0"/>
                <w:color w:val="212121"/>
                <w:sz w:val="19"/>
              </w:rPr>
              <w:t>People who drink too little water</w:t>
            </w:r>
          </w:p>
        </w:tc>
        <w:tc>
          <w:tcPr>
            <w:tcW w:type="dxa" w:w="4276"/>
            <w:vAlign w:val="top"/>
          </w:tcPr>
          <w:p>
            <w:pPr>
              <w:spacing w:after="60" w:line="259" w:lineRule="auto"/>
            </w:pPr>
            <w:r>
              <w:rPr>
                <w:rFonts w:ascii="Calibri" w:hAnsi="Calibri"/>
                <w:b w:val="0"/>
                <w:i w:val="0"/>
                <w:color w:val="212121"/>
                <w:sz w:val="19"/>
              </w:rPr>
              <w:t>Low urine volume reduces the mechanical flushing of the urinary tract, letting bacteria adhere and multiply; increasing fluid intake measurably lowers recurrent lower-UTI episodes that can ascend.</w:t>
            </w:r>
          </w:p>
          <w:p>
            <w:pPr>
              <w:spacing w:after="40" w:before="60" w:line="259" w:lineRule="auto"/>
            </w:pPr>
            <w:r>
              <w:rPr>
                <w:rFonts w:ascii="Calibri" w:hAnsi="Calibri"/>
                <w:b w:val="0"/>
                <w:i w:val="0"/>
                <w:color w:val="212121"/>
                <w:sz w:val="19"/>
              </w:rPr>
              <w:t>In an RCT, drinking ~1.5 L more water daily cut recurrent cystitis episodes by ~47% (1.7 vs 3.2/year) and nearly halved antibiotic courses.</w:t>
            </w:r>
          </w:p>
          <w:p>
            <w:pPr>
              <w:spacing w:after="40" w:line="252" w:lineRule="auto"/>
            </w:pPr>
            <w:hyperlink r:id="rId12">
              <w:r>
                <w:rPr>
                  <w:rFonts w:ascii="Calibri" w:hAnsi="Calibri" w:cs="Calibri"/>
                  <w:sz w:val="18"/>
                  <w:color w:val="1155CC"/>
                  <w:u w:val="single"/>
                </w:rPr>
                <w:t xml:space="preserve">jamanetwork.com — increased water intake RCT</w:t>
              </w:r>
            </w:hyperlink>
          </w:p>
          <w:p>
            <w:pPr>
              <w:spacing w:before="60" w:after="40"/>
            </w:pPr>
            <w:r>
              <w:rPr>
                <w:rFonts w:ascii="Calibri" w:hAnsi="Calibri"/>
                <w:b w:val="0"/>
                <w:i w:val="0"/>
                <w:color w:val="5A5A5A"/>
                <w:sz w:val="18"/>
              </w:rPr>
              <w:t>#hydration  #urineflow  #flushing  #recurrentUTI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Sexual activity / provoking behaviours</w:t>
            </w:r>
          </w:p>
        </w:tc>
        <w:tc>
          <w:tcPr>
            <w:tcW w:type="dxa" w:w="2160"/>
            <w:vAlign w:val="top"/>
          </w:tcPr>
          <w:p>
            <w:pPr>
              <w:spacing w:after="40" w:before="0" w:line="259" w:lineRule="auto"/>
            </w:pPr>
            <w:r>
              <w:rPr>
                <w:rFonts w:ascii="Calibri" w:hAnsi="Calibri"/>
                <w:b w:val="0"/>
                <w:i w:val="0"/>
                <w:color w:val="212121"/>
                <w:sz w:val="19"/>
              </w:rPr>
              <w:t>Sexually active women; spermicide/diaphragm users</w:t>
            </w:r>
          </w:p>
        </w:tc>
        <w:tc>
          <w:tcPr>
            <w:tcW w:type="dxa" w:w="4276"/>
            <w:vAlign w:val="top"/>
          </w:tcPr>
          <w:p>
            <w:pPr>
              <w:spacing w:after="60" w:line="259" w:lineRule="auto"/>
            </w:pPr>
            <w:r>
              <w:rPr>
                <w:rFonts w:ascii="Calibri" w:hAnsi="Calibri"/>
                <w:b w:val="0"/>
                <w:i w:val="0"/>
                <w:color w:val="212121"/>
                <w:sz w:val="19"/>
              </w:rPr>
              <w:t>Frequent intercourse, a new partner, spermicide and diaphragm use disturb vaginal flora and mechanically introduce periurethral bacteria into the bladder, a leading precipitant of ascending infection.</w:t>
            </w:r>
          </w:p>
          <w:p>
            <w:pPr>
              <w:spacing w:after="40" w:before="60" w:line="259" w:lineRule="auto"/>
            </w:pPr>
            <w:r>
              <w:rPr>
                <w:rFonts w:ascii="Calibri" w:hAnsi="Calibri"/>
                <w:b w:val="0"/>
                <w:i w:val="0"/>
                <w:color w:val="212121"/>
                <w:sz w:val="19"/>
              </w:rPr>
              <w:t>Frequency of sexual intercourse, recent UTI, diabetes, incontinence, a new sex partner and spermicide use are established independent risk factors for acute pyelonephritis in healthy women.</w:t>
            </w:r>
          </w:p>
          <w:p>
            <w:pPr>
              <w:spacing w:after="40" w:line="252" w:lineRule="auto"/>
            </w:pPr>
            <w:hyperlink r:id="rId13">
              <w:r>
                <w:rPr>
                  <w:rFonts w:ascii="Calibri" w:hAnsi="Calibri" w:cs="Calibri"/>
                  <w:sz w:val="18"/>
                  <w:color w:val="1155CC"/>
                  <w:u w:val="single"/>
                </w:rPr>
                <w:t xml:space="preserve">pubmed — Scholes et al., risk factors in healthy women</w:t>
              </w:r>
            </w:hyperlink>
          </w:p>
          <w:p>
            <w:pPr>
              <w:spacing w:before="60" w:after="40"/>
            </w:pPr>
            <w:r>
              <w:rPr>
                <w:rFonts w:ascii="Calibri" w:hAnsi="Calibri"/>
                <w:b w:val="0"/>
                <w:i w:val="0"/>
                <w:color w:val="5A5A5A"/>
                <w:sz w:val="18"/>
              </w:rPr>
              <w:t>#intercourse  #spermicide  #newpartner  #vaginalflora  #provoking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catheterisation</w:t>
            </w:r>
          </w:p>
        </w:tc>
        <w:tc>
          <w:tcPr>
            <w:tcW w:type="dxa" w:w="2160"/>
            <w:vAlign w:val="top"/>
          </w:tcPr>
          <w:p>
            <w:pPr>
              <w:spacing w:after="40" w:before="0" w:line="259" w:lineRule="auto"/>
            </w:pPr>
            <w:r>
              <w:rPr>
                <w:rFonts w:ascii="Calibri" w:hAnsi="Calibri"/>
                <w:b w:val="0"/>
                <w:i w:val="0"/>
                <w:color w:val="212121"/>
                <w:sz w:val="19"/>
              </w:rPr>
              <w:t>Catheterised or instrumented patients; poor perineal hygiene</w:t>
            </w:r>
          </w:p>
        </w:tc>
        <w:tc>
          <w:tcPr>
            <w:tcW w:type="dxa" w:w="4276"/>
            <w:vAlign w:val="top"/>
          </w:tcPr>
          <w:p>
            <w:pPr>
              <w:spacing w:after="60" w:line="259" w:lineRule="auto"/>
            </w:pPr>
            <w:r>
              <w:rPr>
                <w:rFonts w:ascii="Calibri" w:hAnsi="Calibri"/>
                <w:b w:val="0"/>
                <w:i w:val="0"/>
                <w:color w:val="212121"/>
                <w:sz w:val="19"/>
              </w:rPr>
              <w:t>Indwelling catheters and urological instrumentation bypass host defences and introduce bacteria directly; incorrect perineal hygiene (back-to-front wiping) and infrequent voiding promote colonisation.</w:t>
            </w:r>
          </w:p>
          <w:p>
            <w:pPr>
              <w:spacing w:after="40" w:before="60" w:line="259" w:lineRule="auto"/>
            </w:pPr>
            <w:r>
              <w:rPr>
                <w:rFonts w:ascii="Calibri" w:hAnsi="Calibri"/>
                <w:b w:val="0"/>
                <w:i w:val="0"/>
                <w:color w:val="212121"/>
                <w:sz w:val="19"/>
              </w:rPr>
              <w:t>In an Indian tertiary-hospital study, 14% of acute pyelonephritis patients had indwelling catheters and 18% had urinary incontinence.</w:t>
            </w:r>
          </w:p>
          <w:p>
            <w:pPr>
              <w:spacing w:after="40" w:line="252" w:lineRule="auto"/>
            </w:pPr>
            <w:hyperlink r:id="rId14">
              <w:r>
                <w:rPr>
                  <w:rFonts w:ascii="Calibri" w:hAnsi="Calibri" w:cs="Calibri"/>
                  <w:sz w:val="18"/>
                  <w:color w:val="1155CC"/>
                  <w:u w:val="single"/>
                </w:rPr>
                <w:t xml:space="preserve">jebmh.com — Indian cross-sectional study</w:t>
              </w:r>
            </w:hyperlink>
          </w:p>
          <w:p>
            <w:pPr>
              <w:spacing w:before="60" w:after="40"/>
            </w:pPr>
            <w:r>
              <w:rPr>
                <w:rFonts w:ascii="Calibri" w:hAnsi="Calibri"/>
                <w:b w:val="0"/>
                <w:i w:val="0"/>
                <w:color w:val="5A5A5A"/>
                <w:sz w:val="18"/>
              </w:rPr>
              <w:t>#catheter  #CAUTI  #perinealhygiene  #instrumentation  #voiding</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Fluid and bladder-irritant intake</w:t>
            </w:r>
          </w:p>
        </w:tc>
        <w:tc>
          <w:tcPr>
            <w:tcW w:type="dxa" w:w="2160"/>
            <w:vAlign w:val="top"/>
          </w:tcPr>
          <w:p>
            <w:pPr>
              <w:spacing w:after="40" w:before="0" w:line="259" w:lineRule="auto"/>
            </w:pPr>
            <w:r>
              <w:rPr>
                <w:rFonts w:ascii="Calibri" w:hAnsi="Calibri"/>
                <w:b w:val="0"/>
                <w:i w:val="0"/>
                <w:color w:val="212121"/>
                <w:sz w:val="19"/>
              </w:rPr>
              <w:t>Low water, high caffeine/alcohol intake</w:t>
            </w:r>
          </w:p>
        </w:tc>
        <w:tc>
          <w:tcPr>
            <w:tcW w:type="dxa" w:w="4276"/>
            <w:vAlign w:val="top"/>
          </w:tcPr>
          <w:p>
            <w:pPr>
              <w:spacing w:after="60" w:line="259" w:lineRule="auto"/>
            </w:pPr>
            <w:r>
              <w:rPr>
                <w:rFonts w:ascii="Calibri" w:hAnsi="Calibri"/>
                <w:b w:val="0"/>
                <w:i w:val="0"/>
                <w:color w:val="212121"/>
                <w:sz w:val="19"/>
              </w:rPr>
              <w:t>Chronically low fluid intake concentrates urine and slows clearance of bacteria; heavy caffeine and alcohol act as bladder irritants and diuretics that may worsen urinary symptoms, though they are not primary causes.</w:t>
            </w:r>
          </w:p>
          <w:p>
            <w:pPr>
              <w:spacing w:after="40" w:before="60" w:line="259" w:lineRule="auto"/>
            </w:pPr>
            <w:r>
              <w:rPr>
                <w:rFonts w:ascii="Calibri" w:hAnsi="Calibri"/>
                <w:b w:val="0"/>
                <w:i w:val="0"/>
                <w:color w:val="212121"/>
                <w:sz w:val="19"/>
              </w:rPr>
              <w:t>Higher daily water intake is an effective antimicrobial-sparing strategy for recurrent UTI; direct dietary links to pyelonephritis are otherwise weak.</w:t>
            </w:r>
          </w:p>
          <w:p>
            <w:pPr>
              <w:spacing w:after="40" w:line="252" w:lineRule="auto"/>
            </w:pPr>
            <w:hyperlink r:id="rId15">
              <w:r>
                <w:rPr>
                  <w:rFonts w:ascii="Calibri" w:hAnsi="Calibri" w:cs="Calibri"/>
                  <w:sz w:val="18"/>
                  <w:color w:val="1155CC"/>
                  <w:u w:val="single"/>
                </w:rPr>
                <w:t xml:space="preserve">bjgp.org — fluid intake and UTI meta-analysis</w:t>
              </w:r>
            </w:hyperlink>
          </w:p>
          <w:p>
            <w:pPr>
              <w:spacing w:before="60" w:after="40"/>
            </w:pPr>
            <w:r>
              <w:rPr>
                <w:rFonts w:ascii="Calibri" w:hAnsi="Calibri"/>
                <w:b w:val="0"/>
                <w:i w:val="0"/>
                <w:color w:val="5A5A5A"/>
                <w:sz w:val="18"/>
              </w:rPr>
              <w:t>#hydration  #bladderirritants  #caffeine  #concentratedurine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maternal history</w:t>
            </w:r>
          </w:p>
        </w:tc>
        <w:tc>
          <w:tcPr>
            <w:tcW w:type="dxa" w:w="2160"/>
            <w:vAlign w:val="top"/>
          </w:tcPr>
          <w:p>
            <w:pPr>
              <w:spacing w:after="40" w:before="0" w:line="259" w:lineRule="auto"/>
            </w:pPr>
            <w:r>
              <w:rPr>
                <w:rFonts w:ascii="Calibri" w:hAnsi="Calibri"/>
                <w:b w:val="0"/>
                <w:i w:val="0"/>
                <w:color w:val="212121"/>
                <w:sz w:val="19"/>
              </w:rPr>
              <w:t>Women with maternal history of UTI; familial VUR</w:t>
            </w:r>
          </w:p>
        </w:tc>
        <w:tc>
          <w:tcPr>
            <w:tcW w:type="dxa" w:w="4276"/>
            <w:vAlign w:val="top"/>
          </w:tcPr>
          <w:p>
            <w:pPr>
              <w:spacing w:after="60" w:line="259" w:lineRule="auto"/>
            </w:pPr>
            <w:r>
              <w:rPr>
                <w:rFonts w:ascii="Calibri" w:hAnsi="Calibri"/>
                <w:b w:val="0"/>
                <w:i w:val="0"/>
                <w:color w:val="212121"/>
                <w:sz w:val="19"/>
              </w:rPr>
              <w:t>A maternal history of recurrent UTI and familial vesicoureteral reflux cluster in families, reflecting inherited uroepithelial receptor and anatomical susceptibility to bacterial adhesion and ascent.</w:t>
            </w:r>
          </w:p>
          <w:p>
            <w:pPr>
              <w:spacing w:after="40" w:before="60" w:line="259" w:lineRule="auto"/>
            </w:pPr>
            <w:r>
              <w:rPr>
                <w:rFonts w:ascii="Calibri" w:hAnsi="Calibri"/>
                <w:b w:val="0"/>
                <w:i w:val="0"/>
                <w:color w:val="212121"/>
                <w:sz w:val="19"/>
              </w:rPr>
              <w:t>Maternal history of UTI is an independent risk factor for pyelonephritis, and VUR shows strong familial inheritance; non-secretor and P blood-group phenotypes increase E. coli adhesion.</w:t>
            </w:r>
          </w:p>
          <w:p>
            <w:pPr>
              <w:spacing w:after="40" w:line="252" w:lineRule="auto"/>
            </w:pPr>
            <w:hyperlink r:id="rId13">
              <w:r>
                <w:rPr>
                  <w:rFonts w:ascii="Calibri" w:hAnsi="Calibri" w:cs="Calibri"/>
                  <w:sz w:val="18"/>
                  <w:color w:val="1155CC"/>
                  <w:u w:val="single"/>
                </w:rPr>
                <w:t xml:space="preserve">pubmed — Scholes et al., maternal history</w:t>
              </w:r>
            </w:hyperlink>
          </w:p>
          <w:p>
            <w:pPr>
              <w:spacing w:before="60" w:after="40"/>
            </w:pPr>
            <w:r>
              <w:rPr>
                <w:rFonts w:ascii="Calibri" w:hAnsi="Calibri"/>
                <w:b w:val="0"/>
                <w:i w:val="0"/>
                <w:color w:val="5A5A5A"/>
                <w:sz w:val="18"/>
              </w:rPr>
              <w:t>#familyhistory  #VUR  #nonsecretor  #Pbloodgroup  #adhesion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(esp. poorly controlled)</w:t>
            </w:r>
          </w:p>
        </w:tc>
        <w:tc>
          <w:tcPr>
            <w:tcW w:type="dxa" w:w="4276"/>
            <w:vAlign w:val="top"/>
          </w:tcPr>
          <w:p>
            <w:pPr>
              <w:spacing w:after="60" w:line="259" w:lineRule="auto"/>
            </w:pPr>
            <w:r>
              <w:rPr>
                <w:rFonts w:ascii="Calibri" w:hAnsi="Calibri"/>
                <w:b w:val="0"/>
                <w:i w:val="0"/>
                <w:color w:val="212121"/>
                <w:sz w:val="19"/>
              </w:rPr>
              <w:t>Glycosuria feeds bacterial growth, hyperglycaemia impairs neutrophil function, and autonomic neuropathy causes incomplete bladder emptying - together predisposing to severe, complicated and emphysematous pyelonephritis.</w:t>
            </w:r>
          </w:p>
          <w:p>
            <w:pPr>
              <w:spacing w:after="40" w:before="60" w:line="259" w:lineRule="auto"/>
            </w:pPr>
            <w:r>
              <w:rPr>
                <w:rFonts w:ascii="Calibri" w:hAnsi="Calibri"/>
                <w:b w:val="0"/>
                <w:i w:val="0"/>
                <w:color w:val="212121"/>
                <w:sz w:val="19"/>
              </w:rPr>
              <w:t>Diabetes was present in 54.4% of an Indian pyelonephritis cohort (the commonest risk factor), and in ~90% of emphysematous pyelonephritis cases (mean HbA1c ~12%).</w:t>
            </w:r>
          </w:p>
          <w:p>
            <w:pPr>
              <w:spacing w:after="40" w:line="252" w:lineRule="auto"/>
            </w:pPr>
            <w:hyperlink r:id="rId16">
              <w:r>
                <w:rPr>
                  <w:rFonts w:ascii="Calibri" w:hAnsi="Calibri" w:cs="Calibri"/>
                  <w:sz w:val="18"/>
                  <w:color w:val="1155CC"/>
                  <w:u w:val="single"/>
                </w:rPr>
                <w:t xml:space="preserve">indianjnephrol.org — emphysematous pyelonephritis in T2DM</w:t>
              </w:r>
            </w:hyperlink>
          </w:p>
          <w:p>
            <w:pPr>
              <w:spacing w:before="60" w:after="40"/>
            </w:pPr>
            <w:r>
              <w:rPr>
                <w:rFonts w:ascii="Calibri" w:hAnsi="Calibri"/>
                <w:b w:val="0"/>
                <w:i w:val="0"/>
                <w:color w:val="5A5A5A"/>
                <w:sz w:val="18"/>
              </w:rPr>
              <w:t>#diabetes  #glycosuria  #emphysematous  #immunedysfunction  #HbA1c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Urolithiasis</w:t>
            </w:r>
          </w:p>
        </w:tc>
        <w:tc>
          <w:tcPr>
            <w:tcW w:type="dxa" w:w="2160"/>
            <w:vAlign w:val="top"/>
          </w:tcPr>
          <w:p>
            <w:pPr>
              <w:spacing w:after="40" w:before="0" w:line="259" w:lineRule="auto"/>
            </w:pPr>
            <w:r>
              <w:rPr>
                <w:rFonts w:ascii="Calibri" w:hAnsi="Calibri"/>
                <w:b w:val="0"/>
                <w:i w:val="0"/>
                <w:color w:val="212121"/>
                <w:sz w:val="19"/>
              </w:rPr>
              <w:t>Patients with kidney/ureteric stones</w:t>
            </w:r>
          </w:p>
        </w:tc>
        <w:tc>
          <w:tcPr>
            <w:tcW w:type="dxa" w:w="4276"/>
            <w:vAlign w:val="top"/>
          </w:tcPr>
          <w:p>
            <w:pPr>
              <w:spacing w:after="60" w:line="259" w:lineRule="auto"/>
            </w:pPr>
            <w:r>
              <w:rPr>
                <w:rFonts w:ascii="Calibri" w:hAnsi="Calibri"/>
                <w:b w:val="0"/>
                <w:i w:val="0"/>
                <w:color w:val="212121"/>
                <w:sz w:val="19"/>
              </w:rPr>
              <w:t>Calculi cause obstruction and stasis and act as a nidus harbouring bacteria (especially urease-producing organisms), predisposing to recurrent and obstructive pyelonephritis and pyonephrosis.</w:t>
            </w:r>
          </w:p>
          <w:p>
            <w:pPr>
              <w:spacing w:after="40" w:before="60" w:line="259" w:lineRule="auto"/>
            </w:pPr>
            <w:r>
              <w:rPr>
                <w:rFonts w:ascii="Calibri" w:hAnsi="Calibri"/>
                <w:b w:val="0"/>
                <w:i w:val="0"/>
                <w:color w:val="212121"/>
                <w:sz w:val="19"/>
              </w:rPr>
              <w:t>Renal calculi were present in 14-19% of Indian acute pyelonephritis patients across hospital series.</w:t>
            </w:r>
          </w:p>
          <w:p>
            <w:pPr>
              <w:spacing w:after="40" w:line="252" w:lineRule="auto"/>
            </w:pPr>
            <w:hyperlink r:id="rId14">
              <w:r>
                <w:rPr>
                  <w:rFonts w:ascii="Calibri" w:hAnsi="Calibri" w:cs="Calibri"/>
                  <w:sz w:val="18"/>
                  <w:color w:val="1155CC"/>
                  <w:u w:val="single"/>
                </w:rPr>
                <w:t xml:space="preserve">jebmh.com — urolithiasis in acute pyelonephritis</w:t>
              </w:r>
            </w:hyperlink>
          </w:p>
          <w:p>
            <w:pPr>
              <w:spacing w:before="60" w:after="40"/>
            </w:pPr>
            <w:r>
              <w:rPr>
                <w:rFonts w:ascii="Calibri" w:hAnsi="Calibri"/>
                <w:b w:val="0"/>
                <w:i w:val="0"/>
                <w:color w:val="5A5A5A"/>
                <w:sz w:val="18"/>
              </w:rPr>
              <w:t>#stones  #obstruction  #stasis  #nidus  #pyonephrosis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(esp. 2nd trimester)</w:t>
            </w:r>
          </w:p>
        </w:tc>
        <w:tc>
          <w:tcPr>
            <w:tcW w:type="dxa" w:w="4276"/>
            <w:vAlign w:val="top"/>
          </w:tcPr>
          <w:p>
            <w:pPr>
              <w:spacing w:after="60" w:line="259" w:lineRule="auto"/>
            </w:pPr>
            <w:r>
              <w:rPr>
                <w:rFonts w:ascii="Calibri" w:hAnsi="Calibri"/>
                <w:b w:val="0"/>
                <w:i w:val="0"/>
                <w:color w:val="212121"/>
                <w:sz w:val="19"/>
              </w:rPr>
              <w:t>Progesterone-mediated smooth-muscle relaxation and mechanical ureteric compression cause urinary stasis; untreated asymptomatic bacteriuria therefore readily ascends, making pyelonephritis a leading medical complication of pregnancy.</w:t>
            </w:r>
          </w:p>
          <w:p>
            <w:pPr>
              <w:spacing w:after="40" w:before="60" w:line="259" w:lineRule="auto"/>
            </w:pPr>
            <w:r>
              <w:rPr>
                <w:rFonts w:ascii="Calibri" w:hAnsi="Calibri"/>
                <w:b w:val="0"/>
                <w:i w:val="0"/>
                <w:color w:val="212121"/>
                <w:sz w:val="19"/>
              </w:rPr>
              <w:t>Pyelonephritis complicates 1-2% of pregnancies (usually 2nd trimester); about 25% of untreated asymptomatic bacteriuria progresses to symptomatic UTI/pyelonephritis, with ~11% preterm delivery.</w:t>
            </w:r>
          </w:p>
          <w:p>
            <w:pPr>
              <w:spacing w:after="40" w:line="252" w:lineRule="auto"/>
            </w:pPr>
            <w:hyperlink r:id="rId17">
              <w:r>
                <w:rPr>
                  <w:rFonts w:ascii="Calibri" w:hAnsi="Calibri" w:cs="Calibri"/>
                  <w:sz w:val="18"/>
                  <w:color w:val="1155CC"/>
                  <w:u w:val="single"/>
                </w:rPr>
                <w:t xml:space="preserve">ncbi.nlm.nih.gov — UTI in pregnancy (StatPearls)</w:t>
              </w:r>
            </w:hyperlink>
          </w:p>
          <w:p>
            <w:pPr>
              <w:spacing w:before="60" w:after="40"/>
            </w:pPr>
            <w:r>
              <w:rPr>
                <w:rFonts w:ascii="Calibri" w:hAnsi="Calibri"/>
                <w:b w:val="0"/>
                <w:i w:val="0"/>
                <w:color w:val="5A5A5A"/>
                <w:sz w:val="18"/>
              </w:rPr>
              <w:t>#pregnancy  #asymptomaticbacteriuria  #stasis  #pretermbirth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Bladder outlet obstruction (BPH)</w:t>
            </w:r>
          </w:p>
        </w:tc>
        <w:tc>
          <w:tcPr>
            <w:tcW w:type="dxa" w:w="2160"/>
            <w:vAlign w:val="top"/>
          </w:tcPr>
          <w:p>
            <w:pPr>
              <w:spacing w:after="40" w:before="0" w:line="259" w:lineRule="auto"/>
            </w:pPr>
            <w:r>
              <w:rPr>
                <w:rFonts w:ascii="Calibri" w:hAnsi="Calibri"/>
                <w:b w:val="0"/>
                <w:i w:val="0"/>
                <w:color w:val="212121"/>
                <w:sz w:val="19"/>
              </w:rPr>
              <w:t>Older men with benign prostatic hyperplasia</w:t>
            </w:r>
          </w:p>
        </w:tc>
        <w:tc>
          <w:tcPr>
            <w:tcW w:type="dxa" w:w="4276"/>
            <w:vAlign w:val="top"/>
          </w:tcPr>
          <w:p>
            <w:pPr>
              <w:spacing w:after="60" w:line="259" w:lineRule="auto"/>
            </w:pPr>
            <w:r>
              <w:rPr>
                <w:rFonts w:ascii="Calibri" w:hAnsi="Calibri"/>
                <w:b w:val="0"/>
                <w:i w:val="0"/>
                <w:color w:val="212121"/>
                <w:sz w:val="19"/>
              </w:rPr>
              <w:t>Prostatic enlargement causes incomplete emptying, high post-void residual urine and stasis, promoting bacterial persistence and ascending infection, often requiring catheterisation that adds further risk.</w:t>
            </w:r>
          </w:p>
          <w:p>
            <w:pPr>
              <w:spacing w:after="40" w:before="60" w:line="259" w:lineRule="auto"/>
            </w:pPr>
            <w:r>
              <w:rPr>
                <w:rFonts w:ascii="Calibri" w:hAnsi="Calibri"/>
                <w:b w:val="0"/>
                <w:i w:val="0"/>
                <w:color w:val="212121"/>
                <w:sz w:val="19"/>
              </w:rPr>
              <w:t>Benign prostatic hyperplasia was documented in ~6.7% of an Indian pyelonephritis cohort and underlies male complicated disease.</w:t>
            </w:r>
          </w:p>
          <w:p>
            <w:pPr>
              <w:spacing w:after="40" w:line="252" w:lineRule="auto"/>
            </w:pPr>
            <w:hyperlink r:id="rId10">
              <w:r>
                <w:rPr>
                  <w:rFonts w:ascii="Calibri" w:hAnsi="Calibri" w:cs="Calibri"/>
                  <w:sz w:val="18"/>
                  <w:color w:val="1155CC"/>
                  <w:u w:val="single"/>
                </w:rPr>
                <w:t xml:space="preserve">indianjnephrol.org — BPH among pyelonephritis patients</w:t>
              </w:r>
            </w:hyperlink>
          </w:p>
          <w:p>
            <w:pPr>
              <w:spacing w:before="60" w:after="40"/>
            </w:pPr>
            <w:r>
              <w:rPr>
                <w:rFonts w:ascii="Calibri" w:hAnsi="Calibri"/>
                <w:b w:val="0"/>
                <w:i w:val="0"/>
                <w:color w:val="5A5A5A"/>
                <w:sz w:val="18"/>
              </w:rPr>
              <w:t>#BPH  #postvoidresidual  #obstruction  #malecomplicated  #stasis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 renal transplant</w:t>
            </w:r>
          </w:p>
        </w:tc>
        <w:tc>
          <w:tcPr>
            <w:tcW w:type="dxa" w:w="2160"/>
            <w:vAlign w:val="top"/>
          </w:tcPr>
          <w:p>
            <w:pPr>
              <w:spacing w:after="40" w:before="0" w:line="259" w:lineRule="auto"/>
            </w:pPr>
            <w:r>
              <w:rPr>
                <w:rFonts w:ascii="Calibri" w:hAnsi="Calibri"/>
                <w:b w:val="0"/>
                <w:i w:val="0"/>
                <w:color w:val="212121"/>
                <w:sz w:val="19"/>
              </w:rPr>
              <w:t>Transplant recipients, immunocompromised</w:t>
            </w:r>
          </w:p>
        </w:tc>
        <w:tc>
          <w:tcPr>
            <w:tcW w:type="dxa" w:w="4276"/>
            <w:vAlign w:val="top"/>
          </w:tcPr>
          <w:p>
            <w:pPr>
              <w:spacing w:after="60" w:line="259" w:lineRule="auto"/>
            </w:pPr>
            <w:r>
              <w:rPr>
                <w:rFonts w:ascii="Calibri" w:hAnsi="Calibri"/>
                <w:b w:val="0"/>
                <w:i w:val="0"/>
                <w:color w:val="212121"/>
                <w:sz w:val="19"/>
              </w:rPr>
              <w:t>Immunosuppressive therapy, the surgically altered (often refluxing) transplant ureter, and stents/catheters make graft pyelonephritis common and threaten graft function.</w:t>
            </w:r>
          </w:p>
          <w:p>
            <w:pPr>
              <w:spacing w:after="40" w:before="60" w:line="259" w:lineRule="auto"/>
            </w:pPr>
            <w:r>
              <w:rPr>
                <w:rFonts w:ascii="Calibri" w:hAnsi="Calibri"/>
                <w:b w:val="0"/>
                <w:i w:val="0"/>
                <w:color w:val="212121"/>
                <w:sz w:val="19"/>
              </w:rPr>
              <w:t>A single episode of transplant pyelonephritis is associated with about a 45% higher risk of graft loss.</w:t>
            </w:r>
          </w:p>
          <w:p>
            <w:pPr>
              <w:spacing w:after="40" w:line="252" w:lineRule="auto"/>
            </w:pPr>
            <w:hyperlink r:id="rId18">
              <w:r>
                <w:rPr>
                  <w:rFonts w:ascii="Calibri" w:hAnsi="Calibri" w:cs="Calibri"/>
                  <w:sz w:val="18"/>
                  <w:color w:val="1155CC"/>
                  <w:u w:val="single"/>
                </w:rPr>
                <w:t xml:space="preserve">ncbi.nlm.nih.gov — acute pyelonephritis (StatPearls)</w:t>
              </w:r>
            </w:hyperlink>
          </w:p>
          <w:p>
            <w:pPr>
              <w:spacing w:before="60" w:after="40"/>
            </w:pPr>
            <w:r>
              <w:rPr>
                <w:rFonts w:ascii="Calibri" w:hAnsi="Calibri"/>
                <w:b w:val="0"/>
                <w:i w:val="0"/>
                <w:color w:val="5A5A5A"/>
                <w:sz w:val="18"/>
              </w:rPr>
              <w:t>#transplant  #immunosuppression  #graftloss  #refluxingureter  #complicated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link to pyelonephritis; however immobility and prolonged bed rest promote urinary stasis and catheter dependence, while regular activity supports overall immune function and bladder emptying.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has a weak direct effect; adequate fluids and possibly cranberry products may modestly reduce recurrent lower UTI, but evidence for preventing pyelonephritis specifically is limited.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impairs immune defences and may increase susceptibility to infection, but no direct causal link to pyelonephritis is established.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a bladder carcinogen and may modestly increase UTI risk; it worsens vascular and immune function relevant to infection severity, though direct evidence for pyelonephritis is weak.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a bladder irritant and diuretic and heavy use impairs immunity; there is no strong direct association with pyelonephritis incidence.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can blunt immune responses and reduce self-care and hydration; the link to pyelonephritis is indirect and weak.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hydration is the best-supported lifestyle factor: an RCT showed ~1.5 L extra water daily cut recurrent cystitis by ~47% and halved antibiotic use by maintaining urine flow that flushes bacteria before they ascend.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bladder irritant and mild diuretic; it may aggravate urinary urgency/frequency but is not an established risk factor for pyelonephritis.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Perineal hygiene, front-to-back wiping, post-coital voiding and strict aseptic catheter care meaningfully reduce periurethral colonisation and catheter-associated UTI that seed ascending pyelonephritis.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Sexual intercourse, spermicide/diaphragm use, catheterisation and instrumentation, urinary obstruction (stones, BPH), pregnancy and uncontrolled diabetes are the dominant precipitants of ascending upper-tract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(litres/day)</w:t>
            </w:r>
          </w:p>
        </w:tc>
        <w:tc>
          <w:tcPr>
            <w:tcW w:type="dxa" w:w="1655"/>
            <w:vAlign w:val="top"/>
          </w:tcPr>
          <w:p>
            <w:pPr>
              <w:spacing w:after="40" w:before="0" w:line="259" w:lineRule="auto"/>
            </w:pPr>
            <w:r>
              <w:rPr>
                <w:rFonts w:ascii="Calibri" w:hAnsi="Calibri"/>
                <w:b w:val="0"/>
                <w:i w:val="0"/>
                <w:color w:val="212121"/>
                <w:sz w:val="19"/>
              </w:rPr>
              <w:t>Adults, recurrent-UTI patients</w:t>
            </w:r>
          </w:p>
        </w:tc>
        <w:tc>
          <w:tcPr>
            <w:tcW w:type="dxa" w:w="1512"/>
            <w:vAlign w:val="top"/>
          </w:tcPr>
          <w:p>
            <w:pPr>
              <w:spacing w:after="40" w:before="0" w:line="259" w:lineRule="auto"/>
            </w:pPr>
            <w:r>
              <w:rPr>
                <w:rFonts w:ascii="Calibri" w:hAnsi="Calibri"/>
                <w:b w:val="0"/>
                <w:i w:val="0"/>
                <w:color w:val="212121"/>
                <w:sz w:val="19"/>
              </w:rPr>
              <w:t>&gt;= 2.0-2.5 L/day (unless restricted)</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60" w:line="259" w:lineRule="auto"/>
            </w:pPr>
            <w:r>
              <w:rPr>
                <w:rFonts w:ascii="Calibri" w:hAnsi="Calibri"/>
                <w:b w:val="0"/>
                <w:i w:val="0"/>
                <w:color w:val="212121"/>
                <w:sz w:val="19"/>
              </w:rPr>
              <w:t>Higher intake maintains urine flow; +1.5 L/day cut recurrent UTI ~47%</w:t>
            </w:r>
          </w:p>
          <w:p>
            <w:pPr>
              <w:spacing w:after="40" w:line="252" w:lineRule="auto"/>
            </w:pPr>
            <w:hyperlink r:id="rId12">
              <w:r>
                <w:rPr>
                  <w:rFonts w:ascii="Calibri" w:hAnsi="Calibri" w:cs="Calibri"/>
                  <w:sz w:val="18"/>
                  <w:color w:val="1155CC"/>
                  <w:u w:val="single"/>
                </w:rPr>
                <w:t xml:space="preserve">https://jamanetwork.com/journals/jamainternalmedicine/fullarticle/2705079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urine output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~1.5-2.0 L/day, pale urine</w:t>
            </w:r>
          </w:p>
        </w:tc>
        <w:tc>
          <w:tcPr>
            <w:tcW w:type="dxa" w:w="1512"/>
            <w:vAlign w:val="top"/>
          </w:tcPr>
          <w:p>
            <w:pPr>
              <w:spacing w:after="40" w:before="0" w:line="259" w:lineRule="auto"/>
            </w:pPr>
            <w:r>
              <w:rPr>
                <w:rFonts w:ascii="Calibri" w:hAnsi="Calibri"/>
                <w:b w:val="0"/>
                <w:i w:val="0"/>
                <w:color w:val="212121"/>
                <w:sz w:val="19"/>
              </w:rPr>
              <w:t>&lt; 1 L/day or dark, concentrated urine</w:t>
            </w:r>
          </w:p>
        </w:tc>
        <w:tc>
          <w:tcPr>
            <w:tcW w:type="dxa" w:w="1468"/>
            <w:vAlign w:val="top"/>
          </w:tcPr>
          <w:p>
            <w:pPr>
              <w:spacing w:after="40" w:before="0" w:line="259" w:lineRule="auto"/>
            </w:pPr>
            <w:r>
              <w:rPr>
                <w:rFonts w:ascii="Calibri" w:hAnsi="Calibri"/>
                <w:b w:val="0"/>
                <w:i w:val="0"/>
                <w:color w:val="212121"/>
                <w:sz w:val="19"/>
              </w:rPr>
              <w:t>Low output reflects dehydration and stasis favouring bacterial adhesion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Post-void residual urine volume</w:t>
            </w:r>
          </w:p>
        </w:tc>
        <w:tc>
          <w:tcPr>
            <w:tcW w:type="dxa" w:w="1655"/>
            <w:vAlign w:val="top"/>
          </w:tcPr>
          <w:p>
            <w:pPr>
              <w:spacing w:after="40" w:before="0" w:line="259" w:lineRule="auto"/>
            </w:pPr>
            <w:r>
              <w:rPr>
                <w:rFonts w:ascii="Calibri" w:hAnsi="Calibri"/>
                <w:b w:val="0"/>
                <w:i w:val="0"/>
                <w:color w:val="212121"/>
                <w:sz w:val="19"/>
              </w:rPr>
              <w:t>Elderly men, neurogenic bladder, BPH</w:t>
            </w:r>
          </w:p>
        </w:tc>
        <w:tc>
          <w:tcPr>
            <w:tcW w:type="dxa" w:w="1512"/>
            <w:vAlign w:val="top"/>
          </w:tcPr>
          <w:p>
            <w:pPr>
              <w:spacing w:after="40" w:before="0" w:line="259" w:lineRule="auto"/>
            </w:pPr>
            <w:r>
              <w:rPr>
                <w:rFonts w:ascii="Calibri" w:hAnsi="Calibri"/>
                <w:b w:val="0"/>
                <w:i w:val="0"/>
                <w:color w:val="212121"/>
                <w:sz w:val="19"/>
              </w:rPr>
              <w:t>&lt; 50 mL</w:t>
            </w:r>
          </w:p>
        </w:tc>
        <w:tc>
          <w:tcPr>
            <w:tcW w:type="dxa" w:w="1512"/>
            <w:vAlign w:val="top"/>
          </w:tcPr>
          <w:p>
            <w:pPr>
              <w:spacing w:after="40" w:before="0" w:line="259" w:lineRule="auto"/>
            </w:pPr>
            <w:r>
              <w:rPr>
                <w:rFonts w:ascii="Calibri" w:hAnsi="Calibri"/>
                <w:b w:val="0"/>
                <w:i w:val="0"/>
                <w:color w:val="212121"/>
                <w:sz w:val="19"/>
              </w:rPr>
              <w:t>&gt; 100-200 mL</w:t>
            </w:r>
          </w:p>
        </w:tc>
        <w:tc>
          <w:tcPr>
            <w:tcW w:type="dxa" w:w="1468"/>
            <w:vAlign w:val="top"/>
          </w:tcPr>
          <w:p>
            <w:pPr>
              <w:spacing w:after="40" w:before="0" w:line="259" w:lineRule="auto"/>
            </w:pPr>
            <w:r>
              <w:rPr>
                <w:rFonts w:ascii="Calibri" w:hAnsi="Calibri"/>
                <w:b w:val="0"/>
                <w:i w:val="0"/>
                <w:color w:val="212121"/>
                <w:sz w:val="19"/>
              </w:rPr>
              <w:t>High residual indicates incomplete emptying and stasis promoting ascent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Indwelling catheter duration</w:t>
            </w:r>
          </w:p>
        </w:tc>
        <w:tc>
          <w:tcPr>
            <w:tcW w:type="dxa" w:w="1655"/>
            <w:vAlign w:val="top"/>
          </w:tcPr>
          <w:p>
            <w:pPr>
              <w:spacing w:after="40" w:before="0" w:line="259" w:lineRule="auto"/>
            </w:pPr>
            <w:r>
              <w:rPr>
                <w:rFonts w:ascii="Calibri" w:hAnsi="Calibri"/>
                <w:b w:val="0"/>
                <w:i w:val="0"/>
                <w:color w:val="212121"/>
                <w:sz w:val="19"/>
              </w:rPr>
              <w:t>Hospitalised, post-operative patients</w:t>
            </w:r>
          </w:p>
        </w:tc>
        <w:tc>
          <w:tcPr>
            <w:tcW w:type="dxa" w:w="1512"/>
            <w:vAlign w:val="top"/>
          </w:tcPr>
          <w:p>
            <w:pPr>
              <w:spacing w:after="40" w:before="0" w:line="259" w:lineRule="auto"/>
            </w:pPr>
            <w:r>
              <w:rPr>
                <w:rFonts w:ascii="Calibri" w:hAnsi="Calibri"/>
                <w:b w:val="0"/>
                <w:i w:val="0"/>
                <w:color w:val="212121"/>
                <w:sz w:val="19"/>
              </w:rPr>
              <w:t>Avoid / remove as early as possible</w:t>
            </w:r>
          </w:p>
        </w:tc>
        <w:tc>
          <w:tcPr>
            <w:tcW w:type="dxa" w:w="1512"/>
            <w:vAlign w:val="top"/>
          </w:tcPr>
          <w:p>
            <w:pPr>
              <w:spacing w:after="40" w:before="0" w:line="259" w:lineRule="auto"/>
            </w:pPr>
            <w:r>
              <w:rPr>
                <w:rFonts w:ascii="Calibri" w:hAnsi="Calibri"/>
                <w:b w:val="0"/>
                <w:i w:val="0"/>
                <w:color w:val="212121"/>
                <w:sz w:val="19"/>
              </w:rPr>
              <w:t>Prolonged / unjustified catheterisation</w:t>
            </w:r>
          </w:p>
        </w:tc>
        <w:tc>
          <w:tcPr>
            <w:tcW w:type="dxa" w:w="1468"/>
            <w:vAlign w:val="top"/>
          </w:tcPr>
          <w:p>
            <w:pPr>
              <w:spacing w:after="40" w:before="0" w:line="259" w:lineRule="auto"/>
            </w:pPr>
            <w:r>
              <w:rPr>
                <w:rFonts w:ascii="Calibri" w:hAnsi="Calibri"/>
                <w:b w:val="0"/>
                <w:i w:val="0"/>
                <w:color w:val="212121"/>
                <w:sz w:val="19"/>
              </w:rPr>
              <w:t>Catheter days correlate directly with CAUTI and pyelonephritis risk</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Post-coital voiding habit</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Void within 15-30 min after intercourse</w:t>
            </w:r>
          </w:p>
        </w:tc>
        <w:tc>
          <w:tcPr>
            <w:tcW w:type="dxa" w:w="1512"/>
            <w:vAlign w:val="top"/>
          </w:tcPr>
          <w:p>
            <w:pPr>
              <w:spacing w:after="40" w:before="0" w:line="259" w:lineRule="auto"/>
            </w:pPr>
            <w:r>
              <w:rPr>
                <w:rFonts w:ascii="Calibri" w:hAnsi="Calibri"/>
                <w:b w:val="0"/>
                <w:i w:val="0"/>
                <w:color w:val="212121"/>
                <w:sz w:val="19"/>
              </w:rPr>
              <w:t>Not voiding after intercourse</w:t>
            </w:r>
          </w:p>
        </w:tc>
        <w:tc>
          <w:tcPr>
            <w:tcW w:type="dxa" w:w="1468"/>
            <w:vAlign w:val="top"/>
          </w:tcPr>
          <w:p>
            <w:pPr>
              <w:spacing w:after="40" w:before="0" w:line="259" w:lineRule="auto"/>
            </w:pPr>
            <w:r>
              <w:rPr>
                <w:rFonts w:ascii="Calibri" w:hAnsi="Calibri"/>
                <w:b w:val="0"/>
                <w:i w:val="0"/>
                <w:color w:val="212121"/>
                <w:sz w:val="19"/>
              </w:rPr>
              <w:t>Mechanically clears introduced periurethral bacteria</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HbA1c (glycaemic control)</w:t>
            </w:r>
          </w:p>
        </w:tc>
        <w:tc>
          <w:tcPr>
            <w:tcW w:type="dxa" w:w="1655"/>
            <w:vAlign w:val="top"/>
          </w:tcPr>
          <w:p>
            <w:pPr>
              <w:spacing w:after="40" w:before="0" w:line="259" w:lineRule="auto"/>
            </w:pPr>
            <w:r>
              <w:rPr>
                <w:rFonts w:ascii="Calibri" w:hAnsi="Calibri"/>
                <w:b w:val="0"/>
                <w:i w:val="0"/>
                <w:color w:val="212121"/>
                <w:sz w:val="19"/>
              </w:rPr>
              <w:t>Diabetic patients</w:t>
            </w:r>
          </w:p>
        </w:tc>
        <w:tc>
          <w:tcPr>
            <w:tcW w:type="dxa" w:w="1512"/>
            <w:vAlign w:val="top"/>
          </w:tcPr>
          <w:p>
            <w:pPr>
              <w:spacing w:after="40" w:before="0" w:line="259" w:lineRule="auto"/>
            </w:pPr>
            <w:r>
              <w:rPr>
                <w:rFonts w:ascii="Calibri" w:hAnsi="Calibri"/>
                <w:b w:val="0"/>
                <w:i w:val="0"/>
                <w:color w:val="212121"/>
                <w:sz w:val="19"/>
              </w:rPr>
              <w:t>&lt; 7.0%</w:t>
            </w:r>
          </w:p>
        </w:tc>
        <w:tc>
          <w:tcPr>
            <w:tcW w:type="dxa" w:w="1512"/>
            <w:vAlign w:val="top"/>
          </w:tcPr>
          <w:p>
            <w:pPr>
              <w:spacing w:after="40" w:before="0" w:line="259" w:lineRule="auto"/>
            </w:pPr>
            <w:r>
              <w:rPr>
                <w:rFonts w:ascii="Calibri" w:hAnsi="Calibri"/>
                <w:b w:val="0"/>
                <w:i w:val="0"/>
                <w:color w:val="212121"/>
                <w:sz w:val="19"/>
              </w:rPr>
              <w:t>&gt;= 8-9% (poor control)</w:t>
            </w:r>
          </w:p>
        </w:tc>
        <w:tc>
          <w:tcPr>
            <w:tcW w:type="dxa" w:w="1468"/>
            <w:vAlign w:val="top"/>
          </w:tcPr>
          <w:p>
            <w:pPr>
              <w:spacing w:after="60" w:line="259" w:lineRule="auto"/>
            </w:pPr>
            <w:r>
              <w:rPr>
                <w:rFonts w:ascii="Calibri" w:hAnsi="Calibri"/>
                <w:b w:val="0"/>
                <w:i w:val="0"/>
                <w:color w:val="212121"/>
                <w:sz w:val="19"/>
              </w:rPr>
              <w:t>Poor control drives severe and emphysematous pyelonephritis; EPN mean HbA1c ~12%</w:t>
            </w:r>
          </w:p>
          <w:p>
            <w:pPr>
              <w:spacing w:after="40" w:line="252" w:lineRule="auto"/>
            </w:pPr>
            <w:hyperlink r:id="rId16">
              <w:r>
                <w:rPr>
                  <w:rFonts w:ascii="Calibri" w:hAnsi="Calibri" w:cs="Calibri"/>
                  <w:sz w:val="18"/>
                  <w:color w:val="1155CC"/>
                  <w:u w:val="single"/>
                </w:rPr>
                <w:t xml:space="preserve">https://indianjnephrol.org/a-prospective-study-of-emphysematous-pyelonephritis-in-patients-with-type-2-diabetes/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w:t>
            </w:r>
          </w:p>
        </w:tc>
        <w:tc>
          <w:tcPr>
            <w:tcW w:type="dxa" w:w="1655"/>
            <w:vAlign w:val="top"/>
          </w:tcPr>
          <w:p>
            <w:pPr>
              <w:spacing w:after="40" w:before="0" w:line="259" w:lineRule="auto"/>
            </w:pPr>
            <w:r>
              <w:rPr>
                <w:rFonts w:ascii="Calibri" w:hAnsi="Calibri"/>
                <w:b w:val="0"/>
                <w:i w:val="0"/>
                <w:color w:val="212121"/>
                <w:sz w:val="19"/>
              </w:rPr>
              <w:t>Diabetic / at-risk adults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&gt;= 126 mg/dL / uncontrolled</w:t>
            </w:r>
          </w:p>
        </w:tc>
        <w:tc>
          <w:tcPr>
            <w:tcW w:type="dxa" w:w="1468"/>
            <w:vAlign w:val="top"/>
          </w:tcPr>
          <w:p>
            <w:pPr>
              <w:spacing w:after="40" w:before="0" w:line="259" w:lineRule="auto"/>
            </w:pPr>
            <w:r>
              <w:rPr>
                <w:rFonts w:ascii="Calibri" w:hAnsi="Calibri"/>
                <w:b w:val="0"/>
                <w:i w:val="0"/>
                <w:color w:val="212121"/>
                <w:sz w:val="19"/>
              </w:rPr>
              <w:t>Glycosuria and hyperglycaemia impair host defence and feed uropathogens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Smoking impairs immunity and is a urothelial carcinogen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14 units/week or none</w:t>
            </w:r>
          </w:p>
        </w:tc>
        <w:tc>
          <w:tcPr>
            <w:tcW w:type="dxa" w:w="1512"/>
            <w:vAlign w:val="top"/>
          </w:tcPr>
          <w:p>
            <w:pPr>
              <w:spacing w:after="40" w:before="0" w:line="259" w:lineRule="auto"/>
            </w:pPr>
            <w:r>
              <w:rPr>
                <w:rFonts w:ascii="Calibri" w:hAnsi="Calibri"/>
                <w:b w:val="0"/>
                <w:i w:val="0"/>
                <w:color w:val="212121"/>
                <w:sz w:val="19"/>
              </w:rPr>
              <w:t>&gt; 14 units/week</w:t>
            </w:r>
          </w:p>
        </w:tc>
        <w:tc>
          <w:tcPr>
            <w:tcW w:type="dxa" w:w="1468"/>
            <w:vAlign w:val="top"/>
          </w:tcPr>
          <w:p>
            <w:pPr>
              <w:spacing w:after="40" w:before="0" w:line="259" w:lineRule="auto"/>
            </w:pPr>
            <w:r>
              <w:rPr>
                <w:rFonts w:ascii="Calibri" w:hAnsi="Calibri"/>
                <w:b w:val="0"/>
                <w:i w:val="0"/>
                <w:color w:val="212121"/>
                <w:sz w:val="19"/>
              </w:rPr>
              <w:t>Heavy use irritates the bladder and impairs immune defence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Urinalysis / dipstick (leukocyte esterase, nitrites)</w:t>
            </w:r>
          </w:p>
        </w:tc>
        <w:tc>
          <w:tcPr>
            <w:tcW w:type="dxa" w:w="892"/>
            <w:vAlign w:val="top"/>
          </w:tcPr>
          <w:p>
            <w:pPr>
              <w:spacing w:after="40" w:before="0" w:line="259" w:lineRule="auto"/>
            </w:pPr>
            <w:r>
              <w:rPr>
                <w:rFonts w:ascii="Calibri" w:hAnsi="Calibri"/>
                <w:b w:val="0"/>
                <w:i w:val="0"/>
                <w:color w:val="212121"/>
                <w:sz w:val="16"/>
              </w:rPr>
              <w:t>Urine routine &amp; microscopy</w:t>
            </w:r>
          </w:p>
        </w:tc>
        <w:tc>
          <w:tcPr>
            <w:tcW w:type="dxa" w:w="950"/>
            <w:vAlign w:val="top"/>
          </w:tcPr>
          <w:p>
            <w:pPr>
              <w:spacing w:after="40" w:before="0" w:line="259" w:lineRule="auto"/>
            </w:pPr>
            <w:r>
              <w:rPr>
                <w:rFonts w:ascii="Calibri" w:hAnsi="Calibri"/>
                <w:b w:val="0"/>
                <w:i w:val="0"/>
                <w:color w:val="212121"/>
                <w:sz w:val="16"/>
              </w:rPr>
              <w:t>No pyuria; nitrite negative</w:t>
            </w:r>
          </w:p>
        </w:tc>
        <w:tc>
          <w:tcPr>
            <w:tcW w:type="dxa" w:w="950"/>
            <w:vAlign w:val="top"/>
          </w:tcPr>
          <w:p>
            <w:pPr>
              <w:spacing w:after="40" w:before="0" w:line="259" w:lineRule="auto"/>
            </w:pPr>
            <w:r>
              <w:rPr>
                <w:rFonts w:ascii="Calibri" w:hAnsi="Calibri"/>
                <w:b w:val="0"/>
                <w:i w:val="0"/>
                <w:color w:val="212121"/>
                <w:sz w:val="16"/>
              </w:rPr>
              <w:t>Pyuria (&gt;= 10 WBC/hpf), positive leukocyte esterase and/or nitrites, bacteriuria, WBC casts</w:t>
            </w:r>
          </w:p>
        </w:tc>
        <w:tc>
          <w:tcPr>
            <w:tcW w:type="dxa" w:w="1036"/>
            <w:vAlign w:val="top"/>
          </w:tcPr>
          <w:p>
            <w:pPr>
              <w:spacing w:after="40" w:before="0" w:line="259" w:lineRule="auto"/>
            </w:pPr>
            <w:r>
              <w:rPr>
                <w:rFonts w:ascii="Calibri" w:hAnsi="Calibri"/>
                <w:b w:val="0"/>
                <w:i w:val="0"/>
                <w:color w:val="212121"/>
                <w:sz w:val="16"/>
              </w:rPr>
              <w:t>Screens for and supports urinary infection; WBC casts point to renal (upper-tract) origin</w:t>
            </w:r>
          </w:p>
        </w:tc>
        <w:tc>
          <w:tcPr>
            <w:tcW w:type="dxa" w:w="1036"/>
            <w:vAlign w:val="top"/>
          </w:tcPr>
          <w:p>
            <w:pPr>
              <w:spacing w:after="40" w:before="0" w:line="259" w:lineRule="auto"/>
            </w:pPr>
            <w:r>
              <w:rPr>
                <w:rFonts w:ascii="Calibri" w:hAnsi="Calibri"/>
                <w:b w:val="0"/>
                <w:i w:val="0"/>
                <w:color w:val="212121"/>
                <w:sz w:val="16"/>
              </w:rPr>
              <w:t>All suspected cases; pregnant women; diabetics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First-line / screening</w:t>
            </w:r>
          </w:p>
        </w:tc>
        <w:tc>
          <w:tcPr>
            <w:tcW w:type="dxa" w:w="720"/>
            <w:vAlign w:val="top"/>
          </w:tcPr>
          <w:p>
            <w:pPr>
              <w:spacing w:after="40" w:before="0" w:line="259" w:lineRule="auto"/>
            </w:pPr>
            <w:r>
              <w:rPr>
                <w:rFonts w:ascii="Calibri" w:hAnsi="Calibri"/>
                <w:b w:val="0"/>
                <w:i w:val="0"/>
                <w:color w:val="212121"/>
                <w:sz w:val="16"/>
              </w:rPr>
              <w:t>Nitrites positive in only ~25% despite infection; obtain before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Urine culture &amp; sensitivity</w:t>
            </w:r>
          </w:p>
        </w:tc>
        <w:tc>
          <w:tcPr>
            <w:tcW w:type="dxa" w:w="892"/>
            <w:vAlign w:val="top"/>
          </w:tcPr>
          <w:p>
            <w:pPr>
              <w:spacing w:after="40" w:before="0" w:line="259" w:lineRule="auto"/>
            </w:pPr>
            <w:r>
              <w:rPr>
                <w:rFonts w:ascii="Calibri" w:hAnsi="Calibri"/>
                <w:b w:val="0"/>
                <w:i w:val="0"/>
                <w:color w:val="212121"/>
                <w:sz w:val="16"/>
              </w:rPr>
              <w:t>Midstream/catheter urine culture</w:t>
            </w:r>
          </w:p>
        </w:tc>
        <w:tc>
          <w:tcPr>
            <w:tcW w:type="dxa" w:w="950"/>
            <w:vAlign w:val="top"/>
          </w:tcPr>
          <w:p>
            <w:pPr>
              <w:spacing w:after="40" w:before="0" w:line="259" w:lineRule="auto"/>
            </w:pPr>
            <w:r>
              <w:rPr>
                <w:rFonts w:ascii="Calibri" w:hAnsi="Calibri"/>
                <w:b w:val="0"/>
                <w:i w:val="0"/>
                <w:color w:val="212121"/>
                <w:sz w:val="16"/>
              </w:rPr>
              <w:t>No growth / &lt; 10^4 CFU/mL</w:t>
            </w:r>
          </w:p>
        </w:tc>
        <w:tc>
          <w:tcPr>
            <w:tcW w:type="dxa" w:w="950"/>
            <w:vAlign w:val="top"/>
          </w:tcPr>
          <w:p>
            <w:pPr>
              <w:spacing w:after="40" w:before="0" w:line="259" w:lineRule="auto"/>
            </w:pPr>
            <w:r>
              <w:rPr>
                <w:rFonts w:ascii="Calibri" w:hAnsi="Calibri"/>
                <w:b w:val="0"/>
                <w:i w:val="0"/>
                <w:color w:val="212121"/>
                <w:sz w:val="16"/>
              </w:rPr>
              <w:t>&gt;= 10^5 CFU/mL uropathogen (&gt;= 10^4 with symptoms/men)</w:t>
            </w:r>
          </w:p>
        </w:tc>
        <w:tc>
          <w:tcPr>
            <w:tcW w:type="dxa" w:w="1036"/>
            <w:vAlign w:val="top"/>
          </w:tcPr>
          <w:p>
            <w:pPr>
              <w:spacing w:after="40" w:before="0" w:line="259" w:lineRule="auto"/>
            </w:pPr>
            <w:r>
              <w:rPr>
                <w:rFonts w:ascii="Calibri" w:hAnsi="Calibri"/>
                <w:b w:val="0"/>
                <w:i w:val="0"/>
                <w:color w:val="212121"/>
                <w:sz w:val="16"/>
              </w:rPr>
              <w:t>Confirms organism and guides antibiotic choice in high-AMR settings</w:t>
            </w:r>
          </w:p>
        </w:tc>
        <w:tc>
          <w:tcPr>
            <w:tcW w:type="dxa" w:w="1036"/>
            <w:vAlign w:val="top"/>
          </w:tcPr>
          <w:p>
            <w:pPr>
              <w:spacing w:after="40" w:before="0" w:line="259" w:lineRule="auto"/>
            </w:pPr>
            <w:r>
              <w:rPr>
                <w:rFonts w:ascii="Calibri" w:hAnsi="Calibri"/>
                <w:b w:val="0"/>
                <w:i w:val="0"/>
                <w:color w:val="212121"/>
                <w:sz w:val="16"/>
              </w:rPr>
              <w:t>All cases, especially complicated/recurrent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May be negative in ~30% after prior outpatient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 with differential</w:t>
            </w:r>
          </w:p>
        </w:tc>
        <w:tc>
          <w:tcPr>
            <w:tcW w:type="dxa" w:w="950"/>
            <w:vAlign w:val="top"/>
          </w:tcPr>
          <w:p>
            <w:pPr>
              <w:spacing w:after="40" w:before="0" w:line="259" w:lineRule="auto"/>
            </w:pPr>
            <w:r>
              <w:rPr>
                <w:rFonts w:ascii="Calibri" w:hAnsi="Calibri"/>
                <w:b w:val="0"/>
                <w:i w:val="0"/>
                <w:color w:val="212121"/>
                <w:sz w:val="16"/>
              </w:rPr>
              <w:t>WBC 4,000-11,000/uL</w:t>
            </w:r>
          </w:p>
        </w:tc>
        <w:tc>
          <w:tcPr>
            <w:tcW w:type="dxa" w:w="950"/>
            <w:vAlign w:val="top"/>
          </w:tcPr>
          <w:p>
            <w:pPr>
              <w:spacing w:after="40" w:before="0" w:line="259" w:lineRule="auto"/>
            </w:pPr>
            <w:r>
              <w:rPr>
                <w:rFonts w:ascii="Calibri" w:hAnsi="Calibri"/>
                <w:b w:val="0"/>
                <w:i w:val="0"/>
                <w:color w:val="212121"/>
                <w:sz w:val="16"/>
              </w:rPr>
              <w:t>Leukocytosis with neutrophilia; anaemia in severe/chronic disease</w:t>
            </w:r>
          </w:p>
        </w:tc>
        <w:tc>
          <w:tcPr>
            <w:tcW w:type="dxa" w:w="1036"/>
            <w:vAlign w:val="top"/>
          </w:tcPr>
          <w:p>
            <w:pPr>
              <w:spacing w:after="40" w:before="0" w:line="259" w:lineRule="auto"/>
            </w:pPr>
            <w:r>
              <w:rPr>
                <w:rFonts w:ascii="Calibri" w:hAnsi="Calibri"/>
                <w:b w:val="0"/>
                <w:i w:val="0"/>
                <w:color w:val="212121"/>
                <w:sz w:val="16"/>
              </w:rPr>
              <w:t>Reflects systemic infection and severity</w:t>
            </w:r>
          </w:p>
        </w:tc>
        <w:tc>
          <w:tcPr>
            <w:tcW w:type="dxa" w:w="1036"/>
            <w:vAlign w:val="top"/>
          </w:tcPr>
          <w:p>
            <w:pPr>
              <w:spacing w:after="40" w:before="0" w:line="259" w:lineRule="auto"/>
            </w:pPr>
            <w:r>
              <w:rPr>
                <w:rFonts w:ascii="Calibri" w:hAnsi="Calibri"/>
                <w:b w:val="0"/>
                <w:i w:val="0"/>
                <w:color w:val="212121"/>
                <w:sz w:val="16"/>
              </w:rPr>
              <w:t>Febrile/hospitalised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 one Indian series 75.7% had Hb &lt; 10 g/dL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Serum creatinine / BUN, electrolytes</w:t>
            </w:r>
          </w:p>
        </w:tc>
        <w:tc>
          <w:tcPr>
            <w:tcW w:type="dxa" w:w="892"/>
            <w:vAlign w:val="top"/>
          </w:tcPr>
          <w:p>
            <w:pPr>
              <w:spacing w:after="40" w:before="0" w:line="259" w:lineRule="auto"/>
            </w:pPr>
            <w:r>
              <w:rPr>
                <w:rFonts w:ascii="Calibri" w:hAnsi="Calibri"/>
                <w:b w:val="0"/>
                <w:i w:val="0"/>
                <w:color w:val="212121"/>
                <w:sz w:val="16"/>
              </w:rPr>
              <w:t>Renal function tests</w:t>
            </w:r>
          </w:p>
        </w:tc>
        <w:tc>
          <w:tcPr>
            <w:tcW w:type="dxa" w:w="950"/>
            <w:vAlign w:val="top"/>
          </w:tcPr>
          <w:p>
            <w:pPr>
              <w:spacing w:after="40" w:before="0" w:line="259" w:lineRule="auto"/>
            </w:pPr>
            <w:r>
              <w:rPr>
                <w:rFonts w:ascii="Calibri" w:hAnsi="Calibri"/>
                <w:b w:val="0"/>
                <w:i w:val="0"/>
                <w:color w:val="212121"/>
                <w:sz w:val="16"/>
              </w:rPr>
              <w:t>Creatinine 0.6-1.3 mg/dL</w:t>
            </w:r>
          </w:p>
        </w:tc>
        <w:tc>
          <w:tcPr>
            <w:tcW w:type="dxa" w:w="950"/>
            <w:vAlign w:val="top"/>
          </w:tcPr>
          <w:p>
            <w:pPr>
              <w:spacing w:after="40" w:before="0" w:line="259" w:lineRule="auto"/>
            </w:pPr>
            <w:r>
              <w:rPr>
                <w:rFonts w:ascii="Calibri" w:hAnsi="Calibri"/>
                <w:b w:val="0"/>
                <w:i w:val="0"/>
                <w:color w:val="212121"/>
                <w:sz w:val="16"/>
              </w:rPr>
              <w:t>Raised creatinine / falling eGFR (acute kidney injury)</w:t>
            </w:r>
          </w:p>
        </w:tc>
        <w:tc>
          <w:tcPr>
            <w:tcW w:type="dxa" w:w="1036"/>
            <w:vAlign w:val="top"/>
          </w:tcPr>
          <w:p>
            <w:pPr>
              <w:spacing w:after="40" w:before="0" w:line="259" w:lineRule="auto"/>
            </w:pPr>
            <w:r>
              <w:rPr>
                <w:rFonts w:ascii="Calibri" w:hAnsi="Calibri"/>
                <w:b w:val="0"/>
                <w:i w:val="0"/>
                <w:color w:val="212121"/>
                <w:sz w:val="16"/>
              </w:rPr>
              <w:t>Detects AKI and guides drug dosing and admission</w:t>
            </w:r>
          </w:p>
        </w:tc>
        <w:tc>
          <w:tcPr>
            <w:tcW w:type="dxa" w:w="1036"/>
            <w:vAlign w:val="top"/>
          </w:tcPr>
          <w:p>
            <w:pPr>
              <w:spacing w:after="40" w:before="0" w:line="259" w:lineRule="auto"/>
            </w:pPr>
            <w:r>
              <w:rPr>
                <w:rFonts w:ascii="Calibri" w:hAnsi="Calibri"/>
                <w:b w:val="0"/>
                <w:i w:val="0"/>
                <w:color w:val="212121"/>
                <w:sz w:val="16"/>
              </w:rPr>
              <w:t>Diabetics, elderly, sepsis, single kidney</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AKI is common in severe and emphysematous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 Procalcitonin / lactate</w:t>
            </w:r>
          </w:p>
        </w:tc>
        <w:tc>
          <w:tcPr>
            <w:tcW w:type="dxa" w:w="892"/>
            <w:vAlign w:val="top"/>
          </w:tcPr>
          <w:p>
            <w:pPr>
              <w:spacing w:after="40" w:before="0" w:line="259" w:lineRule="auto"/>
            </w:pPr>
            <w:r>
              <w:rPr>
                <w:rFonts w:ascii="Calibri" w:hAnsi="Calibri"/>
                <w:b w:val="0"/>
                <w:i w:val="0"/>
                <w:color w:val="212121"/>
                <w:sz w:val="16"/>
              </w:rPr>
              <w:t>Sepsis biomarkers</w:t>
            </w:r>
          </w:p>
        </w:tc>
        <w:tc>
          <w:tcPr>
            <w:tcW w:type="dxa" w:w="950"/>
            <w:vAlign w:val="top"/>
          </w:tcPr>
          <w:p>
            <w:pPr>
              <w:spacing w:after="40" w:before="0" w:line="259" w:lineRule="auto"/>
            </w:pPr>
            <w:r>
              <w:rPr>
                <w:rFonts w:ascii="Calibri" w:hAnsi="Calibri"/>
                <w:b w:val="0"/>
                <w:i w:val="0"/>
                <w:color w:val="212121"/>
                <w:sz w:val="16"/>
              </w:rPr>
              <w:t>CRP low; procalcitonin &lt; 0.5 ng/mL; lactate &lt; 2 mmol/L</w:t>
            </w:r>
          </w:p>
        </w:tc>
        <w:tc>
          <w:tcPr>
            <w:tcW w:type="dxa" w:w="950"/>
            <w:vAlign w:val="top"/>
          </w:tcPr>
          <w:p>
            <w:pPr>
              <w:spacing w:after="40" w:before="0" w:line="259" w:lineRule="auto"/>
            </w:pPr>
            <w:r>
              <w:rPr>
                <w:rFonts w:ascii="Calibri" w:hAnsi="Calibri"/>
                <w:b w:val="0"/>
                <w:i w:val="0"/>
                <w:color w:val="212121"/>
                <w:sz w:val="16"/>
              </w:rPr>
              <w:t>Elevated CRP/procalcitonin; lactate &gt;= 2</w:t>
            </w:r>
          </w:p>
        </w:tc>
        <w:tc>
          <w:tcPr>
            <w:tcW w:type="dxa" w:w="1036"/>
            <w:vAlign w:val="top"/>
          </w:tcPr>
          <w:p>
            <w:pPr>
              <w:spacing w:after="40" w:before="0" w:line="259" w:lineRule="auto"/>
            </w:pPr>
            <w:r>
              <w:rPr>
                <w:rFonts w:ascii="Calibri" w:hAnsi="Calibri"/>
                <w:b w:val="0"/>
                <w:i w:val="0"/>
                <w:color w:val="212121"/>
                <w:sz w:val="16"/>
              </w:rPr>
              <w:t>Gauges bacterial infection and sepsis severity</w:t>
            </w:r>
          </w:p>
        </w:tc>
        <w:tc>
          <w:tcPr>
            <w:tcW w:type="dxa" w:w="1036"/>
            <w:vAlign w:val="top"/>
          </w:tcPr>
          <w:p>
            <w:pPr>
              <w:spacing w:after="40" w:before="0" w:line="259" w:lineRule="auto"/>
            </w:pPr>
            <w:r>
              <w:rPr>
                <w:rFonts w:ascii="Calibri" w:hAnsi="Calibri"/>
                <w:b w:val="0"/>
                <w:i w:val="0"/>
                <w:color w:val="212121"/>
                <w:sz w:val="16"/>
              </w:rPr>
              <w:t>Toxic/septic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Neutrophil-to-lymphocyte ratio &gt; 5 suggests sepsis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w:t>
            </w:r>
          </w:p>
        </w:tc>
        <w:tc>
          <w:tcPr>
            <w:tcW w:type="dxa" w:w="892"/>
            <w:vAlign w:val="top"/>
          </w:tcPr>
          <w:p>
            <w:pPr>
              <w:spacing w:after="40" w:before="0" w:line="259" w:lineRule="auto"/>
            </w:pPr>
            <w:r>
              <w:rPr>
                <w:rFonts w:ascii="Calibri" w:hAnsi="Calibri"/>
                <w:b w:val="0"/>
                <w:i w:val="0"/>
                <w:color w:val="212121"/>
                <w:sz w:val="16"/>
              </w:rPr>
              <w:t>Blood culture (aerobic/anaerobic)</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Bacteraemia (often same uropathogen)</w:t>
            </w:r>
          </w:p>
        </w:tc>
        <w:tc>
          <w:tcPr>
            <w:tcW w:type="dxa" w:w="1036"/>
            <w:vAlign w:val="top"/>
          </w:tcPr>
          <w:p>
            <w:pPr>
              <w:spacing w:after="40" w:before="0" w:line="259" w:lineRule="auto"/>
            </w:pPr>
            <w:r>
              <w:rPr>
                <w:rFonts w:ascii="Calibri" w:hAnsi="Calibri"/>
                <w:b w:val="0"/>
                <w:i w:val="0"/>
                <w:color w:val="212121"/>
                <w:sz w:val="16"/>
              </w:rPr>
              <w:t>Confirms urosepsis and guides IV therapy</w:t>
            </w:r>
          </w:p>
        </w:tc>
        <w:tc>
          <w:tcPr>
            <w:tcW w:type="dxa" w:w="1036"/>
            <w:vAlign w:val="top"/>
          </w:tcPr>
          <w:p>
            <w:pPr>
              <w:spacing w:after="40" w:before="0" w:line="259" w:lineRule="auto"/>
            </w:pPr>
            <w:r>
              <w:rPr>
                <w:rFonts w:ascii="Calibri" w:hAnsi="Calibri"/>
                <w:b w:val="0"/>
                <w:i w:val="0"/>
                <w:color w:val="212121"/>
                <w:sz w:val="16"/>
              </w:rPr>
              <w:t>High fever, rigors, hypotension, immunocompromised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Severity work-up</w:t>
            </w:r>
          </w:p>
        </w:tc>
        <w:tc>
          <w:tcPr>
            <w:tcW w:type="dxa" w:w="720"/>
            <w:vAlign w:val="top"/>
          </w:tcPr>
          <w:p>
            <w:pPr>
              <w:spacing w:after="40" w:before="0" w:line="259" w:lineRule="auto"/>
            </w:pPr>
            <w:r>
              <w:rPr>
                <w:rFonts w:ascii="Calibri" w:hAnsi="Calibri"/>
                <w:b w:val="0"/>
                <w:i w:val="0"/>
                <w:color w:val="212121"/>
                <w:sz w:val="16"/>
              </w:rPr>
              <w:t>Draw before starting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Blood glucose / HbA1c</w:t>
            </w:r>
          </w:p>
        </w:tc>
        <w:tc>
          <w:tcPr>
            <w:tcW w:type="dxa" w:w="892"/>
            <w:vAlign w:val="top"/>
          </w:tcPr>
          <w:p>
            <w:pPr>
              <w:spacing w:after="40" w:before="0" w:line="259" w:lineRule="auto"/>
            </w:pPr>
            <w:r>
              <w:rPr>
                <w:rFonts w:ascii="Calibri" w:hAnsi="Calibri"/>
                <w:b w:val="0"/>
                <w:i w:val="0"/>
                <w:color w:val="212121"/>
                <w:sz w:val="16"/>
              </w:rPr>
              <w:t>Glycaemic assessment</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Hyperglycaemia; HbA1c &gt;= 6.5%</w:t>
            </w:r>
          </w:p>
        </w:tc>
        <w:tc>
          <w:tcPr>
            <w:tcW w:type="dxa" w:w="1036"/>
            <w:vAlign w:val="top"/>
          </w:tcPr>
          <w:p>
            <w:pPr>
              <w:spacing w:after="40" w:before="0" w:line="259" w:lineRule="auto"/>
            </w:pPr>
            <w:r>
              <w:rPr>
                <w:rFonts w:ascii="Calibri" w:hAnsi="Calibri"/>
                <w:b w:val="0"/>
                <w:i w:val="0"/>
                <w:color w:val="212121"/>
                <w:sz w:val="16"/>
              </w:rPr>
              <w:t>Identifies/quantifies diabetes, a major risk and severity factor</w:t>
            </w:r>
          </w:p>
        </w:tc>
        <w:tc>
          <w:tcPr>
            <w:tcW w:type="dxa" w:w="1036"/>
            <w:vAlign w:val="top"/>
          </w:tcPr>
          <w:p>
            <w:pPr>
              <w:spacing w:after="40" w:before="0" w:line="259" w:lineRule="auto"/>
            </w:pPr>
            <w:r>
              <w:rPr>
                <w:rFonts w:ascii="Calibri" w:hAnsi="Calibri"/>
                <w:b w:val="0"/>
                <w:i w:val="0"/>
                <w:color w:val="212121"/>
                <w:sz w:val="16"/>
              </w:rPr>
              <w:t>All adults; suspected/known diabetics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Essential in India</w:t>
            </w:r>
          </w:p>
        </w:tc>
        <w:tc>
          <w:tcPr>
            <w:tcW w:type="dxa" w:w="720"/>
            <w:vAlign w:val="top"/>
          </w:tcPr>
          <w:p>
            <w:pPr>
              <w:spacing w:after="40" w:before="0" w:line="259" w:lineRule="auto"/>
            </w:pPr>
            <w:r>
              <w:rPr>
                <w:rFonts w:ascii="Calibri" w:hAnsi="Calibri"/>
                <w:b w:val="0"/>
                <w:i w:val="0"/>
                <w:color w:val="212121"/>
                <w:sz w:val="16"/>
              </w:rPr>
              <w:t>Pyelonephritis may be first presentation of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Renal ultrasound / contrast-enhanced CT</w:t>
            </w:r>
          </w:p>
        </w:tc>
        <w:tc>
          <w:tcPr>
            <w:tcW w:type="dxa" w:w="892"/>
            <w:vAlign w:val="top"/>
          </w:tcPr>
          <w:p>
            <w:pPr>
              <w:spacing w:after="40" w:before="0" w:line="259" w:lineRule="auto"/>
            </w:pPr>
            <w:r>
              <w:rPr>
                <w:rFonts w:ascii="Calibri" w:hAnsi="Calibri"/>
                <w:b w:val="0"/>
                <w:i w:val="0"/>
                <w:color w:val="212121"/>
                <w:sz w:val="16"/>
              </w:rPr>
              <w:t>Renal imaging</w:t>
            </w:r>
          </w:p>
        </w:tc>
        <w:tc>
          <w:tcPr>
            <w:tcW w:type="dxa" w:w="950"/>
            <w:vAlign w:val="top"/>
          </w:tcPr>
          <w:p>
            <w:pPr>
              <w:spacing w:after="40" w:before="0" w:line="259" w:lineRule="auto"/>
            </w:pPr>
            <w:r>
              <w:rPr>
                <w:rFonts w:ascii="Calibri" w:hAnsi="Calibri"/>
                <w:b w:val="0"/>
                <w:i w:val="0"/>
                <w:color w:val="212121"/>
                <w:sz w:val="16"/>
              </w:rPr>
              <w:t>Normal kidneys, no obstruction/gas/abscess</w:t>
            </w:r>
          </w:p>
        </w:tc>
        <w:tc>
          <w:tcPr>
            <w:tcW w:type="dxa" w:w="950"/>
            <w:vAlign w:val="top"/>
          </w:tcPr>
          <w:p>
            <w:pPr>
              <w:spacing w:after="40" w:before="0" w:line="259" w:lineRule="auto"/>
            </w:pPr>
            <w:r>
              <w:rPr>
                <w:rFonts w:ascii="Calibri" w:hAnsi="Calibri"/>
                <w:b w:val="0"/>
                <w:i w:val="0"/>
                <w:color w:val="212121"/>
                <w:sz w:val="16"/>
              </w:rPr>
              <w:t>Hydronephrosis, calculi, perinephric/renal abscess, gas (emphysematous), wedge-shaped defects</w:t>
            </w:r>
          </w:p>
        </w:tc>
        <w:tc>
          <w:tcPr>
            <w:tcW w:type="dxa" w:w="1036"/>
            <w:vAlign w:val="top"/>
          </w:tcPr>
          <w:p>
            <w:pPr>
              <w:spacing w:after="40" w:before="0" w:line="259" w:lineRule="auto"/>
            </w:pPr>
            <w:r>
              <w:rPr>
                <w:rFonts w:ascii="Calibri" w:hAnsi="Calibri"/>
                <w:b w:val="0"/>
                <w:i w:val="0"/>
                <w:color w:val="212121"/>
                <w:sz w:val="16"/>
              </w:rPr>
              <w:t>Detects obstruction and complications needing drainage/surgery</w:t>
            </w:r>
          </w:p>
        </w:tc>
        <w:tc>
          <w:tcPr>
            <w:tcW w:type="dxa" w:w="1036"/>
            <w:vAlign w:val="top"/>
          </w:tcPr>
          <w:p>
            <w:pPr>
              <w:spacing w:after="40" w:before="0" w:line="259" w:lineRule="auto"/>
            </w:pPr>
            <w:r>
              <w:rPr>
                <w:rFonts w:ascii="Calibri" w:hAnsi="Calibri"/>
                <w:b w:val="0"/>
                <w:i w:val="0"/>
                <w:color w:val="212121"/>
                <w:sz w:val="16"/>
              </w:rPr>
              <w:t>Complicated cases, non-responders, diabetics, sepsis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Complicated cases</w:t>
            </w:r>
          </w:p>
        </w:tc>
        <w:tc>
          <w:tcPr>
            <w:tcW w:type="dxa" w:w="720"/>
            <w:vAlign w:val="top"/>
          </w:tcPr>
          <w:p>
            <w:pPr>
              <w:spacing w:after="40" w:before="0" w:line="259" w:lineRule="auto"/>
            </w:pPr>
            <w:r>
              <w:rPr>
                <w:rFonts w:ascii="Calibri" w:hAnsi="Calibri"/>
                <w:b w:val="0"/>
                <w:i w:val="0"/>
                <w:color w:val="212121"/>
                <w:sz w:val="16"/>
              </w:rPr>
              <w:t>CT with contrast is the imaging of choice; non-contrast CT for stones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Fever with chills, flank/loin pain, dysuria, vomiting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Fever + flank pain +/- lower urinary symptoms</w:t>
            </w:r>
          </w:p>
        </w:tc>
        <w:tc>
          <w:tcPr>
            <w:tcW w:type="dxa" w:w="1036"/>
            <w:vAlign w:val="top"/>
          </w:tcPr>
          <w:p>
            <w:pPr>
              <w:spacing w:after="40" w:before="0" w:line="259" w:lineRule="auto"/>
            </w:pPr>
            <w:r>
              <w:rPr>
                <w:rFonts w:ascii="Calibri" w:hAnsi="Calibri"/>
                <w:b w:val="0"/>
                <w:i w:val="0"/>
                <w:color w:val="212121"/>
                <w:sz w:val="16"/>
              </w:rPr>
              <w:t>Classic clinical picture of upper-tract infection</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Dysuria seen in ~82% and vomiting ~42% in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Renal angle palpation</w:t>
            </w:r>
          </w:p>
        </w:tc>
        <w:tc>
          <w:tcPr>
            <w:tcW w:type="dxa" w:w="979"/>
            <w:vAlign w:val="top"/>
          </w:tcPr>
          <w:p>
            <w:pPr>
              <w:spacing w:after="40" w:before="0" w:line="259" w:lineRule="auto"/>
            </w:pPr>
            <w:r>
              <w:rPr>
                <w:rFonts w:ascii="Calibri" w:hAnsi="Calibri"/>
                <w:b w:val="0"/>
                <w:i w:val="0"/>
                <w:color w:val="212121"/>
                <w:sz w:val="16"/>
              </w:rPr>
              <w:t>Costovertebral-angle (renal angle) tenderness</w:t>
            </w:r>
          </w:p>
        </w:tc>
        <w:tc>
          <w:tcPr>
            <w:tcW w:type="dxa" w:w="950"/>
            <w:vAlign w:val="top"/>
          </w:tcPr>
          <w:p>
            <w:pPr>
              <w:spacing w:after="40" w:before="0" w:line="259" w:lineRule="auto"/>
            </w:pPr>
            <w:r>
              <w:rPr>
                <w:rFonts w:ascii="Calibri" w:hAnsi="Calibri"/>
                <w:b w:val="0"/>
                <w:i w:val="0"/>
                <w:color w:val="212121"/>
                <w:sz w:val="16"/>
              </w:rPr>
              <w:t>No tenderness</w:t>
            </w:r>
          </w:p>
        </w:tc>
        <w:tc>
          <w:tcPr>
            <w:tcW w:type="dxa" w:w="950"/>
            <w:vAlign w:val="top"/>
          </w:tcPr>
          <w:p>
            <w:pPr>
              <w:spacing w:after="40" w:before="0" w:line="259" w:lineRule="auto"/>
            </w:pPr>
            <w:r>
              <w:rPr>
                <w:rFonts w:ascii="Calibri" w:hAnsi="Calibri"/>
                <w:b w:val="0"/>
                <w:i w:val="0"/>
                <w:color w:val="212121"/>
                <w:sz w:val="16"/>
              </w:rPr>
              <w:t>Unilateral (or bilateral) CVA tenderness</w:t>
            </w:r>
          </w:p>
        </w:tc>
        <w:tc>
          <w:tcPr>
            <w:tcW w:type="dxa" w:w="1036"/>
            <w:vAlign w:val="top"/>
          </w:tcPr>
          <w:p>
            <w:pPr>
              <w:spacing w:after="40" w:before="0" w:line="259" w:lineRule="auto"/>
            </w:pPr>
            <w:r>
              <w:rPr>
                <w:rFonts w:ascii="Calibri" w:hAnsi="Calibri"/>
                <w:b w:val="0"/>
                <w:i w:val="0"/>
                <w:color w:val="212121"/>
                <w:sz w:val="16"/>
              </w:rPr>
              <w:t>Localises inflammation to the kidney</w:t>
            </w:r>
          </w:p>
        </w:tc>
        <w:tc>
          <w:tcPr>
            <w:tcW w:type="dxa" w:w="1036"/>
            <w:vAlign w:val="top"/>
          </w:tcPr>
          <w:p>
            <w:pPr>
              <w:spacing w:after="40" w:before="0" w:line="259" w:lineRule="auto"/>
            </w:pPr>
            <w:r>
              <w:rPr>
                <w:rFonts w:ascii="Calibri" w:hAnsi="Calibri"/>
                <w:b w:val="0"/>
                <w:i w:val="0"/>
                <w:color w:val="212121"/>
                <w:sz w:val="16"/>
              </w:rPr>
              <w:t>Febrile UTI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Key bedside sign</w:t>
            </w:r>
          </w:p>
        </w:tc>
        <w:tc>
          <w:tcPr>
            <w:tcW w:type="dxa" w:w="720"/>
            <w:vAlign w:val="top"/>
          </w:tcPr>
          <w:p>
            <w:pPr>
              <w:spacing w:after="40" w:before="0" w:line="259" w:lineRule="auto"/>
            </w:pPr>
            <w:r>
              <w:rPr>
                <w:rFonts w:ascii="Calibri" w:hAnsi="Calibri"/>
                <w:b w:val="0"/>
                <w:i w:val="0"/>
                <w:color w:val="212121"/>
                <w:sz w:val="16"/>
              </w:rPr>
              <w:t>Often unilateral; may be absent early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 provoking history</w:t>
            </w:r>
          </w:p>
        </w:tc>
        <w:tc>
          <w:tcPr>
            <w:tcW w:type="dxa" w:w="979"/>
            <w:vAlign w:val="top"/>
          </w:tcPr>
          <w:p>
            <w:pPr>
              <w:spacing w:after="40" w:before="0" w:line="259" w:lineRule="auto"/>
            </w:pPr>
            <w:r>
              <w:rPr>
                <w:rFonts w:ascii="Calibri" w:hAnsi="Calibri"/>
                <w:b w:val="0"/>
                <w:i w:val="0"/>
                <w:color w:val="212121"/>
                <w:sz w:val="16"/>
              </w:rPr>
              <w:t>Diabetes, stones, catheter, recent instrumentation, intercourse, spermicide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Stratifies to complicated vs uncomplicated disease</w:t>
            </w:r>
          </w:p>
        </w:tc>
        <w:tc>
          <w:tcPr>
            <w:tcW w:type="dxa" w:w="1036"/>
            <w:vAlign w:val="top"/>
          </w:tcPr>
          <w:p>
            <w:pPr>
              <w:spacing w:after="40" w:before="0" w:line="259" w:lineRule="auto"/>
            </w:pPr>
            <w:r>
              <w:rPr>
                <w:rFonts w:ascii="Calibri" w:hAnsi="Calibri"/>
                <w:b w:val="0"/>
                <w:i w:val="0"/>
                <w:color w:val="212121"/>
                <w:sz w:val="16"/>
              </w:rPr>
              <w:t>Diabetics, stone-formers, catheterised, sexually active women</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Diabetes present in &gt;50% of admitted Indian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 pregnancy status</w:t>
            </w:r>
          </w:p>
        </w:tc>
        <w:tc>
          <w:tcPr>
            <w:tcW w:type="dxa" w:w="979"/>
            <w:vAlign w:val="top"/>
          </w:tcPr>
          <w:p>
            <w:pPr>
              <w:spacing w:after="40" w:before="0" w:line="259" w:lineRule="auto"/>
            </w:pPr>
            <w:r>
              <w:rPr>
                <w:rFonts w:ascii="Calibri" w:hAnsi="Calibri"/>
                <w:b w:val="0"/>
                <w:i w:val="0"/>
                <w:color w:val="212121"/>
                <w:sz w:val="16"/>
              </w:rPr>
              <w:t>Pregnancy, trimester, prior asymptomatic bacteriuria</w:t>
            </w:r>
          </w:p>
        </w:tc>
        <w:tc>
          <w:tcPr>
            <w:tcW w:type="dxa" w:w="950"/>
            <w:vAlign w:val="top"/>
          </w:tcPr>
          <w:p>
            <w:pPr>
              <w:spacing w:after="40" w:before="0" w:line="259" w:lineRule="auto"/>
            </w:pPr>
            <w:r>
              <w:rPr>
                <w:rFonts w:ascii="Calibri" w:hAnsi="Calibri"/>
                <w:b w:val="0"/>
                <w:i w:val="0"/>
                <w:color w:val="212121"/>
                <w:sz w:val="16"/>
              </w:rPr>
              <w:t>Not pregnant / screened negative</w:t>
            </w:r>
          </w:p>
        </w:tc>
        <w:tc>
          <w:tcPr>
            <w:tcW w:type="dxa" w:w="950"/>
            <w:vAlign w:val="top"/>
          </w:tcPr>
          <w:p>
            <w:pPr>
              <w:spacing w:after="40" w:before="0" w:line="259" w:lineRule="auto"/>
            </w:pPr>
            <w:r>
              <w:rPr>
                <w:rFonts w:ascii="Calibri" w:hAnsi="Calibri"/>
                <w:b w:val="0"/>
                <w:i w:val="0"/>
                <w:color w:val="212121"/>
                <w:sz w:val="16"/>
              </w:rPr>
              <w:t>Pregnant, untreated bacteriuria</w:t>
            </w:r>
          </w:p>
        </w:tc>
        <w:tc>
          <w:tcPr>
            <w:tcW w:type="dxa" w:w="1036"/>
            <w:vAlign w:val="top"/>
          </w:tcPr>
          <w:p>
            <w:pPr>
              <w:spacing w:after="40" w:before="0" w:line="259" w:lineRule="auto"/>
            </w:pPr>
            <w:r>
              <w:rPr>
                <w:rFonts w:ascii="Calibri" w:hAnsi="Calibri"/>
                <w:b w:val="0"/>
                <w:i w:val="0"/>
                <w:color w:val="212121"/>
                <w:sz w:val="16"/>
              </w:rPr>
              <w:t>Pregnancy demands prompt treatment to prevent preterm birth</w:t>
            </w:r>
          </w:p>
        </w:tc>
        <w:tc>
          <w:tcPr>
            <w:tcW w:type="dxa" w:w="1036"/>
            <w:vAlign w:val="top"/>
          </w:tcPr>
          <w:p>
            <w:pPr>
              <w:spacing w:after="40" w:before="0" w:line="259" w:lineRule="auto"/>
            </w:pPr>
            <w:r>
              <w:rPr>
                <w:rFonts w:ascii="Calibri" w:hAnsi="Calibri"/>
                <w:b w:val="0"/>
                <w:i w:val="0"/>
                <w:color w:val="212121"/>
                <w:sz w:val="16"/>
              </w:rPr>
              <w:t>Women of reproductive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in women</w:t>
            </w:r>
          </w:p>
        </w:tc>
        <w:tc>
          <w:tcPr>
            <w:tcW w:type="dxa" w:w="720"/>
            <w:vAlign w:val="top"/>
          </w:tcPr>
          <w:p>
            <w:pPr>
              <w:spacing w:after="40" w:before="0" w:line="259" w:lineRule="auto"/>
            </w:pPr>
            <w:r>
              <w:rPr>
                <w:rFonts w:ascii="Calibri" w:hAnsi="Calibri"/>
                <w:b w:val="0"/>
                <w:i w:val="0"/>
                <w:color w:val="212121"/>
                <w:sz w:val="16"/>
              </w:rPr>
              <w:t>Screen and treat asymptomatic bacteriuria antenatally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 childhood UTI history</w:t>
            </w:r>
          </w:p>
        </w:tc>
        <w:tc>
          <w:tcPr>
            <w:tcW w:type="dxa" w:w="979"/>
            <w:vAlign w:val="top"/>
          </w:tcPr>
          <w:p>
            <w:pPr>
              <w:spacing w:after="40" w:before="0" w:line="259" w:lineRule="auto"/>
            </w:pPr>
            <w:r>
              <w:rPr>
                <w:rFonts w:ascii="Calibri" w:hAnsi="Calibri"/>
                <w:b w:val="0"/>
                <w:i w:val="0"/>
                <w:color w:val="212121"/>
                <w:sz w:val="16"/>
              </w:rPr>
              <w:t>Recurrent UTI, childhood VUR, maternal UTI history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Recurrent episodes / known reflux</w:t>
            </w:r>
          </w:p>
        </w:tc>
        <w:tc>
          <w:tcPr>
            <w:tcW w:type="dxa" w:w="1036"/>
            <w:vAlign w:val="top"/>
          </w:tcPr>
          <w:p>
            <w:pPr>
              <w:spacing w:after="40" w:before="0" w:line="259" w:lineRule="auto"/>
            </w:pPr>
            <w:r>
              <w:rPr>
                <w:rFonts w:ascii="Calibri" w:hAnsi="Calibri"/>
                <w:b w:val="0"/>
                <w:i w:val="0"/>
                <w:color w:val="212121"/>
                <w:sz w:val="16"/>
              </w:rPr>
              <w:t>Suggests reflux nephropathy / chronic pyelonephritis and need for urological work-up</w:t>
            </w:r>
          </w:p>
        </w:tc>
        <w:tc>
          <w:tcPr>
            <w:tcW w:type="dxa" w:w="1036"/>
            <w:vAlign w:val="top"/>
          </w:tcPr>
          <w:p>
            <w:pPr>
              <w:spacing w:after="40" w:before="0" w:line="259" w:lineRule="auto"/>
            </w:pPr>
            <w:r>
              <w:rPr>
                <w:rFonts w:ascii="Calibri" w:hAnsi="Calibri"/>
                <w:b w:val="0"/>
                <w:i w:val="0"/>
                <w:color w:val="212121"/>
                <w:sz w:val="16"/>
              </w:rPr>
              <w:t>Children, women with recurrent UTI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Recurrent UTI reported in ~44% of an Indian cohort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Vital signs / sepsis screen</w:t>
            </w:r>
          </w:p>
        </w:tc>
        <w:tc>
          <w:tcPr>
            <w:tcW w:type="dxa" w:w="979"/>
            <w:vAlign w:val="top"/>
          </w:tcPr>
          <w:p>
            <w:pPr>
              <w:spacing w:after="40" w:before="0" w:line="259" w:lineRule="auto"/>
            </w:pPr>
            <w:r>
              <w:rPr>
                <w:rFonts w:ascii="Calibri" w:hAnsi="Calibri"/>
                <w:b w:val="0"/>
                <w:i w:val="0"/>
                <w:color w:val="212121"/>
                <w:sz w:val="16"/>
              </w:rPr>
              <w:t>Temperature, heart rate, blood pressure, mentation</w:t>
            </w:r>
          </w:p>
        </w:tc>
        <w:tc>
          <w:tcPr>
            <w:tcW w:type="dxa" w:w="950"/>
            <w:vAlign w:val="top"/>
          </w:tcPr>
          <w:p>
            <w:pPr>
              <w:spacing w:after="40" w:before="0" w:line="259" w:lineRule="auto"/>
            </w:pPr>
            <w:r>
              <w:rPr>
                <w:rFonts w:ascii="Calibri" w:hAnsi="Calibri"/>
                <w:b w:val="0"/>
                <w:i w:val="0"/>
                <w:color w:val="212121"/>
                <w:sz w:val="16"/>
              </w:rPr>
              <w:t>Stable vitals, alert</w:t>
            </w:r>
          </w:p>
        </w:tc>
        <w:tc>
          <w:tcPr>
            <w:tcW w:type="dxa" w:w="950"/>
            <w:vAlign w:val="top"/>
          </w:tcPr>
          <w:p>
            <w:pPr>
              <w:spacing w:after="40" w:before="0" w:line="259" w:lineRule="auto"/>
            </w:pPr>
            <w:r>
              <w:rPr>
                <w:rFonts w:ascii="Calibri" w:hAnsi="Calibri"/>
                <w:b w:val="0"/>
                <w:i w:val="0"/>
                <w:color w:val="212121"/>
                <w:sz w:val="16"/>
              </w:rPr>
              <w:t>Fever, tachycardia, hypotension (SBP &lt; 90), confusion</w:t>
            </w:r>
          </w:p>
        </w:tc>
        <w:tc>
          <w:tcPr>
            <w:tcW w:type="dxa" w:w="1036"/>
            <w:vAlign w:val="top"/>
          </w:tcPr>
          <w:p>
            <w:pPr>
              <w:spacing w:after="40" w:before="0" w:line="259" w:lineRule="auto"/>
            </w:pPr>
            <w:r>
              <w:rPr>
                <w:rFonts w:ascii="Calibri" w:hAnsi="Calibri"/>
                <w:b w:val="0"/>
                <w:i w:val="0"/>
                <w:color w:val="212121"/>
                <w:sz w:val="16"/>
              </w:rPr>
              <w:t>Identifies progression to urosepsis/septic shock</w:t>
            </w:r>
          </w:p>
        </w:tc>
        <w:tc>
          <w:tcPr>
            <w:tcW w:type="dxa" w:w="1036"/>
            <w:vAlign w:val="top"/>
          </w:tcPr>
          <w:p>
            <w:pPr>
              <w:spacing w:after="40" w:before="0" w:line="259" w:lineRule="auto"/>
            </w:pPr>
            <w:r>
              <w:rPr>
                <w:rFonts w:ascii="Calibri" w:hAnsi="Calibri"/>
                <w:b w:val="0"/>
                <w:i w:val="0"/>
                <w:color w:val="212121"/>
                <w:sz w:val="16"/>
              </w:rPr>
              <w:t>Elderly, diabetics, immunocompromised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Triage / admission</w:t>
            </w:r>
          </w:p>
        </w:tc>
        <w:tc>
          <w:tcPr>
            <w:tcW w:type="dxa" w:w="720"/>
            <w:vAlign w:val="top"/>
          </w:tcPr>
          <w:p>
            <w:pPr>
              <w:spacing w:after="40" w:before="0" w:line="259" w:lineRule="auto"/>
            </w:pPr>
            <w:r>
              <w:rPr>
                <w:rFonts w:ascii="Calibri" w:hAnsi="Calibri"/>
                <w:b w:val="0"/>
                <w:i w:val="0"/>
                <w:color w:val="212121"/>
                <w:sz w:val="16"/>
              </w:rPr>
              <w:t>Altered sensorium may be the only sign in the elderly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 with chills and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High-grade fever (often &gt; 38.5-39 degC) with shaking chills; hallmark distinguishing upper- from lower-tract infection.</w:t>
            </w:r>
          </w:p>
        </w:tc>
      </w:tr>
      <w:tr>
        <w:trPr>
          <w:cantSplit/>
        </w:trPr>
        <w:tc>
          <w:tcPr>
            <w:tcW w:type="dxa" w:w="2304"/>
            <w:vAlign w:val="top"/>
          </w:tcPr>
          <w:p>
            <w:pPr>
              <w:spacing w:after="40" w:before="0" w:line="259" w:lineRule="auto"/>
            </w:pPr>
            <w:r>
              <w:rPr>
                <w:rFonts w:ascii="Calibri" w:hAnsi="Calibri"/>
                <w:b/>
                <w:i w:val="0"/>
                <w:color w:val="212121"/>
                <w:sz w:val="19"/>
              </w:rPr>
              <w:t>Flank / loin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Constant, dull-to-severe pain over the costovertebral angle from renal capsular stretch and inflammation; may radiate to groin.</w:t>
            </w:r>
          </w:p>
        </w:tc>
      </w:tr>
      <w:tr>
        <w:trPr>
          <w:cantSplit/>
        </w:trPr>
        <w:tc>
          <w:tcPr>
            <w:tcW w:type="dxa" w:w="2304"/>
            <w:vAlign w:val="top"/>
          </w:tcPr>
          <w:p>
            <w:pPr>
              <w:spacing w:after="40" w:before="0" w:line="259" w:lineRule="auto"/>
            </w:pPr>
            <w:r>
              <w:rPr>
                <w:rFonts w:ascii="Calibri" w:hAnsi="Calibri"/>
                <w:b/>
                <w:i w:val="0"/>
                <w:color w:val="212121"/>
                <w:sz w:val="19"/>
              </w:rPr>
              <w:t>Dysuria (burning micturition)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urination from associated lower-tract inflammation; reported in ~82% of Indian pyelonephritis patients.</w:t>
            </w:r>
          </w:p>
        </w:tc>
      </w:tr>
      <w:tr>
        <w:trPr>
          <w:cantSplit/>
        </w:trPr>
        <w:tc>
          <w:tcPr>
            <w:tcW w:type="dxa" w:w="2304"/>
            <w:vAlign w:val="top"/>
          </w:tcPr>
          <w:p>
            <w:pPr>
              <w:spacing w:after="40" w:before="0" w:line="259" w:lineRule="auto"/>
            </w:pPr>
            <w:r>
              <w:rPr>
                <w:rFonts w:ascii="Calibri" w:hAnsi="Calibri"/>
                <w:b/>
                <w:i w:val="0"/>
                <w:color w:val="212121"/>
                <w:sz w:val="19"/>
              </w:rPr>
              <w:t>Increased urinary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small-volume voiding due to bladder irritation; noted in ~65% of an Indian cohort.</w:t>
            </w:r>
          </w:p>
        </w:tc>
      </w:tr>
      <w:tr>
        <w:trPr>
          <w:cantSplit/>
        </w:trPr>
        <w:tc>
          <w:tcPr>
            <w:tcW w:type="dxa" w:w="2304"/>
            <w:vAlign w:val="top"/>
          </w:tcPr>
          <w:p>
            <w:pPr>
              <w:spacing w:after="40" w:before="0" w:line="259" w:lineRule="auto"/>
            </w:pPr>
            <w:r>
              <w:rPr>
                <w:rFonts w:ascii="Calibri" w:hAnsi="Calibri"/>
                <w:b/>
                <w:i w:val="0"/>
                <w:color w:val="212121"/>
                <w:sz w:val="19"/>
              </w:rPr>
              <w:t>Urinary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compelling need to void, reflecting detrusor irritability.</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and reflex response to renal inflammation; vomiting in ~42% and can limit oral therapy, prompting admission.</w:t>
            </w:r>
          </w:p>
        </w:tc>
      </w:tr>
      <w:tr>
        <w:trPr>
          <w:cantSplit/>
        </w:trPr>
        <w:tc>
          <w:tcPr>
            <w:tcW w:type="dxa" w:w="2304"/>
            <w:vAlign w:val="top"/>
          </w:tcPr>
          <w:p>
            <w:pPr>
              <w:spacing w:after="40" w:before="0" w:line="259" w:lineRule="auto"/>
            </w:pPr>
            <w:r>
              <w:rPr>
                <w:rFonts w:ascii="Calibri" w:hAnsi="Calibri"/>
                <w:b/>
                <w:i w:val="0"/>
                <w:color w:val="212121"/>
                <w:sz w:val="19"/>
              </w:rPr>
              <w:t>Malaise and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weakness and unwellness from systemic infection and cytokine release.</w:t>
            </w:r>
          </w:p>
        </w:tc>
      </w:tr>
      <w:tr>
        <w:trPr>
          <w:cantSplit/>
        </w:trPr>
        <w:tc>
          <w:tcPr>
            <w:tcW w:type="dxa" w:w="2304"/>
            <w:vAlign w:val="top"/>
          </w:tcPr>
          <w:p>
            <w:pPr>
              <w:spacing w:after="40" w:before="0" w:line="259" w:lineRule="auto"/>
            </w:pPr>
            <w:r>
              <w:rPr>
                <w:rFonts w:ascii="Calibri" w:hAnsi="Calibri"/>
                <w:b/>
                <w:i w:val="0"/>
                <w:color w:val="212121"/>
                <w:sz w:val="19"/>
              </w:rPr>
              <w:t>Suprapubic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 abdominal/bladder-region pain from coexisting cystitis.</w:t>
            </w:r>
          </w:p>
        </w:tc>
      </w:tr>
      <w:tr>
        <w:trPr>
          <w:cantSplit/>
        </w:trPr>
        <w:tc>
          <w:tcPr>
            <w:tcW w:type="dxa" w:w="2304"/>
            <w:vAlign w:val="top"/>
          </w:tcPr>
          <w:p>
            <w:pPr>
              <w:spacing w:after="40" w:before="0" w:line="259" w:lineRule="auto"/>
            </w:pPr>
            <w:r>
              <w:rPr>
                <w:rFonts w:ascii="Calibri" w:hAnsi="Calibri"/>
                <w:b/>
                <w:i w:val="0"/>
                <w:color w:val="212121"/>
                <w:sz w:val="19"/>
              </w:rPr>
              <w:t>Cloudy, foul-smelling or bloody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Turbid urine from pyuria/bacteriuria; visible haematuria occurs in up to ~40% of women.</w:t>
            </w:r>
          </w:p>
        </w:tc>
      </w:tr>
      <w:tr>
        <w:trPr>
          <w:cantSplit/>
        </w:trPr>
        <w:tc>
          <w:tcPr>
            <w:tcW w:type="dxa" w:w="2304"/>
            <w:vAlign w:val="top"/>
          </w:tcPr>
          <w:p>
            <w:pPr>
              <w:spacing w:after="40" w:before="0" w:line="259" w:lineRule="auto"/>
            </w:pPr>
            <w:r>
              <w:rPr>
                <w:rFonts w:ascii="Calibri" w:hAnsi="Calibri"/>
                <w:b/>
                <w:i w:val="0"/>
                <w:color w:val="212121"/>
                <w:sz w:val="19"/>
              </w:rPr>
              <w:t>Confusion / altered mental status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 elderly or septic patients this may be the presenting feature, with few localising symptoms.</w:t>
            </w:r>
          </w:p>
        </w:tc>
      </w:tr>
      <w:tr>
        <w:trPr>
          <w:cantSplit/>
        </w:trPr>
        <w:tc>
          <w:tcPr>
            <w:tcW w:type="dxa" w:w="2304"/>
            <w:vAlign w:val="top"/>
          </w:tcPr>
          <w:p>
            <w:pPr>
              <w:spacing w:after="40" w:before="0" w:line="259" w:lineRule="auto"/>
            </w:pPr>
            <w:r>
              <w:rPr>
                <w:rFonts w:ascii="Calibri" w:hAnsi="Calibri"/>
                <w:b/>
                <w:i w:val="0"/>
                <w:color w:val="212121"/>
                <w:sz w:val="19"/>
              </w:rPr>
              <w:t>Rigors with hypotension (septic presentation)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progression to urosepsis/septic shock requiring urgent resuscitation.</w:t>
            </w:r>
          </w:p>
        </w:tc>
      </w:tr>
      <w:tr>
        <w:trPr>
          <w:cantSplit/>
        </w:trPr>
        <w:tc>
          <w:tcPr>
            <w:tcW w:type="dxa" w:w="2304"/>
            <w:vAlign w:val="top"/>
          </w:tcPr>
          <w:p>
            <w:pPr>
              <w:spacing w:after="40" w:before="0" w:line="259" w:lineRule="auto"/>
            </w:pPr>
            <w:r>
              <w:rPr>
                <w:rFonts w:ascii="Calibri" w:hAnsi="Calibri"/>
                <w:b/>
                <w:i w:val="0"/>
                <w:color w:val="212121"/>
                <w:sz w:val="19"/>
              </w:rPr>
              <w:t>Failure to thrive / poor feeding (infants)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 neonates and children under 2 years, non-specific fever, irritability and feeding difficulty may be the only clues.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Costovertebral-angle (renal angle)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percussion/palpation over the affected kidney; the classic localising sign, usually unilateral.</w:t>
            </w:r>
          </w:p>
        </w:tc>
      </w:tr>
      <w:tr>
        <w:trPr>
          <w:cantSplit/>
        </w:trPr>
        <w:tc>
          <w:tcPr>
            <w:tcW w:type="dxa" w:w="3456"/>
            <w:vAlign w:val="top"/>
          </w:tcPr>
          <w:p>
            <w:pPr>
              <w:spacing w:after="40" w:before="0" w:line="259" w:lineRule="auto"/>
            </w:pPr>
            <w:r>
              <w:rPr>
                <w:rFonts w:ascii="Calibri" w:hAnsi="Calibri"/>
                <w:b/>
                <w:i w:val="0"/>
                <w:color w:val="212121"/>
                <w:sz w:val="19"/>
              </w:rPr>
              <w:t>Fever (often &gt; 39 degC)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pyrexia, frequently with tachycardia; a core feature of upper-tract infection.</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response to fever, dehydration and systemic inflammation.</w:t>
            </w:r>
          </w:p>
        </w:tc>
      </w:tr>
      <w:tr>
        <w:trPr>
          <w:cantSplit/>
        </w:trPr>
        <w:tc>
          <w:tcPr>
            <w:tcW w:type="dxa" w:w="3456"/>
            <w:vAlign w:val="top"/>
          </w:tcPr>
          <w:p>
            <w:pPr>
              <w:spacing w:after="40" w:before="0" w:line="259" w:lineRule="auto"/>
            </w:pPr>
            <w:r>
              <w:rPr>
                <w:rFonts w:ascii="Calibri" w:hAnsi="Calibri"/>
                <w:b/>
                <w:i w:val="0"/>
                <w:color w:val="212121"/>
                <w:sz w:val="19"/>
              </w:rPr>
              <w:t>Suprapubic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Mild-to-moderate tenderness over the bladder from associated cystitis.</w:t>
            </w:r>
          </w:p>
        </w:tc>
      </w:tr>
      <w:tr>
        <w:trPr>
          <w:cantSplit/>
        </w:trPr>
        <w:tc>
          <w:tcPr>
            <w:tcW w:type="dxa" w:w="3456"/>
            <w:vAlign w:val="top"/>
          </w:tcPr>
          <w:p>
            <w:pPr>
              <w:spacing w:after="40" w:before="0" w:line="259" w:lineRule="auto"/>
            </w:pPr>
            <w:r>
              <w:rPr>
                <w:rFonts w:ascii="Calibri" w:hAnsi="Calibri"/>
                <w:b/>
                <w:i w:val="0"/>
                <w:color w:val="212121"/>
                <w:sz w:val="19"/>
              </w:rPr>
              <w:t>Positive urine dipstick (leukocyte esterase / nitrite)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evidence of pyuria and bacteriuria supporting the diagnosis.</w:t>
            </w:r>
          </w:p>
        </w:tc>
      </w:tr>
      <w:tr>
        <w:trPr>
          <w:cantSplit/>
        </w:trPr>
        <w:tc>
          <w:tcPr>
            <w:tcW w:type="dxa" w:w="3456"/>
            <w:vAlign w:val="top"/>
          </w:tcPr>
          <w:p>
            <w:pPr>
              <w:spacing w:after="40" w:before="0" w:line="259" w:lineRule="auto"/>
            </w:pPr>
            <w:r>
              <w:rPr>
                <w:rFonts w:ascii="Calibri" w:hAnsi="Calibri"/>
                <w:b/>
                <w:i w:val="0"/>
                <w:color w:val="212121"/>
                <w:sz w:val="19"/>
              </w:rPr>
              <w:t>Signs of dehydration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mucosae, reduced skin turgor and low urine output from fever, vomiting and poor intake.</w:t>
            </w:r>
          </w:p>
        </w:tc>
      </w:tr>
      <w:tr>
        <w:trPr>
          <w:cantSplit/>
        </w:trPr>
        <w:tc>
          <w:tcPr>
            <w:tcW w:type="dxa" w:w="3456"/>
            <w:vAlign w:val="top"/>
          </w:tcPr>
          <w:p>
            <w:pPr>
              <w:spacing w:after="40" w:before="0" w:line="259" w:lineRule="auto"/>
            </w:pPr>
            <w:r>
              <w:rPr>
                <w:rFonts w:ascii="Calibri" w:hAnsi="Calibri"/>
                <w:b/>
                <w:i w:val="0"/>
                <w:color w:val="212121"/>
                <w:sz w:val="19"/>
              </w:rPr>
              <w:t>Tachypnoea / hypotension (sepsis)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Systolic BP &lt; 90 mmHg and rapid breathing indicate progression to urosepsis/septic shock.</w:t>
            </w:r>
          </w:p>
        </w:tc>
      </w:tr>
      <w:tr>
        <w:trPr>
          <w:cantSplit/>
        </w:trPr>
        <w:tc>
          <w:tcPr>
            <w:tcW w:type="dxa" w:w="3456"/>
            <w:vAlign w:val="top"/>
          </w:tcPr>
          <w:p>
            <w:pPr>
              <w:spacing w:after="40" w:before="0" w:line="259" w:lineRule="auto"/>
            </w:pPr>
            <w:r>
              <w:rPr>
                <w:rFonts w:ascii="Calibri" w:hAnsi="Calibri"/>
                <w:b/>
                <w:i w:val="0"/>
                <w:color w:val="212121"/>
                <w:sz w:val="19"/>
              </w:rPr>
              <w:t>Altered sensorium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Confusion or drowsiness, especially in the elderly and in severe sepsis.</w:t>
            </w:r>
          </w:p>
        </w:tc>
      </w:tr>
      <w:tr>
        <w:trPr>
          <w:cantSplit/>
        </w:trPr>
        <w:tc>
          <w:tcPr>
            <w:tcW w:type="dxa" w:w="3456"/>
            <w:vAlign w:val="top"/>
          </w:tcPr>
          <w:p>
            <w:pPr>
              <w:spacing w:after="40" w:before="0" w:line="259" w:lineRule="auto"/>
            </w:pPr>
            <w:r>
              <w:rPr>
                <w:rFonts w:ascii="Calibri" w:hAnsi="Calibri"/>
                <w:b/>
                <w:i w:val="0"/>
                <w:color w:val="212121"/>
                <w:sz w:val="19"/>
              </w:rPr>
              <w:t>Palpable, tender kidney or flank fullness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indicate a renal or perinephric abscess or pyonephrosis.</w:t>
            </w:r>
          </w:p>
        </w:tc>
      </w:tr>
      <w:tr>
        <w:trPr>
          <w:cantSplit/>
        </w:trPr>
        <w:tc>
          <w:tcPr>
            <w:tcW w:type="dxa" w:w="3456"/>
            <w:vAlign w:val="top"/>
          </w:tcPr>
          <w:p>
            <w:pPr>
              <w:spacing w:after="40" w:before="0" w:line="259" w:lineRule="auto"/>
            </w:pPr>
            <w:r>
              <w:rPr>
                <w:rFonts w:ascii="Calibri" w:hAnsi="Calibri"/>
                <w:b/>
                <w:i w:val="0"/>
                <w:color w:val="212121"/>
                <w:sz w:val="19"/>
              </w:rPr>
              <w:t>Crepitus / gas on imaging over the renal area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Feature of emphysematous pyelonephritis in diabetics; a surgical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Urosepsis / bacteraemia and septic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high fever with systemic inflammatory response</w:t>
            </w:r>
          </w:p>
        </w:tc>
        <w:tc>
          <w:tcPr>
            <w:tcW w:type="dxa" w:w="2980"/>
            <w:vAlign w:val="top"/>
          </w:tcPr>
          <w:p>
            <w:pPr>
              <w:spacing w:after="40" w:before="0" w:line="259" w:lineRule="auto"/>
            </w:pPr>
            <w:r>
              <w:rPr>
                <w:rFonts w:ascii="Calibri" w:hAnsi="Calibri"/>
                <w:b w:val="0"/>
                <w:i w:val="0"/>
                <w:color w:val="212121"/>
                <w:sz w:val="19"/>
              </w:rPr>
              <w:t>Direct acute consequences of renal parenchymal infection and systemic spread of bacteria and toxins.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and perinephric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Emphysematous pyelonephritis (necrotising, gas-forming; mainly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papillary necrosis (diabetes, obstruction, analgesic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Pyonephrosis with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focal bacterial nephritis (lobar nephronia)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preterm labour, PROM and low birth weight</w:t>
            </w:r>
          </w:p>
        </w:tc>
        <w:tc>
          <w:tcPr>
            <w:tcW w:type="dxa" w:w="2980"/>
            <w:vAlign w:val="top"/>
          </w:tcPr>
          <w:p>
            <w:pPr>
              <w:spacing w:after="40" w:before="0" w:line="259" w:lineRule="auto"/>
            </w:pPr>
            <w:r>
              <w:rPr>
                <w:rFonts w:ascii="Calibri" w:hAnsi="Calibri"/>
                <w:b w:val="0"/>
                <w:i w:val="0"/>
                <w:color w:val="212121"/>
                <w:sz w:val="19"/>
              </w:rPr>
              <w:t>Suppurative and obstructive complications arising from severe or inadequately treated/complicated infection.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pyelonephritis with renal scarring / reflux nephropathy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progressing to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(renin-mediated)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Xanthogranulomatous pyelonephritis requiring nephrectomy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pyelonephritis and permanent loss of renal function / graft loss in transplants</w:t>
            </w:r>
          </w:p>
        </w:tc>
        <w:tc>
          <w:tcPr>
            <w:tcW w:type="dxa" w:w="2980"/>
            <w:vAlign w:val="top"/>
          </w:tcPr>
          <w:p>
            <w:pPr>
              <w:spacing w:after="40" w:before="0" w:line="259" w:lineRule="auto"/>
            </w:pPr>
            <w:r>
              <w:rPr>
                <w:rFonts w:ascii="Calibri" w:hAnsi="Calibri"/>
                <w:b w:val="0"/>
                <w:i w:val="0"/>
                <w:color w:val="212121"/>
                <w:sz w:val="19"/>
              </w:rPr>
              <w:t>Irreversible, long-term outcomes of repeated or unresolved infection and scarring.</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Glycosuria, impaired neutrophil function and neurogenic bladder predispose to severe and emphysematous pyelonephritis; infection in turn worsens glycaemic control and can be its first presentation.</w:t>
            </w:r>
          </w:p>
          <w:p>
            <w:pPr>
              <w:spacing w:after="40" w:before="0" w:line="259" w:lineRule="auto"/>
            </w:pPr>
            <w:r>
              <w:rPr>
                <w:rFonts w:ascii="Calibri" w:hAnsi="Calibri"/>
                <w:b/>
                <w:i w:val="0"/>
                <w:color w:val="212121"/>
                <w:sz w:val="19"/>
              </w:rPr>
              <w:t>Up to 54-55%</w:t>
            </w:r>
          </w:p>
        </w:tc>
      </w:tr>
      <w:tr>
        <w:trPr>
          <w:cantSplit/>
        </w:trPr>
        <w:tc>
          <w:tcPr>
            <w:tcW w:type="dxa" w:w="2232"/>
            <w:vAlign w:val="top"/>
          </w:tcPr>
          <w:p>
            <w:pPr>
              <w:spacing w:after="40" w:before="0" w:line="259" w:lineRule="auto"/>
            </w:pPr>
            <w:r>
              <w:rPr>
                <w:rFonts w:ascii="Calibri" w:hAnsi="Calibri"/>
                <w:b/>
                <w:i w:val="0"/>
                <w:color w:val="212121"/>
                <w:sz w:val="19"/>
              </w:rPr>
              <w:t>Recurrent lower urinary tract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Repeated cystitis provides the ascending source; shares uropathogen colonisation and host-susceptibility mechanisms and predicts further upper-tract episodes.</w:t>
            </w:r>
          </w:p>
          <w:p>
            <w:pPr>
              <w:spacing w:after="40" w:before="0" w:line="259" w:lineRule="auto"/>
            </w:pPr>
            <w:r>
              <w:rPr>
                <w:rFonts w:ascii="Calibri" w:hAnsi="Calibri"/>
                <w:b/>
                <w:i w:val="0"/>
                <w:color w:val="212121"/>
                <w:sz w:val="19"/>
              </w:rPr>
              <w:t>Up to 44%</w:t>
            </w:r>
          </w:p>
        </w:tc>
      </w:tr>
      <w:tr>
        <w:trPr>
          <w:cantSplit/>
        </w:trPr>
        <w:tc>
          <w:tcPr>
            <w:tcW w:type="dxa" w:w="2232"/>
            <w:vAlign w:val="top"/>
          </w:tcPr>
          <w:p>
            <w:pPr>
              <w:spacing w:after="40" w:before="0" w:line="259" w:lineRule="auto"/>
            </w:pPr>
            <w:r>
              <w:rPr>
                <w:rFonts w:ascii="Calibri" w:hAnsi="Calibri"/>
                <w:b/>
                <w:i w:val="0"/>
                <w:color w:val="212121"/>
                <w:sz w:val="19"/>
              </w:rPr>
              <w:t>Urolithiasis (kidney/ureteric stones)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Stones cause obstruction and act as an infected nidus; infection with urease-producing bacteria can in turn form struvite stones.</w:t>
            </w:r>
          </w:p>
          <w:p>
            <w:pPr>
              <w:spacing w:after="40" w:before="0" w:line="259" w:lineRule="auto"/>
            </w:pPr>
            <w:r>
              <w:rPr>
                <w:rFonts w:ascii="Calibri" w:hAnsi="Calibri"/>
                <w:b/>
                <w:i w:val="0"/>
                <w:color w:val="212121"/>
                <w:sz w:val="19"/>
              </w:rPr>
              <w:t>~14-19%</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pyelonephritis/reflux nephropathy scarring activates the renin-angiotensin system, causing secondary hypertension that further accelerates renal damage.</w:t>
            </w:r>
          </w:p>
          <w:p>
            <w:pPr>
              <w:spacing w:after="40" w:before="0" w:line="259" w:lineRule="auto"/>
            </w:pPr>
            <w:r>
              <w:rPr>
                <w:rFonts w:ascii="Calibri" w:hAnsi="Calibri"/>
                <w:b/>
                <w:i w:val="0"/>
                <w:color w:val="212121"/>
                <w:sz w:val="19"/>
              </w:rPr>
              <w:t>~27%</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Recurrent or chronic pyelonephritis and scarring reduce nephron mass; pre-existing CKD also raises infection risk and complicates antibiotic dosing.</w:t>
            </w:r>
          </w:p>
          <w:p>
            <w:pPr>
              <w:spacing w:after="40" w:before="0" w:line="259" w:lineRule="auto"/>
            </w:pPr>
            <w:r>
              <w:rPr>
                <w:rFonts w:ascii="Calibri" w:hAnsi="Calibri"/>
                <w:b/>
                <w:i w:val="0"/>
                <w:color w:val="212121"/>
                <w:sz w:val="19"/>
              </w:rPr>
              <w:t>~7%</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 / bladder outlet obstruction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Incomplete emptying and high residual urine in older men promote stasis and ascending infection, often necessitating catheterisation.</w:t>
            </w:r>
          </w:p>
          <w:p>
            <w:pPr>
              <w:spacing w:after="40" w:before="0" w:line="259" w:lineRule="auto"/>
            </w:pPr>
            <w:r>
              <w:rPr>
                <w:rFonts w:ascii="Calibri" w:hAnsi="Calibri"/>
                <w:b/>
                <w:i w:val="0"/>
                <w:color w:val="212121"/>
                <w:sz w:val="19"/>
              </w:rPr>
              <w:t>~7%</w:t>
            </w:r>
          </w:p>
        </w:tc>
      </w:tr>
      <w:tr>
        <w:trPr>
          <w:cantSplit/>
        </w:trPr>
        <w:tc>
          <w:tcPr>
            <w:tcW w:type="dxa" w:w="2232"/>
            <w:vAlign w:val="top"/>
          </w:tcPr>
          <w:p>
            <w:pPr>
              <w:spacing w:after="40" w:before="0" w:line="259" w:lineRule="auto"/>
            </w:pPr>
            <w:r>
              <w:rPr>
                <w:rFonts w:ascii="Calibri" w:hAnsi="Calibri"/>
                <w:b/>
                <w:i w:val="0"/>
                <w:color w:val="212121"/>
                <w:sz w:val="19"/>
              </w:rPr>
              <w:t>Vesicoureteral reflux (VUR)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Retrograde urine flow delivers bacteria to the kidney and underlies most childhood pyelonephritis and reflux nephropathy.</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Physiological ureteric dilatation and stasis make pyelonephritis a leading medical complication of pregnancy, with maternal and fetal risk driving screening and prompt therapy.</w:t>
            </w:r>
          </w:p>
        </w:tc>
      </w:tr>
      <w:tr>
        <w:trPr>
          <w:cantSplit/>
        </w:trPr>
        <w:tc>
          <w:tcPr>
            <w:tcW w:type="dxa" w:w="2232"/>
            <w:vAlign w:val="top"/>
          </w:tcPr>
          <w:p>
            <w:pPr>
              <w:spacing w:after="40" w:before="0" w:line="259" w:lineRule="auto"/>
            </w:pPr>
            <w:r>
              <w:rPr>
                <w:rFonts w:ascii="Calibri" w:hAnsi="Calibri"/>
                <w:b/>
                <w:i w:val="0"/>
                <w:color w:val="212121"/>
                <w:sz w:val="19"/>
              </w:rPr>
              <w:t>Neurogenic bladder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emptying and frequent catheterisation cause chronic stasis and recurrent, often resistant, upper-tract infection.</w:t>
            </w:r>
          </w:p>
          <w:p>
            <w:pPr>
              <w:spacing w:after="40" w:before="0" w:line="259" w:lineRule="auto"/>
            </w:pPr>
            <w:r>
              <w:rPr>
                <w:rFonts w:ascii="Calibri" w:hAnsi="Calibri"/>
                <w:b/>
                <w:i w:val="0"/>
                <w:color w:val="212121"/>
                <w:sz w:val="19"/>
              </w:rPr>
              <w:t>~2%</w:t>
            </w:r>
          </w:p>
        </w:tc>
      </w:tr>
      <w:tr>
        <w:trPr>
          <w:cantSplit/>
        </w:trPr>
        <w:tc>
          <w:tcPr>
            <w:tcW w:type="dxa" w:w="2232"/>
            <w:vAlign w:val="top"/>
          </w:tcPr>
          <w:p>
            <w:pPr>
              <w:spacing w:after="40" w:before="0" w:line="259" w:lineRule="auto"/>
            </w:pPr>
            <w:r>
              <w:rPr>
                <w:rFonts w:ascii="Calibri" w:hAnsi="Calibri"/>
                <w:b/>
                <w:i w:val="0"/>
                <w:color w:val="212121"/>
                <w:sz w:val="19"/>
              </w:rPr>
              <w:t>Renal transplantation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Immunosuppressive drugs and a refluxing transplant ureter make graft pyelonephritis common and threaten graft survival; treatment must balance immunosuppression and nephrotoxicity.</w:t>
            </w:r>
          </w:p>
        </w:tc>
      </w:tr>
      <w:tr>
        <w:trPr>
          <w:cantSplit/>
        </w:trPr>
        <w:tc>
          <w:tcPr>
            <w:tcW w:type="dxa" w:w="2232"/>
            <w:vAlign w:val="top"/>
          </w:tcPr>
          <w:p>
            <w:pPr>
              <w:spacing w:after="40" w:before="0" w:line="259" w:lineRule="auto"/>
            </w:pPr>
            <w:r>
              <w:rPr>
                <w:rFonts w:ascii="Calibri" w:hAnsi="Calibri"/>
                <w:b/>
                <w:i w:val="0"/>
                <w:color w:val="212121"/>
                <w:sz w:val="19"/>
              </w:rPr>
              <w:t>Urosepsis / septic shock</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spread of infection is the most dangerous acute consequence, requiring source control, fluids and prompt IV antibiotics.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features - fever with chills, one-sided flank/back pain, and burning or bloody urine - and seek care early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lower UTIs promptly and complete the full antibiotic course to prevent ascent to the kidney.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and control key risk factors: diabetes, kidney stones, prostate enlargement and urinary catheters.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should attend antenatal screening for asymptomatic bacteriuria and take prescribed treatment fully.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or prolonged urinary catheterisation; ensure aseptic technique and early removal when a catheter is required.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diagnostic work-up (culture and, if advised, imaging) for recurrent or childhood UTIs to detect reflux or obstruction.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and stone-forming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Catheterised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plenty of fluids - aim for about 2-2.5 litres/day unless medically restricted - to keep urine dilute and flowing (shown to cut recurrent UTI by ~47%).</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delay or suppress the urge to urinate; empty the bladder regularly and completely.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bladder irritants such as excess caffeine and alcohol, which can worsen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Cranberry products may modestly help some women with recurrent UTI but do not replace hydration or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through a balanced, low-refined-sugar diet in people with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recurrent UTI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hot climates / dehydration-prone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Stone-formers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mobile and avoid prolonged immobility, which promotes urinary stasis and catheter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bed-bound or post-operative patients, encourage early mobilisation and scheduled voiding.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moderate activity supports immune function and healthy weight, indirectly lowering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Pelvic-floor and bladder-training exercises help those with incontinence or incomplete emptying.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 bed-bound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incontinence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which can impair immunity and reduce self-care and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hydration, hygiene and medication routines, especially in the elderly and chronically ill.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any barriers (mobility, cognition, caregiver support) that impede timely toileting and care-seeking.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ill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impairs immune defences and is a bladder (urothelial) carcinogen that can mimic or complicate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nicotine-replacement therapy and behavioural support to aid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haematuria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irritates the bladder, acts as a diuretic and, in excess, impairs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water intake alongside any alcohol to avoid dehydration and concentrated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episodic drinking that compromises self-care and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illness, rest and hydration take priority; resume normal activity gradually as fever and pain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recovery, use scheduled voiding and, where relevant, intermittent self-catheterisation training to prevent stasis.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chronic/recurrent disease, combine bladder retraining with urological follow-up for reflux or obstruction.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pyelonephritis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generous oral fluids during and after treatment (unless renal/cardiac restriction) to flush the urinary tract; use IV fluids if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Tighten glycaemic control in diabetics, as hyperglycaemia worsens severity and delays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nutrition and iron intake to correct the anaemia common in severe/chronic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avoiding bladder irritants until symptoms fully resolve.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 chronically infected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even after fever settles, and attend follow-up/repeat culture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urgently if fever persists beyond 48-72 hours, pain worsens, or vomiting prevents oral medication - this may indicate abscess or obstruction needing imaging/drainage.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urological evaluation and treatment of underlying stones, reflux, prostate or catheter issues to prevent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ensure close obstetric monitoring and treatment to reduce preterm-birth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post-coital voiding, front-to-back perineal hygiene and prompt treatment of future lower-UTI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 complicated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ademic.oup.com/cid/article/45/3/273/358020" TargetMode="External"/><Relationship Id="rId10" Type="http://schemas.openxmlformats.org/officeDocument/2006/relationships/hyperlink" Target="https://indianjnephrol.org/acute-pyelonephritis-a-single-center-experience/" TargetMode="External"/><Relationship Id="rId11" Type="http://schemas.openxmlformats.org/officeDocument/2006/relationships/hyperlink" Target="https://www.microbiologyresearch.org/content/journal/acmi/10.1099/acmi.0.000321" TargetMode="External"/><Relationship Id="rId12" Type="http://schemas.openxmlformats.org/officeDocument/2006/relationships/hyperlink" Target="https://jamanetwork.com/journals/jamainternalmedicine/fullarticle/2705079" TargetMode="External"/><Relationship Id="rId13" Type="http://schemas.openxmlformats.org/officeDocument/2006/relationships/hyperlink" Target="https://pubmed.ncbi.nlm.nih.gov/15630106/" TargetMode="External"/><Relationship Id="rId14" Type="http://schemas.openxmlformats.org/officeDocument/2006/relationships/hyperlink" Target="https://www.jebmh.com/articles/a-cross-sectional-study-on-risk-factors-clinical-profile-and-aetiology-of-acute-pyelonephritis-in-a-tertiary-teaching-ho.pdf.pdf" TargetMode="External"/><Relationship Id="rId15" Type="http://schemas.openxmlformats.org/officeDocument/2006/relationships/hyperlink" Target="https://bjgp.org/content/70/692/e200" TargetMode="External"/><Relationship Id="rId16" Type="http://schemas.openxmlformats.org/officeDocument/2006/relationships/hyperlink" Target="https://indianjnephrol.org/a-prospective-study-of-emphysematous-pyelonephritis-in-patients-with-type-2-diabetes/" TargetMode="External"/><Relationship Id="rId17" Type="http://schemas.openxmlformats.org/officeDocument/2006/relationships/hyperlink" Target="https://www.ncbi.nlm.nih.gov/books/NBK537047/" TargetMode="External"/><Relationship Id="rId18" Type="http://schemas.openxmlformats.org/officeDocument/2006/relationships/hyperlink" Target="https://www.ncbi.nlm.nih.gov/books/NBK519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