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Stress Urinary Incontinence</w:t>
      </w:r>
    </w:p>
    <w:p>
      <w:pPr>
        <w:spacing w:before="0" w:after="160"/>
      </w:pPr>
      <w:r>
        <w:rPr>
          <w:rFonts w:ascii="Calibri" w:hAnsi="Calibri"/>
          <w:b/>
          <w:i w:val="0"/>
          <w:color w:val="212121"/>
          <w:sz w:val="22"/>
        </w:rPr>
        <w:t xml:space="preserve">AKA </w:t>
      </w:r>
      <w:r>
        <w:rPr>
          <w:rFonts w:ascii="Calibri" w:hAnsi="Calibri"/>
          <w:b w:val="0"/>
          <w:i w:val="0"/>
          <w:color w:val="212121"/>
          <w:sz w:val="22"/>
        </w:rPr>
        <w:t>i.e., SUI, Stress Incontinence, Effort Incontinence, Exertional Urinary Incontinence, Stress Leakage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Stress urinary incontinence (SUI) is the involuntary leakage of urine on effort or physical exertion — such as coughing, sneezing, laughing, lifting, or exercise — that occurs when a sudden rise in intra-abdominal pressure exceeds the closing pressure of an incompetent urethral sphincter, in the absence of an involuntary detrusor (bladder muscle) contraction. It results from weakness of the pelvic floor and urethral support (urethral hypermobility) and/or a poorly functioning urethral sphincter (intrinsic sphincter deficiency). SUI is the most common type of urinary incontinence in women and, unlike urgency incontinence, is characteristically not preceded by a sudden urge and rarely causes leakage during sleep.</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Stress incontinence is the single most common form of urinary incontinence in women. Indian community- and hospital-based studies report female urinary incontinence prevalence of roughly 10–30%, with the stress subtype consistently predominating — for example, a Kochi (Kerala) study of postmenopausal women found overall incontinence in 26.5%, of which stress incontinence (13.9%) was the leading type, ahead of mixed (7.2%) and urge (5.4%). Prevalence rises sharply with parity, obesity and after menopause, and international series place stress incontinence at about 37.5% of all adult female incontinence, affecting 24–45% of women over the age of 30. SUI is heavily under-reported in India, where stigma and the belief that leakage is a normal consequence of childbearing or ageing keep most affected women from seeking care.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SUI is primarily a clinical diagnosis based on a characteristic history and direct demonstration of leakage, with tests used to confirm the mechanism, grade severity and exclude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involuntary urine leakage synchronous with coughing, sneezing, laughing, lifting or exercise, in small spurts and without a preceding urge to void;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cough stress test — visible leakage from the urethra coincident with a cough or Valsalva, performed with a comfortably full bladder (the key bedside confirmatory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Cotton-swab (Q-tip) test demonstrating urethral hypermobility — a resting-to-straining angle change greater than 30° from the horizontal;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or normal post-void residual urine (typically &lt; 50 mL), which distinguishes SUI from overflow incontinence;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 culture to exclude urinary tract infection, haematuria and glycosuria before labelling symptoms as SUI;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bladder (frequency-volume) diary and a quantitative pad test to characterise and grade severity, plus validated questionnaires (ICIQ-UI SF, UDI-6);</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Multichannel urodynamics (demonstrating urodynamic stress incontinence — leakage on raised abdominal pressure without a detrusor contraction, with abdominal leak-point pressure) reserved for diagnostic uncertainty, mixed symptoms, suspected intrinsic sphincter deficiency, or before/after failed surgery.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Stress urinary incontinence is classified by its underlying mechanism and by severity:</w:t>
      </w:r>
    </w:p>
    <w:p>
      <w:pPr>
        <w:spacing w:before="0" w:after="80"/>
      </w:pPr>
      <w:r>
        <w:rPr>
          <w:rFonts w:ascii="Calibri" w:hAnsi="Calibri"/>
          <w:b w:val="0"/>
          <w:i w:val="0"/>
          <w:color w:val="212121"/>
          <w:sz w:val="21"/>
        </w:rPr>
        <w:t>(1) Urethral hypermobility — by far the most common mechanism, in which loss of pelvic floor and endopelvic fascial support allows the bladder neck and urethra to descend and rotate during effort, so that pressure is no longer transmitted equally to the urethra; the cotton-swap test is positive;</w:t>
      </w:r>
    </w:p>
    <w:p>
      <w:pPr>
        <w:spacing w:before="0" w:after="80"/>
      </w:pPr>
      <w:r>
        <w:rPr>
          <w:rFonts w:ascii="Calibri" w:hAnsi="Calibri"/>
          <w:b w:val="0"/>
          <w:i w:val="0"/>
          <w:color w:val="212121"/>
          <w:sz w:val="21"/>
        </w:rPr>
        <w:t>(2) Intrinsic sphincter deficiency (ISD) — a poorly functioning, often fixed and “pipe-stem” urethra that leaks even at low abdominal pressure, associated with ageing, oestrogen deficiency, prior anti-incontinence or pelvic surgery, radiation and neurological injury; abdominal leak-point pressure is low (typically &lt; 60 cmH₂O);</w:t>
      </w:r>
    </w:p>
    <w:p>
      <w:pPr>
        <w:spacing w:before="0" w:after="80"/>
      </w:pPr>
      <w:r>
        <w:rPr>
          <w:rFonts w:ascii="Calibri" w:hAnsi="Calibri"/>
          <w:b w:val="0"/>
          <w:i w:val="0"/>
          <w:color w:val="212121"/>
          <w:sz w:val="21"/>
        </w:rPr>
        <w:t>(3) Mixed urinary incontinence — coexistence of stress and urgency (overactive-bladder) components, very common in older and parous women, where the predominant symptom guides treatment; and</w:t>
      </w:r>
    </w:p>
    <w:p>
      <w:pPr>
        <w:spacing w:before="0" w:after="80"/>
      </w:pPr>
      <w:r>
        <w:rPr>
          <w:rFonts w:ascii="Calibri" w:hAnsi="Calibri"/>
          <w:b w:val="0"/>
          <w:i w:val="0"/>
          <w:color w:val="212121"/>
          <w:sz w:val="21"/>
        </w:rPr>
        <w:t>(4) By severity — graded clinically and by pad testing from mild (leakage only with vigorous effort such as coughing or sport) to moderate and severe (leakage with minimal exertion, standing or at rest), which shapes the choice between conservative and surgical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Pregnancy and vaginal childbirth: Stretching and tearing of the pelvic floor muscles, endopelvic fascia and pudendal nerve during vaginal delivery — especially with high birth weight, instrumental delivery or levator avulsion — is the leading cause of urethral support loss.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High parity: Each additional vaginal delivery cumulatively weakens pelvic support, and multiparity is a consistent, dose-dependent risk factor for SUI.</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Obesity and raised intra-abdominal pressure: Excess weight chronically loads the pelvic floor and raises intravesical pressure; higher BMI is a strong, modifiable, dose-related risk factor, and weight loss reduces leakage.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Menopause and oestrogen deficiency: Loss of oestrogen thins and weakens the urethral mucosa, submucosal vasculature and supporting tissues, lowering urethral closure pressure.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and connective-tissue change: Progressive loss of collagen, muscle bulk and tissue elasticity reduces both urethral support and intrinsic sphincter function.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Chronically raised abdominal pressure: Chronic cough (smoking, COPD, asthma), chronic constipation with straining, heavy lifting and high-impact exercise repeatedly stress an already weakened outlet.</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Pelvic surgery, radiation and neurological injury: Hysterectomy, prior incontinence or prolapse surgery, pelvic radiotherapy and sacral nerve injury damage urethral support or the sphincter, producing intrinsic sphincter deficiency.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 women (30+)</w:t>
            </w:r>
          </w:p>
        </w:tc>
        <w:tc>
          <w:tcPr>
            <w:tcW w:type="dxa" w:w="4276"/>
            <w:vAlign w:val="top"/>
          </w:tcPr>
          <w:p>
            <w:pPr>
              <w:spacing w:after="60" w:line="259" w:lineRule="auto"/>
            </w:pPr>
            <w:r>
              <w:rPr>
                <w:rFonts w:ascii="Calibri" w:hAnsi="Calibri"/>
                <w:b w:val="0"/>
                <w:i w:val="0"/>
                <w:color w:val="212121"/>
                <w:sz w:val="19"/>
              </w:rPr>
              <w:t>Cumulative effects of childbirth, rising BMI and early tissue changes make effort-related leakage common through the reproductive and perimenopausal years, when it most affects work, exercise and social confidence.</w:t>
            </w:r>
          </w:p>
          <w:p>
            <w:pPr>
              <w:spacing w:after="40" w:before="60" w:line="259" w:lineRule="auto"/>
            </w:pPr>
            <w:r>
              <w:rPr>
                <w:rFonts w:ascii="Calibri" w:hAnsi="Calibri"/>
                <w:b w:val="0"/>
                <w:i w:val="0"/>
                <w:color w:val="212121"/>
                <w:sz w:val="19"/>
              </w:rPr>
              <w:t>Stress incontinence affects an estimated 24–45% of women over the age of 30 and is the most common incontinence subtype in adult women (~37.5% of cases).</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#stressincontinence  #pelvicfloor  #urethralsupport  #women  #underreported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postmenopausal women</w:t>
            </w:r>
          </w:p>
        </w:tc>
        <w:tc>
          <w:tcPr>
            <w:tcW w:type="dxa" w:w="4276"/>
            <w:vAlign w:val="top"/>
          </w:tcPr>
          <w:p>
            <w:pPr>
              <w:spacing w:after="60" w:line="259" w:lineRule="auto"/>
            </w:pPr>
            <w:r>
              <w:rPr>
                <w:rFonts w:ascii="Calibri" w:hAnsi="Calibri"/>
                <w:b w:val="0"/>
                <w:i w:val="0"/>
                <w:color w:val="212121"/>
                <w:sz w:val="19"/>
              </w:rPr>
              <w:t>Oestrogen deficiency, collagen loss and declining sphincter function raise both prevalence and severity after menopause, and stress leakage frequently blends with urgency into mixed incontinence.</w:t>
            </w:r>
          </w:p>
          <w:p>
            <w:pPr>
              <w:spacing w:after="40" w:before="60" w:line="259" w:lineRule="auto"/>
            </w:pPr>
            <w:r>
              <w:rPr>
                <w:rFonts w:ascii="Calibri" w:hAnsi="Calibri"/>
                <w:b w:val="0"/>
                <w:i w:val="0"/>
                <w:color w:val="212121"/>
                <w:sz w:val="19"/>
              </w:rPr>
              <w:t>In postmenopausal women in Kochi, Kerala, overall incontinence was 26.5%, with stress incontinence the leading subtype at 13.9% (vs mixed 7.2% and urge 5.4%).</w:t>
            </w:r>
          </w:p>
          <w:p>
            <w:pPr>
              <w:spacing w:after="40" w:line="252" w:lineRule="auto"/>
            </w:pPr>
            <w:hyperlink r:id="rId10">
              <w:r>
                <w:rPr>
                  <w:rFonts w:ascii="Calibri" w:hAnsi="Calibri" w:cs="Calibri"/>
                  <w:sz w:val="18"/>
                  <w:color w:val="1155CC"/>
                  <w:u w:val="single"/>
                </w:rPr>
                <w:t xml:space="preserve">pubmed 31728086 — UI in postmenopausal women, Kochi</w:t>
              </w:r>
            </w:hyperlink>
          </w:p>
          <w:p>
            <w:pPr>
              <w:spacing w:before="60" w:after="40"/>
            </w:pPr>
            <w:r>
              <w:rPr>
                <w:rFonts w:ascii="Calibri" w:hAnsi="Calibri"/>
                <w:b w:val="0"/>
                <w:i w:val="0"/>
                <w:color w:val="5A5A5A"/>
                <w:sz w:val="18"/>
              </w:rPr>
              <w:t>#menopause  #ageing  #oestrogen  #mixedincontinence  #severity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(predominant)</w:t>
            </w:r>
          </w:p>
        </w:tc>
        <w:tc>
          <w:tcPr>
            <w:tcW w:type="dxa" w:w="4276"/>
            <w:vAlign w:val="top"/>
          </w:tcPr>
          <w:p>
            <w:pPr>
              <w:spacing w:after="60" w:line="259" w:lineRule="auto"/>
            </w:pPr>
            <w:r>
              <w:rPr>
                <w:rFonts w:ascii="Calibri" w:hAnsi="Calibri"/>
                <w:b w:val="0"/>
                <w:i w:val="0"/>
                <w:color w:val="212121"/>
                <w:sz w:val="19"/>
              </w:rPr>
              <w:t>A shorter urethra, the anatomical and neuromuscular impact of pregnancy and vaginal delivery, and post-menopausal oestrogen loss make SUI overwhelmingly a female condition.</w:t>
            </w:r>
          </w:p>
          <w:p>
            <w:pPr>
              <w:spacing w:after="40" w:before="60" w:line="259" w:lineRule="auto"/>
            </w:pPr>
            <w:r>
              <w:rPr>
                <w:rFonts w:ascii="Calibri" w:hAnsi="Calibri"/>
                <w:b w:val="0"/>
                <w:i w:val="0"/>
                <w:color w:val="212121"/>
                <w:sz w:val="19"/>
              </w:rPr>
              <w:t>Stress incontinence is the most common type of urinary incontinence among adult women, accounting for roughly 37.5% of reported cases.</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#women  #shorturethra  #childbirth  #pelvicfloor  #female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after prostate surgery</w:t>
            </w:r>
          </w:p>
        </w:tc>
        <w:tc>
          <w:tcPr>
            <w:tcW w:type="dxa" w:w="4276"/>
            <w:vAlign w:val="top"/>
          </w:tcPr>
          <w:p>
            <w:pPr>
              <w:spacing w:after="60" w:line="259" w:lineRule="auto"/>
            </w:pPr>
            <w:r>
              <w:rPr>
                <w:rFonts w:ascii="Calibri" w:hAnsi="Calibri"/>
                <w:b w:val="0"/>
                <w:i w:val="0"/>
                <w:color w:val="212121"/>
                <w:sz w:val="19"/>
              </w:rPr>
              <w:t>SUI in men is uncommon and results chiefly from sphincter damage after radical prostatectomy or other prostate surgery, i.e. intrinsic sphincter deficiency rather than support loss.</w:t>
            </w:r>
          </w:p>
          <w:p>
            <w:pPr>
              <w:spacing w:after="40" w:before="60" w:line="259" w:lineRule="auto"/>
            </w:pPr>
            <w:r>
              <w:rPr>
                <w:rFonts w:ascii="Calibri" w:hAnsi="Calibri"/>
                <w:b w:val="0"/>
                <w:i w:val="0"/>
                <w:color w:val="212121"/>
                <w:sz w:val="19"/>
              </w:rPr>
              <w:t>Post-prostatectomy sphincteric insufficiency is the principal cause of stress incontinence in men, who may achieve good continence with pelvic floor training or sphincter surgery.</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#men  #prostatectomy  #ISD  #sphincter  #postsurgical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Lower-SES, high-parity Indian women</w:t>
            </w:r>
          </w:p>
        </w:tc>
        <w:tc>
          <w:tcPr>
            <w:tcW w:type="dxa" w:w="4276"/>
            <w:vAlign w:val="top"/>
          </w:tcPr>
          <w:p>
            <w:pPr>
              <w:spacing w:after="60" w:line="259" w:lineRule="auto"/>
            </w:pPr>
            <w:r>
              <w:rPr>
                <w:rFonts w:ascii="Calibri" w:hAnsi="Calibri"/>
                <w:b w:val="0"/>
                <w:i w:val="0"/>
                <w:color w:val="212121"/>
                <w:sz w:val="19"/>
              </w:rPr>
              <w:t>High parity, home and unsupervised deliveries, heavy manual and agricultural work, early return to labour and delayed care combine to raise both the risk and the impact of SUI, yet care-seeking is lowest in this group.</w:t>
            </w:r>
          </w:p>
          <w:p>
            <w:pPr>
              <w:spacing w:after="40" w:before="60" w:line="259" w:lineRule="auto"/>
            </w:pPr>
            <w:r>
              <w:rPr>
                <w:rFonts w:ascii="Calibri" w:hAnsi="Calibri"/>
                <w:b w:val="0"/>
                <w:i w:val="0"/>
                <w:color w:val="212121"/>
                <w:sz w:val="19"/>
              </w:rPr>
              <w:t>Urinary incontinence is common but markedly under-recognised among lower-socioeconomic and rural Indian women, with most never seeking treatment.</w:t>
            </w:r>
          </w:p>
          <w:p>
            <w:pPr>
              <w:spacing w:after="40" w:line="252" w:lineRule="auto"/>
            </w:pPr>
            <w:hyperlink r:id="rId11">
              <w:r>
                <w:rPr>
                  <w:rFonts w:ascii="Calibri" w:hAnsi="Calibri" w:cs="Calibri"/>
                  <w:sz w:val="18"/>
                  <w:color w:val="1155CC"/>
                  <w:u w:val="single"/>
                </w:rPr>
                <w:t xml:space="preserve">pubmed 21116353 — UI in rural Indian women (35+)</w:t>
              </w:r>
            </w:hyperlink>
          </w:p>
          <w:p>
            <w:pPr>
              <w:spacing w:before="60" w:after="40"/>
            </w:pPr>
            <w:r>
              <w:rPr>
                <w:rFonts w:ascii="Calibri" w:hAnsi="Calibri"/>
                <w:b w:val="0"/>
                <w:i w:val="0"/>
                <w:color w:val="5A5A5A"/>
                <w:sz w:val="18"/>
              </w:rPr>
              <w:t>#socioeconomic  #parity  #ruralindia  #accesstocare  #stigma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women</w:t>
            </w:r>
          </w:p>
        </w:tc>
        <w:tc>
          <w:tcPr>
            <w:tcW w:type="dxa" w:w="4276"/>
            <w:vAlign w:val="top"/>
          </w:tcPr>
          <w:p>
            <w:pPr>
              <w:spacing w:after="60" w:line="259" w:lineRule="auto"/>
            </w:pPr>
            <w:r>
              <w:rPr>
                <w:rFonts w:ascii="Calibri" w:hAnsi="Calibri"/>
                <w:b w:val="0"/>
                <w:i w:val="0"/>
                <w:color w:val="212121"/>
                <w:sz w:val="19"/>
              </w:rPr>
              <w:t>Community and hospital cohorts from south India document a heavy burden of stress incontinence linked to high parity, vaginal delivery, obesity, diabetes, chronic constipation and heavy coffee consumption.</w:t>
            </w:r>
          </w:p>
          <w:p>
            <w:pPr>
              <w:spacing w:after="40" w:before="60" w:line="259" w:lineRule="auto"/>
            </w:pPr>
            <w:r>
              <w:rPr>
                <w:rFonts w:ascii="Calibri" w:hAnsi="Calibri"/>
                <w:b w:val="0"/>
                <w:i w:val="0"/>
                <w:color w:val="212121"/>
                <w:sz w:val="19"/>
              </w:rPr>
              <w:t>In a south Indian cohort of women with incontinence (n=299), 70.2% reported constipation, 37.8% were obese and 32.4% diabetic; stress-incontinence scores were far higher after vaginal delivery (7.52) than caesarean (4.26).</w:t>
            </w:r>
          </w:p>
          <w:p>
            <w:pPr>
              <w:spacing w:after="40" w:line="252" w:lineRule="auto"/>
            </w:pPr>
            <w:hyperlink r:id="rId12">
              <w:r>
                <w:rPr>
                  <w:rFonts w:ascii="Calibri" w:hAnsi="Calibri" w:cs="Calibri"/>
                  <w:sz w:val="18"/>
                  <w:color w:val="1155CC"/>
                  <w:u w:val="single"/>
                </w:rPr>
                <w:t xml:space="preserve">texilajournal — predictors of UI in south Indian women</w:t>
              </w:r>
            </w:hyperlink>
          </w:p>
          <w:p>
            <w:pPr>
              <w:spacing w:before="60" w:after="40"/>
            </w:pPr>
            <w:r>
              <w:rPr>
                <w:rFonts w:ascii="Calibri" w:hAnsi="Calibri"/>
                <w:b w:val="0"/>
                <w:i w:val="0"/>
                <w:color w:val="5A5A5A"/>
                <w:sz w:val="18"/>
              </w:rPr>
              <w:t>#southindia  #parity  #constipation  #coffee  #vaginaldelivery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Indian women</w:t>
            </w:r>
          </w:p>
        </w:tc>
        <w:tc>
          <w:tcPr>
            <w:tcW w:type="dxa" w:w="4276"/>
            <w:vAlign w:val="top"/>
          </w:tcPr>
          <w:p>
            <w:pPr>
              <w:spacing w:after="60" w:line="259" w:lineRule="auto"/>
            </w:pPr>
            <w:r>
              <w:rPr>
                <w:rFonts w:ascii="Calibri" w:hAnsi="Calibri"/>
                <w:b w:val="0"/>
                <w:i w:val="0"/>
                <w:color w:val="212121"/>
                <w:sz w:val="19"/>
              </w:rPr>
              <w:t>Rural women face high fertility, home deliveries, strenuous physical labour and very limited urogynaecology services, so SUI is both more prevalent and more disabling while remaining largely untreated.</w:t>
            </w:r>
          </w:p>
          <w:p>
            <w:pPr>
              <w:spacing w:after="40" w:before="60" w:line="259" w:lineRule="auto"/>
            </w:pPr>
            <w:r>
              <w:rPr>
                <w:rFonts w:ascii="Calibri" w:hAnsi="Calibri"/>
                <w:b w:val="0"/>
                <w:i w:val="0"/>
                <w:color w:val="212121"/>
                <w:sz w:val="19"/>
              </w:rPr>
              <w:t>An epidemiological study of rural Indian women aged 35 and above documented a substantial, age-rising burden of urinary incontinence with major impact on quality of life.</w:t>
            </w:r>
          </w:p>
          <w:p>
            <w:pPr>
              <w:spacing w:after="40" w:line="252" w:lineRule="auto"/>
            </w:pPr>
            <w:hyperlink r:id="rId11">
              <w:r>
                <w:rPr>
                  <w:rFonts w:ascii="Calibri" w:hAnsi="Calibri" w:cs="Calibri"/>
                  <w:sz w:val="18"/>
                  <w:color w:val="1155CC"/>
                  <w:u w:val="single"/>
                </w:rPr>
                <w:t xml:space="preserve">pubmed 21116353 — UI and QoL in rural women (35+)</w:t>
              </w:r>
            </w:hyperlink>
          </w:p>
          <w:p>
            <w:pPr>
              <w:spacing w:before="60" w:after="40"/>
            </w:pPr>
            <w:r>
              <w:rPr>
                <w:rFonts w:ascii="Calibri" w:hAnsi="Calibri"/>
                <w:b w:val="0"/>
                <w:i w:val="0"/>
                <w:color w:val="5A5A5A"/>
                <w:sz w:val="18"/>
              </w:rPr>
              <w:t>#ruralindia  #manuallabour  #homedelivery  #untreated  #QoL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and obese women</w:t>
            </w:r>
          </w:p>
        </w:tc>
        <w:tc>
          <w:tcPr>
            <w:tcW w:type="dxa" w:w="4276"/>
            <w:vAlign w:val="top"/>
          </w:tcPr>
          <w:p>
            <w:pPr>
              <w:spacing w:after="60" w:line="259" w:lineRule="auto"/>
            </w:pPr>
            <w:r>
              <w:rPr>
                <w:rFonts w:ascii="Calibri" w:hAnsi="Calibri"/>
                <w:b w:val="0"/>
                <w:i w:val="0"/>
                <w:color w:val="212121"/>
                <w:sz w:val="19"/>
              </w:rPr>
              <w:t>Excess weight chronically loads and stretches the pelvic floor and raises intravesical pressure, weakening the urethral outlet; obesity is one of the strongest modifiable risk factors and weight loss measurably reduces leakage.</w:t>
            </w:r>
          </w:p>
          <w:p>
            <w:pPr>
              <w:spacing w:after="40" w:before="60" w:line="259" w:lineRule="auto"/>
            </w:pPr>
            <w:r>
              <w:rPr>
                <w:rFonts w:ascii="Calibri" w:hAnsi="Calibri"/>
                <w:b w:val="0"/>
                <w:i w:val="0"/>
                <w:color w:val="212121"/>
                <w:sz w:val="19"/>
              </w:rPr>
              <w:t>Higher BMI is a strong, dose-dependent risk factor for stress incontinence, and weight reduction in overweight/obese women reduces the frequency of incontinence episodes.</w:t>
            </w:r>
          </w:p>
          <w:p>
            <w:pPr>
              <w:spacing w:after="40" w:line="252" w:lineRule="auto"/>
            </w:pPr>
            <w:hyperlink r:id="rId13">
              <w:r>
                <w:rPr>
                  <w:rFonts w:ascii="Calibri" w:hAnsi="Calibri" w:cs="Calibri"/>
                  <w:sz w:val="18"/>
                  <w:color w:val="1155CC"/>
                  <w:u w:val="single"/>
                </w:rPr>
                <w:t xml:space="preserve">aafp — stress urinary incontinence (weight loss)</w:t>
              </w:r>
            </w:hyperlink>
          </w:p>
          <w:p>
            <w:pPr>
              <w:spacing w:before="60" w:after="40"/>
            </w:pPr>
            <w:r>
              <w:rPr>
                <w:rFonts w:ascii="Calibri" w:hAnsi="Calibri"/>
                <w:b w:val="0"/>
                <w:i w:val="0"/>
                <w:color w:val="5A5A5A"/>
                <w:sz w:val="18"/>
              </w:rPr>
              <w:t>#obesity  #BMI  #intraabdominalpressure  #weightloss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chronic cough</w:t>
            </w:r>
          </w:p>
        </w:tc>
        <w:tc>
          <w:tcPr>
            <w:tcW w:type="dxa" w:w="4276"/>
            <w:vAlign w:val="top"/>
          </w:tcPr>
          <w:p>
            <w:pPr>
              <w:spacing w:after="60" w:line="259" w:lineRule="auto"/>
            </w:pPr>
            <w:r>
              <w:rPr>
                <w:rFonts w:ascii="Calibri" w:hAnsi="Calibri"/>
                <w:b w:val="0"/>
                <w:i w:val="0"/>
                <w:color w:val="212121"/>
                <w:sz w:val="19"/>
              </w:rPr>
              <w:t>Smoking causes a chronic cough that repeatedly and forcefully raises intra-abdominal pressure on a weakened outlet, provoking and worsening stress leakage; nicotine may also affect collagen and bladder function, and smoking is a bladder-cancer risk requiring exclusion of haematuria.</w:t>
            </w:r>
          </w:p>
          <w:p>
            <w:pPr>
              <w:spacing w:after="40" w:before="60" w:line="259" w:lineRule="auto"/>
            </w:pPr>
            <w:r>
              <w:rPr>
                <w:rFonts w:ascii="Calibri" w:hAnsi="Calibri"/>
                <w:b w:val="0"/>
                <w:i w:val="0"/>
                <w:color w:val="212121"/>
                <w:sz w:val="19"/>
              </w:rPr>
              <w:t>Chronic cough is a recognised risk factor for stress incontinence, and quitting smoking reduces cough-provoked leakage.</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#smoking  #chroniccough  #intraabdominalpressure  #collagen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High-impact activity / heavy lifting</w:t>
            </w:r>
          </w:p>
        </w:tc>
        <w:tc>
          <w:tcPr>
            <w:tcW w:type="dxa" w:w="2160"/>
            <w:vAlign w:val="top"/>
          </w:tcPr>
          <w:p>
            <w:pPr>
              <w:spacing w:after="40" w:before="0" w:line="259" w:lineRule="auto"/>
            </w:pPr>
            <w:r>
              <w:rPr>
                <w:rFonts w:ascii="Calibri" w:hAnsi="Calibri"/>
                <w:b w:val="0"/>
                <w:i w:val="0"/>
                <w:color w:val="212121"/>
                <w:sz w:val="19"/>
              </w:rPr>
              <w:t>Athletes, manual labourers, even nulliparous</w:t>
            </w:r>
          </w:p>
        </w:tc>
        <w:tc>
          <w:tcPr>
            <w:tcW w:type="dxa" w:w="4276"/>
            <w:vAlign w:val="top"/>
          </w:tcPr>
          <w:p>
            <w:pPr>
              <w:spacing w:after="60" w:line="259" w:lineRule="auto"/>
            </w:pPr>
            <w:r>
              <w:rPr>
                <w:rFonts w:ascii="Calibri" w:hAnsi="Calibri"/>
                <w:b w:val="0"/>
                <w:i w:val="0"/>
                <w:color w:val="212121"/>
                <w:sz w:val="19"/>
              </w:rPr>
              <w:t>Repeated high-impact loading (running, jumping, weightlifting) and habitual heavy lifting generate large, frequent pressure surges that can overwhelm even a normal outlet, so SUI occurs in young, fit and nulliparous women too.</w:t>
            </w:r>
          </w:p>
          <w:p>
            <w:pPr>
              <w:spacing w:after="40" w:before="60" w:line="259" w:lineRule="auto"/>
            </w:pPr>
            <w:r>
              <w:rPr>
                <w:rFonts w:ascii="Calibri" w:hAnsi="Calibri"/>
                <w:b w:val="0"/>
                <w:i w:val="0"/>
                <w:color w:val="212121"/>
                <w:sz w:val="19"/>
              </w:rPr>
              <w:t>Stress incontinence is well documented in nulliparous Indian sportswomen, confirming that high-impact activity is an independent trigger even without childbirth.</w:t>
            </w:r>
          </w:p>
          <w:p>
            <w:pPr>
              <w:spacing w:after="40" w:line="252" w:lineRule="auto"/>
            </w:pPr>
            <w:hyperlink r:id="rId14">
              <w:r>
                <w:rPr>
                  <w:rFonts w:ascii="Calibri" w:hAnsi="Calibri" w:cs="Calibri"/>
                  <w:sz w:val="18"/>
                  <w:color w:val="1155CC"/>
                  <w:u w:val="single"/>
                </w:rPr>
                <w:t xml:space="preserve">pubmed 39228564 — UI in nulliparous Indian sportswomen</w:t>
              </w:r>
            </w:hyperlink>
          </w:p>
          <w:p>
            <w:pPr>
              <w:spacing w:before="60" w:after="40"/>
            </w:pPr>
            <w:r>
              <w:rPr>
                <w:rFonts w:ascii="Calibri" w:hAnsi="Calibri"/>
                <w:b w:val="0"/>
                <w:i w:val="0"/>
                <w:color w:val="5A5A5A"/>
                <w:sz w:val="18"/>
              </w:rPr>
              <w:t>#athletes  #highimpact  #heavylifting  #nulliparous  #pressuresurge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Bladder irritants &amp; low-fibre diet</w:t>
            </w:r>
          </w:p>
        </w:tc>
        <w:tc>
          <w:tcPr>
            <w:tcW w:type="dxa" w:w="2160"/>
            <w:vAlign w:val="top"/>
          </w:tcPr>
          <w:p>
            <w:pPr>
              <w:spacing w:after="40" w:before="0" w:line="259" w:lineRule="auto"/>
            </w:pPr>
            <w:r>
              <w:rPr>
                <w:rFonts w:ascii="Calibri" w:hAnsi="Calibri"/>
                <w:b w:val="0"/>
                <w:i w:val="0"/>
                <w:color w:val="212121"/>
                <w:sz w:val="19"/>
              </w:rPr>
              <w:t>Heavy coffee/tea drinkers, low-fibre diets</w:t>
            </w:r>
          </w:p>
        </w:tc>
        <w:tc>
          <w:tcPr>
            <w:tcW w:type="dxa" w:w="4276"/>
            <w:vAlign w:val="top"/>
          </w:tcPr>
          <w:p>
            <w:pPr>
              <w:spacing w:after="60" w:line="259" w:lineRule="auto"/>
            </w:pPr>
            <w:r>
              <w:rPr>
                <w:rFonts w:ascii="Calibri" w:hAnsi="Calibri"/>
                <w:b w:val="0"/>
                <w:i w:val="0"/>
                <w:color w:val="212121"/>
                <w:sz w:val="19"/>
              </w:rPr>
              <w:t>Caffeine acts as a diuretic and bladder irritant that increases urine load and any urgency component, while a low-fibre diet promotes chronic constipation and straining that further damages the pelvic floor.</w:t>
            </w:r>
          </w:p>
          <w:p>
            <w:pPr>
              <w:spacing w:after="40" w:before="60" w:line="259" w:lineRule="auto"/>
            </w:pPr>
            <w:r>
              <w:rPr>
                <w:rFonts w:ascii="Calibri" w:hAnsi="Calibri"/>
                <w:b w:val="0"/>
                <w:i w:val="0"/>
                <w:color w:val="212121"/>
                <w:sz w:val="19"/>
              </w:rPr>
              <w:t>In a south Indian incontinence cohort, 74.2% consumed coffee and 70.2% reported constipation, both associated with higher stress-incontinence scores.</w:t>
            </w:r>
          </w:p>
          <w:p>
            <w:pPr>
              <w:spacing w:after="40" w:line="252" w:lineRule="auto"/>
            </w:pPr>
            <w:hyperlink r:id="rId12">
              <w:r>
                <w:rPr>
                  <w:rFonts w:ascii="Calibri" w:hAnsi="Calibri" w:cs="Calibri"/>
                  <w:sz w:val="18"/>
                  <w:color w:val="1155CC"/>
                  <w:u w:val="single"/>
                </w:rPr>
                <w:t xml:space="preserve">texilajournal — predictors of UI in south Indian women</w:t>
              </w:r>
            </w:hyperlink>
          </w:p>
          <w:p>
            <w:pPr>
              <w:spacing w:before="60" w:after="40"/>
            </w:pPr>
            <w:r>
              <w:rPr>
                <w:rFonts w:ascii="Calibri" w:hAnsi="Calibri"/>
                <w:b w:val="0"/>
                <w:i w:val="0"/>
                <w:color w:val="5A5A5A"/>
                <w:sz w:val="18"/>
              </w:rPr>
              <w:t>#caffeine  #coffee  #lowfibre  #constipation  #straining</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connective tissue</w:t>
            </w:r>
          </w:p>
        </w:tc>
        <w:tc>
          <w:tcPr>
            <w:tcW w:type="dxa" w:w="2160"/>
            <w:vAlign w:val="top"/>
          </w:tcPr>
          <w:p>
            <w:pPr>
              <w:spacing w:after="40" w:before="0" w:line="259" w:lineRule="auto"/>
            </w:pPr>
            <w:r>
              <w:rPr>
                <w:rFonts w:ascii="Calibri" w:hAnsi="Calibri"/>
                <w:b w:val="0"/>
                <w:i w:val="0"/>
                <w:color w:val="212121"/>
                <w:sz w:val="19"/>
              </w:rPr>
              <w:t>Women with familial or connective-tissue predisposition</w:t>
            </w:r>
          </w:p>
        </w:tc>
        <w:tc>
          <w:tcPr>
            <w:tcW w:type="dxa" w:w="4276"/>
            <w:vAlign w:val="top"/>
          </w:tcPr>
          <w:p>
            <w:pPr>
              <w:spacing w:after="60" w:line="259" w:lineRule="auto"/>
            </w:pPr>
            <w:r>
              <w:rPr>
                <w:rFonts w:ascii="Calibri" w:hAnsi="Calibri"/>
                <w:b w:val="0"/>
                <w:i w:val="0"/>
                <w:color w:val="212121"/>
                <w:sz w:val="19"/>
              </w:rPr>
              <w:t>Inherited differences in collagen and connective-tissue strength (and overt disorders such as joint hypermobility syndromes) weaken pelvic support and the urethral sphincter, so SUI and prolapse cluster in families.</w:t>
            </w:r>
          </w:p>
          <w:p>
            <w:pPr>
              <w:spacing w:after="40" w:before="60" w:line="259" w:lineRule="auto"/>
            </w:pPr>
            <w:r>
              <w:rPr>
                <w:rFonts w:ascii="Calibri" w:hAnsi="Calibri"/>
                <w:b w:val="0"/>
                <w:i w:val="0"/>
                <w:color w:val="212121"/>
                <w:sz w:val="19"/>
              </w:rPr>
              <w:t>A familial and connective-tissue predisposition to pelvic floor weakness increases susceptibility to stress incontinence and pelvic organ prolapse.</w:t>
            </w:r>
          </w:p>
          <w:p>
            <w:pPr>
              <w:spacing w:before="60" w:after="40"/>
            </w:pPr>
            <w:r>
              <w:rPr>
                <w:rFonts w:ascii="Calibri" w:hAnsi="Calibri"/>
                <w:b w:val="0"/>
                <w:i w:val="0"/>
                <w:color w:val="5A5A5A"/>
                <w:sz w:val="18"/>
              </w:rPr>
              <w:t>#familyhistory  #collagen  #connectivetissue  #hypermobility  #heritable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 &amp; vaginal childbirth</w:t>
            </w:r>
          </w:p>
        </w:tc>
        <w:tc>
          <w:tcPr>
            <w:tcW w:type="dxa" w:w="2160"/>
            <w:vAlign w:val="top"/>
          </w:tcPr>
          <w:p>
            <w:pPr>
              <w:spacing w:after="40" w:before="0" w:line="259" w:lineRule="auto"/>
            </w:pPr>
            <w:r>
              <w:rPr>
                <w:rFonts w:ascii="Calibri" w:hAnsi="Calibri"/>
                <w:b w:val="0"/>
                <w:i w:val="0"/>
                <w:color w:val="212121"/>
                <w:sz w:val="19"/>
              </w:rPr>
              <w:t>Multiparous women</w:t>
            </w:r>
          </w:p>
        </w:tc>
        <w:tc>
          <w:tcPr>
            <w:tcW w:type="dxa" w:w="4276"/>
            <w:vAlign w:val="top"/>
          </w:tcPr>
          <w:p>
            <w:pPr>
              <w:spacing w:after="60" w:line="259" w:lineRule="auto"/>
            </w:pPr>
            <w:r>
              <w:rPr>
                <w:rFonts w:ascii="Calibri" w:hAnsi="Calibri"/>
                <w:b w:val="0"/>
                <w:i w:val="0"/>
                <w:color w:val="212121"/>
                <w:sz w:val="19"/>
              </w:rPr>
              <w:t>Vaginal delivery stretches and can tear the levator muscles, endopelvic fascia and pudendal nerve, and each additional delivery adds cumulative damage — the single most important cause of urethral support loss and SUI.</w:t>
            </w:r>
          </w:p>
          <w:p>
            <w:pPr>
              <w:spacing w:after="40" w:before="60" w:line="259" w:lineRule="auto"/>
            </w:pPr>
            <w:r>
              <w:rPr>
                <w:rFonts w:ascii="Calibri" w:hAnsi="Calibri"/>
                <w:b w:val="0"/>
                <w:i w:val="0"/>
                <w:color w:val="212121"/>
                <w:sz w:val="19"/>
              </w:rPr>
              <w:t>Multiparity and previous vaginal deliveries are consistently identified as key risk factors; in a south Indian cohort mean stress scores were 7.52 after vaginal delivery vs 4.26 after caesarean.</w:t>
            </w:r>
          </w:p>
          <w:p>
            <w:pPr>
              <w:spacing w:after="40" w:line="252" w:lineRule="auto"/>
            </w:pPr>
            <w:hyperlink r:id="rId15">
              <w:r>
                <w:rPr>
                  <w:rFonts w:ascii="Calibri" w:hAnsi="Calibri" w:cs="Calibri"/>
                  <w:sz w:val="18"/>
                  <w:color w:val="1155CC"/>
                  <w:u w:val="single"/>
                </w:rPr>
                <w:t xml:space="preserve">pubmed 37006218 — UI type, incidence and risk factors</w:t>
              </w:r>
            </w:hyperlink>
          </w:p>
          <w:p>
            <w:pPr>
              <w:spacing w:before="60" w:after="40"/>
            </w:pPr>
            <w:r>
              <w:rPr>
                <w:rFonts w:ascii="Calibri" w:hAnsi="Calibri"/>
                <w:b w:val="0"/>
                <w:i w:val="0"/>
                <w:color w:val="5A5A5A"/>
                <w:sz w:val="18"/>
              </w:rPr>
              <w:t>#childbirth  #multiparity  #vaginaldelivery  #levatoravulsion  #pudendalnerve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Menopause / oestrogen deficiency</w:t>
            </w: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Oestrogen loss thins the urethral mucosa and submucosal vasculature and weakens supporting connective tissue, lowering urethral closure pressure and making stress incontinence markedly more common and severe after menopause.</w:t>
            </w:r>
          </w:p>
          <w:p>
            <w:pPr>
              <w:spacing w:after="40" w:before="60" w:line="259" w:lineRule="auto"/>
            </w:pPr>
            <w:r>
              <w:rPr>
                <w:rFonts w:ascii="Calibri" w:hAnsi="Calibri"/>
                <w:b w:val="0"/>
                <w:i w:val="0"/>
                <w:color w:val="212121"/>
                <w:sz w:val="19"/>
              </w:rPr>
              <w:t>A systematic review of postmenopausal women found urinary incontinence in 63.1% overall, with stress incontinence the most prevalent subtype and strongly linked to genitourinary syndrome of menopause.</w:t>
            </w:r>
          </w:p>
          <w:p>
            <w:pPr>
              <w:spacing w:after="40" w:line="252" w:lineRule="auto"/>
            </w:pPr>
            <w:hyperlink r:id="rId16">
              <w:r>
                <w:rPr>
                  <w:rFonts w:ascii="Calibri" w:hAnsi="Calibri" w:cs="Calibri"/>
                  <w:sz w:val="18"/>
                  <w:color w:val="1155CC"/>
                  <w:u w:val="single"/>
                </w:rPr>
                <w:t xml:space="preserve">pmc — menopause and urinary incontinence (systematic review)</w:t>
              </w:r>
            </w:hyperlink>
          </w:p>
          <w:p>
            <w:pPr>
              <w:spacing w:before="60" w:after="40"/>
            </w:pPr>
            <w:r>
              <w:rPr>
                <w:rFonts w:ascii="Calibri" w:hAnsi="Calibri"/>
                <w:b w:val="0"/>
                <w:i w:val="0"/>
                <w:color w:val="5A5A5A"/>
                <w:sz w:val="18"/>
              </w:rPr>
              <w:t>#menopause  #oestrogen  #GSM  #urethralatrophy  #women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Pelvic organ prolapse</w:t>
            </w:r>
          </w:p>
        </w:tc>
        <w:tc>
          <w:tcPr>
            <w:tcW w:type="dxa" w:w="2160"/>
            <w:vAlign w:val="top"/>
          </w:tcPr>
          <w:p>
            <w:pPr>
              <w:spacing w:after="40" w:before="0" w:line="259" w:lineRule="auto"/>
            </w:pPr>
            <w:r>
              <w:rPr>
                <w:rFonts w:ascii="Calibri" w:hAnsi="Calibri"/>
                <w:b w:val="0"/>
                <w:i w:val="0"/>
                <w:color w:val="212121"/>
                <w:sz w:val="19"/>
              </w:rPr>
              <w:t>Women with cystocele / anterior wall prolapse</w:t>
            </w:r>
          </w:p>
        </w:tc>
        <w:tc>
          <w:tcPr>
            <w:tcW w:type="dxa" w:w="4276"/>
            <w:vAlign w:val="top"/>
          </w:tcPr>
          <w:p>
            <w:pPr>
              <w:spacing w:after="60" w:line="259" w:lineRule="auto"/>
            </w:pPr>
            <w:r>
              <w:rPr>
                <w:rFonts w:ascii="Calibri" w:hAnsi="Calibri"/>
                <w:b w:val="0"/>
                <w:i w:val="0"/>
                <w:color w:val="212121"/>
                <w:sz w:val="19"/>
              </w:rPr>
              <w:t>Prolapse and SUI share a common cause — pelvic floor and fascial weakness — and frequently coexist; large prolapse can kink the urethra and mask leakage (occult SUI) that appears after prolapse repair.</w:t>
            </w:r>
          </w:p>
          <w:p>
            <w:pPr>
              <w:spacing w:after="40" w:before="60" w:line="259" w:lineRule="auto"/>
            </w:pPr>
            <w:r>
              <w:rPr>
                <w:rFonts w:ascii="Calibri" w:hAnsi="Calibri"/>
                <w:b w:val="0"/>
                <w:i w:val="0"/>
                <w:color w:val="212121"/>
                <w:sz w:val="19"/>
              </w:rPr>
              <w:t>Occult stress incontinence is well recognised in women with pelvic organ prolapse and may become manifest once the prolapse is reduced or surgically corrected.</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#prolapse  #cystocele  #occultSUI  #pelvicfloor  #sharedmechanism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cough (COPD / asthma)</w:t>
            </w:r>
          </w:p>
        </w:tc>
        <w:tc>
          <w:tcPr>
            <w:tcW w:type="dxa" w:w="2160"/>
            <w:vAlign w:val="top"/>
          </w:tcPr>
          <w:p>
            <w:pPr>
              <w:spacing w:after="40" w:before="0" w:line="259" w:lineRule="auto"/>
            </w:pPr>
            <w:r>
              <w:rPr>
                <w:rFonts w:ascii="Calibri" w:hAnsi="Calibri"/>
                <w:b w:val="0"/>
                <w:i w:val="0"/>
                <w:color w:val="212121"/>
                <w:sz w:val="19"/>
              </w:rPr>
              <w:t>Patients with chronic respiratory disease</w:t>
            </w:r>
          </w:p>
        </w:tc>
        <w:tc>
          <w:tcPr>
            <w:tcW w:type="dxa" w:w="4276"/>
            <w:vAlign w:val="top"/>
          </w:tcPr>
          <w:p>
            <w:pPr>
              <w:spacing w:after="60" w:line="259" w:lineRule="auto"/>
            </w:pPr>
            <w:r>
              <w:rPr>
                <w:rFonts w:ascii="Calibri" w:hAnsi="Calibri"/>
                <w:b w:val="0"/>
                <w:i w:val="0"/>
                <w:color w:val="212121"/>
                <w:sz w:val="19"/>
              </w:rPr>
              <w:t>Persistent, forceful coughing in COPD, asthma and chronic bronchitis repeatedly spikes intra-abdominal pressure against a weakened outlet, both provoking and progressively worsening stress leakage.</w:t>
            </w:r>
          </w:p>
          <w:p>
            <w:pPr>
              <w:spacing w:after="40" w:before="60" w:line="259" w:lineRule="auto"/>
            </w:pPr>
            <w:r>
              <w:rPr>
                <w:rFonts w:ascii="Calibri" w:hAnsi="Calibri"/>
                <w:b w:val="0"/>
                <w:i w:val="0"/>
                <w:color w:val="212121"/>
                <w:sz w:val="19"/>
              </w:rPr>
              <w:t>Chronic cough is an established provoking and aggravating factor for stress urinary incontinence.</w:t>
            </w:r>
          </w:p>
          <w:p>
            <w:pPr>
              <w:spacing w:after="40" w:line="252" w:lineRule="auto"/>
            </w:pPr>
            <w:hyperlink r:id="rId9">
              <w:r>
                <w:rPr>
                  <w:rFonts w:ascii="Calibri" w:hAnsi="Calibri" w:cs="Calibri"/>
                  <w:sz w:val="18"/>
                  <w:color w:val="1155CC"/>
                  <w:u w:val="single"/>
                </w:rPr>
                <w:t xml:space="preserve">ncbi bookshelf (StatPearls) — urinary incontinence</w:t>
              </w:r>
            </w:hyperlink>
          </w:p>
          <w:p>
            <w:pPr>
              <w:spacing w:before="60" w:after="40"/>
            </w:pPr>
            <w:r>
              <w:rPr>
                <w:rFonts w:ascii="Calibri" w:hAnsi="Calibri"/>
                <w:b w:val="0"/>
                <w:i w:val="0"/>
                <w:color w:val="5A5A5A"/>
                <w:sz w:val="18"/>
              </w:rPr>
              <w:t>#chroniccough  #COPD  #asthma  #intraabdominalpressure  #respiratory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Obese diabetic women</w:t>
            </w:r>
          </w:p>
        </w:tc>
        <w:tc>
          <w:tcPr>
            <w:tcW w:type="dxa" w:w="4276"/>
            <w:vAlign w:val="top"/>
          </w:tcPr>
          <w:p>
            <w:pPr>
              <w:spacing w:after="60" w:line="259" w:lineRule="auto"/>
            </w:pPr>
            <w:r>
              <w:rPr>
                <w:rFonts w:ascii="Calibri" w:hAnsi="Calibri"/>
                <w:b w:val="0"/>
                <w:i w:val="0"/>
                <w:color w:val="212121"/>
                <w:sz w:val="19"/>
              </w:rPr>
              <w:t>Diabetes contributes through obesity, osmotic diuresis, connective-tissue glycation and pelvic neuropathy, and clusters with the metabolic risk factors that drive stress and mixed incontinence.</w:t>
            </w:r>
          </w:p>
          <w:p>
            <w:pPr>
              <w:spacing w:after="40" w:before="60" w:line="259" w:lineRule="auto"/>
            </w:pPr>
            <w:r>
              <w:rPr>
                <w:rFonts w:ascii="Calibri" w:hAnsi="Calibri"/>
                <w:b w:val="0"/>
                <w:i w:val="0"/>
                <w:color w:val="212121"/>
                <w:sz w:val="19"/>
              </w:rPr>
              <w:t>In a south Indian incontinence cohort, 32.4% of women were diabetic, and diabetes was associated with higher stress-incontinence scores.</w:t>
            </w:r>
          </w:p>
          <w:p>
            <w:pPr>
              <w:spacing w:after="40" w:line="252" w:lineRule="auto"/>
            </w:pPr>
            <w:hyperlink r:id="rId12">
              <w:r>
                <w:rPr>
                  <w:rFonts w:ascii="Calibri" w:hAnsi="Calibri" w:cs="Calibri"/>
                  <w:sz w:val="18"/>
                  <w:color w:val="1155CC"/>
                  <w:u w:val="single"/>
                </w:rPr>
                <w:t xml:space="preserve">texilajournal — predictors of UI in south Indian women</w:t>
              </w:r>
            </w:hyperlink>
          </w:p>
          <w:p>
            <w:pPr>
              <w:spacing w:before="60" w:after="40"/>
            </w:pPr>
            <w:r>
              <w:rPr>
                <w:rFonts w:ascii="Calibri" w:hAnsi="Calibri"/>
                <w:b w:val="0"/>
                <w:i w:val="0"/>
                <w:color w:val="5A5A5A"/>
                <w:sz w:val="18"/>
              </w:rPr>
              <w:t>#diabetes  #obesity  #osmoticdiuresis  #neuropathy  #metabolic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Obesity and a weak pelvic floor are central, modifiable drivers of SUI: excess weight raises intra-abdominal pressure and weight loss reduces leakage, while pelvic floor muscle training is the first-line therapy. High-impact loading can, however, provoke leakage in the interim.</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indirectly — a high-calorie diet promotes obesity, and a low-fibre diet causes constipation and straining that damage pelvic support; caffeine and irritant foods add a diuretic/urgency component.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Pure stress incontinence characteristically does not cause night-time leakage or nocturia, so sleep is far less affected than in overactive bladder; night-time symptoms suggest a mixed or urge component.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Smoking-related chronic cough repeatedly raises intra-abdominal pressure and provokes stress leakage; nicotine may affect collagen and bladder function, and smoking is a bladder-cancer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mainly a diuretic and bladder irritant relevant to urgency; its direct effect on pure stress incontinence is modest, chiefly through increased urine volume.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SUI has a bidirectional relationship with mood — leakage causes embarrassment, activity avoidance, anxiety and depression, and psychological distress worsens perceived bother and reduces adherence to pelvic floor therapy.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volume and timing of fluids determine bladder fullness; a full bladder increases the volume lost during effort, so sensible fluid management helps, while over-restriction concentrates urine and irritates the bladder.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is a diuretic and bladder-mucosal irritant that increases urine load and any coexisting urgency; reducing intake lessens leakage frequency, and coffee intake is very high in Indian incontinence cohorts.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perineal hygiene and prompt pad changes prevent incontinence-associated dermatitis and secondary infection but do not drive the condition itself.</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SUI is defined by its provocation — coughing, sneezing, laughing, lifting, running, jumping, standing up and a full bladder all precipitate leakage; identifying and moderating these triggers is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Posture and core/pelvic-floor control influence intra-abdominal pressure and outlet support; a deliberate pelvic-floor contraction before coughing or lifting (“the Knack”) and good posture measurably reduce stress leakage.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 by Indian cut-offs</w:t>
            </w:r>
          </w:p>
        </w:tc>
        <w:tc>
          <w:tcPr>
            <w:tcW w:type="dxa" w:w="1468"/>
            <w:vAlign w:val="top"/>
          </w:tcPr>
          <w:p>
            <w:pPr>
              <w:spacing w:after="60" w:line="259" w:lineRule="auto"/>
            </w:pPr>
            <w:r>
              <w:rPr>
                <w:rFonts w:ascii="Calibri" w:hAnsi="Calibri"/>
                <w:b w:val="0"/>
                <w:i w:val="0"/>
                <w:color w:val="212121"/>
                <w:sz w:val="19"/>
              </w:rPr>
              <w:t>Higher BMI dose-dependently raises SUI risk; weight loss reduces leakage</w:t>
            </w:r>
          </w:p>
          <w:p>
            <w:pPr>
              <w:spacing w:after="40" w:line="252" w:lineRule="auto"/>
            </w:pPr>
            <w:hyperlink r:id="rId13">
              <w:r>
                <w:rPr>
                  <w:rFonts w:ascii="Calibri" w:hAnsi="Calibri" w:cs="Calibri"/>
                  <w:sz w:val="18"/>
                  <w:color w:val="1155CC"/>
                  <w:u w:val="single"/>
                </w:rPr>
                <w:t xml:space="preserve">https://www.aafp.org/pubs/afp/issues/2013/0501/p634.html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Women with central obesity</w:t>
            </w:r>
          </w:p>
        </w:tc>
        <w:tc>
          <w:tcPr>
            <w:tcW w:type="dxa" w:w="1512"/>
            <w:vAlign w:val="top"/>
          </w:tcPr>
          <w:p>
            <w:pPr>
              <w:spacing w:after="40" w:before="0" w:line="259" w:lineRule="auto"/>
            </w:pPr>
            <w:r>
              <w:rPr>
                <w:rFonts w:ascii="Calibri" w:hAnsi="Calibri"/>
                <w:b w:val="0"/>
                <w:i w:val="0"/>
                <w:color w:val="212121"/>
                <w:sz w:val="19"/>
              </w:rPr>
              <w:t>&lt; 80 cm (Asian-Indian women)</w:t>
            </w:r>
          </w:p>
        </w:tc>
        <w:tc>
          <w:tcPr>
            <w:tcW w:type="dxa" w:w="1512"/>
            <w:vAlign w:val="top"/>
          </w:tcPr>
          <w:p>
            <w:pPr>
              <w:spacing w:after="40" w:before="0" w:line="259" w:lineRule="auto"/>
            </w:pPr>
            <w:r>
              <w:rPr>
                <w:rFonts w:ascii="Calibri" w:hAnsi="Calibri"/>
                <w:b w:val="0"/>
                <w:i w:val="0"/>
                <w:color w:val="212121"/>
                <w:sz w:val="19"/>
              </w:rPr>
              <w:t>≥ 80 cm</w:t>
            </w:r>
          </w:p>
        </w:tc>
        <w:tc>
          <w:tcPr>
            <w:tcW w:type="dxa" w:w="1468"/>
            <w:vAlign w:val="top"/>
          </w:tcPr>
          <w:p>
            <w:pPr>
              <w:spacing w:after="40" w:before="0" w:line="259" w:lineRule="auto"/>
            </w:pPr>
            <w:r>
              <w:rPr>
                <w:rFonts w:ascii="Calibri" w:hAnsi="Calibri"/>
                <w:b w:val="0"/>
                <w:i w:val="0"/>
                <w:color w:val="212121"/>
                <w:sz w:val="19"/>
              </w:rPr>
              <w:t>Central adiposity raises intra-abdominal and intravesical pressure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Pelvic floor muscle strength (Modified Oxford 0–5)</w:t>
            </w:r>
          </w:p>
        </w:tc>
        <w:tc>
          <w:tcPr>
            <w:tcW w:type="dxa" w:w="1655"/>
            <w:vAlign w:val="top"/>
          </w:tcPr>
          <w:p>
            <w:pPr>
              <w:spacing w:after="40" w:before="0" w:line="259" w:lineRule="auto"/>
            </w:pPr>
            <w:r>
              <w:rPr>
                <w:rFonts w:ascii="Calibri" w:hAnsi="Calibri"/>
                <w:b w:val="0"/>
                <w:i w:val="0"/>
                <w:color w:val="212121"/>
                <w:sz w:val="19"/>
              </w:rPr>
              <w:t>Parous and postmenopausal women</w:t>
            </w:r>
          </w:p>
        </w:tc>
        <w:tc>
          <w:tcPr>
            <w:tcW w:type="dxa" w:w="1512"/>
            <w:vAlign w:val="top"/>
          </w:tcPr>
          <w:p>
            <w:pPr>
              <w:spacing w:after="40" w:before="0" w:line="259" w:lineRule="auto"/>
            </w:pPr>
            <w:r>
              <w:rPr>
                <w:rFonts w:ascii="Calibri" w:hAnsi="Calibri"/>
                <w:b w:val="0"/>
                <w:i w:val="0"/>
                <w:color w:val="212121"/>
                <w:sz w:val="19"/>
              </w:rPr>
              <w:t>Grade 4–5 (strong)</w:t>
            </w:r>
          </w:p>
        </w:tc>
        <w:tc>
          <w:tcPr>
            <w:tcW w:type="dxa" w:w="1512"/>
            <w:vAlign w:val="top"/>
          </w:tcPr>
          <w:p>
            <w:pPr>
              <w:spacing w:after="40" w:before="0" w:line="259" w:lineRule="auto"/>
            </w:pPr>
            <w:r>
              <w:rPr>
                <w:rFonts w:ascii="Calibri" w:hAnsi="Calibri"/>
                <w:b w:val="0"/>
                <w:i w:val="0"/>
                <w:color w:val="212121"/>
                <w:sz w:val="19"/>
              </w:rPr>
              <w:t>Grade ≤ 2 (weak/absent)</w:t>
            </w:r>
          </w:p>
        </w:tc>
        <w:tc>
          <w:tcPr>
            <w:tcW w:type="dxa" w:w="1468"/>
            <w:vAlign w:val="top"/>
          </w:tcPr>
          <w:p>
            <w:pPr>
              <w:spacing w:after="40" w:before="0" w:line="259" w:lineRule="auto"/>
            </w:pPr>
            <w:r>
              <w:rPr>
                <w:rFonts w:ascii="Calibri" w:hAnsi="Calibri"/>
                <w:b w:val="0"/>
                <w:i w:val="0"/>
                <w:color w:val="212121"/>
                <w:sz w:val="19"/>
              </w:rPr>
              <w:t>Weak voluntary contraction predicts SUI and is the target of pelvic floor training</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Cough stress test</w:t>
            </w:r>
          </w:p>
        </w:tc>
        <w:tc>
          <w:tcPr>
            <w:tcW w:type="dxa" w:w="1655"/>
            <w:vAlign w:val="top"/>
          </w:tcPr>
          <w:p>
            <w:pPr>
              <w:spacing w:after="40" w:before="0" w:line="259" w:lineRule="auto"/>
            </w:pPr>
            <w:r>
              <w:rPr>
                <w:rFonts w:ascii="Calibri" w:hAnsi="Calibri"/>
                <w:b w:val="0"/>
                <w:i w:val="0"/>
                <w:color w:val="212121"/>
                <w:sz w:val="19"/>
              </w:rPr>
              <w:t>Women with effort leakage</w:t>
            </w:r>
          </w:p>
        </w:tc>
        <w:tc>
          <w:tcPr>
            <w:tcW w:type="dxa" w:w="1512"/>
            <w:vAlign w:val="top"/>
          </w:tcPr>
          <w:p>
            <w:pPr>
              <w:spacing w:after="40" w:before="0" w:line="259" w:lineRule="auto"/>
            </w:pPr>
            <w:r>
              <w:rPr>
                <w:rFonts w:ascii="Calibri" w:hAnsi="Calibri"/>
                <w:b w:val="0"/>
                <w:i w:val="0"/>
                <w:color w:val="212121"/>
                <w:sz w:val="19"/>
              </w:rPr>
              <w:t>No leak on cough (full bladder)</w:t>
            </w:r>
          </w:p>
        </w:tc>
        <w:tc>
          <w:tcPr>
            <w:tcW w:type="dxa" w:w="1512"/>
            <w:vAlign w:val="top"/>
          </w:tcPr>
          <w:p>
            <w:pPr>
              <w:spacing w:after="40" w:before="0" w:line="259" w:lineRule="auto"/>
            </w:pPr>
            <w:r>
              <w:rPr>
                <w:rFonts w:ascii="Calibri" w:hAnsi="Calibri"/>
                <w:b w:val="0"/>
                <w:i w:val="0"/>
                <w:color w:val="212121"/>
                <w:sz w:val="19"/>
              </w:rPr>
              <w:t>Visible leak synchronous with cough</w:t>
            </w:r>
          </w:p>
        </w:tc>
        <w:tc>
          <w:tcPr>
            <w:tcW w:type="dxa" w:w="1468"/>
            <w:vAlign w:val="top"/>
          </w:tcPr>
          <w:p>
            <w:pPr>
              <w:spacing w:after="60" w:line="259" w:lineRule="auto"/>
            </w:pPr>
            <w:r>
              <w:rPr>
                <w:rFonts w:ascii="Calibri" w:hAnsi="Calibri"/>
                <w:b w:val="0"/>
                <w:i w:val="0"/>
                <w:color w:val="212121"/>
                <w:sz w:val="19"/>
              </w:rPr>
              <w:t>Key bedside confirmatory test for stress incontinence</w:t>
            </w:r>
          </w:p>
          <w:p>
            <w:pPr>
              <w:spacing w:after="40" w:line="252" w:lineRule="auto"/>
            </w:pPr>
            <w:hyperlink r:id="rId9">
              <w:r>
                <w:rPr>
                  <w:rFonts w:ascii="Calibri" w:hAnsi="Calibri" w:cs="Calibri"/>
                  <w:sz w:val="18"/>
                  <w:color w:val="1155CC"/>
                  <w:u w:val="single"/>
                </w:rPr>
                <w:t xml:space="preserve">https://www.ncbi.nlm.nih.gov/books/NBK559095/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24-hour pad test (grams)</w:t>
            </w:r>
          </w:p>
        </w:tc>
        <w:tc>
          <w:tcPr>
            <w:tcW w:type="dxa" w:w="1655"/>
            <w:vAlign w:val="top"/>
          </w:tcPr>
          <w:p>
            <w:pPr>
              <w:spacing w:after="40" w:before="0" w:line="259" w:lineRule="auto"/>
            </w:pPr>
            <w:r>
              <w:rPr>
                <w:rFonts w:ascii="Calibri" w:hAnsi="Calibri"/>
                <w:b w:val="0"/>
                <w:i w:val="0"/>
                <w:color w:val="212121"/>
                <w:sz w:val="19"/>
              </w:rPr>
              <w:t>All SUI patients</w:t>
            </w:r>
          </w:p>
        </w:tc>
        <w:tc>
          <w:tcPr>
            <w:tcW w:type="dxa" w:w="1512"/>
            <w:vAlign w:val="top"/>
          </w:tcPr>
          <w:p>
            <w:pPr>
              <w:spacing w:after="40" w:before="0" w:line="259" w:lineRule="auto"/>
            </w:pPr>
            <w:r>
              <w:rPr>
                <w:rFonts w:ascii="Calibri" w:hAnsi="Calibri"/>
                <w:b w:val="0"/>
                <w:i w:val="0"/>
                <w:color w:val="212121"/>
                <w:sz w:val="19"/>
              </w:rPr>
              <w:t>&lt; 4 g/24 h</w:t>
            </w:r>
          </w:p>
        </w:tc>
        <w:tc>
          <w:tcPr>
            <w:tcW w:type="dxa" w:w="1512"/>
            <w:vAlign w:val="top"/>
          </w:tcPr>
          <w:p>
            <w:pPr>
              <w:spacing w:after="40" w:before="0" w:line="259" w:lineRule="auto"/>
            </w:pPr>
            <w:r>
              <w:rPr>
                <w:rFonts w:ascii="Calibri" w:hAnsi="Calibri"/>
                <w:b w:val="0"/>
                <w:i w:val="0"/>
                <w:color w:val="212121"/>
                <w:sz w:val="19"/>
              </w:rPr>
              <w:t>≥ 4 g (mild &lt; 10; moderate 10–50; severe &gt; 50 g)</w:t>
            </w:r>
          </w:p>
        </w:tc>
        <w:tc>
          <w:tcPr>
            <w:tcW w:type="dxa" w:w="1468"/>
            <w:vAlign w:val="top"/>
          </w:tcPr>
          <w:p>
            <w:pPr>
              <w:spacing w:after="40" w:before="0" w:line="259" w:lineRule="auto"/>
            </w:pPr>
            <w:r>
              <w:rPr>
                <w:rFonts w:ascii="Calibri" w:hAnsi="Calibri"/>
                <w:b w:val="0"/>
                <w:i w:val="0"/>
                <w:color w:val="212121"/>
                <w:sz w:val="19"/>
              </w:rPr>
              <w:t>Objectively quantifies severity and treatment response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Post-void residual (mL)</w:t>
            </w:r>
          </w:p>
        </w:tc>
        <w:tc>
          <w:tcPr>
            <w:tcW w:type="dxa" w:w="1655"/>
            <w:vAlign w:val="top"/>
          </w:tcPr>
          <w:p>
            <w:pPr>
              <w:spacing w:after="40" w:before="0" w:line="259" w:lineRule="auto"/>
            </w:pPr>
            <w:r>
              <w:rPr>
                <w:rFonts w:ascii="Calibri" w:hAnsi="Calibri"/>
                <w:b w:val="0"/>
                <w:i w:val="0"/>
                <w:color w:val="212121"/>
                <w:sz w:val="19"/>
              </w:rPr>
              <w:t>Adults, elderly, diabetics</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150 mL</w:t>
            </w:r>
          </w:p>
        </w:tc>
        <w:tc>
          <w:tcPr>
            <w:tcW w:type="dxa" w:w="1468"/>
            <w:vAlign w:val="top"/>
          </w:tcPr>
          <w:p>
            <w:pPr>
              <w:spacing w:after="40" w:before="0" w:line="259" w:lineRule="auto"/>
            </w:pPr>
            <w:r>
              <w:rPr>
                <w:rFonts w:ascii="Calibri" w:hAnsi="Calibri"/>
                <w:b w:val="0"/>
                <w:i w:val="0"/>
                <w:color w:val="212121"/>
                <w:sz w:val="19"/>
              </w:rPr>
              <w:t>Low PVR distinguishes SUI from overflow incontinence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Total daily fluid intake</w:t>
            </w:r>
          </w:p>
        </w:tc>
        <w:tc>
          <w:tcPr>
            <w:tcW w:type="dxa" w:w="1655"/>
            <w:vAlign w:val="top"/>
          </w:tcPr>
          <w:p>
            <w:pPr>
              <w:spacing w:after="40" w:before="0" w:line="259" w:lineRule="auto"/>
            </w:pPr>
            <w:r>
              <w:rPr>
                <w:rFonts w:ascii="Calibri" w:hAnsi="Calibri"/>
                <w:b w:val="0"/>
                <w:i w:val="0"/>
                <w:color w:val="212121"/>
                <w:sz w:val="19"/>
              </w:rPr>
              <w:t>All SUI patients</w:t>
            </w:r>
          </w:p>
        </w:tc>
        <w:tc>
          <w:tcPr>
            <w:tcW w:type="dxa" w:w="1512"/>
            <w:vAlign w:val="top"/>
          </w:tcPr>
          <w:p>
            <w:pPr>
              <w:spacing w:after="40" w:before="0" w:line="259" w:lineRule="auto"/>
            </w:pPr>
            <w:r>
              <w:rPr>
                <w:rFonts w:ascii="Calibri" w:hAnsi="Calibri"/>
                <w:b w:val="0"/>
                <w:i w:val="0"/>
                <w:color w:val="212121"/>
                <w:sz w:val="19"/>
              </w:rPr>
              <w:t>~1.5–2.0 L/day, evenly spread</w:t>
            </w:r>
          </w:p>
        </w:tc>
        <w:tc>
          <w:tcPr>
            <w:tcW w:type="dxa" w:w="1512"/>
            <w:vAlign w:val="top"/>
          </w:tcPr>
          <w:p>
            <w:pPr>
              <w:spacing w:after="40" w:before="0" w:line="259" w:lineRule="auto"/>
            </w:pPr>
            <w:r>
              <w:rPr>
                <w:rFonts w:ascii="Calibri" w:hAnsi="Calibri"/>
                <w:b w:val="0"/>
                <w:i w:val="0"/>
                <w:color w:val="212121"/>
                <w:sz w:val="19"/>
              </w:rPr>
              <w:t>&gt; 2.5–3 L/day or large single boluses</w:t>
            </w:r>
          </w:p>
        </w:tc>
        <w:tc>
          <w:tcPr>
            <w:tcW w:type="dxa" w:w="1468"/>
            <w:vAlign w:val="top"/>
          </w:tcPr>
          <w:p>
            <w:pPr>
              <w:spacing w:after="40" w:before="0" w:line="259" w:lineRule="auto"/>
            </w:pPr>
            <w:r>
              <w:rPr>
                <w:rFonts w:ascii="Calibri" w:hAnsi="Calibri"/>
                <w:b w:val="0"/>
                <w:i w:val="0"/>
                <w:color w:val="212121"/>
                <w:sz w:val="19"/>
              </w:rPr>
              <w:t>A fuller bladder increases the volume lost on effort; avoid over-restriction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Coffee/tea/cola consumers</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60" w:line="259" w:lineRule="auto"/>
            </w:pPr>
            <w:r>
              <w:rPr>
                <w:rFonts w:ascii="Calibri" w:hAnsi="Calibri"/>
                <w:b w:val="0"/>
                <w:i w:val="0"/>
                <w:color w:val="212121"/>
                <w:sz w:val="19"/>
              </w:rPr>
              <w:t>Diuretic and bladder irritant; reduction lessens leakage and urgency</w:t>
            </w:r>
          </w:p>
          <w:p>
            <w:pPr>
              <w:spacing w:after="40" w:line="252" w:lineRule="auto"/>
            </w:pPr>
            <w:hyperlink r:id="rId12">
              <w:r>
                <w:rPr>
                  <w:rFonts w:ascii="Calibri" w:hAnsi="Calibri" w:cs="Calibri"/>
                  <w:sz w:val="18"/>
                  <w:color w:val="1155CC"/>
                  <w:u w:val="single"/>
                </w:rPr>
                <w:t xml:space="preserve">https://www.texilajournal.com/public-health/article/2887-prevalence-and-predictors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 bowel habit</w:t>
            </w:r>
          </w:p>
        </w:tc>
        <w:tc>
          <w:tcPr>
            <w:tcW w:type="dxa" w:w="1655"/>
            <w:vAlign w:val="top"/>
          </w:tcPr>
          <w:p>
            <w:pPr>
              <w:spacing w:after="40" w:before="0" w:line="259" w:lineRule="auto"/>
            </w:pPr>
            <w:r>
              <w:rPr>
                <w:rFonts w:ascii="Calibri" w:hAnsi="Calibri"/>
                <w:b w:val="0"/>
                <w:i w:val="0"/>
                <w:color w:val="212121"/>
                <w:sz w:val="19"/>
              </w:rPr>
              <w:t>Constipation-prone women</w:t>
            </w:r>
          </w:p>
        </w:tc>
        <w:tc>
          <w:tcPr>
            <w:tcW w:type="dxa" w:w="1512"/>
            <w:vAlign w:val="top"/>
          </w:tcPr>
          <w:p>
            <w:pPr>
              <w:spacing w:after="40" w:before="0" w:line="259" w:lineRule="auto"/>
            </w:pPr>
            <w:r>
              <w:rPr>
                <w:rFonts w:ascii="Calibri" w:hAnsi="Calibri"/>
                <w:b w:val="0"/>
                <w:i w:val="0"/>
                <w:color w:val="212121"/>
                <w:sz w:val="19"/>
              </w:rPr>
              <w:t>25–35 g fibre/day; soft daily stool</w:t>
            </w:r>
          </w:p>
        </w:tc>
        <w:tc>
          <w:tcPr>
            <w:tcW w:type="dxa" w:w="1512"/>
            <w:vAlign w:val="top"/>
          </w:tcPr>
          <w:p>
            <w:pPr>
              <w:spacing w:after="40" w:before="0" w:line="259" w:lineRule="auto"/>
            </w:pPr>
            <w:r>
              <w:rPr>
                <w:rFonts w:ascii="Calibri" w:hAnsi="Calibri"/>
                <w:b w:val="0"/>
                <w:i w:val="0"/>
                <w:color w:val="212121"/>
                <w:sz w:val="19"/>
              </w:rPr>
              <w:t>&lt; 15 g/day; straining/constipation</w:t>
            </w:r>
          </w:p>
        </w:tc>
        <w:tc>
          <w:tcPr>
            <w:tcW w:type="dxa" w:w="1468"/>
            <w:vAlign w:val="top"/>
          </w:tcPr>
          <w:p>
            <w:pPr>
              <w:spacing w:after="40" w:before="0" w:line="259" w:lineRule="auto"/>
            </w:pPr>
            <w:r>
              <w:rPr>
                <w:rFonts w:ascii="Calibri" w:hAnsi="Calibri"/>
                <w:b w:val="0"/>
                <w:i w:val="0"/>
                <w:color w:val="212121"/>
                <w:sz w:val="19"/>
              </w:rPr>
              <w:t>Chronic straining damages pelvic support and worsens SUI</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women,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Smoking-related chronic cough repeatedly raises intra-abdominal pressure</w:t>
            </w:r>
          </w:p>
          <w:p>
            <w:pPr>
              <w:spacing w:after="40" w:line="252" w:lineRule="auto"/>
            </w:pPr>
            <w:hyperlink r:id="rId9">
              <w:r>
                <w:rPr>
                  <w:rFonts w:ascii="Calibri" w:hAnsi="Calibri" w:cs="Calibri"/>
                  <w:sz w:val="18"/>
                  <w:color w:val="1155CC"/>
                  <w:u w:val="single"/>
                </w:rPr>
                <w:t xml:space="preserve">https://www.ncbi.nlm.nih.gov/books/NBK559095/</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 women</w:t>
            </w:r>
          </w:p>
        </w:tc>
        <w:tc>
          <w:tcPr>
            <w:tcW w:type="dxa" w:w="1512"/>
            <w:vAlign w:val="top"/>
          </w:tcPr>
          <w:p>
            <w:pPr>
              <w:spacing w:after="40" w:before="0" w:line="259" w:lineRule="auto"/>
            </w:pPr>
            <w:r>
              <w:rPr>
                <w:rFonts w:ascii="Calibri" w:hAnsi="Calibri"/>
                <w:b w:val="0"/>
                <w:i w:val="0"/>
                <w:color w:val="212121"/>
                <w:sz w:val="19"/>
              </w:rPr>
              <w:t>≤ 7 drinks/week</w:t>
            </w:r>
          </w:p>
        </w:tc>
        <w:tc>
          <w:tcPr>
            <w:tcW w:type="dxa" w:w="1512"/>
            <w:vAlign w:val="top"/>
          </w:tcPr>
          <w:p>
            <w:pPr>
              <w:spacing w:after="40" w:before="0" w:line="259" w:lineRule="auto"/>
            </w:pPr>
            <w:r>
              <w:rPr>
                <w:rFonts w:ascii="Calibri" w:hAnsi="Calibri"/>
                <w:b w:val="0"/>
                <w:i w:val="0"/>
                <w:color w:val="212121"/>
                <w:sz w:val="19"/>
              </w:rPr>
              <w:t>&gt; 14 drinks/week</w:t>
            </w:r>
          </w:p>
        </w:tc>
        <w:tc>
          <w:tcPr>
            <w:tcW w:type="dxa" w:w="1468"/>
            <w:vAlign w:val="top"/>
          </w:tcPr>
          <w:p>
            <w:pPr>
              <w:spacing w:after="40" w:before="0" w:line="259" w:lineRule="auto"/>
            </w:pPr>
            <w:r>
              <w:rPr>
                <w:rFonts w:ascii="Calibri" w:hAnsi="Calibri"/>
                <w:b w:val="0"/>
                <w:i w:val="0"/>
                <w:color w:val="212121"/>
                <w:sz w:val="19"/>
              </w:rPr>
              <w:t>Diuretic/irritant effect increases urine volume and any urgency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Urinalysis (dipstick + microscopy)</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leukocytes/nitrites/blood/glucose</w:t>
            </w:r>
          </w:p>
        </w:tc>
        <w:tc>
          <w:tcPr>
            <w:tcW w:type="dxa" w:w="950"/>
            <w:vAlign w:val="top"/>
          </w:tcPr>
          <w:p>
            <w:pPr>
              <w:spacing w:after="40" w:before="0" w:line="259" w:lineRule="auto"/>
            </w:pPr>
            <w:r>
              <w:rPr>
                <w:rFonts w:ascii="Calibri" w:hAnsi="Calibri"/>
                <w:b w:val="0"/>
                <w:i w:val="0"/>
                <w:color w:val="212121"/>
                <w:sz w:val="16"/>
              </w:rPr>
              <w:t>Pyuria, nitrites, haematuria or glucosuria</w:t>
            </w:r>
          </w:p>
        </w:tc>
        <w:tc>
          <w:tcPr>
            <w:tcW w:type="dxa" w:w="1036"/>
            <w:vAlign w:val="top"/>
          </w:tcPr>
          <w:p>
            <w:pPr>
              <w:spacing w:after="40" w:before="0" w:line="259" w:lineRule="auto"/>
            </w:pPr>
            <w:r>
              <w:rPr>
                <w:rFonts w:ascii="Calibri" w:hAnsi="Calibri"/>
                <w:b w:val="0"/>
                <w:i w:val="0"/>
                <w:color w:val="212121"/>
                <w:sz w:val="16"/>
              </w:rPr>
              <w:t>Excludes UTI, glycosuria and haematuria that can mimic or coexist with SUI</w:t>
            </w:r>
          </w:p>
        </w:tc>
        <w:tc>
          <w:tcPr>
            <w:tcW w:type="dxa" w:w="1036"/>
            <w:vAlign w:val="top"/>
          </w:tcPr>
          <w:p>
            <w:pPr>
              <w:spacing w:after="40" w:before="0" w:line="259" w:lineRule="auto"/>
            </w:pPr>
            <w:r>
              <w:rPr>
                <w:rFonts w:ascii="Calibri" w:hAnsi="Calibri"/>
                <w:b w:val="0"/>
                <w:i w:val="0"/>
                <w:color w:val="212121"/>
                <w:sz w:val="16"/>
              </w:rPr>
              <w:t>All women with incontinence</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Mandatory first test</w:t>
            </w:r>
          </w:p>
        </w:tc>
        <w:tc>
          <w:tcPr>
            <w:tcW w:type="dxa" w:w="720"/>
            <w:vAlign w:val="top"/>
          </w:tcPr>
          <w:p>
            <w:pPr>
              <w:spacing w:after="40" w:before="0" w:line="259" w:lineRule="auto"/>
            </w:pPr>
            <w:r>
              <w:rPr>
                <w:rFonts w:ascii="Calibri" w:hAnsi="Calibri"/>
                <w:b w:val="0"/>
                <w:i w:val="0"/>
                <w:color w:val="212121"/>
                <w:sz w:val="16"/>
              </w:rPr>
              <w:t>Haematuria mandates evaluation for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Urine culture &amp; sensitivity</w:t>
            </w:r>
          </w:p>
        </w:tc>
        <w:tc>
          <w:tcPr>
            <w:tcW w:type="dxa" w:w="892"/>
            <w:vAlign w:val="top"/>
          </w:tcPr>
          <w:p>
            <w:pPr>
              <w:spacing w:after="40" w:before="0" w:line="259" w:lineRule="auto"/>
            </w:pPr>
            <w:r>
              <w:rPr>
                <w:rFonts w:ascii="Calibri" w:hAnsi="Calibri"/>
                <w:b w:val="0"/>
                <w:i w:val="0"/>
                <w:color w:val="212121"/>
                <w:sz w:val="16"/>
              </w:rPr>
              <w:t>Midstream urine culture</w:t>
            </w:r>
          </w:p>
        </w:tc>
        <w:tc>
          <w:tcPr>
            <w:tcW w:type="dxa" w:w="950"/>
            <w:vAlign w:val="top"/>
          </w:tcPr>
          <w:p>
            <w:pPr>
              <w:spacing w:after="40" w:before="0" w:line="259" w:lineRule="auto"/>
            </w:pPr>
            <w:r>
              <w:rPr>
                <w:rFonts w:ascii="Calibri" w:hAnsi="Calibri"/>
                <w:b w:val="0"/>
                <w:i w:val="0"/>
                <w:color w:val="212121"/>
                <w:sz w:val="16"/>
              </w:rPr>
              <w:t>No significant growth (&lt; 10⁵ CFU/mL)</w:t>
            </w:r>
          </w:p>
        </w:tc>
        <w:tc>
          <w:tcPr>
            <w:tcW w:type="dxa" w:w="950"/>
            <w:vAlign w:val="top"/>
          </w:tcPr>
          <w:p>
            <w:pPr>
              <w:spacing w:after="40" w:before="0" w:line="259" w:lineRule="auto"/>
            </w:pPr>
            <w:r>
              <w:rPr>
                <w:rFonts w:ascii="Calibri" w:hAnsi="Calibri"/>
                <w:b w:val="0"/>
                <w:i w:val="0"/>
                <w:color w:val="212121"/>
                <w:sz w:val="16"/>
              </w:rPr>
              <w:t>Significant bacteriuria</w:t>
            </w:r>
          </w:p>
        </w:tc>
        <w:tc>
          <w:tcPr>
            <w:tcW w:type="dxa" w:w="1036"/>
            <w:vAlign w:val="top"/>
          </w:tcPr>
          <w:p>
            <w:pPr>
              <w:spacing w:after="40" w:before="0" w:line="259" w:lineRule="auto"/>
            </w:pPr>
            <w:r>
              <w:rPr>
                <w:rFonts w:ascii="Calibri" w:hAnsi="Calibri"/>
                <w:b w:val="0"/>
                <w:i w:val="0"/>
                <w:color w:val="212121"/>
                <w:sz w:val="16"/>
              </w:rPr>
              <w:t>Confirms/excludes UTI, which can transiently worsen leakage</w:t>
            </w:r>
          </w:p>
        </w:tc>
        <w:tc>
          <w:tcPr>
            <w:tcW w:type="dxa" w:w="1036"/>
            <w:vAlign w:val="top"/>
          </w:tcPr>
          <w:p>
            <w:pPr>
              <w:spacing w:after="40" w:before="0" w:line="259" w:lineRule="auto"/>
            </w:pPr>
            <w:r>
              <w:rPr>
                <w:rFonts w:ascii="Calibri" w:hAnsi="Calibri"/>
                <w:b w:val="0"/>
                <w:i w:val="0"/>
                <w:color w:val="212121"/>
                <w:sz w:val="16"/>
              </w:rPr>
              <w:t>Symptomatic, recurrent UTI, elderly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Treat infection and reassess before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Post-void residual volume</w:t>
            </w:r>
          </w:p>
        </w:tc>
        <w:tc>
          <w:tcPr>
            <w:tcW w:type="dxa" w:w="892"/>
            <w:vAlign w:val="top"/>
          </w:tcPr>
          <w:p>
            <w:pPr>
              <w:spacing w:after="40" w:before="0" w:line="259" w:lineRule="auto"/>
            </w:pPr>
            <w:r>
              <w:rPr>
                <w:rFonts w:ascii="Calibri" w:hAnsi="Calibri"/>
                <w:b w:val="0"/>
                <w:i w:val="0"/>
                <w:color w:val="212121"/>
                <w:sz w:val="16"/>
              </w:rPr>
              <w:t>Bladder scan / ultrasound</w:t>
            </w:r>
          </w:p>
        </w:tc>
        <w:tc>
          <w:tcPr>
            <w:tcW w:type="dxa" w:w="950"/>
            <w:vAlign w:val="top"/>
          </w:tcPr>
          <w:p>
            <w:pPr>
              <w:spacing w:after="40" w:before="0" w:line="259" w:lineRule="auto"/>
            </w:pPr>
            <w:r>
              <w:rPr>
                <w:rFonts w:ascii="Calibri" w:hAnsi="Calibri"/>
                <w:b w:val="0"/>
                <w:i w:val="0"/>
                <w:color w:val="212121"/>
                <w:sz w:val="16"/>
              </w:rPr>
              <w:t>&lt; 50 mL</w:t>
            </w:r>
          </w:p>
        </w:tc>
        <w:tc>
          <w:tcPr>
            <w:tcW w:type="dxa" w:w="950"/>
            <w:vAlign w:val="top"/>
          </w:tcPr>
          <w:p>
            <w:pPr>
              <w:spacing w:after="40" w:before="0" w:line="259" w:lineRule="auto"/>
            </w:pPr>
            <w:r>
              <w:rPr>
                <w:rFonts w:ascii="Calibri" w:hAnsi="Calibri"/>
                <w:b w:val="0"/>
                <w:i w:val="0"/>
                <w:color w:val="212121"/>
                <w:sz w:val="16"/>
              </w:rPr>
              <w:t>&gt; 150 mL</w:t>
            </w:r>
          </w:p>
        </w:tc>
        <w:tc>
          <w:tcPr>
            <w:tcW w:type="dxa" w:w="1036"/>
            <w:vAlign w:val="top"/>
          </w:tcPr>
          <w:p>
            <w:pPr>
              <w:spacing w:after="40" w:before="0" w:line="259" w:lineRule="auto"/>
            </w:pPr>
            <w:r>
              <w:rPr>
                <w:rFonts w:ascii="Calibri" w:hAnsi="Calibri"/>
                <w:b w:val="0"/>
                <w:i w:val="0"/>
                <w:color w:val="212121"/>
                <w:sz w:val="16"/>
              </w:rPr>
              <w:t>Low PVR supports pure SUI; high PVR points to overflow or voiding dysfunction</w:t>
            </w:r>
          </w:p>
        </w:tc>
        <w:tc>
          <w:tcPr>
            <w:tcW w:type="dxa" w:w="1036"/>
            <w:vAlign w:val="top"/>
          </w:tcPr>
          <w:p>
            <w:pPr>
              <w:spacing w:after="40" w:before="0" w:line="259" w:lineRule="auto"/>
            </w:pPr>
            <w:r>
              <w:rPr>
                <w:rFonts w:ascii="Calibri" w:hAnsi="Calibri"/>
                <w:b w:val="0"/>
                <w:i w:val="0"/>
                <w:color w:val="212121"/>
                <w:sz w:val="16"/>
              </w:rPr>
              <w:t>Elderly, diabetics, prior surgery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Non-invasive; do before anti-incontinence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Quantitative</w:t>
            </w:r>
          </w:p>
        </w:tc>
        <w:tc>
          <w:tcPr>
            <w:tcW w:type="dxa" w:w="1036"/>
            <w:vAlign w:val="top"/>
          </w:tcPr>
          <w:p>
            <w:pPr>
              <w:spacing w:after="40" w:before="0" w:line="259" w:lineRule="auto"/>
            </w:pPr>
            <w:r>
              <w:rPr>
                <w:rFonts w:ascii="Calibri" w:hAnsi="Calibri"/>
                <w:b w:val="0"/>
                <w:i w:val="0"/>
                <w:color w:val="212121"/>
                <w:sz w:val="16"/>
              </w:rPr>
              <w:t>Pad test (1-hour or 24-hour)</w:t>
            </w:r>
          </w:p>
        </w:tc>
        <w:tc>
          <w:tcPr>
            <w:tcW w:type="dxa" w:w="892"/>
            <w:vAlign w:val="top"/>
          </w:tcPr>
          <w:p>
            <w:pPr>
              <w:spacing w:after="40" w:before="0" w:line="259" w:lineRule="auto"/>
            </w:pPr>
            <w:r>
              <w:rPr>
                <w:rFonts w:ascii="Calibri" w:hAnsi="Calibri"/>
                <w:b w:val="0"/>
                <w:i w:val="0"/>
                <w:color w:val="212121"/>
                <w:sz w:val="16"/>
              </w:rPr>
              <w:t>Standardised pad weighing</w:t>
            </w:r>
          </w:p>
        </w:tc>
        <w:tc>
          <w:tcPr>
            <w:tcW w:type="dxa" w:w="950"/>
            <w:vAlign w:val="top"/>
          </w:tcPr>
          <w:p>
            <w:pPr>
              <w:spacing w:after="40" w:before="0" w:line="259" w:lineRule="auto"/>
            </w:pPr>
            <w:r>
              <w:rPr>
                <w:rFonts w:ascii="Calibri" w:hAnsi="Calibri"/>
                <w:b w:val="0"/>
                <w:i w:val="0"/>
                <w:color w:val="212121"/>
                <w:sz w:val="16"/>
              </w:rPr>
              <w:t>&lt; 4 g/24 h</w:t>
            </w:r>
          </w:p>
        </w:tc>
        <w:tc>
          <w:tcPr>
            <w:tcW w:type="dxa" w:w="950"/>
            <w:vAlign w:val="top"/>
          </w:tcPr>
          <w:p>
            <w:pPr>
              <w:spacing w:after="40" w:before="0" w:line="259" w:lineRule="auto"/>
            </w:pPr>
            <w:r>
              <w:rPr>
                <w:rFonts w:ascii="Calibri" w:hAnsi="Calibri"/>
                <w:b w:val="0"/>
                <w:i w:val="0"/>
                <w:color w:val="212121"/>
                <w:sz w:val="16"/>
              </w:rPr>
              <w:t>≥ 4 g (grades severity)</w:t>
            </w:r>
          </w:p>
        </w:tc>
        <w:tc>
          <w:tcPr>
            <w:tcW w:type="dxa" w:w="1036"/>
            <w:vAlign w:val="top"/>
          </w:tcPr>
          <w:p>
            <w:pPr>
              <w:spacing w:after="40" w:before="0" w:line="259" w:lineRule="auto"/>
            </w:pPr>
            <w:r>
              <w:rPr>
                <w:rFonts w:ascii="Calibri" w:hAnsi="Calibri"/>
                <w:b w:val="0"/>
                <w:i w:val="0"/>
                <w:color w:val="212121"/>
                <w:sz w:val="16"/>
              </w:rPr>
              <w:t>Objectively confirms and quantifies leakage and tracks response</w:t>
            </w:r>
          </w:p>
        </w:tc>
        <w:tc>
          <w:tcPr>
            <w:tcW w:type="dxa" w:w="1036"/>
            <w:vAlign w:val="top"/>
          </w:tcPr>
          <w:p>
            <w:pPr>
              <w:spacing w:after="40" w:before="0" w:line="259" w:lineRule="auto"/>
            </w:pPr>
            <w:r>
              <w:rPr>
                <w:rFonts w:ascii="Calibri" w:hAnsi="Calibri"/>
                <w:b w:val="0"/>
                <w:i w:val="0"/>
                <w:color w:val="212121"/>
                <w:sz w:val="16"/>
              </w:rPr>
              <w:t>All SUI patients, pre/post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Useful when history and bedside test are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Urodynamics</w:t>
            </w:r>
          </w:p>
        </w:tc>
        <w:tc>
          <w:tcPr>
            <w:tcW w:type="dxa" w:w="1036"/>
            <w:vAlign w:val="top"/>
          </w:tcPr>
          <w:p>
            <w:pPr>
              <w:spacing w:after="40" w:before="0" w:line="259" w:lineRule="auto"/>
            </w:pPr>
            <w:r>
              <w:rPr>
                <w:rFonts w:ascii="Calibri" w:hAnsi="Calibri"/>
                <w:b w:val="0"/>
                <w:i w:val="0"/>
                <w:color w:val="212121"/>
                <w:sz w:val="16"/>
              </w:rPr>
              <w:t>Urodynamic stress incontinence / abdominal leak-point pressure</w:t>
            </w:r>
          </w:p>
        </w:tc>
        <w:tc>
          <w:tcPr>
            <w:tcW w:type="dxa" w:w="892"/>
            <w:vAlign w:val="top"/>
          </w:tcPr>
          <w:p>
            <w:pPr>
              <w:spacing w:after="40" w:before="0" w:line="259" w:lineRule="auto"/>
            </w:pPr>
            <w:r>
              <w:rPr>
                <w:rFonts w:ascii="Calibri" w:hAnsi="Calibri"/>
                <w:b w:val="0"/>
                <w:i w:val="0"/>
                <w:color w:val="212121"/>
                <w:sz w:val="16"/>
              </w:rPr>
              <w:t>Multichannel urodynamics</w:t>
            </w:r>
          </w:p>
        </w:tc>
        <w:tc>
          <w:tcPr>
            <w:tcW w:type="dxa" w:w="950"/>
            <w:vAlign w:val="top"/>
          </w:tcPr>
          <w:p>
            <w:pPr>
              <w:spacing w:after="40" w:before="0" w:line="259" w:lineRule="auto"/>
            </w:pPr>
            <w:r>
              <w:rPr>
                <w:rFonts w:ascii="Calibri" w:hAnsi="Calibri"/>
                <w:b w:val="0"/>
                <w:i w:val="0"/>
                <w:color w:val="212121"/>
                <w:sz w:val="16"/>
              </w:rPr>
              <w:t>No leak without detrusor contraction; ALPP high</w:t>
            </w:r>
          </w:p>
        </w:tc>
        <w:tc>
          <w:tcPr>
            <w:tcW w:type="dxa" w:w="950"/>
            <w:vAlign w:val="top"/>
          </w:tcPr>
          <w:p>
            <w:pPr>
              <w:spacing w:after="40" w:before="0" w:line="259" w:lineRule="auto"/>
            </w:pPr>
            <w:r>
              <w:rPr>
                <w:rFonts w:ascii="Calibri" w:hAnsi="Calibri"/>
                <w:b w:val="0"/>
                <w:i w:val="0"/>
                <w:color w:val="212121"/>
                <w:sz w:val="16"/>
              </w:rPr>
              <w:t>Leak on raised abdominal pressure without detrusor contraction; ALPP &lt; 60 cmH₂O suggests ISD</w:t>
            </w:r>
          </w:p>
        </w:tc>
        <w:tc>
          <w:tcPr>
            <w:tcW w:type="dxa" w:w="1036"/>
            <w:vAlign w:val="top"/>
          </w:tcPr>
          <w:p>
            <w:pPr>
              <w:spacing w:after="40" w:before="0" w:line="259" w:lineRule="auto"/>
            </w:pPr>
            <w:r>
              <w:rPr>
                <w:rFonts w:ascii="Calibri" w:hAnsi="Calibri"/>
                <w:b w:val="0"/>
                <w:i w:val="0"/>
                <w:color w:val="212121"/>
                <w:sz w:val="16"/>
              </w:rPr>
              <w:t>Confirms the mechanism and identifies intrinsic sphincter deficiency</w:t>
            </w:r>
          </w:p>
        </w:tc>
        <w:tc>
          <w:tcPr>
            <w:tcW w:type="dxa" w:w="1036"/>
            <w:vAlign w:val="top"/>
          </w:tcPr>
          <w:p>
            <w:pPr>
              <w:spacing w:after="40" w:before="0" w:line="259" w:lineRule="auto"/>
            </w:pPr>
            <w:r>
              <w:rPr>
                <w:rFonts w:ascii="Calibri" w:hAnsi="Calibri"/>
                <w:b w:val="0"/>
                <w:i w:val="0"/>
                <w:color w:val="212121"/>
                <w:sz w:val="16"/>
              </w:rPr>
              <w:t>Mixed symptoms, prior/failed surgery, suspected ISD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(selective)</w:t>
            </w:r>
          </w:p>
        </w:tc>
        <w:tc>
          <w:tcPr>
            <w:tcW w:type="dxa" w:w="720"/>
            <w:vAlign w:val="top"/>
          </w:tcPr>
          <w:p>
            <w:pPr>
              <w:spacing w:after="40" w:before="0" w:line="259" w:lineRule="auto"/>
            </w:pPr>
            <w:r>
              <w:rPr>
                <w:rFonts w:ascii="Calibri" w:hAnsi="Calibri"/>
                <w:b w:val="0"/>
                <w:i w:val="0"/>
                <w:color w:val="212121"/>
                <w:sz w:val="16"/>
              </w:rPr>
              <w:t>Not required for straightforward primary SUI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Uroflowmetry</w:t>
            </w:r>
          </w:p>
        </w:tc>
        <w:tc>
          <w:tcPr>
            <w:tcW w:type="dxa" w:w="1036"/>
            <w:vAlign w:val="top"/>
          </w:tcPr>
          <w:p>
            <w:pPr>
              <w:spacing w:after="40" w:before="0" w:line="259" w:lineRule="auto"/>
            </w:pPr>
            <w:r>
              <w:rPr>
                <w:rFonts w:ascii="Calibri" w:hAnsi="Calibri"/>
                <w:b w:val="0"/>
                <w:i w:val="0"/>
                <w:color w:val="212121"/>
                <w:sz w:val="16"/>
              </w:rPr>
              <w:t>Flow rate &amp; voiding pattern</w:t>
            </w:r>
          </w:p>
        </w:tc>
        <w:tc>
          <w:tcPr>
            <w:tcW w:type="dxa" w:w="892"/>
            <w:vAlign w:val="top"/>
          </w:tcPr>
          <w:p>
            <w:pPr>
              <w:spacing w:after="40" w:before="0" w:line="259" w:lineRule="auto"/>
            </w:pPr>
            <w:r>
              <w:rPr>
                <w:rFonts w:ascii="Calibri" w:hAnsi="Calibri"/>
                <w:b w:val="0"/>
                <w:i w:val="0"/>
                <w:color w:val="212121"/>
                <w:sz w:val="16"/>
              </w:rPr>
              <w:t>Uroflowmetry</w:t>
            </w:r>
          </w:p>
        </w:tc>
        <w:tc>
          <w:tcPr>
            <w:tcW w:type="dxa" w:w="950"/>
            <w:vAlign w:val="top"/>
          </w:tcPr>
          <w:p>
            <w:pPr>
              <w:spacing w:after="40" w:before="0" w:line="259" w:lineRule="auto"/>
            </w:pPr>
            <w:r>
              <w:rPr>
                <w:rFonts w:ascii="Calibri" w:hAnsi="Calibri"/>
                <w:b w:val="0"/>
                <w:i w:val="0"/>
                <w:color w:val="212121"/>
                <w:sz w:val="16"/>
              </w:rPr>
              <w:t>Normal flow, complete emptying</w:t>
            </w:r>
          </w:p>
        </w:tc>
        <w:tc>
          <w:tcPr>
            <w:tcW w:type="dxa" w:w="950"/>
            <w:vAlign w:val="top"/>
          </w:tcPr>
          <w:p>
            <w:pPr>
              <w:spacing w:after="40" w:before="0" w:line="259" w:lineRule="auto"/>
            </w:pPr>
            <w:r>
              <w:rPr>
                <w:rFonts w:ascii="Calibri" w:hAnsi="Calibri"/>
                <w:b w:val="0"/>
                <w:i w:val="0"/>
                <w:color w:val="212121"/>
                <w:sz w:val="16"/>
              </w:rPr>
              <w:t>Low or obstructed flow, incomplete emptying</w:t>
            </w:r>
          </w:p>
        </w:tc>
        <w:tc>
          <w:tcPr>
            <w:tcW w:type="dxa" w:w="1036"/>
            <w:vAlign w:val="top"/>
          </w:tcPr>
          <w:p>
            <w:pPr>
              <w:spacing w:after="40" w:before="0" w:line="259" w:lineRule="auto"/>
            </w:pPr>
            <w:r>
              <w:rPr>
                <w:rFonts w:ascii="Calibri" w:hAnsi="Calibri"/>
                <w:b w:val="0"/>
                <w:i w:val="0"/>
                <w:color w:val="212121"/>
                <w:sz w:val="16"/>
              </w:rPr>
              <w:t>Screens for voiding dysfunction before and after surgery</w:t>
            </w:r>
          </w:p>
        </w:tc>
        <w:tc>
          <w:tcPr>
            <w:tcW w:type="dxa" w:w="1036"/>
            <w:vAlign w:val="top"/>
          </w:tcPr>
          <w:p>
            <w:pPr>
              <w:spacing w:after="40" w:before="0" w:line="259" w:lineRule="auto"/>
            </w:pPr>
            <w:r>
              <w:rPr>
                <w:rFonts w:ascii="Calibri" w:hAnsi="Calibri"/>
                <w:b w:val="0"/>
                <w:i w:val="0"/>
                <w:color w:val="212121"/>
                <w:sz w:val="16"/>
              </w:rPr>
              <w:t>Pre-surgical, prior pelvic surgery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Helps predict post-operative retention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Identifies diabetes contributing to polyuria and pelvic neuropathy</w:t>
            </w:r>
          </w:p>
        </w:tc>
        <w:tc>
          <w:tcPr>
            <w:tcW w:type="dxa" w:w="1036"/>
            <w:vAlign w:val="top"/>
          </w:tcPr>
          <w:p>
            <w:pPr>
              <w:spacing w:after="40" w:before="0" w:line="259" w:lineRule="auto"/>
            </w:pPr>
            <w:r>
              <w:rPr>
                <w:rFonts w:ascii="Calibri" w:hAnsi="Calibri"/>
                <w:b w:val="0"/>
                <w:i w:val="0"/>
                <w:color w:val="212121"/>
                <w:sz w:val="16"/>
              </w:rPr>
              <w:t>Obese, diabetic, high-risk women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Optimise control before surgery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Leakage on cough/sneeze/laugh/lift/exercise, no preceding urge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Effort-related leakage without urgency</w:t>
            </w:r>
          </w:p>
        </w:tc>
        <w:tc>
          <w:tcPr>
            <w:tcW w:type="dxa" w:w="1036"/>
            <w:vAlign w:val="top"/>
          </w:tcPr>
          <w:p>
            <w:pPr>
              <w:spacing w:after="40" w:before="0" w:line="259" w:lineRule="auto"/>
            </w:pPr>
            <w:r>
              <w:rPr>
                <w:rFonts w:ascii="Calibri" w:hAnsi="Calibri"/>
                <w:b w:val="0"/>
                <w:i w:val="0"/>
                <w:color w:val="212121"/>
                <w:sz w:val="16"/>
              </w:rPr>
              <w:t>Defines the stress pattern and separates it from urge incontinence</w:t>
            </w:r>
          </w:p>
        </w:tc>
        <w:tc>
          <w:tcPr>
            <w:tcW w:type="dxa" w:w="1036"/>
            <w:vAlign w:val="top"/>
          </w:tcPr>
          <w:p>
            <w:pPr>
              <w:spacing w:after="40" w:before="0" w:line="259" w:lineRule="auto"/>
            </w:pPr>
            <w:r>
              <w:rPr>
                <w:rFonts w:ascii="Calibri" w:hAnsi="Calibri"/>
                <w:b w:val="0"/>
                <w:i w:val="0"/>
                <w:color w:val="212121"/>
                <w:sz w:val="16"/>
              </w:rPr>
              <w:t>Parous, perimenopausal and postmenopausal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 screening</w:t>
            </w:r>
          </w:p>
        </w:tc>
        <w:tc>
          <w:tcPr>
            <w:tcW w:type="dxa" w:w="720"/>
            <w:vAlign w:val="top"/>
          </w:tcPr>
          <w:p>
            <w:pPr>
              <w:spacing w:after="40" w:before="0" w:line="259" w:lineRule="auto"/>
            </w:pPr>
            <w:r>
              <w:rPr>
                <w:rFonts w:ascii="Calibri" w:hAnsi="Calibri"/>
                <w:b w:val="0"/>
                <w:i w:val="0"/>
                <w:color w:val="212121"/>
                <w:sz w:val="16"/>
              </w:rPr>
              <w:t>Ask specifically about urgency and night-time leakage to detect a mixed component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Bladder diary</w:t>
            </w:r>
          </w:p>
        </w:tc>
        <w:tc>
          <w:tcPr>
            <w:tcW w:type="dxa" w:w="979"/>
            <w:vAlign w:val="top"/>
          </w:tcPr>
          <w:p>
            <w:pPr>
              <w:spacing w:after="40" w:before="0" w:line="259" w:lineRule="auto"/>
            </w:pPr>
            <w:r>
              <w:rPr>
                <w:rFonts w:ascii="Calibri" w:hAnsi="Calibri"/>
                <w:b w:val="0"/>
                <w:i w:val="0"/>
                <w:color w:val="212121"/>
                <w:sz w:val="16"/>
              </w:rPr>
              <w:t>3-day frequency-volume &amp; leakage chart</w:t>
            </w:r>
          </w:p>
        </w:tc>
        <w:tc>
          <w:tcPr>
            <w:tcW w:type="dxa" w:w="950"/>
            <w:vAlign w:val="top"/>
          </w:tcPr>
          <w:p>
            <w:pPr>
              <w:spacing w:after="40" w:before="0" w:line="259" w:lineRule="auto"/>
            </w:pPr>
            <w:r>
              <w:rPr>
                <w:rFonts w:ascii="Calibri" w:hAnsi="Calibri"/>
                <w:b w:val="0"/>
                <w:i w:val="0"/>
                <w:color w:val="212121"/>
                <w:sz w:val="16"/>
              </w:rPr>
              <w:t>No effort leaks, normal frequency</w:t>
            </w:r>
          </w:p>
        </w:tc>
        <w:tc>
          <w:tcPr>
            <w:tcW w:type="dxa" w:w="950"/>
            <w:vAlign w:val="top"/>
          </w:tcPr>
          <w:p>
            <w:pPr>
              <w:spacing w:after="40" w:before="0" w:line="259" w:lineRule="auto"/>
            </w:pPr>
            <w:r>
              <w:rPr>
                <w:rFonts w:ascii="Calibri" w:hAnsi="Calibri"/>
                <w:b w:val="0"/>
                <w:i w:val="0"/>
                <w:color w:val="212121"/>
                <w:sz w:val="16"/>
              </w:rPr>
              <w:t>Documented effort-related leak episodes</w:t>
            </w:r>
          </w:p>
        </w:tc>
        <w:tc>
          <w:tcPr>
            <w:tcW w:type="dxa" w:w="1036"/>
            <w:vAlign w:val="top"/>
          </w:tcPr>
          <w:p>
            <w:pPr>
              <w:spacing w:after="40" w:before="0" w:line="259" w:lineRule="auto"/>
            </w:pPr>
            <w:r>
              <w:rPr>
                <w:rFonts w:ascii="Calibri" w:hAnsi="Calibri"/>
                <w:b w:val="0"/>
                <w:i w:val="0"/>
                <w:color w:val="212121"/>
                <w:sz w:val="16"/>
              </w:rPr>
              <w:t>Quantifies pattern, triggers and fluid habits</w:t>
            </w:r>
          </w:p>
        </w:tc>
        <w:tc>
          <w:tcPr>
            <w:tcW w:type="dxa" w:w="1036"/>
            <w:vAlign w:val="top"/>
          </w:tcPr>
          <w:p>
            <w:pPr>
              <w:spacing w:after="40" w:before="0" w:line="259" w:lineRule="auto"/>
            </w:pPr>
            <w:r>
              <w:rPr>
                <w:rFonts w:ascii="Calibri" w:hAnsi="Calibri"/>
                <w:b w:val="0"/>
                <w:i w:val="0"/>
                <w:color w:val="212121"/>
                <w:sz w:val="16"/>
              </w:rPr>
              <w:t>All SUI patients</w:t>
            </w:r>
          </w:p>
        </w:tc>
        <w:tc>
          <w:tcPr>
            <w:tcW w:type="dxa" w:w="720"/>
            <w:vAlign w:val="top"/>
          </w:tcPr>
          <w:p>
            <w:pPr>
              <w:spacing w:after="40" w:before="0" w:line="259" w:lineRule="auto"/>
            </w:pPr>
            <w:r>
              <w:rPr>
                <w:rFonts w:ascii="Calibri" w:hAnsi="Calibri"/>
                <w:b w:val="0"/>
                <w:i w:val="0"/>
                <w:color w:val="212121"/>
                <w:sz w:val="16"/>
              </w:rPr>
              <w:t>Water; Caffeine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Distinguishes stress from urge/mixed patterns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Validated questionnaires</w:t>
            </w:r>
          </w:p>
        </w:tc>
        <w:tc>
          <w:tcPr>
            <w:tcW w:type="dxa" w:w="979"/>
            <w:vAlign w:val="top"/>
          </w:tcPr>
          <w:p>
            <w:pPr>
              <w:spacing w:after="40" w:before="0" w:line="259" w:lineRule="auto"/>
            </w:pPr>
            <w:r>
              <w:rPr>
                <w:rFonts w:ascii="Calibri" w:hAnsi="Calibri"/>
                <w:b w:val="0"/>
                <w:i w:val="0"/>
                <w:color w:val="212121"/>
                <w:sz w:val="16"/>
              </w:rPr>
              <w:t>ICIQ-UI SF / UDI-6 / IIQ-7</w:t>
            </w:r>
          </w:p>
        </w:tc>
        <w:tc>
          <w:tcPr>
            <w:tcW w:type="dxa" w:w="950"/>
            <w:vAlign w:val="top"/>
          </w:tcPr>
          <w:p>
            <w:pPr>
              <w:spacing w:after="40" w:before="0" w:line="259" w:lineRule="auto"/>
            </w:pPr>
            <w:r>
              <w:rPr>
                <w:rFonts w:ascii="Calibri" w:hAnsi="Calibri"/>
                <w:b w:val="0"/>
                <w:i w:val="0"/>
                <w:color w:val="212121"/>
                <w:sz w:val="16"/>
              </w:rPr>
              <w:t>Low symptom &amp; bother score</w:t>
            </w:r>
          </w:p>
        </w:tc>
        <w:tc>
          <w:tcPr>
            <w:tcW w:type="dxa" w:w="950"/>
            <w:vAlign w:val="top"/>
          </w:tcPr>
          <w:p>
            <w:pPr>
              <w:spacing w:after="40" w:before="0" w:line="259" w:lineRule="auto"/>
            </w:pPr>
            <w:r>
              <w:rPr>
                <w:rFonts w:ascii="Calibri" w:hAnsi="Calibri"/>
                <w:b w:val="0"/>
                <w:i w:val="0"/>
                <w:color w:val="212121"/>
                <w:sz w:val="16"/>
              </w:rPr>
              <w:t>Elevated symptom-bother / QoL impact</w:t>
            </w:r>
          </w:p>
        </w:tc>
        <w:tc>
          <w:tcPr>
            <w:tcW w:type="dxa" w:w="1036"/>
            <w:vAlign w:val="top"/>
          </w:tcPr>
          <w:p>
            <w:pPr>
              <w:spacing w:after="40" w:before="0" w:line="259" w:lineRule="auto"/>
            </w:pPr>
            <w:r>
              <w:rPr>
                <w:rFonts w:ascii="Calibri" w:hAnsi="Calibri"/>
                <w:b w:val="0"/>
                <w:i w:val="0"/>
                <w:color w:val="212121"/>
                <w:sz w:val="16"/>
              </w:rPr>
              <w:t>Standardises severity and tracks treatment response</w:t>
            </w:r>
          </w:p>
        </w:tc>
        <w:tc>
          <w:tcPr>
            <w:tcW w:type="dxa" w:w="1036"/>
            <w:vAlign w:val="top"/>
          </w:tcPr>
          <w:p>
            <w:pPr>
              <w:spacing w:after="40" w:before="0" w:line="259" w:lineRule="auto"/>
            </w:pPr>
            <w:r>
              <w:rPr>
                <w:rFonts w:ascii="Calibri" w:hAnsi="Calibri"/>
                <w:b w:val="0"/>
                <w:i w:val="0"/>
                <w:color w:val="212121"/>
                <w:sz w:val="16"/>
              </w:rPr>
              <w:t>All patients, follow-up and research</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Captures quality-of-life burden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Cough stress test</w:t>
            </w:r>
          </w:p>
        </w:tc>
        <w:tc>
          <w:tcPr>
            <w:tcW w:type="dxa" w:w="979"/>
            <w:vAlign w:val="top"/>
          </w:tcPr>
          <w:p>
            <w:pPr>
              <w:spacing w:after="40" w:before="0" w:line="259" w:lineRule="auto"/>
            </w:pPr>
            <w:r>
              <w:rPr>
                <w:rFonts w:ascii="Calibri" w:hAnsi="Calibri"/>
                <w:b w:val="0"/>
                <w:i w:val="0"/>
                <w:color w:val="212121"/>
                <w:sz w:val="16"/>
              </w:rPr>
              <w:t>Leak with cough/Valsalva (full bladder)</w:t>
            </w:r>
          </w:p>
        </w:tc>
        <w:tc>
          <w:tcPr>
            <w:tcW w:type="dxa" w:w="950"/>
            <w:vAlign w:val="top"/>
          </w:tcPr>
          <w:p>
            <w:pPr>
              <w:spacing w:after="40" w:before="0" w:line="259" w:lineRule="auto"/>
            </w:pPr>
            <w:r>
              <w:rPr>
                <w:rFonts w:ascii="Calibri" w:hAnsi="Calibri"/>
                <w:b w:val="0"/>
                <w:i w:val="0"/>
                <w:color w:val="212121"/>
                <w:sz w:val="16"/>
              </w:rPr>
              <w:t>No leakage</w:t>
            </w:r>
          </w:p>
        </w:tc>
        <w:tc>
          <w:tcPr>
            <w:tcW w:type="dxa" w:w="950"/>
            <w:vAlign w:val="top"/>
          </w:tcPr>
          <w:p>
            <w:pPr>
              <w:spacing w:after="40" w:before="0" w:line="259" w:lineRule="auto"/>
            </w:pPr>
            <w:r>
              <w:rPr>
                <w:rFonts w:ascii="Calibri" w:hAnsi="Calibri"/>
                <w:b w:val="0"/>
                <w:i w:val="0"/>
                <w:color w:val="212121"/>
                <w:sz w:val="16"/>
              </w:rPr>
              <w:t>Immediate leak synchronous with cough</w:t>
            </w:r>
          </w:p>
        </w:tc>
        <w:tc>
          <w:tcPr>
            <w:tcW w:type="dxa" w:w="1036"/>
            <w:vAlign w:val="top"/>
          </w:tcPr>
          <w:p>
            <w:pPr>
              <w:spacing w:after="40" w:before="0" w:line="259" w:lineRule="auto"/>
            </w:pPr>
            <w:r>
              <w:rPr>
                <w:rFonts w:ascii="Calibri" w:hAnsi="Calibri"/>
                <w:b w:val="0"/>
                <w:i w:val="0"/>
                <w:color w:val="212121"/>
                <w:sz w:val="16"/>
              </w:rPr>
              <w:t>Directly demonstrates stress incontinence at the bedside</w:t>
            </w:r>
          </w:p>
        </w:tc>
        <w:tc>
          <w:tcPr>
            <w:tcW w:type="dxa" w:w="1036"/>
            <w:vAlign w:val="top"/>
          </w:tcPr>
          <w:p>
            <w:pPr>
              <w:spacing w:after="40" w:before="0" w:line="259" w:lineRule="auto"/>
            </w:pPr>
            <w:r>
              <w:rPr>
                <w:rFonts w:ascii="Calibri" w:hAnsi="Calibri"/>
                <w:b w:val="0"/>
                <w:i w:val="0"/>
                <w:color w:val="212121"/>
                <w:sz w:val="16"/>
              </w:rPr>
              <w:t>All women with effort leakage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Repeat standing if supine test is negative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Cotton-swab (Q-tip) test</w:t>
            </w:r>
          </w:p>
        </w:tc>
        <w:tc>
          <w:tcPr>
            <w:tcW w:type="dxa" w:w="979"/>
            <w:vAlign w:val="top"/>
          </w:tcPr>
          <w:p>
            <w:pPr>
              <w:spacing w:after="40" w:before="0" w:line="259" w:lineRule="auto"/>
            </w:pPr>
            <w:r>
              <w:rPr>
                <w:rFonts w:ascii="Calibri" w:hAnsi="Calibri"/>
                <w:b w:val="0"/>
                <w:i w:val="0"/>
                <w:color w:val="212121"/>
                <w:sz w:val="16"/>
              </w:rPr>
              <w:t>Resting-to-straining urethral angle</w:t>
            </w:r>
          </w:p>
        </w:tc>
        <w:tc>
          <w:tcPr>
            <w:tcW w:type="dxa" w:w="950"/>
            <w:vAlign w:val="top"/>
          </w:tcPr>
          <w:p>
            <w:pPr>
              <w:spacing w:after="40" w:before="0" w:line="259" w:lineRule="auto"/>
            </w:pPr>
            <w:r>
              <w:rPr>
                <w:rFonts w:ascii="Calibri" w:hAnsi="Calibri"/>
                <w:b w:val="0"/>
                <w:i w:val="0"/>
                <w:color w:val="212121"/>
                <w:sz w:val="16"/>
              </w:rPr>
              <w:t>Angle change &lt; 30°</w:t>
            </w:r>
          </w:p>
        </w:tc>
        <w:tc>
          <w:tcPr>
            <w:tcW w:type="dxa" w:w="950"/>
            <w:vAlign w:val="top"/>
          </w:tcPr>
          <w:p>
            <w:pPr>
              <w:spacing w:after="40" w:before="0" w:line="259" w:lineRule="auto"/>
            </w:pPr>
            <w:r>
              <w:rPr>
                <w:rFonts w:ascii="Calibri" w:hAnsi="Calibri"/>
                <w:b w:val="0"/>
                <w:i w:val="0"/>
                <w:color w:val="212121"/>
                <w:sz w:val="16"/>
              </w:rPr>
              <w:t>Angle change &gt; 30° (urethral hypermobility)</w:t>
            </w:r>
          </w:p>
        </w:tc>
        <w:tc>
          <w:tcPr>
            <w:tcW w:type="dxa" w:w="1036"/>
            <w:vAlign w:val="top"/>
          </w:tcPr>
          <w:p>
            <w:pPr>
              <w:spacing w:after="40" w:before="0" w:line="259" w:lineRule="auto"/>
            </w:pPr>
            <w:r>
              <w:rPr>
                <w:rFonts w:ascii="Calibri" w:hAnsi="Calibri"/>
                <w:b w:val="0"/>
                <w:i w:val="0"/>
                <w:color w:val="212121"/>
                <w:sz w:val="16"/>
              </w:rPr>
              <w:t>Identifies urethral hypermobility as the mechanism</w:t>
            </w:r>
          </w:p>
        </w:tc>
        <w:tc>
          <w:tcPr>
            <w:tcW w:type="dxa" w:w="1036"/>
            <w:vAlign w:val="top"/>
          </w:tcPr>
          <w:p>
            <w:pPr>
              <w:spacing w:after="40" w:before="0" w:line="259" w:lineRule="auto"/>
            </w:pPr>
            <w:r>
              <w:rPr>
                <w:rFonts w:ascii="Calibri" w:hAnsi="Calibri"/>
                <w:b w:val="0"/>
                <w:i w:val="0"/>
                <w:color w:val="212121"/>
                <w:sz w:val="16"/>
              </w:rPr>
              <w:t>Women being considered for surgery</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A fixed, non-mobile urethra with leakage suggests ISD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Pelvic examination (POP-Q)</w:t>
            </w:r>
          </w:p>
        </w:tc>
        <w:tc>
          <w:tcPr>
            <w:tcW w:type="dxa" w:w="979"/>
            <w:vAlign w:val="top"/>
          </w:tcPr>
          <w:p>
            <w:pPr>
              <w:spacing w:after="40" w:before="0" w:line="259" w:lineRule="auto"/>
            </w:pPr>
            <w:r>
              <w:rPr>
                <w:rFonts w:ascii="Calibri" w:hAnsi="Calibri"/>
                <w:b w:val="0"/>
                <w:i w:val="0"/>
                <w:color w:val="212121"/>
                <w:sz w:val="16"/>
              </w:rPr>
              <w:t>Prolapse, atrophy, anterior wall support</w:t>
            </w:r>
          </w:p>
        </w:tc>
        <w:tc>
          <w:tcPr>
            <w:tcW w:type="dxa" w:w="950"/>
            <w:vAlign w:val="top"/>
          </w:tcPr>
          <w:p>
            <w:pPr>
              <w:spacing w:after="40" w:before="0" w:line="259" w:lineRule="auto"/>
            </w:pPr>
            <w:r>
              <w:rPr>
                <w:rFonts w:ascii="Calibri" w:hAnsi="Calibri"/>
                <w:b w:val="0"/>
                <w:i w:val="0"/>
                <w:color w:val="212121"/>
                <w:sz w:val="16"/>
              </w:rPr>
              <w:t>Good support, healthy mucosa</w:t>
            </w:r>
          </w:p>
        </w:tc>
        <w:tc>
          <w:tcPr>
            <w:tcW w:type="dxa" w:w="950"/>
            <w:vAlign w:val="top"/>
          </w:tcPr>
          <w:p>
            <w:pPr>
              <w:spacing w:after="40" w:before="0" w:line="259" w:lineRule="auto"/>
            </w:pPr>
            <w:r>
              <w:rPr>
                <w:rFonts w:ascii="Calibri" w:hAnsi="Calibri"/>
                <w:b w:val="0"/>
                <w:i w:val="0"/>
                <w:color w:val="212121"/>
                <w:sz w:val="16"/>
              </w:rPr>
              <w:t>Cystocele/prolapse, atrophic vaginitis</w:t>
            </w:r>
          </w:p>
        </w:tc>
        <w:tc>
          <w:tcPr>
            <w:tcW w:type="dxa" w:w="1036"/>
            <w:vAlign w:val="top"/>
          </w:tcPr>
          <w:p>
            <w:pPr>
              <w:spacing w:after="40" w:before="0" w:line="259" w:lineRule="auto"/>
            </w:pPr>
            <w:r>
              <w:rPr>
                <w:rFonts w:ascii="Calibri" w:hAnsi="Calibri"/>
                <w:b w:val="0"/>
                <w:i w:val="0"/>
                <w:color w:val="212121"/>
                <w:sz w:val="16"/>
              </w:rPr>
              <w:t>Detects coexisting prolapse and oestrogen-deficient tissue</w:t>
            </w:r>
          </w:p>
        </w:tc>
        <w:tc>
          <w:tcPr>
            <w:tcW w:type="dxa" w:w="1036"/>
            <w:vAlign w:val="top"/>
          </w:tcPr>
          <w:p>
            <w:pPr>
              <w:spacing w:after="40" w:before="0" w:line="259" w:lineRule="auto"/>
            </w:pPr>
            <w:r>
              <w:rPr>
                <w:rFonts w:ascii="Calibri" w:hAnsi="Calibri"/>
                <w:b w:val="0"/>
                <w:i w:val="0"/>
                <w:color w:val="212121"/>
                <w:sz w:val="16"/>
              </w:rPr>
              <w:t>Parous, postmenopausal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Reduce prolapse and re-test to unmask occult SUI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Pelvic floor muscle assessment</w:t>
            </w:r>
          </w:p>
        </w:tc>
        <w:tc>
          <w:tcPr>
            <w:tcW w:type="dxa" w:w="979"/>
            <w:vAlign w:val="top"/>
          </w:tcPr>
          <w:p>
            <w:pPr>
              <w:spacing w:after="40" w:before="0" w:line="259" w:lineRule="auto"/>
            </w:pPr>
            <w:r>
              <w:rPr>
                <w:rFonts w:ascii="Calibri" w:hAnsi="Calibri"/>
                <w:b w:val="0"/>
                <w:i w:val="0"/>
                <w:color w:val="212121"/>
                <w:sz w:val="16"/>
              </w:rPr>
              <w:t>Modified Oxford grade, endurance</w:t>
            </w:r>
          </w:p>
        </w:tc>
        <w:tc>
          <w:tcPr>
            <w:tcW w:type="dxa" w:w="950"/>
            <w:vAlign w:val="top"/>
          </w:tcPr>
          <w:p>
            <w:pPr>
              <w:spacing w:after="40" w:before="0" w:line="259" w:lineRule="auto"/>
            </w:pPr>
            <w:r>
              <w:rPr>
                <w:rFonts w:ascii="Calibri" w:hAnsi="Calibri"/>
                <w:b w:val="0"/>
                <w:i w:val="0"/>
                <w:color w:val="212121"/>
                <w:sz w:val="16"/>
              </w:rPr>
              <w:t>Strong, sustained contraction (grade 4–5)</w:t>
            </w:r>
          </w:p>
        </w:tc>
        <w:tc>
          <w:tcPr>
            <w:tcW w:type="dxa" w:w="950"/>
            <w:vAlign w:val="top"/>
          </w:tcPr>
          <w:p>
            <w:pPr>
              <w:spacing w:after="40" w:before="0" w:line="259" w:lineRule="auto"/>
            </w:pPr>
            <w:r>
              <w:rPr>
                <w:rFonts w:ascii="Calibri" w:hAnsi="Calibri"/>
                <w:b w:val="0"/>
                <w:i w:val="0"/>
                <w:color w:val="212121"/>
                <w:sz w:val="16"/>
              </w:rPr>
              <w:t>Weak/absent contraction (grade ≤ 2)</w:t>
            </w:r>
          </w:p>
        </w:tc>
        <w:tc>
          <w:tcPr>
            <w:tcW w:type="dxa" w:w="1036"/>
            <w:vAlign w:val="top"/>
          </w:tcPr>
          <w:p>
            <w:pPr>
              <w:spacing w:after="40" w:before="0" w:line="259" w:lineRule="auto"/>
            </w:pPr>
            <w:r>
              <w:rPr>
                <w:rFonts w:ascii="Calibri" w:hAnsi="Calibri"/>
                <w:b w:val="0"/>
                <w:i w:val="0"/>
                <w:color w:val="212121"/>
                <w:sz w:val="16"/>
              </w:rPr>
              <w:t>Guides and monitors pelvic floor muscle training</w:t>
            </w:r>
          </w:p>
        </w:tc>
        <w:tc>
          <w:tcPr>
            <w:tcW w:type="dxa" w:w="1036"/>
            <w:vAlign w:val="top"/>
          </w:tcPr>
          <w:p>
            <w:pPr>
              <w:spacing w:after="40" w:before="0" w:line="259" w:lineRule="auto"/>
            </w:pPr>
            <w:r>
              <w:rPr>
                <w:rFonts w:ascii="Calibri" w:hAnsi="Calibri"/>
                <w:b w:val="0"/>
                <w:i w:val="0"/>
                <w:color w:val="212121"/>
                <w:sz w:val="16"/>
              </w:rPr>
              <w:t>All SUI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Baseline for biofeedback-assisted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Focused neurological &amp; rectal exam</w:t>
            </w:r>
          </w:p>
        </w:tc>
        <w:tc>
          <w:tcPr>
            <w:tcW w:type="dxa" w:w="979"/>
            <w:vAlign w:val="top"/>
          </w:tcPr>
          <w:p>
            <w:pPr>
              <w:spacing w:after="40" w:before="0" w:line="259" w:lineRule="auto"/>
            </w:pPr>
            <w:r>
              <w:rPr>
                <w:rFonts w:ascii="Calibri" w:hAnsi="Calibri"/>
                <w:b w:val="0"/>
                <w:i w:val="0"/>
                <w:color w:val="212121"/>
                <w:sz w:val="16"/>
              </w:rPr>
              <w:t>S2–S4 sensation, anal tone, sacral reflexes</w:t>
            </w:r>
          </w:p>
        </w:tc>
        <w:tc>
          <w:tcPr>
            <w:tcW w:type="dxa" w:w="950"/>
            <w:vAlign w:val="top"/>
          </w:tcPr>
          <w:p>
            <w:pPr>
              <w:spacing w:after="40" w:before="0" w:line="259" w:lineRule="auto"/>
            </w:pPr>
            <w:r>
              <w:rPr>
                <w:rFonts w:ascii="Calibri" w:hAnsi="Calibri"/>
                <w:b w:val="0"/>
                <w:i w:val="0"/>
                <w:color w:val="212121"/>
                <w:sz w:val="16"/>
              </w:rPr>
              <w:t>Intact sensation, tone and reflexes</w:t>
            </w:r>
          </w:p>
        </w:tc>
        <w:tc>
          <w:tcPr>
            <w:tcW w:type="dxa" w:w="950"/>
            <w:vAlign w:val="top"/>
          </w:tcPr>
          <w:p>
            <w:pPr>
              <w:spacing w:after="40" w:before="0" w:line="259" w:lineRule="auto"/>
            </w:pPr>
            <w:r>
              <w:rPr>
                <w:rFonts w:ascii="Calibri" w:hAnsi="Calibri"/>
                <w:b w:val="0"/>
                <w:i w:val="0"/>
                <w:color w:val="212121"/>
                <w:sz w:val="16"/>
              </w:rPr>
              <w:t>Reduced perineal sensation / altered reflexes</w:t>
            </w:r>
          </w:p>
        </w:tc>
        <w:tc>
          <w:tcPr>
            <w:tcW w:type="dxa" w:w="1036"/>
            <w:vAlign w:val="top"/>
          </w:tcPr>
          <w:p>
            <w:pPr>
              <w:spacing w:after="40" w:before="0" w:line="259" w:lineRule="auto"/>
            </w:pPr>
            <w:r>
              <w:rPr>
                <w:rFonts w:ascii="Calibri" w:hAnsi="Calibri"/>
                <w:b w:val="0"/>
                <w:i w:val="0"/>
                <w:color w:val="212121"/>
                <w:sz w:val="16"/>
              </w:rPr>
              <w:t>Screens for neurogenic sphincter deficiency</w:t>
            </w:r>
          </w:p>
        </w:tc>
        <w:tc>
          <w:tcPr>
            <w:tcW w:type="dxa" w:w="1036"/>
            <w:vAlign w:val="top"/>
          </w:tcPr>
          <w:p>
            <w:pPr>
              <w:spacing w:after="40" w:before="0" w:line="259" w:lineRule="auto"/>
            </w:pPr>
            <w:r>
              <w:rPr>
                <w:rFonts w:ascii="Calibri" w:hAnsi="Calibri"/>
                <w:b w:val="0"/>
                <w:i w:val="0"/>
                <w:color w:val="212121"/>
                <w:sz w:val="16"/>
              </w:rPr>
              <w:t>Prior pelvic/spinal surgery, neurological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Directs work-up toward neurogenic ISD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Leakage of urine on coughing or sneezing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 a small spurt of urine coincident with the rise in abdominal pressure.</w:t>
            </w:r>
          </w:p>
        </w:tc>
      </w:tr>
      <w:tr>
        <w:trPr>
          <w:cantSplit/>
        </w:trPr>
        <w:tc>
          <w:tcPr>
            <w:tcW w:type="dxa" w:w="2304"/>
            <w:vAlign w:val="top"/>
          </w:tcPr>
          <w:p>
            <w:pPr>
              <w:spacing w:after="40" w:before="0" w:line="259" w:lineRule="auto"/>
            </w:pPr>
            <w:r>
              <w:rPr>
                <w:rFonts w:ascii="Calibri" w:hAnsi="Calibri"/>
                <w:b/>
                <w:i w:val="0"/>
                <w:color w:val="212121"/>
                <w:sz w:val="19"/>
              </w:rPr>
              <w:t>Leakage on laughing, lifting or straining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Any activity that raises intra-abdominal pressure provokes leakage.</w:t>
            </w:r>
          </w:p>
        </w:tc>
      </w:tr>
      <w:tr>
        <w:trPr>
          <w:cantSplit/>
        </w:trPr>
        <w:tc>
          <w:tcPr>
            <w:tcW w:type="dxa" w:w="2304"/>
            <w:vAlign w:val="top"/>
          </w:tcPr>
          <w:p>
            <w:pPr>
              <w:spacing w:after="40" w:before="0" w:line="259" w:lineRule="auto"/>
            </w:pPr>
            <w:r>
              <w:rPr>
                <w:rFonts w:ascii="Calibri" w:hAnsi="Calibri"/>
                <w:b/>
                <w:i w:val="0"/>
                <w:color w:val="212121"/>
                <w:sz w:val="19"/>
              </w:rPr>
              <w:t>Leakage during exercise or high-impact 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Running, jumping, aerobics and sport commonly trigger leaks, sometimes even in nulliparous women.</w:t>
            </w:r>
          </w:p>
        </w:tc>
      </w:tr>
      <w:tr>
        <w:trPr>
          <w:cantSplit/>
        </w:trPr>
        <w:tc>
          <w:tcPr>
            <w:tcW w:type="dxa" w:w="2304"/>
            <w:vAlign w:val="top"/>
          </w:tcPr>
          <w:p>
            <w:pPr>
              <w:spacing w:after="40" w:before="0" w:line="259" w:lineRule="auto"/>
            </w:pPr>
            <w:r>
              <w:rPr>
                <w:rFonts w:ascii="Calibri" w:hAnsi="Calibri"/>
                <w:b/>
                <w:i w:val="0"/>
                <w:color w:val="212121"/>
                <w:sz w:val="19"/>
              </w:rPr>
              <w:t>Small-volume, spurt-like leaks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is typically a small, sudden gush rather than complete bladder emptying.</w:t>
            </w:r>
          </w:p>
        </w:tc>
      </w:tr>
      <w:tr>
        <w:trPr>
          <w:cantSplit/>
        </w:trPr>
        <w:tc>
          <w:tcPr>
            <w:tcW w:type="dxa" w:w="2304"/>
            <w:vAlign w:val="top"/>
          </w:tcPr>
          <w:p>
            <w:pPr>
              <w:spacing w:after="40" w:before="0" w:line="259" w:lineRule="auto"/>
            </w:pPr>
            <w:r>
              <w:rPr>
                <w:rFonts w:ascii="Calibri" w:hAnsi="Calibri"/>
                <w:b/>
                <w:i w:val="0"/>
                <w:color w:val="212121"/>
                <w:sz w:val="19"/>
              </w:rPr>
              <w:t>Absence of urgency before leakage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Leakage is not preceded by a sudden urge — a key feature separating it from urgency incontinence.</w:t>
            </w:r>
          </w:p>
        </w:tc>
      </w:tr>
      <w:tr>
        <w:trPr>
          <w:cantSplit/>
        </w:trPr>
        <w:tc>
          <w:tcPr>
            <w:tcW w:type="dxa" w:w="2304"/>
            <w:vAlign w:val="top"/>
          </w:tcPr>
          <w:p>
            <w:pPr>
              <w:spacing w:after="40" w:before="0" w:line="259" w:lineRule="auto"/>
            </w:pPr>
            <w:r>
              <w:rPr>
                <w:rFonts w:ascii="Calibri" w:hAnsi="Calibri"/>
                <w:b/>
                <w:i w:val="0"/>
                <w:color w:val="212121"/>
                <w:sz w:val="19"/>
              </w:rPr>
              <w:t>Leakage on standing up or changing position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Rising from sitting or getting out of bed can provoke a leak in more severe disease.</w:t>
            </w:r>
          </w:p>
        </w:tc>
      </w:tr>
      <w:tr>
        <w:trPr>
          <w:cantSplit/>
        </w:trPr>
        <w:tc>
          <w:tcPr>
            <w:tcW w:type="dxa" w:w="2304"/>
            <w:vAlign w:val="top"/>
          </w:tcPr>
          <w:p>
            <w:pPr>
              <w:spacing w:after="40" w:before="0" w:line="259" w:lineRule="auto"/>
            </w:pPr>
            <w:r>
              <w:rPr>
                <w:rFonts w:ascii="Calibri" w:hAnsi="Calibri"/>
                <w:b/>
                <w:i w:val="0"/>
                <w:color w:val="212121"/>
                <w:sz w:val="19"/>
              </w:rPr>
              <w:t>Use of pads or protection and activity avoidance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Women wear pads and curtail exercise, travel and social activities for fear of leakage.</w:t>
            </w:r>
          </w:p>
        </w:tc>
      </w:tr>
      <w:tr>
        <w:trPr>
          <w:cantSplit/>
        </w:trPr>
        <w:tc>
          <w:tcPr>
            <w:tcW w:type="dxa" w:w="2304"/>
            <w:vAlign w:val="top"/>
          </w:tcPr>
          <w:p>
            <w:pPr>
              <w:spacing w:after="40" w:before="0" w:line="259" w:lineRule="auto"/>
            </w:pPr>
            <w:r>
              <w:rPr>
                <w:rFonts w:ascii="Calibri" w:hAnsi="Calibri"/>
                <w:b/>
                <w:i w:val="0"/>
                <w:color w:val="212121"/>
                <w:sz w:val="19"/>
              </w:rPr>
              <w:t>Coital incontinence (with penetration)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Leakage during intercourse, particularly at penetration, contributing to sexual distress.</w:t>
            </w:r>
          </w:p>
        </w:tc>
      </w:tr>
      <w:tr>
        <w:trPr>
          <w:cantSplit/>
        </w:trPr>
        <w:tc>
          <w:tcPr>
            <w:tcW w:type="dxa" w:w="2304"/>
            <w:vAlign w:val="top"/>
          </w:tcPr>
          <w:p>
            <w:pPr>
              <w:spacing w:after="40" w:before="0" w:line="259" w:lineRule="auto"/>
            </w:pPr>
            <w:r>
              <w:rPr>
                <w:rFonts w:ascii="Calibri" w:hAnsi="Calibri"/>
                <w:b/>
                <w:i w:val="0"/>
                <w:color w:val="212121"/>
                <w:sz w:val="19"/>
              </w:rPr>
              <w:t>Leakage with minimal exertion or at rest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Continuous or near-continuous dampness on slight movement suggests severe disease or intrinsic sphincter deficiency.</w:t>
            </w:r>
          </w:p>
        </w:tc>
      </w:tr>
      <w:tr>
        <w:trPr>
          <w:cantSplit/>
        </w:trPr>
        <w:tc>
          <w:tcPr>
            <w:tcW w:type="dxa" w:w="2304"/>
            <w:vAlign w:val="top"/>
          </w:tcPr>
          <w:p>
            <w:pPr>
              <w:spacing w:after="40" w:before="0" w:line="259" w:lineRule="auto"/>
            </w:pPr>
            <w:r>
              <w:rPr>
                <w:rFonts w:ascii="Calibri" w:hAnsi="Calibri"/>
                <w:b/>
                <w:i w:val="0"/>
                <w:color w:val="212121"/>
                <w:sz w:val="19"/>
              </w:rPr>
              <w:t>Perineal skin irritation from chronic dampness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Recurrent leakage macerates the perineal skin, causing soreness and dermatitis.</w:t>
            </w:r>
          </w:p>
        </w:tc>
      </w:tr>
      <w:tr>
        <w:trPr>
          <w:cantSplit/>
        </w:trPr>
        <w:tc>
          <w:tcPr>
            <w:tcW w:type="dxa" w:w="2304"/>
            <w:vAlign w:val="top"/>
          </w:tcPr>
          <w:p>
            <w:pPr>
              <w:spacing w:after="40" w:before="0" w:line="259" w:lineRule="auto"/>
            </w:pPr>
            <w:r>
              <w:rPr>
                <w:rFonts w:ascii="Calibri" w:hAnsi="Calibri"/>
                <w:b/>
                <w:i w:val="0"/>
                <w:color w:val="212121"/>
                <w:sz w:val="19"/>
              </w:rPr>
              <w:t>Dry nights / no nocturnal leakage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Pure SUI usually does not leak during sleep; nocturnal wetting points to a mixed or urge component.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cough stress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urine loss from the urethra synchronous with a cough or Valsalva with a full bladder — the defining physical sign.</w:t>
            </w:r>
          </w:p>
        </w:tc>
      </w:tr>
      <w:tr>
        <w:trPr>
          <w:cantSplit/>
        </w:trPr>
        <w:tc>
          <w:tcPr>
            <w:tcW w:type="dxa" w:w="3456"/>
            <w:vAlign w:val="top"/>
          </w:tcPr>
          <w:p>
            <w:pPr>
              <w:spacing w:after="40" w:before="0" w:line="259" w:lineRule="auto"/>
            </w:pPr>
            <w:r>
              <w:rPr>
                <w:rFonts w:ascii="Calibri" w:hAnsi="Calibri"/>
                <w:b/>
                <w:i w:val="0"/>
                <w:color w:val="212121"/>
                <w:sz w:val="19"/>
              </w:rPr>
              <w:t>Urethral hypermobility on Q-tip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Straining angle change &gt; 30° indicates loss of urethral support, the commonest mechanism.</w:t>
            </w:r>
          </w:p>
        </w:tc>
      </w:tr>
      <w:tr>
        <w:trPr>
          <w:cantSplit/>
        </w:trPr>
        <w:tc>
          <w:tcPr>
            <w:tcW w:type="dxa" w:w="3456"/>
            <w:vAlign w:val="top"/>
          </w:tcPr>
          <w:p>
            <w:pPr>
              <w:spacing w:after="40" w:before="0" w:line="259" w:lineRule="auto"/>
            </w:pPr>
            <w:r>
              <w:rPr>
                <w:rFonts w:ascii="Calibri" w:hAnsi="Calibri"/>
                <w:b/>
                <w:i w:val="0"/>
                <w:color w:val="212121"/>
                <w:sz w:val="19"/>
              </w:rPr>
              <w:t>Weak pelvic floor contraction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Modified Oxford grade (≤ 2) on digital vaginal examination.</w:t>
            </w:r>
          </w:p>
        </w:tc>
      </w:tr>
      <w:tr>
        <w:trPr>
          <w:cantSplit/>
        </w:trPr>
        <w:tc>
          <w:tcPr>
            <w:tcW w:type="dxa" w:w="3456"/>
            <w:vAlign w:val="top"/>
          </w:tcPr>
          <w:p>
            <w:pPr>
              <w:spacing w:after="40" w:before="0" w:line="259" w:lineRule="auto"/>
            </w:pPr>
            <w:r>
              <w:rPr>
                <w:rFonts w:ascii="Calibri" w:hAnsi="Calibri"/>
                <w:b/>
                <w:i w:val="0"/>
                <w:color w:val="212121"/>
                <w:sz w:val="19"/>
              </w:rPr>
              <w:t>Cystocele / anterior vaginal wall prolapse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Descent of the bladder base on Valsalva, reflecting the shared pelvic floor weakness.</w:t>
            </w:r>
          </w:p>
        </w:tc>
      </w:tr>
      <w:tr>
        <w:trPr>
          <w:cantSplit/>
        </w:trPr>
        <w:tc>
          <w:tcPr>
            <w:tcW w:type="dxa" w:w="3456"/>
            <w:vAlign w:val="top"/>
          </w:tcPr>
          <w:p>
            <w:pPr>
              <w:spacing w:after="40" w:before="0" w:line="259" w:lineRule="auto"/>
            </w:pPr>
            <w:r>
              <w:rPr>
                <w:rFonts w:ascii="Calibri" w:hAnsi="Calibri"/>
                <w:b/>
                <w:i w:val="0"/>
                <w:color w:val="212121"/>
                <w:sz w:val="19"/>
              </w:rPr>
              <w:t>Atrophic vaginitis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Pale, thin, dry vaginal and urethral mucosa in postmenopausal women from oestrogen deficiency.</w:t>
            </w:r>
          </w:p>
        </w:tc>
      </w:tr>
      <w:tr>
        <w:trPr>
          <w:cantSplit/>
        </w:trPr>
        <w:tc>
          <w:tcPr>
            <w:tcW w:type="dxa" w:w="3456"/>
            <w:vAlign w:val="top"/>
          </w:tcPr>
          <w:p>
            <w:pPr>
              <w:spacing w:after="40" w:before="0" w:line="259" w:lineRule="auto"/>
            </w:pPr>
            <w:r>
              <w:rPr>
                <w:rFonts w:ascii="Calibri" w:hAnsi="Calibri"/>
                <w:b/>
                <w:i w:val="0"/>
                <w:color w:val="212121"/>
                <w:sz w:val="19"/>
              </w:rPr>
              <w:t>Low / normal post-void residual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low residual on bladder scan distinguishes SUI from overflow incontinence.</w:t>
            </w:r>
          </w:p>
        </w:tc>
      </w:tr>
      <w:tr>
        <w:trPr>
          <w:cantSplit/>
        </w:trPr>
        <w:tc>
          <w:tcPr>
            <w:tcW w:type="dxa" w:w="3456"/>
            <w:vAlign w:val="top"/>
          </w:tcPr>
          <w:p>
            <w:pPr>
              <w:spacing w:after="40" w:before="0" w:line="259" w:lineRule="auto"/>
            </w:pPr>
            <w:r>
              <w:rPr>
                <w:rFonts w:ascii="Calibri" w:hAnsi="Calibri"/>
                <w:b/>
                <w:i w:val="0"/>
                <w:color w:val="212121"/>
                <w:sz w:val="19"/>
              </w:rPr>
              <w:t>Damp perineum / incontinence-associated dermatitis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Moist undergarments and erythematous, macerated perineal skin from chronic leakage.</w:t>
            </w:r>
          </w:p>
        </w:tc>
      </w:tr>
      <w:tr>
        <w:trPr>
          <w:cantSplit/>
        </w:trPr>
        <w:tc>
          <w:tcPr>
            <w:tcW w:type="dxa" w:w="3456"/>
            <w:vAlign w:val="top"/>
          </w:tcPr>
          <w:p>
            <w:pPr>
              <w:spacing w:after="40" w:before="0" w:line="259" w:lineRule="auto"/>
            </w:pPr>
            <w:r>
              <w:rPr>
                <w:rFonts w:ascii="Calibri" w:hAnsi="Calibri"/>
                <w:b/>
                <w:i w:val="0"/>
                <w:color w:val="212121"/>
                <w:sz w:val="19"/>
              </w:rPr>
              <w:t>Positive empty-supine stress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Leakage on cough even with an empty bladder while supine suggests intrinsic sphincter deficiency.</w:t>
            </w:r>
          </w:p>
        </w:tc>
      </w:tr>
      <w:tr>
        <w:trPr>
          <w:cantSplit/>
        </w:trPr>
        <w:tc>
          <w:tcPr>
            <w:tcW w:type="dxa" w:w="3456"/>
            <w:vAlign w:val="top"/>
          </w:tcPr>
          <w:p>
            <w:pPr>
              <w:spacing w:after="40" w:before="0" w:line="259" w:lineRule="auto"/>
            </w:pPr>
            <w:r>
              <w:rPr>
                <w:rFonts w:ascii="Calibri" w:hAnsi="Calibri"/>
                <w:b/>
                <w:i w:val="0"/>
                <w:color w:val="212121"/>
                <w:sz w:val="19"/>
              </w:rPr>
              <w:t>Perineal descent on Valsalva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Excessive downward movement of the perineum indicating generalised pelvic floor laxity.</w:t>
            </w:r>
          </w:p>
        </w:tc>
      </w:tr>
      <w:tr>
        <w:trPr>
          <w:cantSplit/>
        </w:trPr>
        <w:tc>
          <w:tcPr>
            <w:tcW w:type="dxa" w:w="3456"/>
            <w:vAlign w:val="top"/>
          </w:tcPr>
          <w:p>
            <w:pPr>
              <w:spacing w:after="40" w:before="0" w:line="259" w:lineRule="auto"/>
            </w:pPr>
            <w:r>
              <w:rPr>
                <w:rFonts w:ascii="Calibri" w:hAnsi="Calibri"/>
                <w:b/>
                <w:i w:val="0"/>
                <w:color w:val="212121"/>
                <w:sz w:val="19"/>
              </w:rPr>
              <w:t>Reduced perineal sensation / abnormal sacral reflexes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Sacral (S2–S4) neurological signs pointing to a neurogenic sphincteric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involuntary leakage on effort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Incontinence-associated dermatitis and perineal skin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on pads and protective garments</w:t>
            </w:r>
          </w:p>
        </w:tc>
        <w:tc>
          <w:tcPr>
            <w:tcW w:type="dxa" w:w="2980"/>
            <w:vAlign w:val="top"/>
          </w:tcPr>
          <w:p>
            <w:pPr>
              <w:spacing w:after="40" w:before="0" w:line="259" w:lineRule="auto"/>
            </w:pPr>
            <w:r>
              <w:rPr>
                <w:rFonts w:ascii="Calibri" w:hAnsi="Calibri"/>
                <w:b w:val="0"/>
                <w:i w:val="0"/>
                <w:color w:val="212121"/>
                <w:sz w:val="19"/>
              </w:rPr>
              <w:t>Direct consequences of an incompetent urethral outlet under effort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and coital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Avoidance of exercise, sport and physical work with deconditioning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travel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low self-esteem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mixed urinary incontinence</w:t>
            </w:r>
          </w:p>
        </w:tc>
        <w:tc>
          <w:tcPr>
            <w:tcW w:type="dxa" w:w="2980"/>
            <w:vAlign w:val="top"/>
          </w:tcPr>
          <w:p>
            <w:pPr>
              <w:spacing w:after="40" w:before="0" w:line="259" w:lineRule="auto"/>
            </w:pPr>
            <w:r>
              <w:rPr>
                <w:rFonts w:ascii="Calibri" w:hAnsi="Calibri"/>
                <w:b w:val="0"/>
                <w:i w:val="0"/>
                <w:color w:val="212121"/>
                <w:sz w:val="19"/>
              </w:rPr>
              <w:t>Result from the symptom burden and its behavioural and psychosocial impact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and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confidence and independence,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productivity and economic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anti-incontinence surgery (mesh/sling erosion, voiding difficulty, retention, de novo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or recurrent incontinence after failed surgery</w:t>
            </w:r>
          </w:p>
        </w:tc>
        <w:tc>
          <w:tcPr>
            <w:tcW w:type="dxa" w:w="2980"/>
            <w:vAlign w:val="top"/>
          </w:tcPr>
          <w:p>
            <w:pPr>
              <w:spacing w:after="40" w:before="0" w:line="259" w:lineRule="auto"/>
            </w:pPr>
            <w:r>
              <w:rPr>
                <w:rFonts w:ascii="Calibri" w:hAnsi="Calibri"/>
                <w:b w:val="0"/>
                <w:i w:val="0"/>
                <w:color w:val="212121"/>
                <w:sz w:val="19"/>
              </w:rPr>
              <w:t>Irreversible or treatment-related outcomes of longstanding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Pelvic organ prolapse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same pelvic floor and fascial weakness; large prolapse can mask occult SUI that appears after prolapse repair.</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Raised intra-abdominal and intravesical pressure weakens the outlet; a strong, dose-dependent, modifiable risk factor and weight loss reduces leakage.</w:t>
            </w:r>
          </w:p>
          <w:p>
            <w:pPr>
              <w:spacing w:after="40" w:before="0" w:line="259" w:lineRule="auto"/>
            </w:pPr>
            <w:r>
              <w:rPr>
                <w:rFonts w:ascii="Calibri" w:hAnsi="Calibri"/>
                <w:b/>
                <w:i w:val="0"/>
                <w:color w:val="212121"/>
                <w:sz w:val="19"/>
              </w:rPr>
              <w:t>~37.8% (obese in a south Indian UI cohort)</w:t>
            </w:r>
          </w:p>
        </w:tc>
      </w:tr>
      <w:tr>
        <w:trPr>
          <w:cantSplit/>
        </w:trPr>
        <w:tc>
          <w:tcPr>
            <w:tcW w:type="dxa" w:w="2232"/>
            <w:vAlign w:val="top"/>
          </w:tcPr>
          <w:p>
            <w:pPr>
              <w:spacing w:after="40" w:before="0" w:line="259" w:lineRule="auto"/>
            </w:pPr>
            <w:r>
              <w:rPr>
                <w:rFonts w:ascii="Calibri" w:hAnsi="Calibri"/>
                <w:b/>
                <w:i w:val="0"/>
                <w:color w:val="212121"/>
                <w:sz w:val="19"/>
              </w:rPr>
              <w:t>Menopause / genitourinary syndrome of menopause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Oestrogen deficiency thins and weakens the urethra and its support, raising SUI prevalence and severity after menopause.</w:t>
            </w:r>
          </w:p>
          <w:p>
            <w:pPr>
              <w:spacing w:after="40" w:before="0" w:line="259" w:lineRule="auto"/>
            </w:pPr>
            <w:r>
              <w:rPr>
                <w:rFonts w:ascii="Calibri" w:hAnsi="Calibri"/>
                <w:b/>
                <w:i w:val="0"/>
                <w:color w:val="212121"/>
                <w:sz w:val="19"/>
              </w:rPr>
              <w:t>Up to ~63% (UI in postmenopausal women)</w:t>
            </w:r>
          </w:p>
        </w:tc>
      </w:tr>
      <w:tr>
        <w:trPr>
          <w:cantSplit/>
        </w:trPr>
        <w:tc>
          <w:tcPr>
            <w:tcW w:type="dxa" w:w="2232"/>
            <w:vAlign w:val="top"/>
          </w:tcPr>
          <w:p>
            <w:pPr>
              <w:spacing w:after="40" w:before="0" w:line="259" w:lineRule="auto"/>
            </w:pPr>
            <w:r>
              <w:rPr>
                <w:rFonts w:ascii="Calibri" w:hAnsi="Calibri"/>
                <w:b/>
                <w:i w:val="0"/>
                <w:color w:val="212121"/>
                <w:sz w:val="19"/>
              </w:rPr>
              <w:t>Mixed / urgency urinary incontinence (overactive bladder)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Stress and urge components frequently coexist as mixed incontinence, especially with age and parity; the predominant symptom guides therapy.</w:t>
            </w:r>
          </w:p>
        </w:tc>
      </w:tr>
      <w:tr>
        <w:trPr>
          <w:cantSplit/>
        </w:trPr>
        <w:tc>
          <w:tcPr>
            <w:tcW w:type="dxa" w:w="2232"/>
            <w:vAlign w:val="top"/>
          </w:tcPr>
          <w:p>
            <w:pPr>
              <w:spacing w:after="40" w:before="0" w:line="259" w:lineRule="auto"/>
            </w:pPr>
            <w:r>
              <w:rPr>
                <w:rFonts w:ascii="Calibri" w:hAnsi="Calibri"/>
                <w:b/>
                <w:i w:val="0"/>
                <w:color w:val="212121"/>
                <w:sz w:val="19"/>
              </w:rPr>
              <w:t>Chronic cough (COPD / asthma)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Persistent coughing repeatedly spikes intra-abdominal pressure, provoking and worsening stress leakage.</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straining at stool damages pelvic support over time and acutely worsens leakage.</w:t>
            </w:r>
          </w:p>
          <w:p>
            <w:pPr>
              <w:spacing w:after="40" w:before="0" w:line="259" w:lineRule="auto"/>
            </w:pPr>
            <w:r>
              <w:rPr>
                <w:rFonts w:ascii="Calibri" w:hAnsi="Calibri"/>
                <w:b/>
                <w:i w:val="0"/>
                <w:color w:val="212121"/>
                <w:sz w:val="19"/>
              </w:rPr>
              <w:t>~70.2% (in a south Indian UI cohort)</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Contributes via obesity, osmotic diuresis, tissue glycation and pelvic neuropathy, clustering with metabolic drivers of incontinence.</w:t>
            </w:r>
          </w:p>
          <w:p>
            <w:pPr>
              <w:spacing w:after="40" w:before="0" w:line="259" w:lineRule="auto"/>
            </w:pPr>
            <w:r>
              <w:rPr>
                <w:rFonts w:ascii="Calibri" w:hAnsi="Calibri"/>
                <w:b/>
                <w:i w:val="0"/>
                <w:color w:val="212121"/>
                <w:sz w:val="19"/>
              </w:rPr>
              <w:t>~32.4% (in a south Indian UI cohort)</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Infection transiently worsens leakage and must be excluded before diagnosis or surgery; incontinence and pad use also predispose to UTI.</w:t>
            </w:r>
          </w:p>
          <w:p>
            <w:pPr>
              <w:spacing w:after="40" w:before="0" w:line="259" w:lineRule="auto"/>
            </w:pPr>
            <w:r>
              <w:rPr>
                <w:rFonts w:ascii="Calibri" w:hAnsi="Calibri"/>
                <w:b/>
                <w:i w:val="0"/>
                <w:color w:val="212121"/>
                <w:sz w:val="19"/>
              </w:rPr>
              <w:t>~40.1% (in a south Indian UI cohort)</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Leakage causes embarrassment, activity avoidance and low mood, while distress worsens perceived bother and reduces adherence to therapy.</w:t>
            </w:r>
          </w:p>
        </w:tc>
      </w:tr>
      <w:tr>
        <w:trPr>
          <w:cantSplit/>
        </w:trPr>
        <w:tc>
          <w:tcPr>
            <w:tcW w:type="dxa" w:w="2232"/>
            <w:vAlign w:val="top"/>
          </w:tcPr>
          <w:p>
            <w:pPr>
              <w:spacing w:after="40" w:before="0" w:line="259" w:lineRule="auto"/>
            </w:pPr>
            <w:r>
              <w:rPr>
                <w:rFonts w:ascii="Calibri" w:hAnsi="Calibri"/>
                <w:b/>
                <w:i w:val="0"/>
                <w:color w:val="212121"/>
                <w:sz w:val="19"/>
              </w:rPr>
              <w:t>Prior hysterectomy / pelvic surgery / radiation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Damage to urethral support or the sphincter can cause intrinsic sphincter deficiency and complex, harder-to-treat SUI.</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stress incontinence is a common, treatable medical condition — not an inevitable result of childbirth or ageing — and seek care early rather than coping in silence.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difference between stress leakage (with coughing, sneezing, lifting, exercise) and urgency leakage, and keep a simple bladder diary before consulting.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as excess weight and central obesity markedly increase leakage and weight loss improves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chronic cough and constipation, and avoid habitual heavy lifting and straining that repeatedly stress the pelvic floor.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pelvic floor (Kegel) exercises during and after pregnancy and around menopause as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perineal hygiene and skin care, and seek prompt treatment of urinary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and perimenopausal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cough or constipation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supervised pelvic floor muscle training (Kegel exercises) for at least 3 months as first-line treatment — it cures or substantially improves stress leakage in a large proportion of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Knack” — a deliberate pelvic floor contraction just before and during coughing, sneezing or lifting — to prevent leaks.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in overweight/obese patients, which measurably reduces incontinence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biofeedback or vaginal cones and consider supervised physiotherapy for women who cannot isolate the pelvic floor.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lower-impact exercise (walking, cycling, swimming, core and strength work) while pelvic floor strength is being built, and empty the bladder before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stress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SUI</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fibre-rich diet (whole grains, millets, pulses, fruits and vegetables) to prevent constipation and straining that damage pelvic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balanced, calorie-controlled diet to achieve and maintain a healthy weight and reduce intra-abdominal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to under ~200 mg/day and cut back on aerated and artificially sweetened drinks that irritate the bladder.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fluids evenly through the day — about 1.5–2 litres — avoiding both large single volumes and severe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vitamin D and protein to support pelvic and connective-tissue health, especially after menopause.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pure stress incontinence rarely disturbs sleep; night-time leakage or frequency should prompt assessment for a mixed or urge component.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as part of a fixed bedtime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evening fluids and caffeine if any night-time symptoms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 nocturnal cough (asthma, reflux, COPD) that could provoke leakage and fragment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mixed incontinence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the chronic cough that repeatedly raises intra-abdominal pressure and provokes leakage.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for higher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smoking is a major bladder-cancer risk, making any new haematuria an urgent red flag.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haematuria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its diuretic effect increases urine volume and can worsen leakage and any urgency.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volumes of any fluid, including alcohol, in a single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evening alcohol if night-time symptoms are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SUI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 mixed component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embarrassment, anxiety and depression, which are common with SUI and reduce adherence to pelvic floor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destigmatise the condition to encourage exercise and social participation rather than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or cognitive behavioural strategies for those with marked distress or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supportive partners and use continence-nurse and support-group resources to sustain motivation.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high symptom bother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withdrawn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Postnatal and postmenopausal women</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9095/" TargetMode="External"/><Relationship Id="rId10" Type="http://schemas.openxmlformats.org/officeDocument/2006/relationships/hyperlink" Target="https://pubmed.ncbi.nlm.nih.gov/31728086/" TargetMode="External"/><Relationship Id="rId11" Type="http://schemas.openxmlformats.org/officeDocument/2006/relationships/hyperlink" Target="https://pubmed.ncbi.nlm.nih.gov/21116353/" TargetMode="External"/><Relationship Id="rId12" Type="http://schemas.openxmlformats.org/officeDocument/2006/relationships/hyperlink" Target="https://www.texilajournal.com/public-health/article/2887-prevalence-and-predictors" TargetMode="External"/><Relationship Id="rId13" Type="http://schemas.openxmlformats.org/officeDocument/2006/relationships/hyperlink" Target="https://www.aafp.org/pubs/afp/issues/2013/0501/p634.html" TargetMode="External"/><Relationship Id="rId14" Type="http://schemas.openxmlformats.org/officeDocument/2006/relationships/hyperlink" Target="https://pubmed.ncbi.nlm.nih.gov/39228564/" TargetMode="External"/><Relationship Id="rId15" Type="http://schemas.openxmlformats.org/officeDocument/2006/relationships/hyperlink" Target="https://pubmed.ncbi.nlm.nih.gov/37006218/" TargetMode="External"/><Relationship Id="rId16" Type="http://schemas.openxmlformats.org/officeDocument/2006/relationships/hyperlink" Target="https://pmc.ncbi.nlm.nih.gov/articles/PMC11550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