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Male Infertility / Oligospermia</w:t>
      </w:r>
    </w:p>
    <w:p>
      <w:pPr>
        <w:spacing w:before="0" w:after="160"/>
      </w:pPr>
      <w:r>
        <w:rPr>
          <w:rFonts w:ascii="Calibri" w:hAnsi="Calibri"/>
          <w:b/>
          <w:i w:val="0"/>
          <w:color w:val="212121"/>
          <w:sz w:val="22"/>
        </w:rPr>
        <w:t xml:space="preserve">AKA </w:t>
      </w:r>
      <w:r>
        <w:rPr>
          <w:rFonts w:ascii="Calibri" w:hAnsi="Calibri"/>
          <w:b w:val="0"/>
          <w:i w:val="0"/>
          <w:color w:val="212121"/>
          <w:sz w:val="22"/>
        </w:rPr>
        <w:t>i.e., Low sperm count, Oligozoospermia, Male-factor infertility, Male subfertility; severe forms: Azoospermia (no sperm in ejaculate), Oligo-astheno-teratozoospermia (OAT syndrome)</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Male infertility is the inability of a man to father a pregnancy in a fertile female partner after 12 months or more of regular unprotected intercourse, resulting from impaired sperm production, function or delivery. Oligospermia (oligozoospermia) is a low sperm concentration below the WHO reference limit (&lt;15 million/mL by WHO 2010; &lt;16 million/mL by WHO 2021) and is one of the commonest semen abnormalities, often occurring together with poor motility and abnormal morphology. A male factor is the sole or a contributing cause in roughly 40-50% of infertile couples.</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Infertility affects about 1 in 6 people (~17.5% of adults) over their lifetime worldwide, and roughly 10-15% of couples in India. The male partner contributes to nearly half of these cases. In Indian andrology-clinic populations, oligo-astheno-teratozoospermia is seen in about 45% and azoospermia in about 42% of men evaluated for infertility, and seminal quality among Indian men has declined over the past ~37 years, with sperm concentration falling on the order of 1.3 million/mL per year.</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Male infertility is evaluated after 12 months of failure to conceive (earlier if the female partner is &gt;35 years or male risk factors exist). Diagnosis rests primarily on semen analysis interpreted against WHO lower reference limits and confirmed on at least two samples, supported by history, examination and, where indicated, hormonal and genetic tests: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Semen volume ≥ 1.4 mL (WHO 2021; ≥ 1.5 mL by WHO 2010);</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sperm concentration ≥ 16 million/mL (WHO 2021; ≥ 15 million/mL by WHO 2010) - values below this define oligozoospermia;</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total sperm number ≥ 39 million per ejaculate;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total motility ≥ 42% and progressive motility ≥ 30%;</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normal morphology ≥ 4% (strict Kruger criteria) and vitality ≥ 54% live forms;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oligozoospermia severity: mild 10-15, moderate 5-10, severe &lt;5 million/mL; azoospermia = no sperm in the centrifuged pellet on ≥ 2 samples;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at least two abnormal semen analyses 2-3 weeks apart (2-7 days abstinence) are required before labelling infertility, with hormonal (FSH, LH, testosterone, prolactin) and genetic (karyotype, Y-microdeletion) testing where indicated.</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Male infertility is classified by the level of the reproductive axis affected and by the pattern of semen abnormality:</w:t>
      </w:r>
    </w:p>
    <w:p>
      <w:pPr>
        <w:spacing w:before="0" w:after="80"/>
      </w:pPr>
      <w:r>
        <w:rPr>
          <w:rFonts w:ascii="Calibri" w:hAnsi="Calibri"/>
          <w:b w:val="0"/>
          <w:i w:val="0"/>
          <w:color w:val="212121"/>
          <w:sz w:val="21"/>
        </w:rPr>
        <w:t>(1) Pre-testicular (secondary / hypogonadotropic) causes - hypothalamic-pituitary dysfunction (e.g. Kallmann syndrome, hyperprolactinaemia, hypopituitarism, exogenous androgen/anabolic-steroid use) producing low gonadotropins and impaired spermatogenesis;</w:t>
      </w:r>
    </w:p>
    <w:p>
      <w:pPr>
        <w:spacing w:before="0" w:after="80"/>
      </w:pPr>
      <w:r>
        <w:rPr>
          <w:rFonts w:ascii="Calibri" w:hAnsi="Calibri"/>
          <w:b w:val="0"/>
          <w:i w:val="0"/>
          <w:color w:val="212121"/>
          <w:sz w:val="21"/>
        </w:rPr>
        <w:t>(2) Testicular (primary) causes - intrinsic testicular failure from varicocele, cryptorchidism, genetic disorders (Klinefelter syndrome 47,XXY; Y-chromosome AZF microdeletions), mumps orchitis, torsion, trauma and gonadotoxins (chemotherapy, radiotherapy, heat, drugs), typically causing non-obstructive azoospermia or OAT with a raised FSH;</w:t>
      </w:r>
    </w:p>
    <w:p>
      <w:pPr>
        <w:spacing w:before="0" w:after="80"/>
      </w:pPr>
      <w:r>
        <w:rPr>
          <w:rFonts w:ascii="Calibri" w:hAnsi="Calibri"/>
          <w:b w:val="0"/>
          <w:i w:val="0"/>
          <w:color w:val="212121"/>
          <w:sz w:val="21"/>
        </w:rPr>
        <w:t>(3) Post-testicular (obstructive / delivery) causes - obstruction or impaired transport of normally produced sperm: congenital bilateral absence of the vas deferens (CBAVD, CFTR-related), epididymal or ejaculatory-duct obstruction, retrograde ejaculation, erectile/ejaculatory dysfunction, and anti-sperm antibodies;</w:t>
      </w:r>
    </w:p>
    <w:p>
      <w:pPr>
        <w:spacing w:before="0" w:after="80"/>
      </w:pPr>
      <w:r>
        <w:rPr>
          <w:rFonts w:ascii="Calibri" w:hAnsi="Calibri"/>
          <w:b w:val="0"/>
          <w:i w:val="0"/>
          <w:color w:val="212121"/>
          <w:sz w:val="21"/>
        </w:rPr>
        <w:t>(4) By semen pattern - oligozoospermia (low count), asthenozoospermia (low motility), teratozoospermia (abnormal forms), the combined OAT syndrome, and azoospermia (obstructive vs non-obstructive); around 30-40% of cases remain idiopathic and are linked to oxidative stress and sperm DNA damage.</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Varicocele: The most common correctable cause; dilated pampiniform-plexus veins raise scrotal temperature and oxidative stress, impairing spermatogenesis. Present in ~15% of all men and in up to 40% of men with primary infertility.</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Genetic and chromosomal defects: Klinefelter syndrome, Y-chromosome (AZF) microdeletions and CFTR mutations underlie a large share of severe oligospermia and azoospermia (~9% of Indian infertile men).</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Endocrine / hormonal disorders: Hypogonadotropic hypogonadism, hyperprolactinaemia, thyroid disorders and diabetes disrupt the hypothalamic-pituitary-gonadal axis and sperm production.</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Lifestyle and environmental exposures: Obesity, tobacco, alcohol, heat exposure, pesticides, heavy metals and endocrine-disrupting chemicals lower sperm count and increase sperm DNA fragmentation.</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Infection and obstruction: Genital-tract infections (including sexually transmitted infections and genital tuberculosis) and obstruction (post-infective, congenital or iatrogenic) block sperm transport.</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Cryptorchidism and testicular injury: Undescended testis, torsion, trauma, mumps orchitis and gonadotoxic therapy cause primary testicular failure.</w:t>
      </w:r>
    </w:p>
    <w:p>
      <w:pPr>
        <w:spacing w:after="60"/>
        <w:ind w:left="432" w:hanging="288"/>
      </w:pPr>
      <w:r>
        <w:rPr>
          <w:rFonts w:ascii="Calibri" w:hAnsi="Calibri"/>
          <w:b/>
          <w:i w:val="0"/>
          <w:color w:val="212121"/>
          <w:sz w:val="21"/>
        </w:rPr>
        <w:t xml:space="preserve">7. </w:t>
      </w:r>
      <w:r>
        <w:rPr>
          <w:rFonts w:ascii="Calibri" w:hAnsi="Calibri"/>
          <w:b w:val="0"/>
          <w:i w:val="0"/>
          <w:color w:val="212121"/>
          <w:sz w:val="21"/>
        </w:rPr>
        <w:t>Idiopathic: Up to 30-40% have no identifiable cause, frequently associated with oxidative stress and sperm DNA damage.</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Adults (reproductive-age men, 20-40 yr)</w:t>
            </w:r>
          </w:p>
        </w:tc>
        <w:tc>
          <w:tcPr>
            <w:tcW w:type="dxa" w:w="4276"/>
            <w:vAlign w:val="top"/>
          </w:tcPr>
          <w:p>
            <w:pPr>
              <w:spacing w:after="60" w:line="259" w:lineRule="auto"/>
            </w:pPr>
            <w:r>
              <w:rPr>
                <w:rFonts w:ascii="Calibri" w:hAnsi="Calibri"/>
                <w:b w:val="0"/>
                <w:i w:val="0"/>
                <w:color w:val="212121"/>
                <w:sz w:val="19"/>
              </w:rPr>
              <w:t>Peak reproductive years, but cumulative exposure to obesity, tobacco, alcohol, heat and occupational stress in this group drives most male-factor infertility seen in andrology clinics.</w:t>
            </w:r>
          </w:p>
          <w:p>
            <w:pPr>
              <w:spacing w:after="40" w:before="60" w:line="259" w:lineRule="auto"/>
            </w:pPr>
            <w:r>
              <w:rPr>
                <w:rFonts w:ascii="Calibri" w:hAnsi="Calibri"/>
                <w:b w:val="0"/>
                <w:i w:val="0"/>
                <w:color w:val="212121"/>
                <w:sz w:val="19"/>
              </w:rPr>
              <w:t>The male partner contributes to nearly 50% of infertile couples; mean age of Indian men presenting for infertility evaluation is about 31 years.</w:t>
            </w:r>
          </w:p>
          <w:p>
            <w:pPr>
              <w:spacing w:after="40" w:line="252" w:lineRule="auto"/>
            </w:pPr>
            <w:hyperlink r:id="rId9">
              <w:r>
                <w:rPr>
                  <w:rFonts w:ascii="Calibri" w:hAnsi="Calibri" w:cs="Calibri"/>
                  <w:sz w:val="18"/>
                  <w:color w:val="1155CC"/>
                  <w:u w:val="single"/>
                </w:rPr>
                <w:t xml:space="preserve">nmji.in - male infertility in India</w:t>
              </w:r>
            </w:hyperlink>
          </w:p>
          <w:p>
            <w:pPr>
              <w:spacing w:before="60" w:after="40"/>
            </w:pPr>
            <w:r>
              <w:rPr>
                <w:rFonts w:ascii="Calibri" w:hAnsi="Calibri"/>
                <w:b w:val="0"/>
                <w:i w:val="0"/>
                <w:color w:val="5A5A5A"/>
                <w:sz w:val="18"/>
              </w:rPr>
              <w:t>#malefactor  #reproductiveage  #oligospermia  #semenanalysis</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 / advanced paternal age (≥ 40 yr)</w:t>
            </w:r>
          </w:p>
        </w:tc>
        <w:tc>
          <w:tcPr>
            <w:tcW w:type="dxa" w:w="4276"/>
            <w:vAlign w:val="top"/>
          </w:tcPr>
          <w:p>
            <w:pPr>
              <w:spacing w:after="60" w:line="259" w:lineRule="auto"/>
            </w:pPr>
            <w:r>
              <w:rPr>
                <w:rFonts w:ascii="Calibri" w:hAnsi="Calibri"/>
                <w:b w:val="0"/>
                <w:i w:val="0"/>
                <w:color w:val="212121"/>
                <w:sz w:val="19"/>
              </w:rPr>
              <w:t>Advancing paternal age lowers sperm concentration, motility and DNA integrity and raises the risk of new mutations, reflecting declining testicular function and accumulated oxidative damage.</w:t>
            </w:r>
          </w:p>
          <w:p>
            <w:pPr>
              <w:spacing w:after="40" w:before="60" w:line="259" w:lineRule="auto"/>
            </w:pPr>
            <w:r>
              <w:rPr>
                <w:rFonts w:ascii="Calibri" w:hAnsi="Calibri"/>
                <w:b w:val="0"/>
                <w:i w:val="0"/>
                <w:color w:val="212121"/>
                <w:sz w:val="19"/>
              </w:rPr>
              <w:t>Semen volume, motility and normal morphology decline progressively with age; sperm DNA fragmentation rises steadily after ~40 years.</w:t>
            </w:r>
          </w:p>
          <w:p>
            <w:pPr>
              <w:spacing w:before="60" w:after="40"/>
            </w:pPr>
            <w:r>
              <w:rPr>
                <w:rFonts w:ascii="Calibri" w:hAnsi="Calibri"/>
                <w:b w:val="0"/>
                <w:i w:val="0"/>
                <w:color w:val="5A5A5A"/>
                <w:sz w:val="18"/>
              </w:rPr>
              <w:t>#paternalage  #dnafragmentation  #agingtestis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Male partner of an infertile couple</w:t>
            </w:r>
          </w:p>
        </w:tc>
        <w:tc>
          <w:tcPr>
            <w:tcW w:type="dxa" w:w="4276"/>
            <w:vAlign w:val="top"/>
          </w:tcPr>
          <w:p>
            <w:pPr>
              <w:spacing w:after="60" w:line="259" w:lineRule="auto"/>
            </w:pPr>
            <w:r>
              <w:rPr>
                <w:rFonts w:ascii="Calibri" w:hAnsi="Calibri"/>
                <w:b w:val="0"/>
                <w:i w:val="0"/>
                <w:color w:val="212121"/>
                <w:sz w:val="19"/>
              </w:rPr>
              <w:t>Male-factor problems are, by definition, confined to men and are frequently under-investigated in India where evaluation and stigma disproportionately fall on the woman.</w:t>
            </w:r>
          </w:p>
          <w:p>
            <w:pPr>
              <w:spacing w:after="40" w:before="60" w:line="259" w:lineRule="auto"/>
            </w:pPr>
            <w:r>
              <w:rPr>
                <w:rFonts w:ascii="Calibri" w:hAnsi="Calibri"/>
                <w:b w:val="0"/>
                <w:i w:val="0"/>
                <w:color w:val="212121"/>
                <w:sz w:val="19"/>
              </w:rPr>
              <w:t>Male factor is the sole or a contributing cause in roughly 40-50% of infertile couples worldwide.</w:t>
            </w:r>
          </w:p>
          <w:p>
            <w:pPr>
              <w:spacing w:after="40" w:line="252" w:lineRule="auto"/>
            </w:pPr>
            <w:hyperlink r:id="rId10">
              <w:r>
                <w:rPr>
                  <w:rFonts w:ascii="Calibri" w:hAnsi="Calibri" w:cs="Calibri"/>
                  <w:sz w:val="18"/>
                  <w:color w:val="1155CC"/>
                  <w:u w:val="single"/>
                </w:rPr>
                <w:t xml:space="preserve">who.int - 1 in 6 affected by infertility</w:t>
              </w:r>
            </w:hyperlink>
          </w:p>
          <w:p>
            <w:pPr>
              <w:spacing w:before="60" w:after="40"/>
            </w:pPr>
            <w:r>
              <w:rPr>
                <w:rFonts w:ascii="Calibri" w:hAnsi="Calibri"/>
                <w:b w:val="0"/>
                <w:i w:val="0"/>
                <w:color w:val="5A5A5A"/>
                <w:sz w:val="18"/>
              </w:rPr>
              <w:t>#malefactor  #underdiagnosed  #stigma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Urban working men, high occupational stress</w:t>
            </w:r>
          </w:p>
        </w:tc>
        <w:tc>
          <w:tcPr>
            <w:tcW w:type="dxa" w:w="4276"/>
            <w:vAlign w:val="top"/>
          </w:tcPr>
          <w:p>
            <w:pPr>
              <w:spacing w:after="60" w:line="259" w:lineRule="auto"/>
            </w:pPr>
            <w:r>
              <w:rPr>
                <w:rFonts w:ascii="Calibri" w:hAnsi="Calibri"/>
                <w:b w:val="0"/>
                <w:i w:val="0"/>
                <w:color w:val="212121"/>
                <w:sz w:val="19"/>
              </w:rPr>
              <w:t>Sedentary urban jobs, long working hours, chronic psychological stress, poor sleep and processed-food diets cluster in urban working men and impair the hypothalamic-pituitary-gonadal axis.</w:t>
            </w:r>
          </w:p>
          <w:p>
            <w:pPr>
              <w:spacing w:after="40" w:before="60" w:line="259" w:lineRule="auto"/>
            </w:pPr>
            <w:r>
              <w:rPr>
                <w:rFonts w:ascii="Calibri" w:hAnsi="Calibri"/>
                <w:b w:val="0"/>
                <w:i w:val="0"/>
                <w:color w:val="212121"/>
                <w:sz w:val="19"/>
              </w:rPr>
              <w:t>Chronic psychological stress lowers serum testosterone and worsens sperm concentration, motility and morphology in male partners of infertile couples.</w:t>
            </w:r>
          </w:p>
          <w:p>
            <w:pPr>
              <w:spacing w:after="40" w:line="252" w:lineRule="auto"/>
            </w:pPr>
            <w:hyperlink r:id="rId11">
              <w:r>
                <w:rPr>
                  <w:rFonts w:ascii="Calibri" w:hAnsi="Calibri" w:cs="Calibri"/>
                  <w:sz w:val="18"/>
                  <w:color w:val="1155CC"/>
                  <w:u w:val="single"/>
                </w:rPr>
                <w:t xml:space="preserve">Andrologia - stress &amp; seminal quality (India)</w:t>
              </w:r>
            </w:hyperlink>
          </w:p>
          <w:p>
            <w:pPr>
              <w:spacing w:before="60" w:after="40"/>
            </w:pPr>
            <w:r>
              <w:rPr>
                <w:rFonts w:ascii="Calibri" w:hAnsi="Calibri"/>
                <w:b w:val="0"/>
                <w:i w:val="0"/>
                <w:color w:val="5A5A5A"/>
                <w:sz w:val="18"/>
              </w:rPr>
              <w:t>#workstress  #urban  #lowtestosterone</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Ethnicity / region</w:t>
            </w:r>
          </w:p>
        </w:tc>
        <w:tc>
          <w:tcPr>
            <w:tcW w:type="dxa" w:w="2160"/>
            <w:vAlign w:val="top"/>
          </w:tcPr>
          <w:p>
            <w:pPr>
              <w:spacing w:after="40" w:before="0" w:line="259" w:lineRule="auto"/>
            </w:pPr>
            <w:r>
              <w:rPr>
                <w:rFonts w:ascii="Calibri" w:hAnsi="Calibri"/>
                <w:b w:val="0"/>
                <w:i w:val="0"/>
                <w:color w:val="212121"/>
                <w:sz w:val="19"/>
              </w:rPr>
              <w:t>Indian men (secular decline in semen quality)</w:t>
            </w:r>
          </w:p>
        </w:tc>
        <w:tc>
          <w:tcPr>
            <w:tcW w:type="dxa" w:w="4276"/>
            <w:vAlign w:val="top"/>
          </w:tcPr>
          <w:p>
            <w:pPr>
              <w:spacing w:after="60" w:line="259" w:lineRule="auto"/>
            </w:pPr>
            <w:r>
              <w:rPr>
                <w:rFonts w:ascii="Calibri" w:hAnsi="Calibri"/>
                <w:b w:val="0"/>
                <w:i w:val="0"/>
                <w:color w:val="212121"/>
                <w:sz w:val="19"/>
              </w:rPr>
              <w:t>Semen quality in Indian men has fallen over recent decades, attributed to lifestyle change, rising obesity, tobacco use, heat and environmental toxin exposure across the subcontinent.</w:t>
            </w:r>
          </w:p>
          <w:p>
            <w:pPr>
              <w:spacing w:after="40" w:before="60" w:line="259" w:lineRule="auto"/>
            </w:pPr>
            <w:r>
              <w:rPr>
                <w:rFonts w:ascii="Calibri" w:hAnsi="Calibri"/>
                <w:b w:val="0"/>
                <w:i w:val="0"/>
                <w:color w:val="212121"/>
                <w:sz w:val="19"/>
              </w:rPr>
              <w:t>Over 1979-2016, Indian sperm concentration declined by ~1.3 million/mL per year and normal morphology by ~1.3% per year.</w:t>
            </w:r>
          </w:p>
          <w:p>
            <w:pPr>
              <w:spacing w:after="40" w:line="252" w:lineRule="auto"/>
            </w:pPr>
            <w:hyperlink r:id="rId12">
              <w:r>
                <w:rPr>
                  <w:rFonts w:ascii="Calibri" w:hAnsi="Calibri" w:cs="Calibri"/>
                  <w:sz w:val="18"/>
                  <w:color w:val="1155CC"/>
                  <w:u w:val="single"/>
                </w:rPr>
                <w:t xml:space="preserve">Reprod Biol Endocrinol - 37-year decline (India)</w:t>
              </w:r>
            </w:hyperlink>
          </w:p>
          <w:p>
            <w:pPr>
              <w:spacing w:before="60" w:after="40"/>
            </w:pPr>
            <w:r>
              <w:rPr>
                <w:rFonts w:ascii="Calibri" w:hAnsi="Calibri"/>
                <w:b w:val="0"/>
                <w:i w:val="0"/>
                <w:color w:val="5A5A5A"/>
                <w:sz w:val="18"/>
              </w:rPr>
              <w:t>#seculardecline  #indiansemen  #spermcount</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Environmental exposure</w:t>
            </w:r>
          </w:p>
        </w:tc>
        <w:tc>
          <w:tcPr>
            <w:tcW w:type="dxa" w:w="2160"/>
            <w:vAlign w:val="top"/>
          </w:tcPr>
          <w:p>
            <w:pPr>
              <w:spacing w:after="40" w:before="0" w:line="259" w:lineRule="auto"/>
            </w:pPr>
            <w:r>
              <w:rPr>
                <w:rFonts w:ascii="Calibri" w:hAnsi="Calibri"/>
                <w:b w:val="0"/>
                <w:i w:val="0"/>
                <w:color w:val="212121"/>
                <w:sz w:val="19"/>
              </w:rPr>
              <w:t>Agrarian &amp; industrial belts (pesticide / heavy-metal exposure)</w:t>
            </w:r>
          </w:p>
        </w:tc>
        <w:tc>
          <w:tcPr>
            <w:tcW w:type="dxa" w:w="4276"/>
            <w:vAlign w:val="top"/>
          </w:tcPr>
          <w:p>
            <w:pPr>
              <w:spacing w:after="60" w:line="259" w:lineRule="auto"/>
            </w:pPr>
            <w:r>
              <w:rPr>
                <w:rFonts w:ascii="Calibri" w:hAnsi="Calibri"/>
                <w:b w:val="0"/>
                <w:i w:val="0"/>
                <w:color w:val="212121"/>
                <w:sz w:val="19"/>
              </w:rPr>
              <w:t>Men in agricultural and industrial regions are exposed to organophosphate pesticides, lead, cadmium and endocrine-disrupting chemicals that act as testicular toxins and reduce sperm production.</w:t>
            </w:r>
          </w:p>
          <w:p>
            <w:pPr>
              <w:spacing w:after="40" w:before="60" w:line="259" w:lineRule="auto"/>
            </w:pPr>
            <w:r>
              <w:rPr>
                <w:rFonts w:ascii="Calibri" w:hAnsi="Calibri"/>
                <w:b w:val="0"/>
                <w:i w:val="0"/>
                <w:color w:val="212121"/>
                <w:sz w:val="19"/>
              </w:rPr>
              <w:t>Endocrine-disrupting chemicals and heavy-metal exposure are established contributors to falling sperm counts and impaired semen quality.</w:t>
            </w:r>
          </w:p>
          <w:p>
            <w:pPr>
              <w:spacing w:before="60" w:after="40"/>
            </w:pPr>
            <w:r>
              <w:rPr>
                <w:rFonts w:ascii="Calibri" w:hAnsi="Calibri"/>
                <w:b w:val="0"/>
                <w:i w:val="0"/>
                <w:color w:val="5A5A5A"/>
                <w:sz w:val="18"/>
              </w:rPr>
              <w:t>#pesticides  #EDCs  #heavymetals  #occupational</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Sedentary / heat exposure</w:t>
            </w:r>
          </w:p>
        </w:tc>
        <w:tc>
          <w:tcPr>
            <w:tcW w:type="dxa" w:w="2160"/>
            <w:vAlign w:val="top"/>
          </w:tcPr>
          <w:p>
            <w:pPr>
              <w:spacing w:after="40" w:before="0" w:line="259" w:lineRule="auto"/>
            </w:pPr>
            <w:r>
              <w:rPr>
                <w:rFonts w:ascii="Calibri" w:hAnsi="Calibri"/>
                <w:b w:val="0"/>
                <w:i w:val="0"/>
                <w:color w:val="212121"/>
                <w:sz w:val="19"/>
              </w:rPr>
              <w:t>Drivers, IT and office workers</w:t>
            </w:r>
          </w:p>
        </w:tc>
        <w:tc>
          <w:tcPr>
            <w:tcW w:type="dxa" w:w="4276"/>
            <w:vAlign w:val="top"/>
          </w:tcPr>
          <w:p>
            <w:pPr>
              <w:spacing w:after="60" w:line="259" w:lineRule="auto"/>
            </w:pPr>
            <w:r>
              <w:rPr>
                <w:rFonts w:ascii="Calibri" w:hAnsi="Calibri"/>
                <w:b w:val="0"/>
                <w:i w:val="0"/>
                <w:color w:val="212121"/>
                <w:sz w:val="19"/>
              </w:rPr>
              <w:t>Prolonged sitting and laptop/engine heat raise scrotal temperature above the ~2-4 °C below core temperature needed for spermatogenesis, impairing sperm production; physical inactivity compounds the effect through obesity.</w:t>
            </w:r>
          </w:p>
          <w:p>
            <w:pPr>
              <w:spacing w:after="40" w:before="60" w:line="259" w:lineRule="auto"/>
            </w:pPr>
            <w:r>
              <w:rPr>
                <w:rFonts w:ascii="Calibri" w:hAnsi="Calibri"/>
                <w:b w:val="0"/>
                <w:i w:val="0"/>
                <w:color w:val="212121"/>
                <w:sz w:val="19"/>
              </w:rPr>
              <w:t>Sustained testicular heat stress reduces sperm count, motility and DNA integrity; even modest scrotal temperature elevation suppresses spermatogenesis.</w:t>
            </w:r>
          </w:p>
          <w:p>
            <w:pPr>
              <w:spacing w:after="40" w:line="252" w:lineRule="auto"/>
            </w:pPr>
            <w:hyperlink r:id="rId13">
              <w:r>
                <w:rPr>
                  <w:rFonts w:ascii="Calibri" w:hAnsi="Calibri" w:cs="Calibri"/>
                  <w:sz w:val="18"/>
                  <w:color w:val="1155CC"/>
                  <w:u w:val="single"/>
                </w:rPr>
                <w:t xml:space="preserve">Reprod BioMed Online - testicular heat stress</w:t>
              </w:r>
            </w:hyperlink>
          </w:p>
          <w:p>
            <w:pPr>
              <w:spacing w:before="60" w:after="40"/>
            </w:pPr>
            <w:r>
              <w:rPr>
                <w:rFonts w:ascii="Calibri" w:hAnsi="Calibri"/>
                <w:b w:val="0"/>
                <w:i w:val="0"/>
                <w:color w:val="5A5A5A"/>
                <w:sz w:val="18"/>
              </w:rPr>
              <w:t>#scrotaltemperature  #sedentary  #drivers  #laptopheat</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Smoking</w:t>
            </w:r>
          </w:p>
        </w:tc>
        <w:tc>
          <w:tcPr>
            <w:tcW w:type="dxa" w:w="2160"/>
            <w:vAlign w:val="top"/>
          </w:tcPr>
          <w:p>
            <w:pPr>
              <w:spacing w:after="40" w:before="0" w:line="259" w:lineRule="auto"/>
            </w:pPr>
            <w:r>
              <w:rPr>
                <w:rFonts w:ascii="Calibri" w:hAnsi="Calibri"/>
                <w:b w:val="0"/>
                <w:i w:val="0"/>
                <w:color w:val="212121"/>
                <w:sz w:val="19"/>
              </w:rPr>
              <w:t>Smokers and smokeless-tobacco users</w:t>
            </w:r>
          </w:p>
        </w:tc>
        <w:tc>
          <w:tcPr>
            <w:tcW w:type="dxa" w:w="4276"/>
            <w:vAlign w:val="top"/>
          </w:tcPr>
          <w:p>
            <w:pPr>
              <w:spacing w:after="60" w:line="259" w:lineRule="auto"/>
            </w:pPr>
            <w:r>
              <w:rPr>
                <w:rFonts w:ascii="Calibri" w:hAnsi="Calibri"/>
                <w:b w:val="0"/>
                <w:i w:val="0"/>
                <w:color w:val="212121"/>
                <w:sz w:val="19"/>
              </w:rPr>
              <w:t>Tobacco toxins and cadmium generate oxidative stress that lowers sperm count and motility and raises sperm DNA fragmentation; effects are dose-dependent.</w:t>
            </w:r>
          </w:p>
          <w:p>
            <w:pPr>
              <w:spacing w:after="40" w:before="60" w:line="259" w:lineRule="auto"/>
            </w:pPr>
            <w:r>
              <w:rPr>
                <w:rFonts w:ascii="Calibri" w:hAnsi="Calibri"/>
                <w:b w:val="0"/>
                <w:i w:val="0"/>
                <w:color w:val="212121"/>
                <w:sz w:val="19"/>
              </w:rPr>
              <w:t>Smoking reduces sperm concentration by an average of ~22%, in a dose-dependent manner.</w:t>
            </w:r>
          </w:p>
          <w:p>
            <w:pPr>
              <w:spacing w:after="40" w:line="252" w:lineRule="auto"/>
            </w:pPr>
            <w:hyperlink r:id="rId14">
              <w:r>
                <w:rPr>
                  <w:rFonts w:ascii="Calibri" w:hAnsi="Calibri" w:cs="Calibri"/>
                  <w:sz w:val="18"/>
                  <w:color w:val="1155CC"/>
                  <w:u w:val="single"/>
                </w:rPr>
                <w:t xml:space="preserve">ASRM - tobacco or marijuana use</w:t>
              </w:r>
            </w:hyperlink>
          </w:p>
          <w:p>
            <w:pPr>
              <w:spacing w:before="60" w:after="40"/>
            </w:pPr>
            <w:r>
              <w:rPr>
                <w:rFonts w:ascii="Calibri" w:hAnsi="Calibri"/>
                <w:b w:val="0"/>
                <w:i w:val="0"/>
                <w:color w:val="5A5A5A"/>
                <w:sz w:val="18"/>
              </w:rPr>
              <w:t>#smoking  #tobacco  #oxidativestress  #dnafragmentation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Alcohol</w:t>
            </w:r>
          </w:p>
        </w:tc>
        <w:tc>
          <w:tcPr>
            <w:tcW w:type="dxa" w:w="2160"/>
            <w:vAlign w:val="top"/>
          </w:tcPr>
          <w:p>
            <w:pPr>
              <w:spacing w:after="40" w:before="0" w:line="259" w:lineRule="auto"/>
            </w:pPr>
            <w:r>
              <w:rPr>
                <w:rFonts w:ascii="Calibri" w:hAnsi="Calibri"/>
                <w:b w:val="0"/>
                <w:i w:val="0"/>
                <w:color w:val="212121"/>
                <w:sz w:val="19"/>
              </w:rPr>
              <w:t>Heavy / chronic alcohol users</w:t>
            </w:r>
          </w:p>
        </w:tc>
        <w:tc>
          <w:tcPr>
            <w:tcW w:type="dxa" w:w="4276"/>
            <w:vAlign w:val="top"/>
          </w:tcPr>
          <w:p>
            <w:pPr>
              <w:spacing w:after="60" w:line="259" w:lineRule="auto"/>
            </w:pPr>
            <w:r>
              <w:rPr>
                <w:rFonts w:ascii="Calibri" w:hAnsi="Calibri"/>
                <w:b w:val="0"/>
                <w:i w:val="0"/>
                <w:color w:val="212121"/>
                <w:sz w:val="19"/>
              </w:rPr>
              <w:t>Heavy alcohol intake suppresses testosterone via the hypothalamic-pituitary-gonadal axis, causes testicular atrophy and impairs sperm production and morphology.</w:t>
            </w:r>
          </w:p>
          <w:p>
            <w:pPr>
              <w:spacing w:after="40" w:before="60" w:line="259" w:lineRule="auto"/>
            </w:pPr>
            <w:r>
              <w:rPr>
                <w:rFonts w:ascii="Calibri" w:hAnsi="Calibri"/>
                <w:b w:val="0"/>
                <w:i w:val="0"/>
                <w:color w:val="212121"/>
                <w:sz w:val="19"/>
              </w:rPr>
              <w:t>Chronic heavy drinking is associated with reduced testosterone, testicular atrophy and lower sperm quality; light intake shows inconsistent effects.</w:t>
            </w:r>
          </w:p>
          <w:p>
            <w:pPr>
              <w:spacing w:before="60" w:after="40"/>
            </w:pPr>
            <w:r>
              <w:rPr>
                <w:rFonts w:ascii="Calibri" w:hAnsi="Calibri"/>
                <w:b w:val="0"/>
                <w:i w:val="0"/>
                <w:color w:val="5A5A5A"/>
                <w:sz w:val="18"/>
              </w:rPr>
              <w:t>#alcohol  #testosterone  #testicularatrophy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Overweight / obese</w:t>
            </w:r>
          </w:p>
        </w:tc>
        <w:tc>
          <w:tcPr>
            <w:tcW w:type="dxa" w:w="2160"/>
            <w:vAlign w:val="top"/>
          </w:tcPr>
          <w:p>
            <w:pPr>
              <w:spacing w:after="40" w:before="0" w:line="259" w:lineRule="auto"/>
            </w:pPr>
            <w:r>
              <w:rPr>
                <w:rFonts w:ascii="Calibri" w:hAnsi="Calibri"/>
                <w:b w:val="0"/>
                <w:i w:val="0"/>
                <w:color w:val="212121"/>
                <w:sz w:val="19"/>
              </w:rPr>
              <w:t>Obese men (BMI ≥ 30 kg/m²)</w:t>
            </w:r>
          </w:p>
        </w:tc>
        <w:tc>
          <w:tcPr>
            <w:tcW w:type="dxa" w:w="4276"/>
            <w:vAlign w:val="top"/>
          </w:tcPr>
          <w:p>
            <w:pPr>
              <w:spacing w:after="60" w:line="259" w:lineRule="auto"/>
            </w:pPr>
            <w:r>
              <w:rPr>
                <w:rFonts w:ascii="Calibri" w:hAnsi="Calibri"/>
                <w:b w:val="0"/>
                <w:i w:val="0"/>
                <w:color w:val="212121"/>
                <w:sz w:val="19"/>
              </w:rPr>
              <w:t>Excess adipose tissue aromatises testosterone to oestrogen, lowers gonadotropins, raises scrotal temperature and increases oxidative stress, reducing sperm count and quality.</w:t>
            </w:r>
          </w:p>
          <w:p>
            <w:pPr>
              <w:spacing w:after="40" w:before="60" w:line="259" w:lineRule="auto"/>
            </w:pPr>
            <w:r>
              <w:rPr>
                <w:rFonts w:ascii="Calibri" w:hAnsi="Calibri"/>
                <w:b w:val="0"/>
                <w:i w:val="0"/>
                <w:color w:val="212121"/>
                <w:sz w:val="19"/>
              </w:rPr>
              <w:t>Overweight and obesity are associated with a higher prevalence of oligozoospermia and azoospermia in collaborative meta-analysis.</w:t>
            </w:r>
          </w:p>
          <w:p>
            <w:pPr>
              <w:spacing w:after="40" w:line="252" w:lineRule="auto"/>
            </w:pPr>
            <w:hyperlink r:id="rId15">
              <w:r>
                <w:rPr>
                  <w:rFonts w:ascii="Calibri" w:hAnsi="Calibri" w:cs="Calibri"/>
                  <w:sz w:val="18"/>
                  <w:color w:val="1155CC"/>
                  <w:u w:val="single"/>
                </w:rPr>
                <w:t xml:space="preserve">Hum Reprod Update - BMI &amp; sperm count meta-analysis</w:t>
              </w:r>
            </w:hyperlink>
          </w:p>
          <w:p>
            <w:pPr>
              <w:spacing w:before="60" w:after="40"/>
            </w:pPr>
            <w:r>
              <w:rPr>
                <w:rFonts w:ascii="Calibri" w:hAnsi="Calibri"/>
                <w:b w:val="0"/>
                <w:i w:val="0"/>
                <w:color w:val="5A5A5A"/>
                <w:sz w:val="18"/>
              </w:rPr>
              <w:t>#obesity  #aromatisation  #lowtestosterone  #metabolicsyndrome</w:t>
            </w:r>
          </w:p>
        </w:tc>
      </w:tr>
      <w:tr>
        <w:trPr>
          <w:cantSplit/>
        </w:trPr>
        <w:tc>
          <w:tcPr>
            <w:tcW w:type="dxa" w:w="1512"/>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Dietary preference</w:t>
            </w:r>
          </w:p>
        </w:tc>
        <w:tc>
          <w:tcPr>
            <w:tcW w:type="dxa" w:w="2160"/>
            <w:vAlign w:val="top"/>
          </w:tcPr>
          <w:p>
            <w:pPr>
              <w:spacing w:after="40" w:before="0" w:line="259" w:lineRule="auto"/>
            </w:pPr>
            <w:r>
              <w:rPr>
                <w:rFonts w:ascii="Calibri" w:hAnsi="Calibri"/>
                <w:b w:val="0"/>
                <w:i w:val="0"/>
                <w:color w:val="212121"/>
                <w:sz w:val="19"/>
              </w:rPr>
              <w:t>Low-antioxidant, high-processed-food diet</w:t>
            </w:r>
          </w:p>
        </w:tc>
        <w:tc>
          <w:tcPr>
            <w:tcW w:type="dxa" w:w="4276"/>
            <w:vAlign w:val="top"/>
          </w:tcPr>
          <w:p>
            <w:pPr>
              <w:spacing w:after="60" w:line="259" w:lineRule="auto"/>
            </w:pPr>
            <w:r>
              <w:rPr>
                <w:rFonts w:ascii="Calibri" w:hAnsi="Calibri"/>
                <w:b w:val="0"/>
                <w:i w:val="0"/>
                <w:color w:val="212121"/>
                <w:sz w:val="19"/>
              </w:rPr>
              <w:t>Diets low in fruit, vegetables, zinc, selenium and folate and high in processed and fried foods increase seminal oxidative stress and lower sperm concentration and motility.</w:t>
            </w:r>
          </w:p>
          <w:p>
            <w:pPr>
              <w:spacing w:after="40" w:before="60" w:line="259" w:lineRule="auto"/>
            </w:pPr>
            <w:r>
              <w:rPr>
                <w:rFonts w:ascii="Calibri" w:hAnsi="Calibri"/>
                <w:b w:val="0"/>
                <w:i w:val="0"/>
                <w:color w:val="212121"/>
                <w:sz w:val="19"/>
              </w:rPr>
              <w:t>Elevated seminal reactive oxygen species were found in ~60% of men with oligo-astheno-teratozoospermia in an Indian cohort.</w:t>
            </w:r>
          </w:p>
          <w:p>
            <w:pPr>
              <w:spacing w:after="40" w:line="252" w:lineRule="auto"/>
            </w:pPr>
            <w:hyperlink r:id="rId9">
              <w:r>
                <w:rPr>
                  <w:rFonts w:ascii="Calibri" w:hAnsi="Calibri" w:cs="Calibri"/>
                  <w:sz w:val="18"/>
                  <w:color w:val="1155CC"/>
                  <w:u w:val="single"/>
                </w:rPr>
                <w:t xml:space="preserve">nmji.in - male infertility in India (ROS)</w:t>
              </w:r>
            </w:hyperlink>
          </w:p>
          <w:p>
            <w:pPr>
              <w:spacing w:before="60" w:after="40"/>
            </w:pPr>
            <w:r>
              <w:rPr>
                <w:rFonts w:ascii="Calibri" w:hAnsi="Calibri"/>
                <w:b w:val="0"/>
                <w:i w:val="0"/>
                <w:color w:val="5A5A5A"/>
                <w:sz w:val="18"/>
              </w:rPr>
              <w:t>#antioxidants  #zinc  #oxidativestress  #diet</w:t>
            </w:r>
          </w:p>
        </w:tc>
      </w:tr>
      <w:tr>
        <w:trPr>
          <w:cantSplit/>
        </w:trPr>
        <w:tc>
          <w:tcPr>
            <w:tcW w:type="dxa" w:w="1512"/>
            <w:vMerge w:val="restart"/>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Chromosomal anomaly</w:t>
            </w:r>
          </w:p>
        </w:tc>
        <w:tc>
          <w:tcPr>
            <w:tcW w:type="dxa" w:w="2160"/>
            <w:vAlign w:val="top"/>
          </w:tcPr>
          <w:p>
            <w:pPr>
              <w:spacing w:after="40" w:before="0" w:line="259" w:lineRule="auto"/>
            </w:pPr>
            <w:r>
              <w:rPr>
                <w:rFonts w:ascii="Calibri" w:hAnsi="Calibri"/>
                <w:b w:val="0"/>
                <w:i w:val="0"/>
                <w:color w:val="212121"/>
                <w:sz w:val="19"/>
              </w:rPr>
              <w:t>Klinefelter syndrome (47,XXY)</w:t>
            </w:r>
          </w:p>
        </w:tc>
        <w:tc>
          <w:tcPr>
            <w:tcW w:type="dxa" w:w="4276"/>
            <w:vAlign w:val="top"/>
          </w:tcPr>
          <w:p>
            <w:pPr>
              <w:spacing w:after="60" w:line="259" w:lineRule="auto"/>
            </w:pPr>
            <w:r>
              <w:rPr>
                <w:rFonts w:ascii="Calibri" w:hAnsi="Calibri"/>
                <w:b w:val="0"/>
                <w:i w:val="0"/>
                <w:color w:val="212121"/>
                <w:sz w:val="19"/>
              </w:rPr>
              <w:t>The commonest chromosomal cause of non-obstructive azoospermia; an extra X chromosome causes progressive seminiferous-tubule failure, small firm testes and hypergonadotropic hypogonadism.</w:t>
            </w:r>
          </w:p>
          <w:p>
            <w:pPr>
              <w:spacing w:after="40" w:before="60" w:line="259" w:lineRule="auto"/>
            </w:pPr>
            <w:r>
              <w:rPr>
                <w:rFonts w:ascii="Calibri" w:hAnsi="Calibri"/>
                <w:b w:val="0"/>
                <w:i w:val="0"/>
                <w:color w:val="212121"/>
                <w:sz w:val="19"/>
              </w:rPr>
              <w:t>Chromosomal abnormalities were found in ~2.6% of Indian infertile men screened, most commonly Klinefelter syndrome.</w:t>
            </w:r>
          </w:p>
          <w:p>
            <w:pPr>
              <w:spacing w:after="40" w:line="252" w:lineRule="auto"/>
            </w:pPr>
            <w:hyperlink r:id="rId9">
              <w:r>
                <w:rPr>
                  <w:rFonts w:ascii="Calibri" w:hAnsi="Calibri" w:cs="Calibri"/>
                  <w:sz w:val="18"/>
                  <w:color w:val="1155CC"/>
                  <w:u w:val="single"/>
                </w:rPr>
                <w:t xml:space="preserve">nmji.in - genetic abnormalities (India)</w:t>
              </w:r>
            </w:hyperlink>
          </w:p>
          <w:p>
            <w:pPr>
              <w:spacing w:before="60" w:after="40"/>
            </w:pPr>
            <w:r>
              <w:rPr>
                <w:rFonts w:ascii="Calibri" w:hAnsi="Calibri"/>
                <w:b w:val="0"/>
                <w:i w:val="0"/>
                <w:color w:val="5A5A5A"/>
                <w:sz w:val="18"/>
              </w:rPr>
              <w:t>#klinefelter  #47XXY  #azoospermia  #karyotype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Y-microdeletion / CFTR</w:t>
            </w:r>
          </w:p>
        </w:tc>
        <w:tc>
          <w:tcPr>
            <w:tcW w:type="dxa" w:w="2160"/>
            <w:vAlign w:val="top"/>
          </w:tcPr>
          <w:p>
            <w:pPr>
              <w:spacing w:after="40" w:before="0" w:line="259" w:lineRule="auto"/>
            </w:pPr>
            <w:r>
              <w:rPr>
                <w:rFonts w:ascii="Calibri" w:hAnsi="Calibri"/>
                <w:b w:val="0"/>
                <w:i w:val="0"/>
                <w:color w:val="212121"/>
                <w:sz w:val="19"/>
              </w:rPr>
              <w:t>Severe oligospermia &amp; azoospermia</w:t>
            </w:r>
          </w:p>
        </w:tc>
        <w:tc>
          <w:tcPr>
            <w:tcW w:type="dxa" w:w="4276"/>
            <w:vAlign w:val="top"/>
          </w:tcPr>
          <w:p>
            <w:pPr>
              <w:spacing w:after="60" w:line="259" w:lineRule="auto"/>
            </w:pPr>
            <w:r>
              <w:rPr>
                <w:rFonts w:ascii="Calibri" w:hAnsi="Calibri"/>
                <w:b w:val="0"/>
                <w:i w:val="0"/>
                <w:color w:val="212121"/>
                <w:sz w:val="19"/>
              </w:rPr>
              <w:t>Y-chromosome AZF microdeletions impair spermatogenesis, while CFTR mutations cause congenital bilateral absence of the vas deferens (obstructive azoospermia); both are heritable via ICSI.</w:t>
            </w:r>
          </w:p>
          <w:p>
            <w:pPr>
              <w:spacing w:after="40" w:before="60" w:line="259" w:lineRule="auto"/>
            </w:pPr>
            <w:r>
              <w:rPr>
                <w:rFonts w:ascii="Calibri" w:hAnsi="Calibri"/>
                <w:b w:val="0"/>
                <w:i w:val="0"/>
                <w:color w:val="212121"/>
                <w:sz w:val="19"/>
              </w:rPr>
              <w:t>Y-chromosome microdeletions were detected in ~6.7% and combined genetic abnormalities in ~9.3% of Indian infertile men.</w:t>
            </w:r>
          </w:p>
          <w:p>
            <w:pPr>
              <w:spacing w:after="40" w:line="252" w:lineRule="auto"/>
            </w:pPr>
            <w:hyperlink r:id="rId9">
              <w:r>
                <w:rPr>
                  <w:rFonts w:ascii="Calibri" w:hAnsi="Calibri" w:cs="Calibri"/>
                  <w:sz w:val="18"/>
                  <w:color w:val="1155CC"/>
                  <w:u w:val="single"/>
                </w:rPr>
                <w:t xml:space="preserve">nmji.in - Y-microdeletion (India)</w:t>
              </w:r>
            </w:hyperlink>
          </w:p>
          <w:p>
            <w:pPr>
              <w:spacing w:before="60" w:after="40"/>
            </w:pPr>
            <w:r>
              <w:rPr>
                <w:rFonts w:ascii="Calibri" w:hAnsi="Calibri"/>
                <w:b w:val="0"/>
                <w:i w:val="0"/>
                <w:color w:val="5A5A5A"/>
                <w:sz w:val="18"/>
              </w:rPr>
              <w:t>#Ymicrodeletion  #AZF  #CFTR  #CBAVD</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Varicocele</w:t>
            </w:r>
          </w:p>
        </w:tc>
        <w:tc>
          <w:tcPr>
            <w:tcW w:type="dxa" w:w="2160"/>
            <w:vAlign w:val="top"/>
          </w:tcPr>
          <w:p>
            <w:pPr>
              <w:spacing w:after="40" w:before="0" w:line="259" w:lineRule="auto"/>
            </w:pPr>
            <w:r>
              <w:rPr>
                <w:rFonts w:ascii="Calibri" w:hAnsi="Calibri"/>
                <w:b w:val="0"/>
                <w:i w:val="0"/>
                <w:color w:val="212121"/>
                <w:sz w:val="19"/>
              </w:rPr>
              <w:t>Men with clinical varicocele</w:t>
            </w:r>
          </w:p>
        </w:tc>
        <w:tc>
          <w:tcPr>
            <w:tcW w:type="dxa" w:w="4276"/>
            <w:vAlign w:val="top"/>
          </w:tcPr>
          <w:p>
            <w:pPr>
              <w:spacing w:after="60" w:line="259" w:lineRule="auto"/>
            </w:pPr>
            <w:r>
              <w:rPr>
                <w:rFonts w:ascii="Calibri" w:hAnsi="Calibri"/>
                <w:b w:val="0"/>
                <w:i w:val="0"/>
                <w:color w:val="212121"/>
                <w:sz w:val="19"/>
              </w:rPr>
              <w:t>Venous reflux in the pampiniform plexus raises testicular temperature and oxidative stress and lowers sperm count, motility and morphology; it is the most common surgically correctable cause.</w:t>
            </w:r>
          </w:p>
          <w:p>
            <w:pPr>
              <w:spacing w:after="40" w:before="60" w:line="259" w:lineRule="auto"/>
            </w:pPr>
            <w:r>
              <w:rPr>
                <w:rFonts w:ascii="Calibri" w:hAnsi="Calibri"/>
                <w:b w:val="0"/>
                <w:i w:val="0"/>
                <w:color w:val="212121"/>
                <w:sz w:val="19"/>
              </w:rPr>
              <w:t>Present in ~15% of the general male population, 19-41% of men with primary infertility and up to 80% with secondary infertility.</w:t>
            </w:r>
          </w:p>
          <w:p>
            <w:pPr>
              <w:spacing w:after="40" w:line="252" w:lineRule="auto"/>
            </w:pPr>
            <w:hyperlink r:id="rId16">
              <w:r>
                <w:rPr>
                  <w:rFonts w:ascii="Calibri" w:hAnsi="Calibri" w:cs="Calibri"/>
                  <w:sz w:val="18"/>
                  <w:color w:val="1155CC"/>
                  <w:u w:val="single"/>
                </w:rPr>
                <w:t xml:space="preserve">PMC - varicocele &amp; male infertility</w:t>
              </w:r>
            </w:hyperlink>
          </w:p>
          <w:p>
            <w:pPr>
              <w:spacing w:before="60" w:after="40"/>
            </w:pPr>
            <w:r>
              <w:rPr>
                <w:rFonts w:ascii="Calibri" w:hAnsi="Calibri"/>
                <w:b w:val="0"/>
                <w:i w:val="0"/>
                <w:color w:val="5A5A5A"/>
                <w:sz w:val="18"/>
              </w:rPr>
              <w:t>#varicocele  #pampiniform  #correctable  #heatstress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Diabetes mellitus</w:t>
            </w:r>
          </w:p>
        </w:tc>
        <w:tc>
          <w:tcPr>
            <w:tcW w:type="dxa" w:w="2160"/>
            <w:vAlign w:val="top"/>
          </w:tcPr>
          <w:p>
            <w:pPr>
              <w:spacing w:after="40" w:before="0" w:line="259" w:lineRule="auto"/>
            </w:pPr>
            <w:r>
              <w:rPr>
                <w:rFonts w:ascii="Calibri" w:hAnsi="Calibri"/>
                <w:b w:val="0"/>
                <w:i w:val="0"/>
                <w:color w:val="212121"/>
                <w:sz w:val="19"/>
              </w:rPr>
              <w:t>Men with type 1 or type 2 diabetes</w:t>
            </w:r>
          </w:p>
        </w:tc>
        <w:tc>
          <w:tcPr>
            <w:tcW w:type="dxa" w:w="4276"/>
            <w:vAlign w:val="top"/>
          </w:tcPr>
          <w:p>
            <w:pPr>
              <w:spacing w:after="60" w:line="259" w:lineRule="auto"/>
            </w:pPr>
            <w:r>
              <w:rPr>
                <w:rFonts w:ascii="Calibri" w:hAnsi="Calibri"/>
                <w:b w:val="0"/>
                <w:i w:val="0"/>
                <w:color w:val="212121"/>
                <w:sz w:val="19"/>
              </w:rPr>
              <w:t>Diabetes causes sperm DNA fragmentation, reduced vitality and motility, plus erectile and ejaculatory (including retrograde) dysfunction through oxidative stress and autonomic neuropathy.</w:t>
            </w:r>
          </w:p>
          <w:p>
            <w:pPr>
              <w:spacing w:after="40" w:before="60" w:line="259" w:lineRule="auto"/>
            </w:pPr>
            <w:r>
              <w:rPr>
                <w:rFonts w:ascii="Calibri" w:hAnsi="Calibri"/>
                <w:b w:val="0"/>
                <w:i w:val="0"/>
                <w:color w:val="212121"/>
                <w:sz w:val="19"/>
              </w:rPr>
              <w:t>Diabetic men have poorer conventional semen parameters and significantly higher sperm DNA fragmentation than controls.</w:t>
            </w:r>
          </w:p>
          <w:p>
            <w:pPr>
              <w:spacing w:after="40" w:line="252" w:lineRule="auto"/>
            </w:pPr>
            <w:hyperlink r:id="rId17">
              <w:r>
                <w:rPr>
                  <w:rFonts w:ascii="Calibri" w:hAnsi="Calibri" w:cs="Calibri"/>
                  <w:sz w:val="18"/>
                  <w:color w:val="1155CC"/>
                  <w:u w:val="single"/>
                </w:rPr>
                <w:t xml:space="preserve">Frontiers Endocrinol - diabetes &amp; sperm function</w:t>
              </w:r>
            </w:hyperlink>
          </w:p>
          <w:p>
            <w:pPr>
              <w:spacing w:before="60" w:after="40"/>
            </w:pPr>
            <w:r>
              <w:rPr>
                <w:rFonts w:ascii="Calibri" w:hAnsi="Calibri"/>
                <w:b w:val="0"/>
                <w:i w:val="0"/>
                <w:color w:val="5A5A5A"/>
                <w:sz w:val="18"/>
              </w:rPr>
              <w:t>#diabetes  #dnafragmentation  #retrogradeejaculation  #erectiledysfunction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Hypogonadism / endocrinopathy</w:t>
            </w:r>
          </w:p>
        </w:tc>
        <w:tc>
          <w:tcPr>
            <w:tcW w:type="dxa" w:w="2160"/>
            <w:vAlign w:val="top"/>
          </w:tcPr>
          <w:p>
            <w:pPr>
              <w:spacing w:after="40" w:before="0" w:line="259" w:lineRule="auto"/>
            </w:pPr>
            <w:r>
              <w:rPr>
                <w:rFonts w:ascii="Calibri" w:hAnsi="Calibri"/>
                <w:b w:val="0"/>
                <w:i w:val="0"/>
                <w:color w:val="212121"/>
                <w:sz w:val="19"/>
              </w:rPr>
              <w:t>Hypogonadal, hyperprolactinaemic or thyroid-disordered men</w:t>
            </w:r>
          </w:p>
        </w:tc>
        <w:tc>
          <w:tcPr>
            <w:tcW w:type="dxa" w:w="4276"/>
            <w:vAlign w:val="top"/>
          </w:tcPr>
          <w:p>
            <w:pPr>
              <w:spacing w:after="60" w:line="259" w:lineRule="auto"/>
            </w:pPr>
            <w:r>
              <w:rPr>
                <w:rFonts w:ascii="Calibri" w:hAnsi="Calibri"/>
                <w:b w:val="0"/>
                <w:i w:val="0"/>
                <w:color w:val="212121"/>
                <w:sz w:val="19"/>
              </w:rPr>
              <w:t>Low gonadotropins or testosterone, elevated prolactin and thyroid dysfunction all suppress spermatogenesis; notably, exogenous testosterone therapy itself further suppresses sperm production.</w:t>
            </w:r>
          </w:p>
          <w:p>
            <w:pPr>
              <w:spacing w:after="40" w:before="60" w:line="259" w:lineRule="auto"/>
            </w:pPr>
            <w:r>
              <w:rPr>
                <w:rFonts w:ascii="Calibri" w:hAnsi="Calibri"/>
                <w:b w:val="0"/>
                <w:i w:val="0"/>
                <w:color w:val="212121"/>
                <w:sz w:val="19"/>
              </w:rPr>
              <w:t>Hypogonadotropic hypogonadism, hyperprolactinaemia and thyroid dysfunction are recognised reversible endocrine causes of impaired spermatogenesis.</w:t>
            </w:r>
          </w:p>
          <w:p>
            <w:pPr>
              <w:spacing w:after="40" w:line="252" w:lineRule="auto"/>
            </w:pPr>
            <w:hyperlink r:id="rId18">
              <w:r>
                <w:rPr>
                  <w:rFonts w:ascii="Calibri" w:hAnsi="Calibri" w:cs="Calibri"/>
                  <w:sz w:val="18"/>
                  <w:color w:val="1155CC"/>
                  <w:u w:val="single"/>
                </w:rPr>
                <w:t xml:space="preserve">ICMR STW - male infertility</w:t>
              </w:r>
            </w:hyperlink>
          </w:p>
          <w:p>
            <w:pPr>
              <w:spacing w:before="60" w:after="40"/>
            </w:pPr>
            <w:r>
              <w:rPr>
                <w:rFonts w:ascii="Calibri" w:hAnsi="Calibri"/>
                <w:b w:val="0"/>
                <w:i w:val="0"/>
                <w:color w:val="5A5A5A"/>
                <w:sz w:val="18"/>
              </w:rPr>
              <w:t>#hypogonadism  #prolactin  #thyroid  #HPGaxis</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Moderate regular exercise and weight loss in obese men improve sperm concentration and motility, whereas physical inactivity (via obesity) and excessive high-intensity endurance training or heat can lower semen quality.</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Antioxidant-rich diets (fruit, vegetables, nuts, zinc, selenium, folate) improve semen parameters; diets high in processed and fried foods raise seminal oxidative stress and reduce sperm count and motility.</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Both short (&lt;6 h) and long (&gt;9 h) sleep and disrupted circadian rhythm lower serum testosterone and are associated with reduced sperm concentration and count.</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Tobacco reduces sperm concentration by an average of ~22% in a dose-dependent manner and increases sperm DNA fragmentation and oxidative stress.</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Chronic heavy alcohol intake suppresses testosterone, causes testicular atrophy and lowers sperm quality; light-to-moderate intake shows inconsistent effects.</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Chronic psychological stress, anxiety and depression lower testosterone and worsen sperm concentration, motility and morphology through oxidative and neuroendocrine pathways.</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Adequate hydration supports semen volume and ejaculatory function, but direct effects on fertility are minor and under-studied.</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Moderate caffeine has little clear effect; high intake from cola and energy drinks has been weakly linked to sperm DNA damage, with inconsistent evidence.</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Good genital hygiene and safe sexual practice reduce sexually transmitted and genital-tract infections that cause epididymo-orchitis, obstruction and inflammatory infertility.</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Testicular heat (hot baths, saunas, tight clothing, laptops, occupational heat), anabolic steroids, exogenous testosterone, gonadotoxic drugs, chemotherapy, radiotherapy and pesticides directly suppress spermatogenesis.</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Prolonged sitting (drivers, desk work) raises scrotal temperature and is associated with lower sperm quality, an indirect postural/occupational contributor rather than a primary cause.</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Body Mass Index (kg/m²)</w:t>
            </w:r>
          </w:p>
        </w:tc>
        <w:tc>
          <w:tcPr>
            <w:tcW w:type="dxa" w:w="1655"/>
            <w:vAlign w:val="top"/>
          </w:tcPr>
          <w:p>
            <w:pPr>
              <w:spacing w:after="40" w:before="0" w:line="259" w:lineRule="auto"/>
            </w:pPr>
            <w:r>
              <w:rPr>
                <w:rFonts w:ascii="Calibri" w:hAnsi="Calibri"/>
                <w:b w:val="0"/>
                <w:i w:val="0"/>
                <w:color w:val="212121"/>
                <w:sz w:val="19"/>
              </w:rPr>
              <w:t>Adult men</w:t>
            </w:r>
          </w:p>
        </w:tc>
        <w:tc>
          <w:tcPr>
            <w:tcW w:type="dxa" w:w="1512"/>
            <w:vAlign w:val="top"/>
          </w:tcPr>
          <w:p>
            <w:pPr>
              <w:spacing w:after="40" w:before="0" w:line="259" w:lineRule="auto"/>
            </w:pPr>
            <w:r>
              <w:rPr>
                <w:rFonts w:ascii="Calibri" w:hAnsi="Calibri"/>
                <w:b w:val="0"/>
                <w:i w:val="0"/>
                <w:color w:val="212121"/>
                <w:sz w:val="19"/>
              </w:rPr>
              <w:t>18.5-24.9 kg/m²</w:t>
            </w:r>
          </w:p>
        </w:tc>
        <w:tc>
          <w:tcPr>
            <w:tcW w:type="dxa" w:w="1512"/>
            <w:vAlign w:val="top"/>
          </w:tcPr>
          <w:p>
            <w:pPr>
              <w:spacing w:after="40" w:before="0" w:line="259" w:lineRule="auto"/>
            </w:pPr>
            <w:r>
              <w:rPr>
                <w:rFonts w:ascii="Calibri" w:hAnsi="Calibri"/>
                <w:b w:val="0"/>
                <w:i w:val="0"/>
                <w:color w:val="212121"/>
                <w:sz w:val="19"/>
              </w:rPr>
              <w:t>≥ 25 (overweight); ≥ 30 (obesity)</w:t>
            </w:r>
          </w:p>
        </w:tc>
        <w:tc>
          <w:tcPr>
            <w:tcW w:type="dxa" w:w="1468"/>
            <w:vAlign w:val="top"/>
          </w:tcPr>
          <w:p>
            <w:pPr>
              <w:spacing w:after="60" w:line="259" w:lineRule="auto"/>
            </w:pPr>
            <w:r>
              <w:rPr>
                <w:rFonts w:ascii="Calibri" w:hAnsi="Calibri"/>
                <w:b w:val="0"/>
                <w:i w:val="0"/>
                <w:color w:val="212121"/>
                <w:sz w:val="19"/>
              </w:rPr>
              <w:t>Higher BMI lowers testosterone and is linked to oligozoospermia/azoospermia</w:t>
            </w:r>
          </w:p>
          <w:p>
            <w:pPr>
              <w:spacing w:after="40" w:line="252" w:lineRule="auto"/>
            </w:pPr>
            <w:hyperlink r:id="rId15">
              <w:r>
                <w:rPr>
                  <w:rFonts w:ascii="Calibri" w:hAnsi="Calibri" w:cs="Calibri"/>
                  <w:sz w:val="18"/>
                  <w:color w:val="1155CC"/>
                  <w:u w:val="single"/>
                </w:rPr>
                <w:t xml:space="preserve">https://pubmed.ncbi.nlm.nih.gov/23242914/</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Moderate-intensity activity (min/week)</w:t>
            </w:r>
          </w:p>
        </w:tc>
        <w:tc>
          <w:tcPr>
            <w:tcW w:type="dxa" w:w="1655"/>
            <w:vAlign w:val="top"/>
          </w:tcPr>
          <w:p>
            <w:pPr>
              <w:spacing w:after="40" w:before="0" w:line="259" w:lineRule="auto"/>
            </w:pPr>
            <w:r>
              <w:rPr>
                <w:rFonts w:ascii="Calibri" w:hAnsi="Calibri"/>
                <w:b w:val="0"/>
                <w:i w:val="0"/>
                <w:color w:val="212121"/>
                <w:sz w:val="19"/>
              </w:rPr>
              <w:t>Sedentary men</w:t>
            </w:r>
          </w:p>
        </w:tc>
        <w:tc>
          <w:tcPr>
            <w:tcW w:type="dxa" w:w="1512"/>
            <w:vAlign w:val="top"/>
          </w:tcPr>
          <w:p>
            <w:pPr>
              <w:spacing w:after="40" w:before="0" w:line="259" w:lineRule="auto"/>
            </w:pPr>
            <w:r>
              <w:rPr>
                <w:rFonts w:ascii="Calibri" w:hAnsi="Calibri"/>
                <w:b w:val="0"/>
                <w:i w:val="0"/>
                <w:color w:val="212121"/>
                <w:sz w:val="19"/>
              </w:rPr>
              <w:t>≥ 150 min/week moderate</w:t>
            </w:r>
          </w:p>
        </w:tc>
        <w:tc>
          <w:tcPr>
            <w:tcW w:type="dxa" w:w="1512"/>
            <w:vAlign w:val="top"/>
          </w:tcPr>
          <w:p>
            <w:pPr>
              <w:spacing w:after="40" w:before="0" w:line="259" w:lineRule="auto"/>
            </w:pPr>
            <w:r>
              <w:rPr>
                <w:rFonts w:ascii="Calibri" w:hAnsi="Calibri"/>
                <w:b w:val="0"/>
                <w:i w:val="0"/>
                <w:color w:val="212121"/>
                <w:sz w:val="19"/>
              </w:rPr>
              <w:t>&lt; 150 min/week (or excessive endurance/heat)</w:t>
            </w:r>
          </w:p>
        </w:tc>
        <w:tc>
          <w:tcPr>
            <w:tcW w:type="dxa" w:w="1468"/>
            <w:vAlign w:val="top"/>
          </w:tcPr>
          <w:p>
            <w:pPr>
              <w:spacing w:after="40" w:before="0" w:line="259" w:lineRule="auto"/>
            </w:pPr>
            <w:r>
              <w:rPr>
                <w:rFonts w:ascii="Calibri" w:hAnsi="Calibri"/>
                <w:b w:val="0"/>
                <w:i w:val="0"/>
                <w:color w:val="212121"/>
                <w:sz w:val="19"/>
              </w:rPr>
              <w:t>Moderate activity and weight loss improve semen parameters</w:t>
            </w:r>
          </w:p>
        </w:tc>
      </w:tr>
      <w:tr>
        <w:trPr>
          <w:cantSplit/>
        </w:trPr>
        <w:tc>
          <w:tcPr>
            <w:tcW w:type="dxa" w:w="1512"/>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Scrotal / testicular heat exposure</w:t>
            </w:r>
          </w:p>
        </w:tc>
        <w:tc>
          <w:tcPr>
            <w:tcW w:type="dxa" w:w="1655"/>
            <w:vAlign w:val="top"/>
          </w:tcPr>
          <w:p>
            <w:pPr>
              <w:spacing w:after="40" w:before="0" w:line="259" w:lineRule="auto"/>
            </w:pPr>
            <w:r>
              <w:rPr>
                <w:rFonts w:ascii="Calibri" w:hAnsi="Calibri"/>
                <w:b w:val="0"/>
                <w:i w:val="0"/>
                <w:color w:val="212121"/>
                <w:sz w:val="19"/>
              </w:rPr>
              <w:t>Drivers, cooks, welders, laptop users</w:t>
            </w:r>
          </w:p>
        </w:tc>
        <w:tc>
          <w:tcPr>
            <w:tcW w:type="dxa" w:w="1512"/>
            <w:vAlign w:val="top"/>
          </w:tcPr>
          <w:p>
            <w:pPr>
              <w:spacing w:after="40" w:before="0" w:line="259" w:lineRule="auto"/>
            </w:pPr>
            <w:r>
              <w:rPr>
                <w:rFonts w:ascii="Calibri" w:hAnsi="Calibri"/>
                <w:b w:val="0"/>
                <w:i w:val="0"/>
                <w:color w:val="212121"/>
                <w:sz w:val="19"/>
              </w:rPr>
              <w:t>Avoid prolonged scrotal heating</w:t>
            </w:r>
          </w:p>
        </w:tc>
        <w:tc>
          <w:tcPr>
            <w:tcW w:type="dxa" w:w="1512"/>
            <w:vAlign w:val="top"/>
          </w:tcPr>
          <w:p>
            <w:pPr>
              <w:spacing w:after="40" w:before="0" w:line="259" w:lineRule="auto"/>
            </w:pPr>
            <w:r>
              <w:rPr>
                <w:rFonts w:ascii="Calibri" w:hAnsi="Calibri"/>
                <w:b w:val="0"/>
                <w:i w:val="0"/>
                <w:color w:val="212121"/>
                <w:sz w:val="19"/>
              </w:rPr>
              <w:t>Frequent hot baths, saunas, prolonged sitting, laptop-on-lap</w:t>
            </w:r>
          </w:p>
        </w:tc>
        <w:tc>
          <w:tcPr>
            <w:tcW w:type="dxa" w:w="1468"/>
            <w:vAlign w:val="top"/>
          </w:tcPr>
          <w:p>
            <w:pPr>
              <w:spacing w:after="60" w:line="259" w:lineRule="auto"/>
            </w:pPr>
            <w:r>
              <w:rPr>
                <w:rFonts w:ascii="Calibri" w:hAnsi="Calibri"/>
                <w:b w:val="0"/>
                <w:i w:val="0"/>
                <w:color w:val="212121"/>
                <w:sz w:val="19"/>
              </w:rPr>
              <w:t>Spermatogenesis needs testicular temperature ~2-4 °C below core</w:t>
            </w:r>
          </w:p>
          <w:p>
            <w:pPr>
              <w:spacing w:after="40" w:line="252" w:lineRule="auto"/>
            </w:pPr>
            <w:hyperlink r:id="rId13">
              <w:r>
                <w:rPr>
                  <w:rFonts w:ascii="Calibri" w:hAnsi="Calibri" w:cs="Calibri"/>
                  <w:sz w:val="18"/>
                  <w:color w:val="1155CC"/>
                  <w:u w:val="single"/>
                </w:rPr>
                <w:t xml:space="preserve">https://pubmed.ncbi.nlm.nih.gov/25456164/</w:t>
              </w:r>
            </w:hyperlink>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Cigarettes per day</w:t>
            </w:r>
          </w:p>
        </w:tc>
        <w:tc>
          <w:tcPr>
            <w:tcW w:type="dxa" w:w="1655"/>
            <w:vAlign w:val="top"/>
          </w:tcPr>
          <w:p>
            <w:pPr>
              <w:spacing w:after="40" w:before="0" w:line="259" w:lineRule="auto"/>
            </w:pPr>
            <w:r>
              <w:rPr>
                <w:rFonts w:ascii="Calibri" w:hAnsi="Calibri"/>
                <w:b w:val="0"/>
                <w:i w:val="0"/>
                <w:color w:val="212121"/>
                <w:sz w:val="19"/>
              </w:rPr>
              <w:t>Men of reproductive age</w:t>
            </w:r>
          </w:p>
        </w:tc>
        <w:tc>
          <w:tcPr>
            <w:tcW w:type="dxa" w:w="1512"/>
            <w:vAlign w:val="top"/>
          </w:tcPr>
          <w:p>
            <w:pPr>
              <w:spacing w:after="40" w:before="0" w:line="259" w:lineRule="auto"/>
            </w:pPr>
            <w:r>
              <w:rPr>
                <w:rFonts w:ascii="Calibri" w:hAnsi="Calibri"/>
                <w:b w:val="0"/>
                <w:i w:val="0"/>
                <w:color w:val="212121"/>
                <w:sz w:val="19"/>
              </w:rPr>
              <w:t>0 cigarettes/day</w:t>
            </w:r>
          </w:p>
        </w:tc>
        <w:tc>
          <w:tcPr>
            <w:tcW w:type="dxa" w:w="1512"/>
            <w:vAlign w:val="top"/>
          </w:tcPr>
          <w:p>
            <w:pPr>
              <w:spacing w:after="40" w:before="0" w:line="259" w:lineRule="auto"/>
            </w:pPr>
            <w:r>
              <w:rPr>
                <w:rFonts w:ascii="Calibri" w:hAnsi="Calibri"/>
                <w:b w:val="0"/>
                <w:i w:val="0"/>
                <w:color w:val="212121"/>
                <w:sz w:val="19"/>
              </w:rPr>
              <w:t>≥ 1 cigarette/day (dose-dependent)</w:t>
            </w:r>
          </w:p>
        </w:tc>
        <w:tc>
          <w:tcPr>
            <w:tcW w:type="dxa" w:w="1468"/>
            <w:vAlign w:val="top"/>
          </w:tcPr>
          <w:p>
            <w:pPr>
              <w:spacing w:after="60" w:line="259" w:lineRule="auto"/>
            </w:pPr>
            <w:r>
              <w:rPr>
                <w:rFonts w:ascii="Calibri" w:hAnsi="Calibri"/>
                <w:b w:val="0"/>
                <w:i w:val="0"/>
                <w:color w:val="212121"/>
                <w:sz w:val="19"/>
              </w:rPr>
              <w:t>Averages ~22% lower sperm concentration; raises DNA fragmentation</w:t>
            </w:r>
          </w:p>
          <w:p>
            <w:pPr>
              <w:spacing w:after="40" w:line="252" w:lineRule="auto"/>
            </w:pPr>
            <w:hyperlink r:id="rId14">
              <w:r>
                <w:rPr>
                  <w:rFonts w:ascii="Calibri" w:hAnsi="Calibri" w:cs="Calibri"/>
                  <w:sz w:val="18"/>
                  <w:color w:val="1155CC"/>
                  <w:u w:val="single"/>
                </w:rPr>
                <w:t xml:space="preserve">https://www.asrm.org/practice-guidance/practice-committee-documents/tobacco-or-marijuana-use/</w:t>
              </w:r>
            </w:hyperlink>
          </w:p>
        </w:tc>
      </w:tr>
      <w:tr>
        <w:trPr>
          <w:cantSplit/>
        </w:trPr>
        <w:tc>
          <w:tcPr>
            <w:tcW w:type="dxa" w:w="1512"/>
            <w:vAlign w:val="center"/>
          </w:tcPr>
          <w:p>
            <w:pPr>
              <w:spacing w:after="40"/>
            </w:pPr>
            <w:r>
              <w:rPr>
                <w:rFonts w:ascii="Calibri" w:hAnsi="Calibri"/>
                <w:b w:val="0"/>
                <w:i w:val="0"/>
                <w:color w:val="212121"/>
                <w:sz w:val="19"/>
              </w:rPr>
              <w:t>Alcohol</w:t>
            </w:r>
          </w:p>
        </w:tc>
        <w:tc>
          <w:tcPr>
            <w:tcW w:type="dxa" w:w="1944"/>
            <w:vAlign w:val="top"/>
          </w:tcPr>
          <w:p>
            <w:pPr>
              <w:spacing w:after="40" w:before="0" w:line="259" w:lineRule="auto"/>
            </w:pPr>
            <w:r>
              <w:rPr>
                <w:rFonts w:ascii="Calibri" w:hAnsi="Calibri"/>
                <w:b w:val="0"/>
                <w:i w:val="0"/>
                <w:color w:val="212121"/>
                <w:sz w:val="19"/>
              </w:rPr>
              <w:t>Drinks per week</w:t>
            </w:r>
          </w:p>
        </w:tc>
        <w:tc>
          <w:tcPr>
            <w:tcW w:type="dxa" w:w="1655"/>
            <w:vAlign w:val="top"/>
          </w:tcPr>
          <w:p>
            <w:pPr>
              <w:spacing w:after="40" w:before="0" w:line="259" w:lineRule="auto"/>
            </w:pPr>
            <w:r>
              <w:rPr>
                <w:rFonts w:ascii="Calibri" w:hAnsi="Calibri"/>
                <w:b w:val="0"/>
                <w:i w:val="0"/>
                <w:color w:val="212121"/>
                <w:sz w:val="19"/>
              </w:rPr>
              <w:t>Adult men trying to conceive</w:t>
            </w:r>
          </w:p>
        </w:tc>
        <w:tc>
          <w:tcPr>
            <w:tcW w:type="dxa" w:w="1512"/>
            <w:vAlign w:val="top"/>
          </w:tcPr>
          <w:p>
            <w:pPr>
              <w:spacing w:after="40" w:before="0" w:line="259" w:lineRule="auto"/>
            </w:pPr>
            <w:r>
              <w:rPr>
                <w:rFonts w:ascii="Calibri" w:hAnsi="Calibri"/>
                <w:b w:val="0"/>
                <w:i w:val="0"/>
                <w:color w:val="212121"/>
                <w:sz w:val="19"/>
              </w:rPr>
              <w:t>≤ moderate; abstain while trying to conceive</w:t>
            </w:r>
          </w:p>
        </w:tc>
        <w:tc>
          <w:tcPr>
            <w:tcW w:type="dxa" w:w="1512"/>
            <w:vAlign w:val="top"/>
          </w:tcPr>
          <w:p>
            <w:pPr>
              <w:spacing w:after="40" w:before="0" w:line="259" w:lineRule="auto"/>
            </w:pPr>
            <w:r>
              <w:rPr>
                <w:rFonts w:ascii="Calibri" w:hAnsi="Calibri"/>
                <w:b w:val="0"/>
                <w:i w:val="0"/>
                <w:color w:val="212121"/>
                <w:sz w:val="19"/>
              </w:rPr>
              <w:t>Heavy / chronic intake</w:t>
            </w:r>
          </w:p>
        </w:tc>
        <w:tc>
          <w:tcPr>
            <w:tcW w:type="dxa" w:w="1468"/>
            <w:vAlign w:val="top"/>
          </w:tcPr>
          <w:p>
            <w:pPr>
              <w:spacing w:after="40" w:before="0" w:line="259" w:lineRule="auto"/>
            </w:pPr>
            <w:r>
              <w:rPr>
                <w:rFonts w:ascii="Calibri" w:hAnsi="Calibri"/>
                <w:b w:val="0"/>
                <w:i w:val="0"/>
                <w:color w:val="212121"/>
                <w:sz w:val="19"/>
              </w:rPr>
              <w:t>Excess alcohol lowers testosterone and sperm quality</w:t>
            </w:r>
          </w:p>
        </w:tc>
      </w:tr>
      <w:tr>
        <w:trPr>
          <w:cantSplit/>
        </w:trPr>
        <w:tc>
          <w:tcPr>
            <w:tcW w:type="dxa" w:w="1512"/>
            <w:vAlign w:val="center"/>
          </w:tcPr>
          <w:p>
            <w:pPr>
              <w:spacing w:after="40"/>
            </w:pPr>
            <w:r>
              <w:rPr>
                <w:rFonts w:ascii="Calibri" w:hAnsi="Calibri"/>
                <w:b w:val="0"/>
                <w:i w:val="0"/>
                <w:color w:val="212121"/>
                <w:sz w:val="19"/>
              </w:rPr>
              <w:t>Sleep</w:t>
            </w:r>
          </w:p>
        </w:tc>
        <w:tc>
          <w:tcPr>
            <w:tcW w:type="dxa" w:w="1944"/>
            <w:vAlign w:val="top"/>
          </w:tcPr>
          <w:p>
            <w:pPr>
              <w:spacing w:after="40" w:before="0" w:line="259" w:lineRule="auto"/>
            </w:pPr>
            <w:r>
              <w:rPr>
                <w:rFonts w:ascii="Calibri" w:hAnsi="Calibri"/>
                <w:b w:val="0"/>
                <w:i w:val="0"/>
                <w:color w:val="212121"/>
                <w:sz w:val="19"/>
              </w:rPr>
              <w:t>Sleep duration (hours/night)</w:t>
            </w:r>
          </w:p>
        </w:tc>
        <w:tc>
          <w:tcPr>
            <w:tcW w:type="dxa" w:w="1655"/>
            <w:vAlign w:val="top"/>
          </w:tcPr>
          <w:p>
            <w:pPr>
              <w:spacing w:after="40" w:before="0" w:line="259" w:lineRule="auto"/>
            </w:pPr>
            <w:r>
              <w:rPr>
                <w:rFonts w:ascii="Calibri" w:hAnsi="Calibri"/>
                <w:b w:val="0"/>
                <w:i w:val="0"/>
                <w:color w:val="212121"/>
                <w:sz w:val="19"/>
              </w:rPr>
              <w:t>Adult men</w:t>
            </w:r>
          </w:p>
        </w:tc>
        <w:tc>
          <w:tcPr>
            <w:tcW w:type="dxa" w:w="1512"/>
            <w:vAlign w:val="top"/>
          </w:tcPr>
          <w:p>
            <w:pPr>
              <w:spacing w:after="40" w:before="0" w:line="259" w:lineRule="auto"/>
            </w:pPr>
            <w:r>
              <w:rPr>
                <w:rFonts w:ascii="Calibri" w:hAnsi="Calibri"/>
                <w:b w:val="0"/>
                <w:i w:val="0"/>
                <w:color w:val="212121"/>
                <w:sz w:val="19"/>
              </w:rPr>
              <w:t>7-9 hours/night</w:t>
            </w:r>
          </w:p>
        </w:tc>
        <w:tc>
          <w:tcPr>
            <w:tcW w:type="dxa" w:w="1512"/>
            <w:vAlign w:val="top"/>
          </w:tcPr>
          <w:p>
            <w:pPr>
              <w:spacing w:after="40" w:before="0" w:line="259" w:lineRule="auto"/>
            </w:pPr>
            <w:r>
              <w:rPr>
                <w:rFonts w:ascii="Calibri" w:hAnsi="Calibri"/>
                <w:b w:val="0"/>
                <w:i w:val="0"/>
                <w:color w:val="212121"/>
                <w:sz w:val="19"/>
              </w:rPr>
              <w:t>&lt; 6 h or &gt; 9 h/night</w:t>
            </w:r>
          </w:p>
        </w:tc>
        <w:tc>
          <w:tcPr>
            <w:tcW w:type="dxa" w:w="1468"/>
            <w:vAlign w:val="top"/>
          </w:tcPr>
          <w:p>
            <w:pPr>
              <w:spacing w:after="40" w:before="0" w:line="259" w:lineRule="auto"/>
            </w:pPr>
            <w:r>
              <w:rPr>
                <w:rFonts w:ascii="Calibri" w:hAnsi="Calibri"/>
                <w:b w:val="0"/>
                <w:i w:val="0"/>
                <w:color w:val="212121"/>
                <w:sz w:val="19"/>
              </w:rPr>
              <w:t>Poor sleep lowers testosterone and sperm count</w:t>
            </w:r>
          </w:p>
        </w:tc>
      </w:tr>
      <w:tr>
        <w:trPr>
          <w:cantSplit/>
        </w:trPr>
        <w:tc>
          <w:tcPr>
            <w:tcW w:type="dxa" w:w="1512"/>
            <w:vAlign w:val="center"/>
          </w:tcPr>
          <w:p>
            <w:pPr>
              <w:spacing w:after="40"/>
            </w:pPr>
            <w:r>
              <w:rPr>
                <w:rFonts w:ascii="Calibri" w:hAnsi="Calibri"/>
                <w:b w:val="0"/>
                <w:i w:val="0"/>
                <w:color w:val="212121"/>
                <w:sz w:val="19"/>
              </w:rPr>
              <w:t>Mental health</w:t>
            </w:r>
          </w:p>
        </w:tc>
        <w:tc>
          <w:tcPr>
            <w:tcW w:type="dxa" w:w="1944"/>
            <w:vAlign w:val="top"/>
          </w:tcPr>
          <w:p>
            <w:pPr>
              <w:spacing w:after="40" w:before="0" w:line="259" w:lineRule="auto"/>
            </w:pPr>
            <w:r>
              <w:rPr>
                <w:rFonts w:ascii="Calibri" w:hAnsi="Calibri"/>
                <w:b w:val="0"/>
                <w:i w:val="0"/>
                <w:color w:val="212121"/>
                <w:sz w:val="19"/>
              </w:rPr>
              <w:t>Perceived stress / depression</w:t>
            </w:r>
          </w:p>
        </w:tc>
        <w:tc>
          <w:tcPr>
            <w:tcW w:type="dxa" w:w="1655"/>
            <w:vAlign w:val="top"/>
          </w:tcPr>
          <w:p>
            <w:pPr>
              <w:spacing w:after="40" w:before="0" w:line="259" w:lineRule="auto"/>
            </w:pPr>
            <w:r>
              <w:rPr>
                <w:rFonts w:ascii="Calibri" w:hAnsi="Calibri"/>
                <w:b w:val="0"/>
                <w:i w:val="0"/>
                <w:color w:val="212121"/>
                <w:sz w:val="19"/>
              </w:rPr>
              <w:t>Male partners of infertile couples</w:t>
            </w:r>
          </w:p>
        </w:tc>
        <w:tc>
          <w:tcPr>
            <w:tcW w:type="dxa" w:w="1512"/>
            <w:vAlign w:val="top"/>
          </w:tcPr>
          <w:p>
            <w:pPr>
              <w:spacing w:after="40" w:before="0" w:line="259" w:lineRule="auto"/>
            </w:pPr>
            <w:r>
              <w:rPr>
                <w:rFonts w:ascii="Calibri" w:hAnsi="Calibri"/>
                <w:b w:val="0"/>
                <w:i w:val="0"/>
                <w:color w:val="212121"/>
                <w:sz w:val="19"/>
              </w:rPr>
              <w:t>Low, well-managed stress</w:t>
            </w:r>
          </w:p>
        </w:tc>
        <w:tc>
          <w:tcPr>
            <w:tcW w:type="dxa" w:w="1512"/>
            <w:vAlign w:val="top"/>
          </w:tcPr>
          <w:p>
            <w:pPr>
              <w:spacing w:after="40" w:before="0" w:line="259" w:lineRule="auto"/>
            </w:pPr>
            <w:r>
              <w:rPr>
                <w:rFonts w:ascii="Calibri" w:hAnsi="Calibri"/>
                <w:b w:val="0"/>
                <w:i w:val="0"/>
                <w:color w:val="212121"/>
                <w:sz w:val="19"/>
              </w:rPr>
              <w:t>Chronic high stress, anxiety or depression</w:t>
            </w:r>
          </w:p>
        </w:tc>
        <w:tc>
          <w:tcPr>
            <w:tcW w:type="dxa" w:w="1468"/>
            <w:vAlign w:val="top"/>
          </w:tcPr>
          <w:p>
            <w:pPr>
              <w:spacing w:after="60" w:line="259" w:lineRule="auto"/>
            </w:pPr>
            <w:r>
              <w:rPr>
                <w:rFonts w:ascii="Calibri" w:hAnsi="Calibri"/>
                <w:b w:val="0"/>
                <w:i w:val="0"/>
                <w:color w:val="212121"/>
                <w:sz w:val="19"/>
              </w:rPr>
              <w:t>Stress lowers testosterone and worsens semen parameters</w:t>
            </w:r>
          </w:p>
          <w:p>
            <w:pPr>
              <w:spacing w:after="40" w:line="252" w:lineRule="auto"/>
            </w:pPr>
            <w:hyperlink r:id="rId11">
              <w:r>
                <w:rPr>
                  <w:rFonts w:ascii="Calibri" w:hAnsi="Calibri" w:cs="Calibri"/>
                  <w:sz w:val="18"/>
                  <w:color w:val="1155CC"/>
                  <w:u w:val="single"/>
                </w:rPr>
                <w:t xml:space="preserve">https://pubmed.ncbi.nlm.nih.gov/24673246/</w:t>
              </w:r>
            </w:hyperlink>
          </w:p>
        </w:tc>
      </w:tr>
      <w:tr>
        <w:trPr>
          <w:cantSplit/>
        </w:trPr>
        <w:tc>
          <w:tcPr>
            <w:tcW w:type="dxa" w:w="1512"/>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Serum / dietary antioxidant status</w:t>
            </w:r>
          </w:p>
        </w:tc>
        <w:tc>
          <w:tcPr>
            <w:tcW w:type="dxa" w:w="1655"/>
            <w:vAlign w:val="top"/>
          </w:tcPr>
          <w:p>
            <w:pPr>
              <w:spacing w:after="40" w:before="0" w:line="259" w:lineRule="auto"/>
            </w:pPr>
            <w:r>
              <w:rPr>
                <w:rFonts w:ascii="Calibri" w:hAnsi="Calibri"/>
                <w:b w:val="0"/>
                <w:i w:val="0"/>
                <w:color w:val="212121"/>
                <w:sz w:val="19"/>
              </w:rPr>
              <w:t>Men with oligospermia</w:t>
            </w:r>
          </w:p>
        </w:tc>
        <w:tc>
          <w:tcPr>
            <w:tcW w:type="dxa" w:w="1512"/>
            <w:vAlign w:val="top"/>
          </w:tcPr>
          <w:p>
            <w:pPr>
              <w:spacing w:after="40" w:before="0" w:line="259" w:lineRule="auto"/>
            </w:pPr>
            <w:r>
              <w:rPr>
                <w:rFonts w:ascii="Calibri" w:hAnsi="Calibri"/>
                <w:b w:val="0"/>
                <w:i w:val="0"/>
                <w:color w:val="212121"/>
                <w:sz w:val="19"/>
              </w:rPr>
              <w:t>Adequate fruit, vegetables, zinc, selenium, folate</w:t>
            </w:r>
          </w:p>
        </w:tc>
        <w:tc>
          <w:tcPr>
            <w:tcW w:type="dxa" w:w="1512"/>
            <w:vAlign w:val="top"/>
          </w:tcPr>
          <w:p>
            <w:pPr>
              <w:spacing w:after="40" w:before="0" w:line="259" w:lineRule="auto"/>
            </w:pPr>
            <w:r>
              <w:rPr>
                <w:rFonts w:ascii="Calibri" w:hAnsi="Calibri"/>
                <w:b w:val="0"/>
                <w:i w:val="0"/>
                <w:color w:val="212121"/>
                <w:sz w:val="19"/>
              </w:rPr>
              <w:t>Low intake; high processed/fried food</w:t>
            </w:r>
          </w:p>
        </w:tc>
        <w:tc>
          <w:tcPr>
            <w:tcW w:type="dxa" w:w="1468"/>
            <w:vAlign w:val="top"/>
          </w:tcPr>
          <w:p>
            <w:pPr>
              <w:spacing w:after="40" w:before="0" w:line="259" w:lineRule="auto"/>
            </w:pPr>
            <w:r>
              <w:rPr>
                <w:rFonts w:ascii="Calibri" w:hAnsi="Calibri"/>
                <w:b w:val="0"/>
                <w:i w:val="0"/>
                <w:color w:val="212121"/>
                <w:sz w:val="19"/>
              </w:rPr>
              <w:t>Low antioxidants raise seminal oxidative stress</w:t>
            </w:r>
          </w:p>
        </w:tc>
      </w:tr>
      <w:tr>
        <w:trPr>
          <w:cantSplit/>
        </w:trPr>
        <w:tc>
          <w:tcPr>
            <w:tcW w:type="dxa" w:w="1512"/>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Serum total testosterone (ng/dL)</w:t>
            </w:r>
          </w:p>
        </w:tc>
        <w:tc>
          <w:tcPr>
            <w:tcW w:type="dxa" w:w="1655"/>
            <w:vAlign w:val="top"/>
          </w:tcPr>
          <w:p>
            <w:pPr>
              <w:spacing w:after="40" w:before="0" w:line="259" w:lineRule="auto"/>
            </w:pPr>
            <w:r>
              <w:rPr>
                <w:rFonts w:ascii="Calibri" w:hAnsi="Calibri"/>
                <w:b w:val="0"/>
                <w:i w:val="0"/>
                <w:color w:val="212121"/>
                <w:sz w:val="19"/>
              </w:rPr>
              <w:t>Hypogonadal / obese men</w:t>
            </w:r>
          </w:p>
        </w:tc>
        <w:tc>
          <w:tcPr>
            <w:tcW w:type="dxa" w:w="1512"/>
            <w:vAlign w:val="top"/>
          </w:tcPr>
          <w:p>
            <w:pPr>
              <w:spacing w:after="40" w:before="0" w:line="259" w:lineRule="auto"/>
            </w:pPr>
            <w:r>
              <w:rPr>
                <w:rFonts w:ascii="Calibri" w:hAnsi="Calibri"/>
                <w:b w:val="0"/>
                <w:i w:val="0"/>
                <w:color w:val="212121"/>
                <w:sz w:val="19"/>
              </w:rPr>
              <w:t>~300-1000 ng/dL</w:t>
            </w:r>
          </w:p>
        </w:tc>
        <w:tc>
          <w:tcPr>
            <w:tcW w:type="dxa" w:w="1512"/>
            <w:vAlign w:val="top"/>
          </w:tcPr>
          <w:p>
            <w:pPr>
              <w:spacing w:after="40" w:before="0" w:line="259" w:lineRule="auto"/>
            </w:pPr>
            <w:r>
              <w:rPr>
                <w:rFonts w:ascii="Calibri" w:hAnsi="Calibri"/>
                <w:b w:val="0"/>
                <w:i w:val="0"/>
                <w:color w:val="212121"/>
                <w:sz w:val="19"/>
              </w:rPr>
              <w:t>&lt; 300 ng/dL</w:t>
            </w:r>
          </w:p>
        </w:tc>
        <w:tc>
          <w:tcPr>
            <w:tcW w:type="dxa" w:w="1468"/>
            <w:vAlign w:val="top"/>
          </w:tcPr>
          <w:p>
            <w:pPr>
              <w:spacing w:after="40" w:before="0" w:line="259" w:lineRule="auto"/>
            </w:pPr>
            <w:r>
              <w:rPr>
                <w:rFonts w:ascii="Calibri" w:hAnsi="Calibri"/>
                <w:b w:val="0"/>
                <w:i w:val="0"/>
                <w:color w:val="212121"/>
                <w:sz w:val="19"/>
              </w:rPr>
              <w:t>Low testosterone impairs spermatogenesis and libido</w:t>
            </w:r>
          </w:p>
        </w:tc>
      </w:tr>
      <w:tr>
        <w:trPr>
          <w:cantSplit/>
        </w:trPr>
        <w:tc>
          <w:tcPr>
            <w:tcW w:type="dxa" w:w="1512"/>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Sperm concentration (million/mL)</w:t>
            </w:r>
          </w:p>
        </w:tc>
        <w:tc>
          <w:tcPr>
            <w:tcW w:type="dxa" w:w="1655"/>
            <w:vAlign w:val="top"/>
          </w:tcPr>
          <w:p>
            <w:pPr>
              <w:spacing w:after="40" w:before="0" w:line="259" w:lineRule="auto"/>
            </w:pPr>
            <w:r>
              <w:rPr>
                <w:rFonts w:ascii="Calibri" w:hAnsi="Calibri"/>
                <w:b w:val="0"/>
                <w:i w:val="0"/>
                <w:color w:val="212121"/>
                <w:sz w:val="19"/>
              </w:rPr>
              <w:t>Men undergoing semen analysis</w:t>
            </w:r>
          </w:p>
        </w:tc>
        <w:tc>
          <w:tcPr>
            <w:tcW w:type="dxa" w:w="1512"/>
            <w:vAlign w:val="top"/>
          </w:tcPr>
          <w:p>
            <w:pPr>
              <w:spacing w:after="40" w:before="0" w:line="259" w:lineRule="auto"/>
            </w:pPr>
            <w:r>
              <w:rPr>
                <w:rFonts w:ascii="Calibri" w:hAnsi="Calibri"/>
                <w:b w:val="0"/>
                <w:i w:val="0"/>
                <w:color w:val="212121"/>
                <w:sz w:val="19"/>
              </w:rPr>
              <w:t>≥ 16 million/mL (WHO 2021)</w:t>
            </w:r>
          </w:p>
        </w:tc>
        <w:tc>
          <w:tcPr>
            <w:tcW w:type="dxa" w:w="1512"/>
            <w:vAlign w:val="top"/>
          </w:tcPr>
          <w:p>
            <w:pPr>
              <w:spacing w:after="40" w:before="0" w:line="259" w:lineRule="auto"/>
            </w:pPr>
            <w:r>
              <w:rPr>
                <w:rFonts w:ascii="Calibri" w:hAnsi="Calibri"/>
                <w:b w:val="0"/>
                <w:i w:val="0"/>
                <w:color w:val="212121"/>
                <w:sz w:val="19"/>
              </w:rPr>
              <w:t>&lt; 15-16 million/mL (oligozoospermia)</w:t>
            </w:r>
          </w:p>
        </w:tc>
        <w:tc>
          <w:tcPr>
            <w:tcW w:type="dxa" w:w="1468"/>
            <w:vAlign w:val="top"/>
          </w:tcPr>
          <w:p>
            <w:pPr>
              <w:spacing w:after="60" w:line="259" w:lineRule="auto"/>
            </w:pPr>
            <w:r>
              <w:rPr>
                <w:rFonts w:ascii="Calibri" w:hAnsi="Calibri"/>
                <w:b w:val="0"/>
                <w:i w:val="0"/>
                <w:color w:val="212121"/>
                <w:sz w:val="19"/>
              </w:rPr>
              <w:t>Below reference limit defines oligospermia</w:t>
            </w:r>
          </w:p>
          <w:p>
            <w:pPr>
              <w:spacing w:after="40" w:line="252" w:lineRule="auto"/>
            </w:pPr>
            <w:hyperlink r:id="rId19">
              <w:r>
                <w:rPr>
                  <w:rFonts w:ascii="Calibri" w:hAnsi="Calibri" w:cs="Calibri"/>
                  <w:sz w:val="18"/>
                  <w:color w:val="1155CC"/>
                  <w:u w:val="single"/>
                </w:rPr>
                <w:t xml:space="preserve">https://www.fertility-smart.net/knowledge-center/normal-semen-analysis-who-2021/</w:t>
              </w:r>
            </w:hyperlink>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Andrological</w:t>
            </w:r>
          </w:p>
        </w:tc>
        <w:tc>
          <w:tcPr>
            <w:tcW w:type="dxa" w:w="1036"/>
            <w:vAlign w:val="top"/>
          </w:tcPr>
          <w:p>
            <w:pPr>
              <w:spacing w:after="40" w:before="0" w:line="259" w:lineRule="auto"/>
            </w:pPr>
            <w:r>
              <w:rPr>
                <w:rFonts w:ascii="Calibri" w:hAnsi="Calibri"/>
                <w:b w:val="0"/>
                <w:i w:val="0"/>
                <w:color w:val="212121"/>
                <w:sz w:val="16"/>
              </w:rPr>
              <w:t>Sperm concentration, motility, morphology</w:t>
            </w:r>
          </w:p>
        </w:tc>
        <w:tc>
          <w:tcPr>
            <w:tcW w:type="dxa" w:w="892"/>
            <w:vAlign w:val="top"/>
          </w:tcPr>
          <w:p>
            <w:pPr>
              <w:spacing w:after="40" w:before="0" w:line="259" w:lineRule="auto"/>
            </w:pPr>
            <w:r>
              <w:rPr>
                <w:rFonts w:ascii="Calibri" w:hAnsi="Calibri"/>
                <w:b w:val="0"/>
                <w:i w:val="0"/>
                <w:color w:val="212121"/>
                <w:sz w:val="16"/>
              </w:rPr>
              <w:t>Semen Analysis</w:t>
            </w:r>
          </w:p>
        </w:tc>
        <w:tc>
          <w:tcPr>
            <w:tcW w:type="dxa" w:w="950"/>
            <w:vAlign w:val="top"/>
          </w:tcPr>
          <w:p>
            <w:pPr>
              <w:spacing w:after="40" w:before="0" w:line="259" w:lineRule="auto"/>
            </w:pPr>
            <w:r>
              <w:rPr>
                <w:rFonts w:ascii="Calibri" w:hAnsi="Calibri"/>
                <w:b w:val="0"/>
                <w:i w:val="0"/>
                <w:color w:val="212121"/>
                <w:sz w:val="16"/>
              </w:rPr>
              <w:t>Conc ≥ 16 M/mL; total motility ≥ 42%; morphology ≥ 4% (WHO 2021)</w:t>
            </w:r>
          </w:p>
        </w:tc>
        <w:tc>
          <w:tcPr>
            <w:tcW w:type="dxa" w:w="950"/>
            <w:vAlign w:val="top"/>
          </w:tcPr>
          <w:p>
            <w:pPr>
              <w:spacing w:after="40" w:before="0" w:line="259" w:lineRule="auto"/>
            </w:pPr>
            <w:r>
              <w:rPr>
                <w:rFonts w:ascii="Calibri" w:hAnsi="Calibri"/>
                <w:b w:val="0"/>
                <w:i w:val="0"/>
                <w:color w:val="212121"/>
                <w:sz w:val="16"/>
              </w:rPr>
              <w:t>Conc &lt; 15-16 M/mL; motility &lt; 40-42%; morphology &lt; 4%</w:t>
            </w:r>
          </w:p>
        </w:tc>
        <w:tc>
          <w:tcPr>
            <w:tcW w:type="dxa" w:w="1036"/>
            <w:vAlign w:val="top"/>
          </w:tcPr>
          <w:p>
            <w:pPr>
              <w:spacing w:after="40" w:before="0" w:line="259" w:lineRule="auto"/>
            </w:pPr>
            <w:r>
              <w:rPr>
                <w:rFonts w:ascii="Calibri" w:hAnsi="Calibri"/>
                <w:b w:val="0"/>
                <w:i w:val="0"/>
                <w:color w:val="212121"/>
                <w:sz w:val="16"/>
              </w:rPr>
              <w:t>Primary test; defines oligozoospermia, asthenozoospermia, teratozoospermia, OAT or azoospermia</w:t>
            </w:r>
          </w:p>
        </w:tc>
        <w:tc>
          <w:tcPr>
            <w:tcW w:type="dxa" w:w="1036"/>
            <w:vAlign w:val="top"/>
          </w:tcPr>
          <w:p>
            <w:pPr>
              <w:spacing w:after="40" w:before="0" w:line="259" w:lineRule="auto"/>
            </w:pPr>
            <w:r>
              <w:rPr>
                <w:rFonts w:ascii="Calibri" w:hAnsi="Calibri"/>
                <w:b w:val="0"/>
                <w:i w:val="0"/>
                <w:color w:val="212121"/>
                <w:sz w:val="16"/>
              </w:rPr>
              <w:t>All men evaluated for infertility</w:t>
            </w:r>
          </w:p>
        </w:tc>
        <w:tc>
          <w:tcPr>
            <w:tcW w:type="dxa" w:w="720"/>
            <w:vAlign w:val="top"/>
          </w:tcPr>
          <w:p>
            <w:pPr>
              <w:spacing w:after="40" w:before="0" w:line="259" w:lineRule="auto"/>
            </w:pPr>
            <w:r>
              <w:rPr>
                <w:rFonts w:ascii="Calibri" w:hAnsi="Calibri"/>
                <w:b w:val="0"/>
                <w:i w:val="0"/>
                <w:color w:val="212121"/>
                <w:sz w:val="16"/>
              </w:rPr>
              <w:t>Food; Physical activity; Provoking factors</w:t>
            </w:r>
          </w:p>
        </w:tc>
        <w:tc>
          <w:tcPr>
            <w:tcW w:type="dxa" w:w="720"/>
            <w:vAlign w:val="top"/>
          </w:tcPr>
          <w:p>
            <w:pPr>
              <w:spacing w:after="40" w:before="0" w:line="259" w:lineRule="auto"/>
            </w:pPr>
            <w:r>
              <w:rPr>
                <w:rFonts w:ascii="Calibri" w:hAnsi="Calibri"/>
                <w:b w:val="0"/>
                <w:i w:val="0"/>
                <w:color w:val="212121"/>
                <w:sz w:val="16"/>
              </w:rPr>
              <w:t>Gold standard</w:t>
            </w:r>
          </w:p>
        </w:tc>
        <w:tc>
          <w:tcPr>
            <w:tcW w:type="dxa" w:w="720"/>
            <w:vAlign w:val="top"/>
          </w:tcPr>
          <w:p>
            <w:pPr>
              <w:spacing w:after="40" w:before="0" w:line="259" w:lineRule="auto"/>
            </w:pPr>
            <w:r>
              <w:rPr>
                <w:rFonts w:ascii="Calibri" w:hAnsi="Calibri"/>
                <w:b w:val="0"/>
                <w:i w:val="0"/>
                <w:color w:val="212121"/>
                <w:sz w:val="16"/>
              </w:rPr>
              <w:t>Confirm on ≥ 2 samples, 2-7 days abstinence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Hormonal</w:t>
            </w:r>
          </w:p>
        </w:tc>
        <w:tc>
          <w:tcPr>
            <w:tcW w:type="dxa" w:w="1036"/>
            <w:vAlign w:val="top"/>
          </w:tcPr>
          <w:p>
            <w:pPr>
              <w:spacing w:after="40" w:before="0" w:line="259" w:lineRule="auto"/>
            </w:pPr>
            <w:r>
              <w:rPr>
                <w:rFonts w:ascii="Calibri" w:hAnsi="Calibri"/>
                <w:b w:val="0"/>
                <w:i w:val="0"/>
                <w:color w:val="212121"/>
                <w:sz w:val="16"/>
              </w:rPr>
              <w:t>Follicle-stimulating hormone (FSH)</w:t>
            </w:r>
          </w:p>
        </w:tc>
        <w:tc>
          <w:tcPr>
            <w:tcW w:type="dxa" w:w="892"/>
            <w:vAlign w:val="top"/>
          </w:tcPr>
          <w:p>
            <w:pPr>
              <w:spacing w:after="40" w:before="0" w:line="259" w:lineRule="auto"/>
            </w:pPr>
            <w:r>
              <w:rPr>
                <w:rFonts w:ascii="Calibri" w:hAnsi="Calibri"/>
                <w:b w:val="0"/>
                <w:i w:val="0"/>
                <w:color w:val="212121"/>
                <w:sz w:val="16"/>
              </w:rPr>
              <w:t>Serum FSH</w:t>
            </w:r>
          </w:p>
        </w:tc>
        <w:tc>
          <w:tcPr>
            <w:tcW w:type="dxa" w:w="950"/>
            <w:vAlign w:val="top"/>
          </w:tcPr>
          <w:p>
            <w:pPr>
              <w:spacing w:after="40" w:before="0" w:line="259" w:lineRule="auto"/>
            </w:pPr>
            <w:r>
              <w:rPr>
                <w:rFonts w:ascii="Calibri" w:hAnsi="Calibri"/>
                <w:b w:val="0"/>
                <w:i w:val="0"/>
                <w:color w:val="212121"/>
                <w:sz w:val="16"/>
              </w:rPr>
              <w:t>~1.5-12.4 mIU/mL</w:t>
            </w:r>
          </w:p>
        </w:tc>
        <w:tc>
          <w:tcPr>
            <w:tcW w:type="dxa" w:w="950"/>
            <w:vAlign w:val="top"/>
          </w:tcPr>
          <w:p>
            <w:pPr>
              <w:spacing w:after="40" w:before="0" w:line="259" w:lineRule="auto"/>
            </w:pPr>
            <w:r>
              <w:rPr>
                <w:rFonts w:ascii="Calibri" w:hAnsi="Calibri"/>
                <w:b w:val="0"/>
                <w:i w:val="0"/>
                <w:color w:val="212121"/>
                <w:sz w:val="16"/>
              </w:rPr>
              <w:t>High (primary testicular failure) or low (hypogonadotropic)</w:t>
            </w:r>
          </w:p>
        </w:tc>
        <w:tc>
          <w:tcPr>
            <w:tcW w:type="dxa" w:w="1036"/>
            <w:vAlign w:val="top"/>
          </w:tcPr>
          <w:p>
            <w:pPr>
              <w:spacing w:after="40" w:before="0" w:line="259" w:lineRule="auto"/>
            </w:pPr>
            <w:r>
              <w:rPr>
                <w:rFonts w:ascii="Calibri" w:hAnsi="Calibri"/>
                <w:b w:val="0"/>
                <w:i w:val="0"/>
                <w:color w:val="212121"/>
                <w:sz w:val="16"/>
              </w:rPr>
              <w:t>High FSH with azoospermia suggests non-obstructive/testicular failure; low suggests pituitary cause</w:t>
            </w:r>
          </w:p>
        </w:tc>
        <w:tc>
          <w:tcPr>
            <w:tcW w:type="dxa" w:w="1036"/>
            <w:vAlign w:val="top"/>
          </w:tcPr>
          <w:p>
            <w:pPr>
              <w:spacing w:after="40" w:before="0" w:line="259" w:lineRule="auto"/>
            </w:pPr>
            <w:r>
              <w:rPr>
                <w:rFonts w:ascii="Calibri" w:hAnsi="Calibri"/>
                <w:b w:val="0"/>
                <w:i w:val="0"/>
                <w:color w:val="212121"/>
                <w:sz w:val="16"/>
              </w:rPr>
              <w:t>Oligospermic/azoospermic men</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High</w:t>
            </w:r>
          </w:p>
        </w:tc>
        <w:tc>
          <w:tcPr>
            <w:tcW w:type="dxa" w:w="720"/>
            <w:vAlign w:val="top"/>
          </w:tcPr>
          <w:p>
            <w:pPr>
              <w:spacing w:after="40" w:before="0" w:line="259" w:lineRule="auto"/>
            </w:pPr>
            <w:r>
              <w:rPr>
                <w:rFonts w:ascii="Calibri" w:hAnsi="Calibri"/>
                <w:b w:val="0"/>
                <w:i w:val="0"/>
                <w:color w:val="212121"/>
                <w:sz w:val="16"/>
              </w:rPr>
              <w:t>Interpret with LH and testosterone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Hormonal</w:t>
            </w:r>
          </w:p>
        </w:tc>
        <w:tc>
          <w:tcPr>
            <w:tcW w:type="dxa" w:w="1036"/>
            <w:vAlign w:val="top"/>
          </w:tcPr>
          <w:p>
            <w:pPr>
              <w:spacing w:after="40" w:before="0" w:line="259" w:lineRule="auto"/>
            </w:pPr>
            <w:r>
              <w:rPr>
                <w:rFonts w:ascii="Calibri" w:hAnsi="Calibri"/>
                <w:b w:val="0"/>
                <w:i w:val="0"/>
                <w:color w:val="212121"/>
                <w:sz w:val="16"/>
              </w:rPr>
              <w:t>Luteinising hormone (LH)</w:t>
            </w:r>
          </w:p>
        </w:tc>
        <w:tc>
          <w:tcPr>
            <w:tcW w:type="dxa" w:w="892"/>
            <w:vAlign w:val="top"/>
          </w:tcPr>
          <w:p>
            <w:pPr>
              <w:spacing w:after="40" w:before="0" w:line="259" w:lineRule="auto"/>
            </w:pPr>
            <w:r>
              <w:rPr>
                <w:rFonts w:ascii="Calibri" w:hAnsi="Calibri"/>
                <w:b w:val="0"/>
                <w:i w:val="0"/>
                <w:color w:val="212121"/>
                <w:sz w:val="16"/>
              </w:rPr>
              <w:t>Serum LH</w:t>
            </w:r>
          </w:p>
        </w:tc>
        <w:tc>
          <w:tcPr>
            <w:tcW w:type="dxa" w:w="950"/>
            <w:vAlign w:val="top"/>
          </w:tcPr>
          <w:p>
            <w:pPr>
              <w:spacing w:after="40" w:before="0" w:line="259" w:lineRule="auto"/>
            </w:pPr>
            <w:r>
              <w:rPr>
                <w:rFonts w:ascii="Calibri" w:hAnsi="Calibri"/>
                <w:b w:val="0"/>
                <w:i w:val="0"/>
                <w:color w:val="212121"/>
                <w:sz w:val="16"/>
              </w:rPr>
              <w:t>~1.7-8.6 mIU/mL</w:t>
            </w:r>
          </w:p>
        </w:tc>
        <w:tc>
          <w:tcPr>
            <w:tcW w:type="dxa" w:w="950"/>
            <w:vAlign w:val="top"/>
          </w:tcPr>
          <w:p>
            <w:pPr>
              <w:spacing w:after="40" w:before="0" w:line="259" w:lineRule="auto"/>
            </w:pPr>
            <w:r>
              <w:rPr>
                <w:rFonts w:ascii="Calibri" w:hAnsi="Calibri"/>
                <w:b w:val="0"/>
                <w:i w:val="0"/>
                <w:color w:val="212121"/>
                <w:sz w:val="16"/>
              </w:rPr>
              <w:t>High or low</w:t>
            </w:r>
          </w:p>
        </w:tc>
        <w:tc>
          <w:tcPr>
            <w:tcW w:type="dxa" w:w="1036"/>
            <w:vAlign w:val="top"/>
          </w:tcPr>
          <w:p>
            <w:pPr>
              <w:spacing w:after="40" w:before="0" w:line="259" w:lineRule="auto"/>
            </w:pPr>
            <w:r>
              <w:rPr>
                <w:rFonts w:ascii="Calibri" w:hAnsi="Calibri"/>
                <w:b w:val="0"/>
                <w:i w:val="0"/>
                <w:color w:val="212121"/>
                <w:sz w:val="16"/>
              </w:rPr>
              <w:t>Localises defect to testis (high) or hypothalamic-pituitary axis (low)</w:t>
            </w:r>
          </w:p>
        </w:tc>
        <w:tc>
          <w:tcPr>
            <w:tcW w:type="dxa" w:w="1036"/>
            <w:vAlign w:val="top"/>
          </w:tcPr>
          <w:p>
            <w:pPr>
              <w:spacing w:after="40" w:before="0" w:line="259" w:lineRule="auto"/>
            </w:pPr>
            <w:r>
              <w:rPr>
                <w:rFonts w:ascii="Calibri" w:hAnsi="Calibri"/>
                <w:b w:val="0"/>
                <w:i w:val="0"/>
                <w:color w:val="212121"/>
                <w:sz w:val="16"/>
              </w:rPr>
              <w:t>Men with abnormal semen or hypogonadism</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High</w:t>
            </w:r>
          </w:p>
        </w:tc>
        <w:tc>
          <w:tcPr>
            <w:tcW w:type="dxa" w:w="720"/>
            <w:vAlign w:val="top"/>
          </w:tcPr>
          <w:p>
            <w:pPr>
              <w:spacing w:after="40" w:before="0" w:line="259" w:lineRule="auto"/>
            </w:pPr>
            <w:r>
              <w:rPr>
                <w:rFonts w:ascii="Calibri" w:hAnsi="Calibri"/>
                <w:b w:val="0"/>
                <w:i w:val="0"/>
                <w:color w:val="212121"/>
                <w:sz w:val="16"/>
              </w:rPr>
              <w:t>Part of endocrine panel</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Hormonal</w:t>
            </w:r>
          </w:p>
        </w:tc>
        <w:tc>
          <w:tcPr>
            <w:tcW w:type="dxa" w:w="1036"/>
            <w:vAlign w:val="top"/>
          </w:tcPr>
          <w:p>
            <w:pPr>
              <w:spacing w:after="40" w:before="0" w:line="259" w:lineRule="auto"/>
            </w:pPr>
            <w:r>
              <w:rPr>
                <w:rFonts w:ascii="Calibri" w:hAnsi="Calibri"/>
                <w:b w:val="0"/>
                <w:i w:val="0"/>
                <w:color w:val="212121"/>
                <w:sz w:val="16"/>
              </w:rPr>
              <w:t>Total testosterone</w:t>
            </w:r>
          </w:p>
        </w:tc>
        <w:tc>
          <w:tcPr>
            <w:tcW w:type="dxa" w:w="892"/>
            <w:vAlign w:val="top"/>
          </w:tcPr>
          <w:p>
            <w:pPr>
              <w:spacing w:after="40" w:before="0" w:line="259" w:lineRule="auto"/>
            </w:pPr>
            <w:r>
              <w:rPr>
                <w:rFonts w:ascii="Calibri" w:hAnsi="Calibri"/>
                <w:b w:val="0"/>
                <w:i w:val="0"/>
                <w:color w:val="212121"/>
                <w:sz w:val="16"/>
              </w:rPr>
              <w:t>Serum Testosterone</w:t>
            </w:r>
          </w:p>
        </w:tc>
        <w:tc>
          <w:tcPr>
            <w:tcW w:type="dxa" w:w="950"/>
            <w:vAlign w:val="top"/>
          </w:tcPr>
          <w:p>
            <w:pPr>
              <w:spacing w:after="40" w:before="0" w:line="259" w:lineRule="auto"/>
            </w:pPr>
            <w:r>
              <w:rPr>
                <w:rFonts w:ascii="Calibri" w:hAnsi="Calibri"/>
                <w:b w:val="0"/>
                <w:i w:val="0"/>
                <w:color w:val="212121"/>
                <w:sz w:val="16"/>
              </w:rPr>
              <w:t>~300-1000 ng/dL</w:t>
            </w:r>
          </w:p>
        </w:tc>
        <w:tc>
          <w:tcPr>
            <w:tcW w:type="dxa" w:w="950"/>
            <w:vAlign w:val="top"/>
          </w:tcPr>
          <w:p>
            <w:pPr>
              <w:spacing w:after="40" w:before="0" w:line="259" w:lineRule="auto"/>
            </w:pPr>
            <w:r>
              <w:rPr>
                <w:rFonts w:ascii="Calibri" w:hAnsi="Calibri"/>
                <w:b w:val="0"/>
                <w:i w:val="0"/>
                <w:color w:val="212121"/>
                <w:sz w:val="16"/>
              </w:rPr>
              <w:t>&lt; 300 ng/dL</w:t>
            </w:r>
          </w:p>
        </w:tc>
        <w:tc>
          <w:tcPr>
            <w:tcW w:type="dxa" w:w="1036"/>
            <w:vAlign w:val="top"/>
          </w:tcPr>
          <w:p>
            <w:pPr>
              <w:spacing w:after="40" w:before="0" w:line="259" w:lineRule="auto"/>
            </w:pPr>
            <w:r>
              <w:rPr>
                <w:rFonts w:ascii="Calibri" w:hAnsi="Calibri"/>
                <w:b w:val="0"/>
                <w:i w:val="0"/>
                <w:color w:val="212121"/>
                <w:sz w:val="16"/>
              </w:rPr>
              <w:t>Low testosterone indicates hypogonadism; guides therapy (never give exogenous testosterone if fertility desired)</w:t>
            </w:r>
          </w:p>
        </w:tc>
        <w:tc>
          <w:tcPr>
            <w:tcW w:type="dxa" w:w="1036"/>
            <w:vAlign w:val="top"/>
          </w:tcPr>
          <w:p>
            <w:pPr>
              <w:spacing w:after="40" w:before="0" w:line="259" w:lineRule="auto"/>
            </w:pPr>
            <w:r>
              <w:rPr>
                <w:rFonts w:ascii="Calibri" w:hAnsi="Calibri"/>
                <w:b w:val="0"/>
                <w:i w:val="0"/>
                <w:color w:val="212121"/>
                <w:sz w:val="16"/>
              </w:rPr>
              <w:t>Hypogonadal, obese, low-libido men</w:t>
            </w:r>
          </w:p>
        </w:tc>
        <w:tc>
          <w:tcPr>
            <w:tcW w:type="dxa" w:w="720"/>
            <w:vAlign w:val="top"/>
          </w:tcPr>
          <w:p>
            <w:pPr>
              <w:spacing w:after="40" w:before="0" w:line="259" w:lineRule="auto"/>
            </w:pPr>
            <w:r>
              <w:rPr>
                <w:rFonts w:ascii="Calibri" w:hAnsi="Calibri"/>
                <w:b w:val="0"/>
                <w:i w:val="0"/>
                <w:color w:val="212121"/>
                <w:sz w:val="16"/>
              </w:rPr>
              <w:t>Physical activity; Alcohol</w:t>
            </w:r>
          </w:p>
        </w:tc>
        <w:tc>
          <w:tcPr>
            <w:tcW w:type="dxa" w:w="720"/>
            <w:vAlign w:val="top"/>
          </w:tcPr>
          <w:p>
            <w:pPr>
              <w:spacing w:after="40" w:before="0" w:line="259" w:lineRule="auto"/>
            </w:pPr>
            <w:r>
              <w:rPr>
                <w:rFonts w:ascii="Calibri" w:hAnsi="Calibri"/>
                <w:b w:val="0"/>
                <w:i w:val="0"/>
                <w:color w:val="212121"/>
                <w:sz w:val="16"/>
              </w:rPr>
              <w:t>High</w:t>
            </w:r>
          </w:p>
        </w:tc>
        <w:tc>
          <w:tcPr>
            <w:tcW w:type="dxa" w:w="720"/>
            <w:vAlign w:val="top"/>
          </w:tcPr>
          <w:p>
            <w:pPr>
              <w:spacing w:after="40" w:before="0" w:line="259" w:lineRule="auto"/>
            </w:pPr>
            <w:r>
              <w:rPr>
                <w:rFonts w:ascii="Calibri" w:hAnsi="Calibri"/>
                <w:b w:val="0"/>
                <w:i w:val="0"/>
                <w:color w:val="212121"/>
                <w:sz w:val="16"/>
              </w:rPr>
              <w:t>Morning fasting sample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Hormonal</w:t>
            </w:r>
          </w:p>
        </w:tc>
        <w:tc>
          <w:tcPr>
            <w:tcW w:type="dxa" w:w="1036"/>
            <w:vAlign w:val="top"/>
          </w:tcPr>
          <w:p>
            <w:pPr>
              <w:spacing w:after="40" w:before="0" w:line="259" w:lineRule="auto"/>
            </w:pPr>
            <w:r>
              <w:rPr>
                <w:rFonts w:ascii="Calibri" w:hAnsi="Calibri"/>
                <w:b w:val="0"/>
                <w:i w:val="0"/>
                <w:color w:val="212121"/>
                <w:sz w:val="16"/>
              </w:rPr>
              <w:t>Prolactin</w:t>
            </w:r>
          </w:p>
        </w:tc>
        <w:tc>
          <w:tcPr>
            <w:tcW w:type="dxa" w:w="892"/>
            <w:vAlign w:val="top"/>
          </w:tcPr>
          <w:p>
            <w:pPr>
              <w:spacing w:after="40" w:before="0" w:line="259" w:lineRule="auto"/>
            </w:pPr>
            <w:r>
              <w:rPr>
                <w:rFonts w:ascii="Calibri" w:hAnsi="Calibri"/>
                <w:b w:val="0"/>
                <w:i w:val="0"/>
                <w:color w:val="212121"/>
                <w:sz w:val="16"/>
              </w:rPr>
              <w:t>Serum Prolactin</w:t>
            </w:r>
          </w:p>
        </w:tc>
        <w:tc>
          <w:tcPr>
            <w:tcW w:type="dxa" w:w="950"/>
            <w:vAlign w:val="top"/>
          </w:tcPr>
          <w:p>
            <w:pPr>
              <w:spacing w:after="40" w:before="0" w:line="259" w:lineRule="auto"/>
            </w:pPr>
            <w:r>
              <w:rPr>
                <w:rFonts w:ascii="Calibri" w:hAnsi="Calibri"/>
                <w:b w:val="0"/>
                <w:i w:val="0"/>
                <w:color w:val="212121"/>
                <w:sz w:val="16"/>
              </w:rPr>
              <w:t>~2-18 ng/mL</w:t>
            </w:r>
          </w:p>
        </w:tc>
        <w:tc>
          <w:tcPr>
            <w:tcW w:type="dxa" w:w="950"/>
            <w:vAlign w:val="top"/>
          </w:tcPr>
          <w:p>
            <w:pPr>
              <w:spacing w:after="40" w:before="0" w:line="259" w:lineRule="auto"/>
            </w:pPr>
            <w:r>
              <w:rPr>
                <w:rFonts w:ascii="Calibri" w:hAnsi="Calibri"/>
                <w:b w:val="0"/>
                <w:i w:val="0"/>
                <w:color w:val="212121"/>
                <w:sz w:val="16"/>
              </w:rPr>
              <w:t>Elevated</w:t>
            </w:r>
          </w:p>
        </w:tc>
        <w:tc>
          <w:tcPr>
            <w:tcW w:type="dxa" w:w="1036"/>
            <w:vAlign w:val="top"/>
          </w:tcPr>
          <w:p>
            <w:pPr>
              <w:spacing w:after="40" w:before="0" w:line="259" w:lineRule="auto"/>
            </w:pPr>
            <w:r>
              <w:rPr>
                <w:rFonts w:ascii="Calibri" w:hAnsi="Calibri"/>
                <w:b w:val="0"/>
                <w:i w:val="0"/>
                <w:color w:val="212121"/>
                <w:sz w:val="16"/>
              </w:rPr>
              <w:t>Hyperprolactinaemia suppresses gonadotropins; prompts pituitary imaging</w:t>
            </w:r>
          </w:p>
        </w:tc>
        <w:tc>
          <w:tcPr>
            <w:tcW w:type="dxa" w:w="1036"/>
            <w:vAlign w:val="top"/>
          </w:tcPr>
          <w:p>
            <w:pPr>
              <w:spacing w:after="40" w:before="0" w:line="259" w:lineRule="auto"/>
            </w:pPr>
            <w:r>
              <w:rPr>
                <w:rFonts w:ascii="Calibri" w:hAnsi="Calibri"/>
                <w:b w:val="0"/>
                <w:i w:val="0"/>
                <w:color w:val="212121"/>
                <w:sz w:val="16"/>
              </w:rPr>
              <w:t>Men with low libido, ED, low testosterone</w:t>
            </w:r>
          </w:p>
        </w:tc>
        <w:tc>
          <w:tcPr>
            <w:tcW w:type="dxa" w:w="720"/>
            <w:vAlign w:val="top"/>
          </w:tcPr>
          <w:p>
            <w:pPr>
              <w:spacing w:after="40" w:before="0" w:line="259" w:lineRule="auto"/>
            </w:pPr>
            <w:r>
              <w:rPr>
                <w:rFonts w:ascii="Calibri" w:hAnsi="Calibri"/>
                <w:b w:val="0"/>
                <w:i w:val="0"/>
                <w:color w:val="212121"/>
                <w:sz w:val="16"/>
              </w:rPr>
              <w:t>Mental health</w:t>
            </w:r>
          </w:p>
        </w:tc>
        <w:tc>
          <w:tcPr>
            <w:tcW w:type="dxa" w:w="720"/>
            <w:vAlign w:val="top"/>
          </w:tcPr>
          <w:p>
            <w:pPr>
              <w:spacing w:after="40" w:before="0" w:line="259" w:lineRule="auto"/>
            </w:pPr>
            <w:r>
              <w:rPr>
                <w:rFonts w:ascii="Calibri" w:hAnsi="Calibri"/>
                <w:b w:val="0"/>
                <w:i w:val="0"/>
                <w:color w:val="212121"/>
                <w:sz w:val="16"/>
              </w:rPr>
              <w:t>Selective</w:t>
            </w:r>
          </w:p>
        </w:tc>
        <w:tc>
          <w:tcPr>
            <w:tcW w:type="dxa" w:w="720"/>
            <w:vAlign w:val="top"/>
          </w:tcPr>
          <w:p>
            <w:pPr>
              <w:spacing w:after="40" w:before="0" w:line="259" w:lineRule="auto"/>
            </w:pPr>
            <w:r>
              <w:rPr>
                <w:rFonts w:ascii="Calibri" w:hAnsi="Calibri"/>
                <w:b w:val="0"/>
                <w:i w:val="0"/>
                <w:color w:val="212121"/>
                <w:sz w:val="16"/>
              </w:rPr>
              <w:t>Repeat if borderline; exclude drugs/stress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Genetic</w:t>
            </w:r>
          </w:p>
        </w:tc>
        <w:tc>
          <w:tcPr>
            <w:tcW w:type="dxa" w:w="1036"/>
            <w:vAlign w:val="top"/>
          </w:tcPr>
          <w:p>
            <w:pPr>
              <w:spacing w:after="40" w:before="0" w:line="259" w:lineRule="auto"/>
            </w:pPr>
            <w:r>
              <w:rPr>
                <w:rFonts w:ascii="Calibri" w:hAnsi="Calibri"/>
                <w:b w:val="0"/>
                <w:i w:val="0"/>
                <w:color w:val="212121"/>
                <w:sz w:val="16"/>
              </w:rPr>
              <w:t>Karyotype</w:t>
            </w:r>
          </w:p>
        </w:tc>
        <w:tc>
          <w:tcPr>
            <w:tcW w:type="dxa" w:w="892"/>
            <w:vAlign w:val="top"/>
          </w:tcPr>
          <w:p>
            <w:pPr>
              <w:spacing w:after="40" w:before="0" w:line="259" w:lineRule="auto"/>
            </w:pPr>
            <w:r>
              <w:rPr>
                <w:rFonts w:ascii="Calibri" w:hAnsi="Calibri"/>
                <w:b w:val="0"/>
                <w:i w:val="0"/>
                <w:color w:val="212121"/>
                <w:sz w:val="16"/>
              </w:rPr>
              <w:t>Chromosomal Analysis</w:t>
            </w:r>
          </w:p>
        </w:tc>
        <w:tc>
          <w:tcPr>
            <w:tcW w:type="dxa" w:w="950"/>
            <w:vAlign w:val="top"/>
          </w:tcPr>
          <w:p>
            <w:pPr>
              <w:spacing w:after="40" w:before="0" w:line="259" w:lineRule="auto"/>
            </w:pPr>
            <w:r>
              <w:rPr>
                <w:rFonts w:ascii="Calibri" w:hAnsi="Calibri"/>
                <w:b w:val="0"/>
                <w:i w:val="0"/>
                <w:color w:val="212121"/>
                <w:sz w:val="16"/>
              </w:rPr>
              <w:t>46,XY</w:t>
            </w:r>
          </w:p>
        </w:tc>
        <w:tc>
          <w:tcPr>
            <w:tcW w:type="dxa" w:w="950"/>
            <w:vAlign w:val="top"/>
          </w:tcPr>
          <w:p>
            <w:pPr>
              <w:spacing w:after="40" w:before="0" w:line="259" w:lineRule="auto"/>
            </w:pPr>
            <w:r>
              <w:rPr>
                <w:rFonts w:ascii="Calibri" w:hAnsi="Calibri"/>
                <w:b w:val="0"/>
                <w:i w:val="0"/>
                <w:color w:val="212121"/>
                <w:sz w:val="16"/>
              </w:rPr>
              <w:t>47,XXY (Klinefelter) or other</w:t>
            </w:r>
          </w:p>
        </w:tc>
        <w:tc>
          <w:tcPr>
            <w:tcW w:type="dxa" w:w="1036"/>
            <w:vAlign w:val="top"/>
          </w:tcPr>
          <w:p>
            <w:pPr>
              <w:spacing w:after="40" w:before="0" w:line="259" w:lineRule="auto"/>
            </w:pPr>
            <w:r>
              <w:rPr>
                <w:rFonts w:ascii="Calibri" w:hAnsi="Calibri"/>
                <w:b w:val="0"/>
                <w:i w:val="0"/>
                <w:color w:val="212121"/>
                <w:sz w:val="16"/>
              </w:rPr>
              <w:t>Detects chromosomal causes of non-obstructive azoospermia/severe oligospermia</w:t>
            </w:r>
          </w:p>
        </w:tc>
        <w:tc>
          <w:tcPr>
            <w:tcW w:type="dxa" w:w="1036"/>
            <w:vAlign w:val="top"/>
          </w:tcPr>
          <w:p>
            <w:pPr>
              <w:spacing w:after="40" w:before="0" w:line="259" w:lineRule="auto"/>
            </w:pPr>
            <w:r>
              <w:rPr>
                <w:rFonts w:ascii="Calibri" w:hAnsi="Calibri"/>
                <w:b w:val="0"/>
                <w:i w:val="0"/>
                <w:color w:val="212121"/>
                <w:sz w:val="16"/>
              </w:rPr>
              <w:t>Severe oligospermia (&lt;5 M/mL), azoospermia</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High</w:t>
            </w:r>
          </w:p>
        </w:tc>
        <w:tc>
          <w:tcPr>
            <w:tcW w:type="dxa" w:w="720"/>
            <w:vAlign w:val="top"/>
          </w:tcPr>
          <w:p>
            <w:pPr>
              <w:spacing w:after="40" w:before="0" w:line="259" w:lineRule="auto"/>
            </w:pPr>
            <w:r>
              <w:rPr>
                <w:rFonts w:ascii="Calibri" w:hAnsi="Calibri"/>
                <w:b w:val="0"/>
                <w:i w:val="0"/>
                <w:color w:val="212121"/>
                <w:sz w:val="16"/>
              </w:rPr>
              <w:t>~2.6% of Indian infertile men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Genetic</w:t>
            </w:r>
          </w:p>
        </w:tc>
        <w:tc>
          <w:tcPr>
            <w:tcW w:type="dxa" w:w="1036"/>
            <w:vAlign w:val="top"/>
          </w:tcPr>
          <w:p>
            <w:pPr>
              <w:spacing w:after="40" w:before="0" w:line="259" w:lineRule="auto"/>
            </w:pPr>
            <w:r>
              <w:rPr>
                <w:rFonts w:ascii="Calibri" w:hAnsi="Calibri"/>
                <w:b w:val="0"/>
                <w:i w:val="0"/>
                <w:color w:val="212121"/>
                <w:sz w:val="16"/>
              </w:rPr>
              <w:t>Y-chromosome AZF microdeletion / CFTR</w:t>
            </w:r>
          </w:p>
        </w:tc>
        <w:tc>
          <w:tcPr>
            <w:tcW w:type="dxa" w:w="892"/>
            <w:vAlign w:val="top"/>
          </w:tcPr>
          <w:p>
            <w:pPr>
              <w:spacing w:after="40" w:before="0" w:line="259" w:lineRule="auto"/>
            </w:pPr>
            <w:r>
              <w:rPr>
                <w:rFonts w:ascii="Calibri" w:hAnsi="Calibri"/>
                <w:b w:val="0"/>
                <w:i w:val="0"/>
                <w:color w:val="212121"/>
                <w:sz w:val="16"/>
              </w:rPr>
              <w:t>Molecular Genetic Test</w:t>
            </w:r>
          </w:p>
        </w:tc>
        <w:tc>
          <w:tcPr>
            <w:tcW w:type="dxa" w:w="950"/>
            <w:vAlign w:val="top"/>
          </w:tcPr>
          <w:p>
            <w:pPr>
              <w:spacing w:after="40" w:before="0" w:line="259" w:lineRule="auto"/>
            </w:pPr>
            <w:r>
              <w:rPr>
                <w:rFonts w:ascii="Calibri" w:hAnsi="Calibri"/>
                <w:b w:val="0"/>
                <w:i w:val="0"/>
                <w:color w:val="212121"/>
                <w:sz w:val="16"/>
              </w:rPr>
              <w:t>No deletion / no mutation</w:t>
            </w:r>
          </w:p>
        </w:tc>
        <w:tc>
          <w:tcPr>
            <w:tcW w:type="dxa" w:w="950"/>
            <w:vAlign w:val="top"/>
          </w:tcPr>
          <w:p>
            <w:pPr>
              <w:spacing w:after="40" w:before="0" w:line="259" w:lineRule="auto"/>
            </w:pPr>
            <w:r>
              <w:rPr>
                <w:rFonts w:ascii="Calibri" w:hAnsi="Calibri"/>
                <w:b w:val="0"/>
                <w:i w:val="0"/>
                <w:color w:val="212121"/>
                <w:sz w:val="16"/>
              </w:rPr>
              <w:t>AZFa/b/c deletion; CFTR mutation</w:t>
            </w:r>
          </w:p>
        </w:tc>
        <w:tc>
          <w:tcPr>
            <w:tcW w:type="dxa" w:w="1036"/>
            <w:vAlign w:val="top"/>
          </w:tcPr>
          <w:p>
            <w:pPr>
              <w:spacing w:after="40" w:before="0" w:line="259" w:lineRule="auto"/>
            </w:pPr>
            <w:r>
              <w:rPr>
                <w:rFonts w:ascii="Calibri" w:hAnsi="Calibri"/>
                <w:b w:val="0"/>
                <w:i w:val="0"/>
                <w:color w:val="212121"/>
                <w:sz w:val="16"/>
              </w:rPr>
              <w:t>AZF deletion impairs spermatogenesis; CFTR mutation underlies CBAVD; informs ICSI counselling</w:t>
            </w:r>
          </w:p>
        </w:tc>
        <w:tc>
          <w:tcPr>
            <w:tcW w:type="dxa" w:w="1036"/>
            <w:vAlign w:val="top"/>
          </w:tcPr>
          <w:p>
            <w:pPr>
              <w:spacing w:after="40" w:before="0" w:line="259" w:lineRule="auto"/>
            </w:pPr>
            <w:r>
              <w:rPr>
                <w:rFonts w:ascii="Calibri" w:hAnsi="Calibri"/>
                <w:b w:val="0"/>
                <w:i w:val="0"/>
                <w:color w:val="212121"/>
                <w:sz w:val="16"/>
              </w:rPr>
              <w:t>Severe oligospermia, azoospermia, absent vas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High</w:t>
            </w:r>
          </w:p>
        </w:tc>
        <w:tc>
          <w:tcPr>
            <w:tcW w:type="dxa" w:w="720"/>
            <w:vAlign w:val="top"/>
          </w:tcPr>
          <w:p>
            <w:pPr>
              <w:spacing w:after="40" w:before="0" w:line="259" w:lineRule="auto"/>
            </w:pPr>
            <w:r>
              <w:rPr>
                <w:rFonts w:ascii="Calibri" w:hAnsi="Calibri"/>
                <w:b w:val="0"/>
                <w:i w:val="0"/>
                <w:color w:val="212121"/>
                <w:sz w:val="16"/>
              </w:rPr>
              <w:t>~6.7% Y-microdeletion in Indian infertile men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Functional</w:t>
            </w:r>
          </w:p>
        </w:tc>
        <w:tc>
          <w:tcPr>
            <w:tcW w:type="dxa" w:w="1036"/>
            <w:vAlign w:val="top"/>
          </w:tcPr>
          <w:p>
            <w:pPr>
              <w:spacing w:after="40" w:before="0" w:line="259" w:lineRule="auto"/>
            </w:pPr>
            <w:r>
              <w:rPr>
                <w:rFonts w:ascii="Calibri" w:hAnsi="Calibri"/>
                <w:b w:val="0"/>
                <w:i w:val="0"/>
                <w:color w:val="212121"/>
                <w:sz w:val="16"/>
              </w:rPr>
              <w:t>Sperm DNA fragmentation index (DFI)</w:t>
            </w:r>
          </w:p>
        </w:tc>
        <w:tc>
          <w:tcPr>
            <w:tcW w:type="dxa" w:w="892"/>
            <w:vAlign w:val="top"/>
          </w:tcPr>
          <w:p>
            <w:pPr>
              <w:spacing w:after="40" w:before="0" w:line="259" w:lineRule="auto"/>
            </w:pPr>
            <w:r>
              <w:rPr>
                <w:rFonts w:ascii="Calibri" w:hAnsi="Calibri"/>
                <w:b w:val="0"/>
                <w:i w:val="0"/>
                <w:color w:val="212121"/>
                <w:sz w:val="16"/>
              </w:rPr>
              <w:t>DNA Fragmentation Assay</w:t>
            </w:r>
          </w:p>
        </w:tc>
        <w:tc>
          <w:tcPr>
            <w:tcW w:type="dxa" w:w="950"/>
            <w:vAlign w:val="top"/>
          </w:tcPr>
          <w:p>
            <w:pPr>
              <w:spacing w:after="40" w:before="0" w:line="259" w:lineRule="auto"/>
            </w:pPr>
            <w:r>
              <w:rPr>
                <w:rFonts w:ascii="Calibri" w:hAnsi="Calibri"/>
                <w:b w:val="0"/>
                <w:i w:val="0"/>
                <w:color w:val="212121"/>
                <w:sz w:val="16"/>
              </w:rPr>
              <w:t>Low DFI (&lt; ~15-30% per assay)</w:t>
            </w:r>
          </w:p>
        </w:tc>
        <w:tc>
          <w:tcPr>
            <w:tcW w:type="dxa" w:w="950"/>
            <w:vAlign w:val="top"/>
          </w:tcPr>
          <w:p>
            <w:pPr>
              <w:spacing w:after="40" w:before="0" w:line="259" w:lineRule="auto"/>
            </w:pPr>
            <w:r>
              <w:rPr>
                <w:rFonts w:ascii="Calibri" w:hAnsi="Calibri"/>
                <w:b w:val="0"/>
                <w:i w:val="0"/>
                <w:color w:val="212121"/>
                <w:sz w:val="16"/>
              </w:rPr>
              <w:t>High DFI</w:t>
            </w:r>
          </w:p>
        </w:tc>
        <w:tc>
          <w:tcPr>
            <w:tcW w:type="dxa" w:w="1036"/>
            <w:vAlign w:val="top"/>
          </w:tcPr>
          <w:p>
            <w:pPr>
              <w:spacing w:after="40" w:before="0" w:line="259" w:lineRule="auto"/>
            </w:pPr>
            <w:r>
              <w:rPr>
                <w:rFonts w:ascii="Calibri" w:hAnsi="Calibri"/>
                <w:b w:val="0"/>
                <w:i w:val="0"/>
                <w:color w:val="212121"/>
                <w:sz w:val="16"/>
              </w:rPr>
              <w:t>Marks oxidative sperm damage; predicts poor ART outcomes and recurrent pregnancy loss</w:t>
            </w:r>
          </w:p>
        </w:tc>
        <w:tc>
          <w:tcPr>
            <w:tcW w:type="dxa" w:w="1036"/>
            <w:vAlign w:val="top"/>
          </w:tcPr>
          <w:p>
            <w:pPr>
              <w:spacing w:after="40" w:before="0" w:line="259" w:lineRule="auto"/>
            </w:pPr>
            <w:r>
              <w:rPr>
                <w:rFonts w:ascii="Calibri" w:hAnsi="Calibri"/>
                <w:b w:val="0"/>
                <w:i w:val="0"/>
                <w:color w:val="212121"/>
                <w:sz w:val="16"/>
              </w:rPr>
              <w:t>OAT, smokers, varicocele, diabetes, recurrent loss</w:t>
            </w:r>
          </w:p>
        </w:tc>
        <w:tc>
          <w:tcPr>
            <w:tcW w:type="dxa" w:w="720"/>
            <w:vAlign w:val="top"/>
          </w:tcPr>
          <w:p>
            <w:pPr>
              <w:spacing w:after="40" w:before="0" w:line="259" w:lineRule="auto"/>
            </w:pPr>
            <w:r>
              <w:rPr>
                <w:rFonts w:ascii="Calibri" w:hAnsi="Calibri"/>
                <w:b w:val="0"/>
                <w:i w:val="0"/>
                <w:color w:val="212121"/>
                <w:sz w:val="16"/>
              </w:rPr>
              <w:t>Smoking; Food; Provoking factors</w:t>
            </w:r>
          </w:p>
        </w:tc>
        <w:tc>
          <w:tcPr>
            <w:tcW w:type="dxa" w:w="720"/>
            <w:vAlign w:val="top"/>
          </w:tcPr>
          <w:p>
            <w:pPr>
              <w:spacing w:after="40" w:before="0" w:line="259" w:lineRule="auto"/>
            </w:pPr>
            <w:r>
              <w:rPr>
                <w:rFonts w:ascii="Calibri" w:hAnsi="Calibri"/>
                <w:b w:val="0"/>
                <w:i w:val="0"/>
                <w:color w:val="212121"/>
                <w:sz w:val="16"/>
              </w:rPr>
              <w:t>Selective</w:t>
            </w:r>
          </w:p>
        </w:tc>
        <w:tc>
          <w:tcPr>
            <w:tcW w:type="dxa" w:w="720"/>
            <w:vAlign w:val="top"/>
          </w:tcPr>
          <w:p>
            <w:pPr>
              <w:spacing w:after="40" w:before="0" w:line="259" w:lineRule="auto"/>
            </w:pPr>
            <w:r>
              <w:rPr>
                <w:rFonts w:ascii="Calibri" w:hAnsi="Calibri"/>
                <w:b w:val="0"/>
                <w:i w:val="0"/>
                <w:color w:val="212121"/>
                <w:sz w:val="16"/>
              </w:rPr>
              <w:t>Elevated ROS/DFI in ~60% of OAT</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Scrotal / trans-rectal ultrasound with Doppler</w:t>
            </w:r>
          </w:p>
        </w:tc>
        <w:tc>
          <w:tcPr>
            <w:tcW w:type="dxa" w:w="892"/>
            <w:vAlign w:val="top"/>
          </w:tcPr>
          <w:p>
            <w:pPr>
              <w:spacing w:after="40" w:before="0" w:line="259" w:lineRule="auto"/>
            </w:pPr>
            <w:r>
              <w:rPr>
                <w:rFonts w:ascii="Calibri" w:hAnsi="Calibri"/>
                <w:b w:val="0"/>
                <w:i w:val="0"/>
                <w:color w:val="212121"/>
                <w:sz w:val="16"/>
              </w:rPr>
              <w:t>Ultrasonography</w:t>
            </w:r>
          </w:p>
        </w:tc>
        <w:tc>
          <w:tcPr>
            <w:tcW w:type="dxa" w:w="950"/>
            <w:vAlign w:val="top"/>
          </w:tcPr>
          <w:p>
            <w:pPr>
              <w:spacing w:after="40" w:before="0" w:line="259" w:lineRule="auto"/>
            </w:pPr>
            <w:r>
              <w:rPr>
                <w:rFonts w:ascii="Calibri" w:hAnsi="Calibri"/>
                <w:b w:val="0"/>
                <w:i w:val="0"/>
                <w:color w:val="212121"/>
                <w:sz w:val="16"/>
              </w:rPr>
              <w:t>Normal testicular volume, no reflux/obstruction</w:t>
            </w:r>
          </w:p>
        </w:tc>
        <w:tc>
          <w:tcPr>
            <w:tcW w:type="dxa" w:w="950"/>
            <w:vAlign w:val="top"/>
          </w:tcPr>
          <w:p>
            <w:pPr>
              <w:spacing w:after="40" w:before="0" w:line="259" w:lineRule="auto"/>
            </w:pPr>
            <w:r>
              <w:rPr>
                <w:rFonts w:ascii="Calibri" w:hAnsi="Calibri"/>
                <w:b w:val="0"/>
                <w:i w:val="0"/>
                <w:color w:val="212121"/>
                <w:sz w:val="16"/>
              </w:rPr>
              <w:t>Varicocele reflux, small testes, ejaculatory-duct obstruction</w:t>
            </w:r>
          </w:p>
        </w:tc>
        <w:tc>
          <w:tcPr>
            <w:tcW w:type="dxa" w:w="1036"/>
            <w:vAlign w:val="top"/>
          </w:tcPr>
          <w:p>
            <w:pPr>
              <w:spacing w:after="40" w:before="0" w:line="259" w:lineRule="auto"/>
            </w:pPr>
            <w:r>
              <w:rPr>
                <w:rFonts w:ascii="Calibri" w:hAnsi="Calibri"/>
                <w:b w:val="0"/>
                <w:i w:val="0"/>
                <w:color w:val="212121"/>
                <w:sz w:val="16"/>
              </w:rPr>
              <w:t>Confirms varicocele, testicular atrophy and obstructive lesions</w:t>
            </w:r>
          </w:p>
        </w:tc>
        <w:tc>
          <w:tcPr>
            <w:tcW w:type="dxa" w:w="1036"/>
            <w:vAlign w:val="top"/>
          </w:tcPr>
          <w:p>
            <w:pPr>
              <w:spacing w:after="40" w:before="0" w:line="259" w:lineRule="auto"/>
            </w:pPr>
            <w:r>
              <w:rPr>
                <w:rFonts w:ascii="Calibri" w:hAnsi="Calibri"/>
                <w:b w:val="0"/>
                <w:i w:val="0"/>
                <w:color w:val="212121"/>
                <w:sz w:val="16"/>
              </w:rPr>
              <w:t>Palpable varicocele, low-volume azoospermia</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Selective</w:t>
            </w:r>
          </w:p>
        </w:tc>
        <w:tc>
          <w:tcPr>
            <w:tcW w:type="dxa" w:w="720"/>
            <w:vAlign w:val="top"/>
          </w:tcPr>
          <w:p>
            <w:pPr>
              <w:spacing w:after="40" w:before="0" w:line="259" w:lineRule="auto"/>
            </w:pPr>
            <w:r>
              <w:rPr>
                <w:rFonts w:ascii="Calibri" w:hAnsi="Calibri"/>
                <w:b w:val="0"/>
                <w:i w:val="0"/>
                <w:color w:val="212121"/>
                <w:sz w:val="16"/>
              </w:rPr>
              <w:t>TRUS for suspected duct obstruction</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Reproductive history</w:t>
            </w:r>
          </w:p>
        </w:tc>
        <w:tc>
          <w:tcPr>
            <w:tcW w:type="dxa" w:w="979"/>
            <w:vAlign w:val="top"/>
          </w:tcPr>
          <w:p>
            <w:pPr>
              <w:spacing w:after="40" w:before="0" w:line="259" w:lineRule="auto"/>
            </w:pPr>
            <w:r>
              <w:rPr>
                <w:rFonts w:ascii="Calibri" w:hAnsi="Calibri"/>
                <w:b w:val="0"/>
                <w:i w:val="0"/>
                <w:color w:val="212121"/>
                <w:sz w:val="16"/>
              </w:rPr>
              <w:t>Duration of infertility, coital frequency/timing</w:t>
            </w:r>
          </w:p>
        </w:tc>
        <w:tc>
          <w:tcPr>
            <w:tcW w:type="dxa" w:w="950"/>
            <w:vAlign w:val="top"/>
          </w:tcPr>
          <w:p>
            <w:pPr>
              <w:spacing w:after="40" w:before="0" w:line="259" w:lineRule="auto"/>
            </w:pPr>
            <w:r>
              <w:rPr>
                <w:rFonts w:ascii="Calibri" w:hAnsi="Calibri"/>
                <w:b w:val="0"/>
                <w:i w:val="0"/>
                <w:color w:val="212121"/>
                <w:sz w:val="16"/>
              </w:rPr>
              <w:t>Regular unprotected intercourse &lt; 12 months</w:t>
            </w:r>
          </w:p>
        </w:tc>
        <w:tc>
          <w:tcPr>
            <w:tcW w:type="dxa" w:w="950"/>
            <w:vAlign w:val="top"/>
          </w:tcPr>
          <w:p>
            <w:pPr>
              <w:spacing w:after="40" w:before="0" w:line="259" w:lineRule="auto"/>
            </w:pPr>
            <w:r>
              <w:rPr>
                <w:rFonts w:ascii="Calibri" w:hAnsi="Calibri"/>
                <w:b w:val="0"/>
                <w:i w:val="0"/>
                <w:color w:val="212121"/>
                <w:sz w:val="16"/>
              </w:rPr>
              <w:t>≥ 12 months without conception</w:t>
            </w:r>
          </w:p>
        </w:tc>
        <w:tc>
          <w:tcPr>
            <w:tcW w:type="dxa" w:w="1036"/>
            <w:vAlign w:val="top"/>
          </w:tcPr>
          <w:p>
            <w:pPr>
              <w:spacing w:after="40" w:before="0" w:line="259" w:lineRule="auto"/>
            </w:pPr>
            <w:r>
              <w:rPr>
                <w:rFonts w:ascii="Calibri" w:hAnsi="Calibri"/>
                <w:b w:val="0"/>
                <w:i w:val="0"/>
                <w:color w:val="212121"/>
                <w:sz w:val="16"/>
              </w:rPr>
              <w:t>Establishes infertility and adequacy of intercourse</w:t>
            </w:r>
          </w:p>
        </w:tc>
        <w:tc>
          <w:tcPr>
            <w:tcW w:type="dxa" w:w="1036"/>
            <w:vAlign w:val="top"/>
          </w:tcPr>
          <w:p>
            <w:pPr>
              <w:spacing w:after="40" w:before="0" w:line="259" w:lineRule="auto"/>
            </w:pPr>
            <w:r>
              <w:rPr>
                <w:rFonts w:ascii="Calibri" w:hAnsi="Calibri"/>
                <w:b w:val="0"/>
                <w:i w:val="0"/>
                <w:color w:val="212121"/>
                <w:sz w:val="16"/>
              </w:rPr>
              <w:t>Couples trying to conceive</w:t>
            </w:r>
          </w:p>
        </w:tc>
        <w:tc>
          <w:tcPr>
            <w:tcW w:type="dxa" w:w="720"/>
            <w:vAlign w:val="top"/>
          </w:tcPr>
          <w:p>
            <w:pPr>
              <w:spacing w:after="40" w:before="0" w:line="259" w:lineRule="auto"/>
            </w:pPr>
            <w:r>
              <w:rPr>
                <w:rFonts w:ascii="Calibri" w:hAnsi="Calibri"/>
                <w:b w:val="0"/>
                <w:i w:val="0"/>
                <w:color w:val="212121"/>
                <w:sz w:val="16"/>
              </w:rPr>
              <w:t>Mental health</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~83% present with primary infertility in India</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Past medical / surgical history</w:t>
            </w:r>
          </w:p>
        </w:tc>
        <w:tc>
          <w:tcPr>
            <w:tcW w:type="dxa" w:w="979"/>
            <w:vAlign w:val="top"/>
          </w:tcPr>
          <w:p>
            <w:pPr>
              <w:spacing w:after="40" w:before="0" w:line="259" w:lineRule="auto"/>
            </w:pPr>
            <w:r>
              <w:rPr>
                <w:rFonts w:ascii="Calibri" w:hAnsi="Calibri"/>
                <w:b w:val="0"/>
                <w:i w:val="0"/>
                <w:color w:val="212121"/>
                <w:sz w:val="16"/>
              </w:rPr>
              <w:t>Mumps orchitis, cryptorchidism, torsion, STIs, chemo/radiotherapy, hernia repair</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Any present</w:t>
            </w:r>
          </w:p>
        </w:tc>
        <w:tc>
          <w:tcPr>
            <w:tcW w:type="dxa" w:w="1036"/>
            <w:vAlign w:val="top"/>
          </w:tcPr>
          <w:p>
            <w:pPr>
              <w:spacing w:after="40" w:before="0" w:line="259" w:lineRule="auto"/>
            </w:pPr>
            <w:r>
              <w:rPr>
                <w:rFonts w:ascii="Calibri" w:hAnsi="Calibri"/>
                <w:b w:val="0"/>
                <w:i w:val="0"/>
                <w:color w:val="212121"/>
                <w:sz w:val="16"/>
              </w:rPr>
              <w:t>Identifies testicular insult or obstruction</w:t>
            </w:r>
          </w:p>
        </w:tc>
        <w:tc>
          <w:tcPr>
            <w:tcW w:type="dxa" w:w="1036"/>
            <w:vAlign w:val="top"/>
          </w:tcPr>
          <w:p>
            <w:pPr>
              <w:spacing w:after="40" w:before="0" w:line="259" w:lineRule="auto"/>
            </w:pPr>
            <w:r>
              <w:rPr>
                <w:rFonts w:ascii="Calibri" w:hAnsi="Calibri"/>
                <w:b w:val="0"/>
                <w:i w:val="0"/>
                <w:color w:val="212121"/>
                <w:sz w:val="16"/>
              </w:rPr>
              <w:t>Men with testicular failure or obstruction</w:t>
            </w:r>
          </w:p>
        </w:tc>
        <w:tc>
          <w:tcPr>
            <w:tcW w:type="dxa" w:w="720"/>
            <w:vAlign w:val="top"/>
          </w:tcPr>
          <w:p>
            <w:pPr>
              <w:spacing w:after="40" w:before="0" w:line="259" w:lineRule="auto"/>
            </w:pPr>
            <w:r>
              <w:rPr>
                <w:rFonts w:ascii="Calibri" w:hAnsi="Calibri"/>
                <w:b w:val="0"/>
                <w:i w:val="0"/>
                <w:color w:val="212121"/>
                <w:sz w:val="16"/>
              </w:rPr>
              <w:t>Hygiene; Provoking factors</w:t>
            </w:r>
          </w:p>
        </w:tc>
        <w:tc>
          <w:tcPr>
            <w:tcW w:type="dxa" w:w="720"/>
            <w:vAlign w:val="top"/>
          </w:tcPr>
          <w:p>
            <w:pPr>
              <w:spacing w:after="40" w:before="0" w:line="259" w:lineRule="auto"/>
            </w:pPr>
            <w:r>
              <w:rPr>
                <w:rFonts w:ascii="Calibri" w:hAnsi="Calibri"/>
                <w:b w:val="0"/>
                <w:i w:val="0"/>
                <w:color w:val="212121"/>
                <w:sz w:val="16"/>
              </w:rPr>
              <w:t>High</w:t>
            </w:r>
          </w:p>
        </w:tc>
        <w:tc>
          <w:tcPr>
            <w:tcW w:type="dxa" w:w="720"/>
            <w:vAlign w:val="top"/>
          </w:tcPr>
          <w:p>
            <w:pPr>
              <w:spacing w:after="40" w:before="0" w:line="259" w:lineRule="auto"/>
            </w:pPr>
            <w:r>
              <w:rPr>
                <w:rFonts w:ascii="Calibri" w:hAnsi="Calibri"/>
                <w:b w:val="0"/>
                <w:i w:val="0"/>
                <w:color w:val="212121"/>
                <w:sz w:val="16"/>
              </w:rPr>
              <w:t>Note timing and treatment</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Lifestyle / exposure history</w:t>
            </w:r>
          </w:p>
        </w:tc>
        <w:tc>
          <w:tcPr>
            <w:tcW w:type="dxa" w:w="979"/>
            <w:vAlign w:val="top"/>
          </w:tcPr>
          <w:p>
            <w:pPr>
              <w:spacing w:after="40" w:before="0" w:line="259" w:lineRule="auto"/>
            </w:pPr>
            <w:r>
              <w:rPr>
                <w:rFonts w:ascii="Calibri" w:hAnsi="Calibri"/>
                <w:b w:val="0"/>
                <w:i w:val="0"/>
                <w:color w:val="212121"/>
                <w:sz w:val="16"/>
              </w:rPr>
              <w:t>Smoking, alcohol, heat, anabolic steroids, exogenous testosterone, drugs</w:t>
            </w:r>
          </w:p>
        </w:tc>
        <w:tc>
          <w:tcPr>
            <w:tcW w:type="dxa" w:w="950"/>
            <w:vAlign w:val="top"/>
          </w:tcPr>
          <w:p>
            <w:pPr>
              <w:spacing w:after="40" w:before="0" w:line="259" w:lineRule="auto"/>
            </w:pPr>
            <w:r>
              <w:rPr>
                <w:rFonts w:ascii="Calibri" w:hAnsi="Calibri"/>
                <w:b w:val="0"/>
                <w:i w:val="0"/>
                <w:color w:val="212121"/>
                <w:sz w:val="16"/>
              </w:rPr>
              <w:t>No gonadotoxic exposure</w:t>
            </w:r>
          </w:p>
        </w:tc>
        <w:tc>
          <w:tcPr>
            <w:tcW w:type="dxa" w:w="950"/>
            <w:vAlign w:val="top"/>
          </w:tcPr>
          <w:p>
            <w:pPr>
              <w:spacing w:after="40" w:before="0" w:line="259" w:lineRule="auto"/>
            </w:pPr>
            <w:r>
              <w:rPr>
                <w:rFonts w:ascii="Calibri" w:hAnsi="Calibri"/>
                <w:b w:val="0"/>
                <w:i w:val="0"/>
                <w:color w:val="212121"/>
                <w:sz w:val="16"/>
              </w:rPr>
              <w:t>Any present</w:t>
            </w:r>
          </w:p>
        </w:tc>
        <w:tc>
          <w:tcPr>
            <w:tcW w:type="dxa" w:w="1036"/>
            <w:vAlign w:val="top"/>
          </w:tcPr>
          <w:p>
            <w:pPr>
              <w:spacing w:after="40" w:before="0" w:line="259" w:lineRule="auto"/>
            </w:pPr>
            <w:r>
              <w:rPr>
                <w:rFonts w:ascii="Calibri" w:hAnsi="Calibri"/>
                <w:b w:val="0"/>
                <w:i w:val="0"/>
                <w:color w:val="212121"/>
                <w:sz w:val="16"/>
              </w:rPr>
              <w:t>Identifies modifiable and reversible causes</w:t>
            </w:r>
          </w:p>
        </w:tc>
        <w:tc>
          <w:tcPr>
            <w:tcW w:type="dxa" w:w="1036"/>
            <w:vAlign w:val="top"/>
          </w:tcPr>
          <w:p>
            <w:pPr>
              <w:spacing w:after="40" w:before="0" w:line="259" w:lineRule="auto"/>
            </w:pPr>
            <w:r>
              <w:rPr>
                <w:rFonts w:ascii="Calibri" w:hAnsi="Calibri"/>
                <w:b w:val="0"/>
                <w:i w:val="0"/>
                <w:color w:val="212121"/>
                <w:sz w:val="16"/>
              </w:rPr>
              <w:t>Smokers, gym/steroid users, heat-exposed workers</w:t>
            </w:r>
          </w:p>
        </w:tc>
        <w:tc>
          <w:tcPr>
            <w:tcW w:type="dxa" w:w="720"/>
            <w:vAlign w:val="top"/>
          </w:tcPr>
          <w:p>
            <w:pPr>
              <w:spacing w:after="40" w:before="0" w:line="259" w:lineRule="auto"/>
            </w:pPr>
            <w:r>
              <w:rPr>
                <w:rFonts w:ascii="Calibri" w:hAnsi="Calibri"/>
                <w:b w:val="0"/>
                <w:i w:val="0"/>
                <w:color w:val="212121"/>
                <w:sz w:val="16"/>
              </w:rPr>
              <w:t>Smoking; Alcohol; Provoking factors</w:t>
            </w:r>
          </w:p>
        </w:tc>
        <w:tc>
          <w:tcPr>
            <w:tcW w:type="dxa" w:w="720"/>
            <w:vAlign w:val="top"/>
          </w:tcPr>
          <w:p>
            <w:pPr>
              <w:spacing w:after="40" w:before="0" w:line="259" w:lineRule="auto"/>
            </w:pPr>
            <w:r>
              <w:rPr>
                <w:rFonts w:ascii="Calibri" w:hAnsi="Calibri"/>
                <w:b w:val="0"/>
                <w:i w:val="0"/>
                <w:color w:val="212121"/>
                <w:sz w:val="16"/>
              </w:rPr>
              <w:t>High</w:t>
            </w:r>
          </w:p>
        </w:tc>
        <w:tc>
          <w:tcPr>
            <w:tcW w:type="dxa" w:w="720"/>
            <w:vAlign w:val="top"/>
          </w:tcPr>
          <w:p>
            <w:pPr>
              <w:spacing w:after="40" w:before="0" w:line="259" w:lineRule="auto"/>
            </w:pPr>
            <w:r>
              <w:rPr>
                <w:rFonts w:ascii="Calibri" w:hAnsi="Calibri"/>
                <w:b w:val="0"/>
                <w:i w:val="0"/>
                <w:color w:val="212121"/>
                <w:sz w:val="16"/>
              </w:rPr>
              <w:t>Exogenous testosterone suppresses spermatogenesis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w:t>
            </w:r>
          </w:p>
        </w:tc>
        <w:tc>
          <w:tcPr>
            <w:tcW w:type="dxa" w:w="950"/>
            <w:vAlign w:val="top"/>
          </w:tcPr>
          <w:p>
            <w:pPr>
              <w:spacing w:after="40" w:before="0" w:line="259" w:lineRule="auto"/>
            </w:pPr>
            <w:r>
              <w:rPr>
                <w:rFonts w:ascii="Calibri" w:hAnsi="Calibri"/>
                <w:b w:val="0"/>
                <w:i w:val="0"/>
                <w:color w:val="212121"/>
                <w:sz w:val="16"/>
              </w:rPr>
              <w:t>Testicular volume</w:t>
            </w:r>
          </w:p>
        </w:tc>
        <w:tc>
          <w:tcPr>
            <w:tcW w:type="dxa" w:w="979"/>
            <w:vAlign w:val="top"/>
          </w:tcPr>
          <w:p>
            <w:pPr>
              <w:spacing w:after="40" w:before="0" w:line="259" w:lineRule="auto"/>
            </w:pPr>
            <w:r>
              <w:rPr>
                <w:rFonts w:ascii="Calibri" w:hAnsi="Calibri"/>
                <w:b w:val="0"/>
                <w:i w:val="0"/>
                <w:color w:val="212121"/>
                <w:sz w:val="16"/>
              </w:rPr>
              <w:t>Prader orchidometer / caliper</w:t>
            </w:r>
          </w:p>
        </w:tc>
        <w:tc>
          <w:tcPr>
            <w:tcW w:type="dxa" w:w="950"/>
            <w:vAlign w:val="top"/>
          </w:tcPr>
          <w:p>
            <w:pPr>
              <w:spacing w:after="40" w:before="0" w:line="259" w:lineRule="auto"/>
            </w:pPr>
            <w:r>
              <w:rPr>
                <w:rFonts w:ascii="Calibri" w:hAnsi="Calibri"/>
                <w:b w:val="0"/>
                <w:i w:val="0"/>
                <w:color w:val="212121"/>
                <w:sz w:val="16"/>
              </w:rPr>
              <w:t>≥ 15 mL bilaterally</w:t>
            </w:r>
          </w:p>
        </w:tc>
        <w:tc>
          <w:tcPr>
            <w:tcW w:type="dxa" w:w="950"/>
            <w:vAlign w:val="top"/>
          </w:tcPr>
          <w:p>
            <w:pPr>
              <w:spacing w:after="40" w:before="0" w:line="259" w:lineRule="auto"/>
            </w:pPr>
            <w:r>
              <w:rPr>
                <w:rFonts w:ascii="Calibri" w:hAnsi="Calibri"/>
                <w:b w:val="0"/>
                <w:i w:val="0"/>
                <w:color w:val="212121"/>
                <w:sz w:val="16"/>
              </w:rPr>
              <w:t>&lt; 15 mL (small testes)</w:t>
            </w:r>
          </w:p>
        </w:tc>
        <w:tc>
          <w:tcPr>
            <w:tcW w:type="dxa" w:w="1036"/>
            <w:vAlign w:val="top"/>
          </w:tcPr>
          <w:p>
            <w:pPr>
              <w:spacing w:after="40" w:before="0" w:line="259" w:lineRule="auto"/>
            </w:pPr>
            <w:r>
              <w:rPr>
                <w:rFonts w:ascii="Calibri" w:hAnsi="Calibri"/>
                <w:b w:val="0"/>
                <w:i w:val="0"/>
                <w:color w:val="212121"/>
                <w:sz w:val="16"/>
              </w:rPr>
              <w:t>Small volume suggests impaired spermatogenesis or testicular failure</w:t>
            </w:r>
          </w:p>
        </w:tc>
        <w:tc>
          <w:tcPr>
            <w:tcW w:type="dxa" w:w="1036"/>
            <w:vAlign w:val="top"/>
          </w:tcPr>
          <w:p>
            <w:pPr>
              <w:spacing w:after="40" w:before="0" w:line="259" w:lineRule="auto"/>
            </w:pPr>
            <w:r>
              <w:rPr>
                <w:rFonts w:ascii="Calibri" w:hAnsi="Calibri"/>
                <w:b w:val="0"/>
                <w:i w:val="0"/>
                <w:color w:val="212121"/>
                <w:sz w:val="16"/>
              </w:rPr>
              <w:t>Non-obstructive azoospermia, Klinefelter</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High</w:t>
            </w:r>
          </w:p>
        </w:tc>
        <w:tc>
          <w:tcPr>
            <w:tcW w:type="dxa" w:w="720"/>
            <w:vAlign w:val="top"/>
          </w:tcPr>
          <w:p>
            <w:pPr>
              <w:spacing w:after="40" w:before="0" w:line="259" w:lineRule="auto"/>
            </w:pPr>
            <w:r>
              <w:rPr>
                <w:rFonts w:ascii="Calibri" w:hAnsi="Calibri"/>
                <w:b w:val="0"/>
                <w:i w:val="0"/>
                <w:color w:val="212121"/>
                <w:sz w:val="16"/>
              </w:rPr>
              <w:t>Compare both sides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w:t>
            </w:r>
          </w:p>
        </w:tc>
        <w:tc>
          <w:tcPr>
            <w:tcW w:type="dxa" w:w="950"/>
            <w:vAlign w:val="top"/>
          </w:tcPr>
          <w:p>
            <w:pPr>
              <w:spacing w:after="40" w:before="0" w:line="259" w:lineRule="auto"/>
            </w:pPr>
            <w:r>
              <w:rPr>
                <w:rFonts w:ascii="Calibri" w:hAnsi="Calibri"/>
                <w:b w:val="0"/>
                <w:i w:val="0"/>
                <w:color w:val="212121"/>
                <w:sz w:val="16"/>
              </w:rPr>
              <w:t>Varicocele examination</w:t>
            </w:r>
          </w:p>
        </w:tc>
        <w:tc>
          <w:tcPr>
            <w:tcW w:type="dxa" w:w="979"/>
            <w:vAlign w:val="top"/>
          </w:tcPr>
          <w:p>
            <w:pPr>
              <w:spacing w:after="40" w:before="0" w:line="259" w:lineRule="auto"/>
            </w:pPr>
            <w:r>
              <w:rPr>
                <w:rFonts w:ascii="Calibri" w:hAnsi="Calibri"/>
                <w:b w:val="0"/>
                <w:i w:val="0"/>
                <w:color w:val="212121"/>
                <w:sz w:val="16"/>
              </w:rPr>
              <w:t>Standing palpation + Valsalva</w:t>
            </w:r>
          </w:p>
        </w:tc>
        <w:tc>
          <w:tcPr>
            <w:tcW w:type="dxa" w:w="950"/>
            <w:vAlign w:val="top"/>
          </w:tcPr>
          <w:p>
            <w:pPr>
              <w:spacing w:after="40" w:before="0" w:line="259" w:lineRule="auto"/>
            </w:pPr>
            <w:r>
              <w:rPr>
                <w:rFonts w:ascii="Calibri" w:hAnsi="Calibri"/>
                <w:b w:val="0"/>
                <w:i w:val="0"/>
                <w:color w:val="212121"/>
                <w:sz w:val="16"/>
              </w:rPr>
              <w:t>No palpable varicocele</w:t>
            </w:r>
          </w:p>
        </w:tc>
        <w:tc>
          <w:tcPr>
            <w:tcW w:type="dxa" w:w="950"/>
            <w:vAlign w:val="top"/>
          </w:tcPr>
          <w:p>
            <w:pPr>
              <w:spacing w:after="40" w:before="0" w:line="259" w:lineRule="auto"/>
            </w:pPr>
            <w:r>
              <w:rPr>
                <w:rFonts w:ascii="Calibri" w:hAnsi="Calibri"/>
                <w:b w:val="0"/>
                <w:i w:val="0"/>
                <w:color w:val="212121"/>
                <w:sz w:val="16"/>
              </w:rPr>
              <w:t>Grade I-III varicocele</w:t>
            </w:r>
          </w:p>
        </w:tc>
        <w:tc>
          <w:tcPr>
            <w:tcW w:type="dxa" w:w="1036"/>
            <w:vAlign w:val="top"/>
          </w:tcPr>
          <w:p>
            <w:pPr>
              <w:spacing w:after="40" w:before="0" w:line="259" w:lineRule="auto"/>
            </w:pPr>
            <w:r>
              <w:rPr>
                <w:rFonts w:ascii="Calibri" w:hAnsi="Calibri"/>
                <w:b w:val="0"/>
                <w:i w:val="0"/>
                <w:color w:val="212121"/>
                <w:sz w:val="16"/>
              </w:rPr>
              <w:t>Detects the commonest correctable cause</w:t>
            </w:r>
          </w:p>
        </w:tc>
        <w:tc>
          <w:tcPr>
            <w:tcW w:type="dxa" w:w="1036"/>
            <w:vAlign w:val="top"/>
          </w:tcPr>
          <w:p>
            <w:pPr>
              <w:spacing w:after="40" w:before="0" w:line="259" w:lineRule="auto"/>
            </w:pPr>
            <w:r>
              <w:rPr>
                <w:rFonts w:ascii="Calibri" w:hAnsi="Calibri"/>
                <w:b w:val="0"/>
                <w:i w:val="0"/>
                <w:color w:val="212121"/>
                <w:sz w:val="16"/>
              </w:rPr>
              <w:t>Primary infertility, testicular ache</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High</w:t>
            </w:r>
          </w:p>
        </w:tc>
        <w:tc>
          <w:tcPr>
            <w:tcW w:type="dxa" w:w="720"/>
            <w:vAlign w:val="top"/>
          </w:tcPr>
          <w:p>
            <w:pPr>
              <w:spacing w:after="40" w:before="0" w:line="259" w:lineRule="auto"/>
            </w:pPr>
            <w:r>
              <w:rPr>
                <w:rFonts w:ascii="Calibri" w:hAnsi="Calibri"/>
                <w:b w:val="0"/>
                <w:i w:val="0"/>
                <w:color w:val="212121"/>
                <w:sz w:val="16"/>
              </w:rPr>
              <w:t>Examine standing and supine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w:t>
            </w:r>
          </w:p>
        </w:tc>
        <w:tc>
          <w:tcPr>
            <w:tcW w:type="dxa" w:w="950"/>
            <w:vAlign w:val="top"/>
          </w:tcPr>
          <w:p>
            <w:pPr>
              <w:spacing w:after="40" w:before="0" w:line="259" w:lineRule="auto"/>
            </w:pPr>
            <w:r>
              <w:rPr>
                <w:rFonts w:ascii="Calibri" w:hAnsi="Calibri"/>
                <w:b w:val="0"/>
                <w:i w:val="0"/>
                <w:color w:val="212121"/>
                <w:sz w:val="16"/>
              </w:rPr>
              <w:t>Vas deferens / epididymis palpation</w:t>
            </w:r>
          </w:p>
        </w:tc>
        <w:tc>
          <w:tcPr>
            <w:tcW w:type="dxa" w:w="979"/>
            <w:vAlign w:val="top"/>
          </w:tcPr>
          <w:p>
            <w:pPr>
              <w:spacing w:after="40" w:before="0" w:line="259" w:lineRule="auto"/>
            </w:pPr>
            <w:r>
              <w:rPr>
                <w:rFonts w:ascii="Calibri" w:hAnsi="Calibri"/>
                <w:b w:val="0"/>
                <w:i w:val="0"/>
                <w:color w:val="212121"/>
                <w:sz w:val="16"/>
              </w:rPr>
              <w:t>Scrotal examination</w:t>
            </w:r>
          </w:p>
        </w:tc>
        <w:tc>
          <w:tcPr>
            <w:tcW w:type="dxa" w:w="950"/>
            <w:vAlign w:val="top"/>
          </w:tcPr>
          <w:p>
            <w:pPr>
              <w:spacing w:after="40" w:before="0" w:line="259" w:lineRule="auto"/>
            </w:pPr>
            <w:r>
              <w:rPr>
                <w:rFonts w:ascii="Calibri" w:hAnsi="Calibri"/>
                <w:b w:val="0"/>
                <w:i w:val="0"/>
                <w:color w:val="212121"/>
                <w:sz w:val="16"/>
              </w:rPr>
              <w:t>Vas palpable bilaterally; epididymis normal</w:t>
            </w:r>
          </w:p>
        </w:tc>
        <w:tc>
          <w:tcPr>
            <w:tcW w:type="dxa" w:w="950"/>
            <w:vAlign w:val="top"/>
          </w:tcPr>
          <w:p>
            <w:pPr>
              <w:spacing w:after="40" w:before="0" w:line="259" w:lineRule="auto"/>
            </w:pPr>
            <w:r>
              <w:rPr>
                <w:rFonts w:ascii="Calibri" w:hAnsi="Calibri"/>
                <w:b w:val="0"/>
                <w:i w:val="0"/>
                <w:color w:val="212121"/>
                <w:sz w:val="16"/>
              </w:rPr>
              <w:t>Absent vas (CBAVD); epididymal fullness/induration</w:t>
            </w:r>
          </w:p>
        </w:tc>
        <w:tc>
          <w:tcPr>
            <w:tcW w:type="dxa" w:w="1036"/>
            <w:vAlign w:val="top"/>
          </w:tcPr>
          <w:p>
            <w:pPr>
              <w:spacing w:after="40" w:before="0" w:line="259" w:lineRule="auto"/>
            </w:pPr>
            <w:r>
              <w:rPr>
                <w:rFonts w:ascii="Calibri" w:hAnsi="Calibri"/>
                <w:b w:val="0"/>
                <w:i w:val="0"/>
                <w:color w:val="212121"/>
                <w:sz w:val="16"/>
              </w:rPr>
              <w:t>Absent vas indicates obstructive azoospermia (CFTR-related)</w:t>
            </w:r>
          </w:p>
        </w:tc>
        <w:tc>
          <w:tcPr>
            <w:tcW w:type="dxa" w:w="1036"/>
            <w:vAlign w:val="top"/>
          </w:tcPr>
          <w:p>
            <w:pPr>
              <w:spacing w:after="40" w:before="0" w:line="259" w:lineRule="auto"/>
            </w:pPr>
            <w:r>
              <w:rPr>
                <w:rFonts w:ascii="Calibri" w:hAnsi="Calibri"/>
                <w:b w:val="0"/>
                <w:i w:val="0"/>
                <w:color w:val="212121"/>
                <w:sz w:val="16"/>
              </w:rPr>
              <w:t>Azoospermia with normal testes/FSH</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High</w:t>
            </w:r>
          </w:p>
        </w:tc>
        <w:tc>
          <w:tcPr>
            <w:tcW w:type="dxa" w:w="720"/>
            <w:vAlign w:val="top"/>
          </w:tcPr>
          <w:p>
            <w:pPr>
              <w:spacing w:after="40" w:before="0" w:line="259" w:lineRule="auto"/>
            </w:pPr>
            <w:r>
              <w:rPr>
                <w:rFonts w:ascii="Calibri" w:hAnsi="Calibri"/>
                <w:b w:val="0"/>
                <w:i w:val="0"/>
                <w:color w:val="212121"/>
                <w:sz w:val="16"/>
              </w:rPr>
              <w:t>Prompts CFTR testing</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w:t>
            </w:r>
          </w:p>
        </w:tc>
        <w:tc>
          <w:tcPr>
            <w:tcW w:type="dxa" w:w="950"/>
            <w:vAlign w:val="top"/>
          </w:tcPr>
          <w:p>
            <w:pPr>
              <w:spacing w:after="40" w:before="0" w:line="259" w:lineRule="auto"/>
            </w:pPr>
            <w:r>
              <w:rPr>
                <w:rFonts w:ascii="Calibri" w:hAnsi="Calibri"/>
                <w:b w:val="0"/>
                <w:i w:val="0"/>
                <w:color w:val="212121"/>
                <w:sz w:val="16"/>
              </w:rPr>
              <w:t>Secondary sexual characteristics</w:t>
            </w:r>
          </w:p>
        </w:tc>
        <w:tc>
          <w:tcPr>
            <w:tcW w:type="dxa" w:w="979"/>
            <w:vAlign w:val="top"/>
          </w:tcPr>
          <w:p>
            <w:pPr>
              <w:spacing w:after="40" w:before="0" w:line="259" w:lineRule="auto"/>
            </w:pPr>
            <w:r>
              <w:rPr>
                <w:rFonts w:ascii="Calibri" w:hAnsi="Calibri"/>
                <w:b w:val="0"/>
                <w:i w:val="0"/>
                <w:color w:val="212121"/>
                <w:sz w:val="16"/>
              </w:rPr>
              <w:t>Body/facial hair, gynaecomastia, eunuchoid habitus, visual fields</w:t>
            </w:r>
          </w:p>
        </w:tc>
        <w:tc>
          <w:tcPr>
            <w:tcW w:type="dxa" w:w="950"/>
            <w:vAlign w:val="top"/>
          </w:tcPr>
          <w:p>
            <w:pPr>
              <w:spacing w:after="40" w:before="0" w:line="259" w:lineRule="auto"/>
            </w:pPr>
            <w:r>
              <w:rPr>
                <w:rFonts w:ascii="Calibri" w:hAnsi="Calibri"/>
                <w:b w:val="0"/>
                <w:i w:val="0"/>
                <w:color w:val="212121"/>
                <w:sz w:val="16"/>
              </w:rPr>
              <w:t>Normal virilisation</w:t>
            </w:r>
          </w:p>
        </w:tc>
        <w:tc>
          <w:tcPr>
            <w:tcW w:type="dxa" w:w="950"/>
            <w:vAlign w:val="top"/>
          </w:tcPr>
          <w:p>
            <w:pPr>
              <w:spacing w:after="40" w:before="0" w:line="259" w:lineRule="auto"/>
            </w:pPr>
            <w:r>
              <w:rPr>
                <w:rFonts w:ascii="Calibri" w:hAnsi="Calibri"/>
                <w:b w:val="0"/>
                <w:i w:val="0"/>
                <w:color w:val="212121"/>
                <w:sz w:val="16"/>
              </w:rPr>
              <w:t>Sparse hair, gynaecomastia, eunuchoid proportions</w:t>
            </w:r>
          </w:p>
        </w:tc>
        <w:tc>
          <w:tcPr>
            <w:tcW w:type="dxa" w:w="1036"/>
            <w:vAlign w:val="top"/>
          </w:tcPr>
          <w:p>
            <w:pPr>
              <w:spacing w:after="40" w:before="0" w:line="259" w:lineRule="auto"/>
            </w:pPr>
            <w:r>
              <w:rPr>
                <w:rFonts w:ascii="Calibri" w:hAnsi="Calibri"/>
                <w:b w:val="0"/>
                <w:i w:val="0"/>
                <w:color w:val="212121"/>
                <w:sz w:val="16"/>
              </w:rPr>
              <w:t>Suggests hypogonadism, Klinefelter or pituitary lesion</w:t>
            </w:r>
          </w:p>
        </w:tc>
        <w:tc>
          <w:tcPr>
            <w:tcW w:type="dxa" w:w="1036"/>
            <w:vAlign w:val="top"/>
          </w:tcPr>
          <w:p>
            <w:pPr>
              <w:spacing w:after="40" w:before="0" w:line="259" w:lineRule="auto"/>
            </w:pPr>
            <w:r>
              <w:rPr>
                <w:rFonts w:ascii="Calibri" w:hAnsi="Calibri"/>
                <w:b w:val="0"/>
                <w:i w:val="0"/>
                <w:color w:val="212121"/>
                <w:sz w:val="16"/>
              </w:rPr>
              <w:t>Hypogonadal, Klinefelter, prolactinoma</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Selective</w:t>
            </w:r>
          </w:p>
        </w:tc>
        <w:tc>
          <w:tcPr>
            <w:tcW w:type="dxa" w:w="720"/>
            <w:vAlign w:val="top"/>
          </w:tcPr>
          <w:p>
            <w:pPr>
              <w:spacing w:after="40" w:before="0" w:line="259" w:lineRule="auto"/>
            </w:pPr>
            <w:r>
              <w:rPr>
                <w:rFonts w:ascii="Calibri" w:hAnsi="Calibri"/>
                <w:b w:val="0"/>
                <w:i w:val="0"/>
                <w:color w:val="212121"/>
                <w:sz w:val="16"/>
              </w:rPr>
              <w:t>Check visual fields if pituitary suspected</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Inability to conceive after ≥ 12 months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The defining feature; male infertility is frequently otherwise asymptomatic.</w:t>
            </w:r>
          </w:p>
        </w:tc>
      </w:tr>
      <w:tr>
        <w:trPr>
          <w:cantSplit/>
        </w:trPr>
        <w:tc>
          <w:tcPr>
            <w:tcW w:type="dxa" w:w="2304"/>
            <w:vAlign w:val="top"/>
          </w:tcPr>
          <w:p>
            <w:pPr>
              <w:spacing w:after="40" w:before="0" w:line="259" w:lineRule="auto"/>
            </w:pPr>
            <w:r>
              <w:rPr>
                <w:rFonts w:ascii="Calibri" w:hAnsi="Calibri"/>
                <w:b/>
                <w:i w:val="0"/>
                <w:color w:val="212121"/>
                <w:sz w:val="19"/>
              </w:rPr>
              <w:t>Reduced libido</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Suggests low testosterone / hypogonadism.</w:t>
            </w:r>
          </w:p>
        </w:tc>
      </w:tr>
      <w:tr>
        <w:trPr>
          <w:cantSplit/>
        </w:trPr>
        <w:tc>
          <w:tcPr>
            <w:tcW w:type="dxa" w:w="2304"/>
            <w:vAlign w:val="top"/>
          </w:tcPr>
          <w:p>
            <w:pPr>
              <w:spacing w:after="40" w:before="0" w:line="259" w:lineRule="auto"/>
            </w:pPr>
            <w:r>
              <w:rPr>
                <w:rFonts w:ascii="Calibri" w:hAnsi="Calibri"/>
                <w:b/>
                <w:i w:val="0"/>
                <w:color w:val="212121"/>
                <w:sz w:val="19"/>
              </w:rPr>
              <w:t>Erectile dysfunction</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Impairs conception; linked to diabetes, hypogonadism and psychological stress.</w:t>
            </w:r>
          </w:p>
        </w:tc>
      </w:tr>
      <w:tr>
        <w:trPr>
          <w:cantSplit/>
        </w:trPr>
        <w:tc>
          <w:tcPr>
            <w:tcW w:type="dxa" w:w="2304"/>
            <w:vAlign w:val="top"/>
          </w:tcPr>
          <w:p>
            <w:pPr>
              <w:spacing w:after="40" w:before="0" w:line="259" w:lineRule="auto"/>
            </w:pPr>
            <w:r>
              <w:rPr>
                <w:rFonts w:ascii="Calibri" w:hAnsi="Calibri"/>
                <w:b/>
                <w:i w:val="0"/>
                <w:color w:val="212121"/>
                <w:sz w:val="19"/>
              </w:rPr>
              <w:t>Ejaculatory problems (low volume, premature or retrograde)</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Retrograde ejaculation (cloudy post-orgasm urine) is common in diabetes and after prostate surgery.</w:t>
            </w:r>
          </w:p>
        </w:tc>
      </w:tr>
      <w:tr>
        <w:trPr>
          <w:cantSplit/>
        </w:trPr>
        <w:tc>
          <w:tcPr>
            <w:tcW w:type="dxa" w:w="2304"/>
            <w:vAlign w:val="top"/>
          </w:tcPr>
          <w:p>
            <w:pPr>
              <w:spacing w:after="40" w:before="0" w:line="259" w:lineRule="auto"/>
            </w:pPr>
            <w:r>
              <w:rPr>
                <w:rFonts w:ascii="Calibri" w:hAnsi="Calibri"/>
                <w:b/>
                <w:i w:val="0"/>
                <w:color w:val="212121"/>
                <w:sz w:val="19"/>
              </w:rPr>
              <w:t>Reduced ejaculate volume</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May indicate ejaculatory-duct obstruction, retrograde ejaculation or CBAVD.</w:t>
            </w:r>
          </w:p>
        </w:tc>
      </w:tr>
      <w:tr>
        <w:trPr>
          <w:cantSplit/>
        </w:trPr>
        <w:tc>
          <w:tcPr>
            <w:tcW w:type="dxa" w:w="2304"/>
            <w:vAlign w:val="top"/>
          </w:tcPr>
          <w:p>
            <w:pPr>
              <w:spacing w:after="40" w:before="0" w:line="259" w:lineRule="auto"/>
            </w:pPr>
            <w:r>
              <w:rPr>
                <w:rFonts w:ascii="Calibri" w:hAnsi="Calibri"/>
                <w:b/>
                <w:i w:val="0"/>
                <w:color w:val="212121"/>
                <w:sz w:val="19"/>
              </w:rPr>
              <w:t>Testicular pain, heaviness or scrotal swelling</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May accompany varicocele ('bag of worms' sensation) or infection.</w:t>
            </w:r>
          </w:p>
        </w:tc>
      </w:tr>
      <w:tr>
        <w:trPr>
          <w:cantSplit/>
        </w:trPr>
        <w:tc>
          <w:tcPr>
            <w:tcW w:type="dxa" w:w="2304"/>
            <w:vAlign w:val="top"/>
          </w:tcPr>
          <w:p>
            <w:pPr>
              <w:spacing w:after="40" w:before="0" w:line="259" w:lineRule="auto"/>
            </w:pPr>
            <w:r>
              <w:rPr>
                <w:rFonts w:ascii="Calibri" w:hAnsi="Calibri"/>
                <w:b/>
                <w:i w:val="0"/>
                <w:color w:val="212121"/>
                <w:sz w:val="19"/>
              </w:rPr>
              <w:t>Small or soft testes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Reflects impaired spermatogenesis or testicular failure.</w:t>
            </w:r>
          </w:p>
        </w:tc>
      </w:tr>
      <w:tr>
        <w:trPr>
          <w:cantSplit/>
        </w:trPr>
        <w:tc>
          <w:tcPr>
            <w:tcW w:type="dxa" w:w="2304"/>
            <w:vAlign w:val="top"/>
          </w:tcPr>
          <w:p>
            <w:pPr>
              <w:spacing w:after="40" w:before="0" w:line="259" w:lineRule="auto"/>
            </w:pPr>
            <w:r>
              <w:rPr>
                <w:rFonts w:ascii="Calibri" w:hAnsi="Calibri"/>
                <w:b/>
                <w:i w:val="0"/>
                <w:color w:val="212121"/>
                <w:sz w:val="19"/>
              </w:rPr>
              <w:t>Decreased facial / body hair or other hypogonadal features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Points to androgen deficiency.</w:t>
            </w:r>
          </w:p>
        </w:tc>
      </w:tr>
      <w:tr>
        <w:trPr>
          <w:cantSplit/>
        </w:trPr>
        <w:tc>
          <w:tcPr>
            <w:tcW w:type="dxa" w:w="2304"/>
            <w:vAlign w:val="top"/>
          </w:tcPr>
          <w:p>
            <w:pPr>
              <w:spacing w:after="40" w:before="0" w:line="259" w:lineRule="auto"/>
            </w:pPr>
            <w:r>
              <w:rPr>
                <w:rFonts w:ascii="Calibri" w:hAnsi="Calibri"/>
                <w:b/>
                <w:i w:val="0"/>
                <w:color w:val="212121"/>
                <w:sz w:val="19"/>
              </w:rPr>
              <w:t>Breast enlargement (gynaecomastia)</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Suggests oestrogen excess, Klinefelter syndrome or a hormone-secreting tumour.</w:t>
            </w:r>
          </w:p>
        </w:tc>
      </w:tr>
      <w:tr>
        <w:trPr>
          <w:cantSplit/>
        </w:trPr>
        <w:tc>
          <w:tcPr>
            <w:tcW w:type="dxa" w:w="2304"/>
            <w:vAlign w:val="top"/>
          </w:tcPr>
          <w:p>
            <w:pPr>
              <w:spacing w:after="40" w:before="0" w:line="259" w:lineRule="auto"/>
            </w:pPr>
            <w:r>
              <w:rPr>
                <w:rFonts w:ascii="Calibri" w:hAnsi="Calibri"/>
                <w:b/>
                <w:i w:val="0"/>
                <w:color w:val="212121"/>
                <w:sz w:val="19"/>
              </w:rPr>
              <w:t>Anosmia / reduced sense of smell</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Classic for Kallmann syndrome (hypogonadotropic hypogonadism).</w:t>
            </w:r>
          </w:p>
        </w:tc>
      </w:tr>
      <w:tr>
        <w:trPr>
          <w:cantSplit/>
        </w:trPr>
        <w:tc>
          <w:tcPr>
            <w:tcW w:type="dxa" w:w="2304"/>
            <w:vAlign w:val="top"/>
          </w:tcPr>
          <w:p>
            <w:pPr>
              <w:spacing w:after="40" w:before="0" w:line="259" w:lineRule="auto"/>
            </w:pPr>
            <w:r>
              <w:rPr>
                <w:rFonts w:ascii="Calibri" w:hAnsi="Calibri"/>
                <w:b/>
                <w:i w:val="0"/>
                <w:color w:val="212121"/>
                <w:sz w:val="19"/>
              </w:rPr>
              <w:t>Recurrent respiratory / sinus infections</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Seen in primary ciliary dyskinesia (Kartagener) and cystic fibrosis-related infertility.</w:t>
            </w:r>
          </w:p>
        </w:tc>
      </w:tr>
      <w:tr>
        <w:trPr>
          <w:cantSplit/>
        </w:trPr>
        <w:tc>
          <w:tcPr>
            <w:tcW w:type="dxa" w:w="2304"/>
            <w:vAlign w:val="top"/>
          </w:tcPr>
          <w:p>
            <w:pPr>
              <w:spacing w:after="40" w:before="0" w:line="259" w:lineRule="auto"/>
            </w:pPr>
            <w:r>
              <w:rPr>
                <w:rFonts w:ascii="Calibri" w:hAnsi="Calibri"/>
                <w:b/>
                <w:i w:val="0"/>
                <w:color w:val="212121"/>
                <w:sz w:val="19"/>
              </w:rPr>
              <w:t>Headache, visual disturbance or galactorrhoea</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Suggests a prolactinoma or other pituitary lesion.</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Small testicular volume (&lt; 15 mL on orchidometer)</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Marker of impaired spermatogenesis or testicular failure.</w:t>
            </w:r>
          </w:p>
        </w:tc>
      </w:tr>
      <w:tr>
        <w:trPr>
          <w:cantSplit/>
        </w:trPr>
        <w:tc>
          <w:tcPr>
            <w:tcW w:type="dxa" w:w="3456"/>
            <w:vAlign w:val="top"/>
          </w:tcPr>
          <w:p>
            <w:pPr>
              <w:spacing w:after="40" w:before="0" w:line="259" w:lineRule="auto"/>
            </w:pPr>
            <w:r>
              <w:rPr>
                <w:rFonts w:ascii="Calibri" w:hAnsi="Calibri"/>
                <w:b/>
                <w:i w:val="0"/>
                <w:color w:val="212121"/>
                <w:sz w:val="19"/>
              </w:rPr>
              <w:t>Palpable varicocele ('bag of worms', increases on Valsalva)</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Commonest surgically correctable cause of male infertility.</w:t>
            </w:r>
          </w:p>
        </w:tc>
      </w:tr>
      <w:tr>
        <w:trPr>
          <w:cantSplit/>
        </w:trPr>
        <w:tc>
          <w:tcPr>
            <w:tcW w:type="dxa" w:w="3456"/>
            <w:vAlign w:val="top"/>
          </w:tcPr>
          <w:p>
            <w:pPr>
              <w:spacing w:after="40" w:before="0" w:line="259" w:lineRule="auto"/>
            </w:pPr>
            <w:r>
              <w:rPr>
                <w:rFonts w:ascii="Calibri" w:hAnsi="Calibri"/>
                <w:b/>
                <w:i w:val="0"/>
                <w:color w:val="212121"/>
                <w:sz w:val="19"/>
              </w:rPr>
              <w:t>Reduced secondary sexual characteristics / sparse body hair</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Sign of androgen deficiency / hypogonadism.</w:t>
            </w:r>
          </w:p>
        </w:tc>
      </w:tr>
      <w:tr>
        <w:trPr>
          <w:cantSplit/>
        </w:trPr>
        <w:tc>
          <w:tcPr>
            <w:tcW w:type="dxa" w:w="3456"/>
            <w:vAlign w:val="top"/>
          </w:tcPr>
          <w:p>
            <w:pPr>
              <w:spacing w:after="40" w:before="0" w:line="259" w:lineRule="auto"/>
            </w:pPr>
            <w:r>
              <w:rPr>
                <w:rFonts w:ascii="Calibri" w:hAnsi="Calibri"/>
                <w:b/>
                <w:i w:val="0"/>
                <w:color w:val="212121"/>
                <w:sz w:val="19"/>
              </w:rPr>
              <w:t>Absent or impalpable vas deferens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Indicates congenital bilateral absence of the vas (obstructive azoospermia, CFTR-related).</w:t>
            </w:r>
          </w:p>
        </w:tc>
      </w:tr>
      <w:tr>
        <w:trPr>
          <w:cantSplit/>
        </w:trPr>
        <w:tc>
          <w:tcPr>
            <w:tcW w:type="dxa" w:w="3456"/>
            <w:vAlign w:val="top"/>
          </w:tcPr>
          <w:p>
            <w:pPr>
              <w:spacing w:after="40" w:before="0" w:line="259" w:lineRule="auto"/>
            </w:pPr>
            <w:r>
              <w:rPr>
                <w:rFonts w:ascii="Calibri" w:hAnsi="Calibri"/>
                <w:b/>
                <w:i w:val="0"/>
                <w:color w:val="212121"/>
                <w:sz w:val="19"/>
              </w:rPr>
              <w:t>Epididymal fullness or induration</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Suggests epididymal obstruction, often post-infective.</w:t>
            </w:r>
          </w:p>
        </w:tc>
      </w:tr>
      <w:tr>
        <w:trPr>
          <w:cantSplit/>
        </w:trPr>
        <w:tc>
          <w:tcPr>
            <w:tcW w:type="dxa" w:w="3456"/>
            <w:vAlign w:val="top"/>
          </w:tcPr>
          <w:p>
            <w:pPr>
              <w:spacing w:after="40" w:before="0" w:line="259" w:lineRule="auto"/>
            </w:pPr>
            <w:r>
              <w:rPr>
                <w:rFonts w:ascii="Calibri" w:hAnsi="Calibri"/>
                <w:b/>
                <w:i w:val="0"/>
                <w:color w:val="212121"/>
                <w:sz w:val="19"/>
              </w:rPr>
              <w:t>Gynaecomastia</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Reflects an altered testosterone-to-oestrogen ratio; seen in Klinefelter syndrome.</w:t>
            </w:r>
          </w:p>
        </w:tc>
      </w:tr>
      <w:tr>
        <w:trPr>
          <w:cantSplit/>
        </w:trPr>
        <w:tc>
          <w:tcPr>
            <w:tcW w:type="dxa" w:w="3456"/>
            <w:vAlign w:val="top"/>
          </w:tcPr>
          <w:p>
            <w:pPr>
              <w:spacing w:after="40" w:before="0" w:line="259" w:lineRule="auto"/>
            </w:pPr>
            <w:r>
              <w:rPr>
                <w:rFonts w:ascii="Calibri" w:hAnsi="Calibri"/>
                <w:b/>
                <w:i w:val="0"/>
                <w:color w:val="212121"/>
                <w:sz w:val="19"/>
              </w:rPr>
              <w:t>Undescended or ectopic testis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Cryptorchidism causes primary testicular dysfunction.</w:t>
            </w:r>
          </w:p>
        </w:tc>
      </w:tr>
      <w:tr>
        <w:trPr>
          <w:cantSplit/>
        </w:trPr>
        <w:tc>
          <w:tcPr>
            <w:tcW w:type="dxa" w:w="3456"/>
            <w:vAlign w:val="top"/>
          </w:tcPr>
          <w:p>
            <w:pPr>
              <w:spacing w:after="40" w:before="0" w:line="259" w:lineRule="auto"/>
            </w:pPr>
            <w:r>
              <w:rPr>
                <w:rFonts w:ascii="Calibri" w:hAnsi="Calibri"/>
                <w:b/>
                <w:i w:val="0"/>
                <w:color w:val="212121"/>
                <w:sz w:val="19"/>
              </w:rPr>
              <w:t>Small firm testes with eunuchoid body proportions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Characteristic of Klinefelter syndrome (47,XXY).</w:t>
            </w:r>
          </w:p>
        </w:tc>
      </w:tr>
      <w:tr>
        <w:trPr>
          <w:cantSplit/>
        </w:trPr>
        <w:tc>
          <w:tcPr>
            <w:tcW w:type="dxa" w:w="3456"/>
            <w:vAlign w:val="top"/>
          </w:tcPr>
          <w:p>
            <w:pPr>
              <w:spacing w:after="40" w:before="0" w:line="259" w:lineRule="auto"/>
            </w:pPr>
            <w:r>
              <w:rPr>
                <w:rFonts w:ascii="Calibri" w:hAnsi="Calibri"/>
                <w:b/>
                <w:i w:val="0"/>
                <w:color w:val="212121"/>
                <w:sz w:val="19"/>
              </w:rPr>
              <w:t>Visual-field defect / signs of a pituitary mass</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Points to a prolactinoma or other sellar tumour causing secondary hypogonadism.</w:t>
            </w:r>
          </w:p>
        </w:tc>
      </w:tr>
      <w:tr>
        <w:trPr>
          <w:cantSplit/>
        </w:trPr>
        <w:tc>
          <w:tcPr>
            <w:tcW w:type="dxa" w:w="3456"/>
            <w:vAlign w:val="top"/>
          </w:tcPr>
          <w:p>
            <w:pPr>
              <w:spacing w:after="40" w:before="0" w:line="259" w:lineRule="auto"/>
            </w:pPr>
            <w:r>
              <w:rPr>
                <w:rFonts w:ascii="Calibri" w:hAnsi="Calibri"/>
                <w:b/>
                <w:i w:val="0"/>
                <w:color w:val="212121"/>
                <w:sz w:val="19"/>
              </w:rPr>
              <w:t>Situs inversus / dextrocardia</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Kartagener syndrome (primary ciliary dyskinesia) causes immotile sperm.</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Childlessness / failure to achieve pregnancy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Need for assisted reproduction (IUI, IVF, ICSI)</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Need for surgical sperm retrieval (TESE, micro-TESE, PESA) in azoospermia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Transmission of genetic defects (Y-microdeletion, CFTR) to offspring via ICSI</w:t>
            </w:r>
          </w:p>
        </w:tc>
        <w:tc>
          <w:tcPr>
            <w:tcW w:type="dxa" w:w="2980"/>
            <w:vAlign w:val="top"/>
          </w:tcPr>
          <w:p>
            <w:pPr>
              <w:spacing w:after="40" w:before="0" w:line="259" w:lineRule="auto"/>
            </w:pPr>
            <w:r>
              <w:rPr>
                <w:rFonts w:ascii="Calibri" w:hAnsi="Calibri"/>
                <w:b w:val="0"/>
                <w:i w:val="0"/>
                <w:color w:val="212121"/>
                <w:sz w:val="19"/>
              </w:rPr>
              <w:t>Direct reproductive consequences of impaired sperm production, function or delivery</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Psychological distress, anxiety and depression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Marital and relationship strain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Social stigma and blame (often intense in the Indian context)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High financial burden of repeated ART cycles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Associated hypogonadism (low testosterone) with sexual, metabolic and bone effects</w:t>
            </w:r>
          </w:p>
        </w:tc>
        <w:tc>
          <w:tcPr>
            <w:tcW w:type="dxa" w:w="2980"/>
            <w:vAlign w:val="top"/>
          </w:tcPr>
          <w:p>
            <w:pPr>
              <w:spacing w:after="40" w:before="0" w:line="259" w:lineRule="auto"/>
            </w:pPr>
            <w:r>
              <w:rPr>
                <w:rFonts w:ascii="Calibri" w:hAnsi="Calibri"/>
                <w:b w:val="0"/>
                <w:i w:val="0"/>
                <w:color w:val="212121"/>
                <w:sz w:val="19"/>
              </w:rPr>
              <w:t>Psychosocial, financial and endocrine consequences that accompany the diagnosis</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depression, social isolation and divorce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Untreated hypogonadism complications (osteoporosis, metabolic syndrome, cardiovascular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Higher long-term risk of testicular cancer in some infertile 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Association of severe male infertility with increased overall morbidity and mortality</w:t>
            </w:r>
          </w:p>
        </w:tc>
        <w:tc>
          <w:tcPr>
            <w:tcW w:type="dxa" w:w="2980"/>
            <w:vAlign w:val="top"/>
          </w:tcPr>
          <w:p>
            <w:pPr>
              <w:spacing w:after="40" w:before="0" w:line="259" w:lineRule="auto"/>
            </w:pPr>
            <w:r>
              <w:rPr>
                <w:rFonts w:ascii="Calibri" w:hAnsi="Calibri"/>
                <w:b w:val="0"/>
                <w:i w:val="0"/>
                <w:color w:val="212121"/>
                <w:sz w:val="19"/>
              </w:rPr>
              <w:t>Irreversible or long-term outcomes of longstanding untreated infertility and its associations</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Varicocele</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Most common correctable cause; venous reflux raises testicular heat and oxidative stress, lowering sperm count and quality.</w:t>
            </w:r>
          </w:p>
          <w:p>
            <w:pPr>
              <w:spacing w:after="40" w:before="0" w:line="259" w:lineRule="auto"/>
            </w:pPr>
            <w:r>
              <w:rPr>
                <w:rFonts w:ascii="Calibri" w:hAnsi="Calibri"/>
                <w:b/>
                <w:i w:val="0"/>
                <w:color w:val="212121"/>
                <w:sz w:val="19"/>
              </w:rPr>
              <w:t>19-41% (primary infertility)</w:t>
            </w:r>
          </w:p>
        </w:tc>
      </w:tr>
      <w:tr>
        <w:trPr>
          <w:cantSplit/>
        </w:trPr>
        <w:tc>
          <w:tcPr>
            <w:tcW w:type="dxa" w:w="2232"/>
            <w:vAlign w:val="top"/>
          </w:tcPr>
          <w:p>
            <w:pPr>
              <w:spacing w:after="40" w:before="0" w:line="259" w:lineRule="auto"/>
            </w:pPr>
            <w:r>
              <w:rPr>
                <w:rFonts w:ascii="Calibri" w:hAnsi="Calibri"/>
                <w:b/>
                <w:i w:val="0"/>
                <w:color w:val="212121"/>
                <w:sz w:val="19"/>
              </w:rPr>
              <w:t>Hypogonadism / low testosterone</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Treatment Interaction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Bidirectional link with impaired spermatogenesis; crucially, exogenous testosterone therapy further suppresses sperm production, so it must be avoided when fertility is desired.</w:t>
            </w:r>
          </w:p>
        </w:tc>
      </w:tr>
      <w:tr>
        <w:trPr>
          <w:cantSplit/>
        </w:trPr>
        <w:tc>
          <w:tcPr>
            <w:tcW w:type="dxa" w:w="2232"/>
            <w:vAlign w:val="top"/>
          </w:tcPr>
          <w:p>
            <w:pPr>
              <w:spacing w:after="40" w:before="0" w:line="259" w:lineRule="auto"/>
            </w:pPr>
            <w:r>
              <w:rPr>
                <w:rFonts w:ascii="Calibri" w:hAnsi="Calibri"/>
                <w:b/>
                <w:i w:val="0"/>
                <w:color w:val="212121"/>
                <w:sz w:val="19"/>
              </w:rPr>
              <w:t>Diabetes mellitus</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Causes sperm DNA fragmentation, reduced motility/vitality and erectile/retrograde-ejaculatory dysfunction via oxidative stress and autonomic neuropathy.</w:t>
            </w:r>
          </w:p>
        </w:tc>
      </w:tr>
      <w:tr>
        <w:trPr>
          <w:cantSplit/>
        </w:trPr>
        <w:tc>
          <w:tcPr>
            <w:tcW w:type="dxa" w:w="2232"/>
            <w:vAlign w:val="top"/>
          </w:tcPr>
          <w:p>
            <w:pPr>
              <w:spacing w:after="40" w:before="0" w:line="259" w:lineRule="auto"/>
            </w:pPr>
            <w:r>
              <w:rPr>
                <w:rFonts w:ascii="Calibri" w:hAnsi="Calibri"/>
                <w:b/>
                <w:i w:val="0"/>
                <w:color w:val="212121"/>
                <w:sz w:val="19"/>
              </w:rPr>
              <w:t>Obesity / metabolic syndrome</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Adipose aromatisation lowers testosterone and raises oestrogen and scrotal heat, increasing oligozoospermia and azoospermia risk.</w:t>
            </w:r>
          </w:p>
        </w:tc>
      </w:tr>
      <w:tr>
        <w:trPr>
          <w:cantSplit/>
        </w:trPr>
        <w:tc>
          <w:tcPr>
            <w:tcW w:type="dxa" w:w="2232"/>
            <w:vAlign w:val="top"/>
          </w:tcPr>
          <w:p>
            <w:pPr>
              <w:spacing w:after="40" w:before="0" w:line="259" w:lineRule="auto"/>
            </w:pPr>
            <w:r>
              <w:rPr>
                <w:rFonts w:ascii="Calibri" w:hAnsi="Calibri"/>
                <w:b/>
                <w:i w:val="0"/>
                <w:color w:val="212121"/>
                <w:sz w:val="19"/>
              </w:rPr>
              <w:t>Erectile / ejaculatory dysfunction</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Impairs sperm delivery and shares vascular, neurogenic, hormonal and psychological mechanisms with infertility.</w:t>
            </w:r>
          </w:p>
        </w:tc>
      </w:tr>
      <w:tr>
        <w:trPr>
          <w:cantSplit/>
        </w:trPr>
        <w:tc>
          <w:tcPr>
            <w:tcW w:type="dxa" w:w="2232"/>
            <w:vAlign w:val="top"/>
          </w:tcPr>
          <w:p>
            <w:pPr>
              <w:spacing w:after="40" w:before="0" w:line="259" w:lineRule="auto"/>
            </w:pPr>
            <w:r>
              <w:rPr>
                <w:rFonts w:ascii="Calibri" w:hAnsi="Calibri"/>
                <w:b/>
                <w:i w:val="0"/>
                <w:color w:val="212121"/>
                <w:sz w:val="19"/>
              </w:rPr>
              <w:t>Klinefelter syndrome (47,XXY)</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Commonest chromosomal cause of non-obstructive azoospermia; requires karyotype and genetic counselling.</w:t>
            </w:r>
          </w:p>
        </w:tc>
      </w:tr>
      <w:tr>
        <w:trPr>
          <w:cantSplit/>
        </w:trPr>
        <w:tc>
          <w:tcPr>
            <w:tcW w:type="dxa" w:w="2232"/>
            <w:vAlign w:val="top"/>
          </w:tcPr>
          <w:p>
            <w:pPr>
              <w:spacing w:after="40" w:before="0" w:line="259" w:lineRule="auto"/>
            </w:pPr>
            <w:r>
              <w:rPr>
                <w:rFonts w:ascii="Calibri" w:hAnsi="Calibri"/>
                <w:b/>
                <w:i w:val="0"/>
                <w:color w:val="212121"/>
                <w:sz w:val="19"/>
              </w:rPr>
              <w:t>Thyroid dysfunction</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Both hypo- and hyperthyroidism disturb the HPG axis and impair sperm motility and morphology; usually reversible with treatment.</w:t>
            </w:r>
          </w:p>
        </w:tc>
      </w:tr>
      <w:tr>
        <w:trPr>
          <w:cantSplit/>
        </w:trPr>
        <w:tc>
          <w:tcPr>
            <w:tcW w:type="dxa" w:w="2232"/>
            <w:vAlign w:val="top"/>
          </w:tcPr>
          <w:p>
            <w:pPr>
              <w:spacing w:after="40" w:before="0" w:line="259" w:lineRule="auto"/>
            </w:pPr>
            <w:r>
              <w:rPr>
                <w:rFonts w:ascii="Calibri" w:hAnsi="Calibri"/>
                <w:b/>
                <w:i w:val="0"/>
                <w:color w:val="212121"/>
                <w:sz w:val="19"/>
              </w:rPr>
              <w:t>Cryptorchidism (undescended testis)</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History of undescended testis, even after orchidopexy, predisposes to impaired spermatogenesis and testicular failure.</w:t>
            </w:r>
          </w:p>
        </w:tc>
      </w:tr>
      <w:tr>
        <w:trPr>
          <w:cantSplit/>
        </w:trPr>
        <w:tc>
          <w:tcPr>
            <w:tcW w:type="dxa" w:w="2232"/>
            <w:vAlign w:val="top"/>
          </w:tcPr>
          <w:p>
            <w:pPr>
              <w:spacing w:after="40" w:before="0" w:line="259" w:lineRule="auto"/>
            </w:pPr>
            <w:r>
              <w:rPr>
                <w:rFonts w:ascii="Calibri" w:hAnsi="Calibri"/>
                <w:b/>
                <w:i w:val="0"/>
                <w:color w:val="212121"/>
                <w:sz w:val="19"/>
              </w:rPr>
              <w:t>Genital-tract infections / STIs</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Epididymo-orchitis, prostatitis and STIs cause inflammatory damage and obstruction; genital tuberculosis is an important cause in India.</w:t>
            </w:r>
          </w:p>
        </w:tc>
      </w:tr>
      <w:tr>
        <w:trPr>
          <w:cantSplit/>
        </w:trPr>
        <w:tc>
          <w:tcPr>
            <w:tcW w:type="dxa" w:w="2232"/>
            <w:vAlign w:val="top"/>
          </w:tcPr>
          <w:p>
            <w:pPr>
              <w:spacing w:after="40" w:before="0" w:line="259" w:lineRule="auto"/>
            </w:pPr>
            <w:r>
              <w:rPr>
                <w:rFonts w:ascii="Calibri" w:hAnsi="Calibri"/>
                <w:b/>
                <w:i w:val="0"/>
                <w:color w:val="212121"/>
                <w:sz w:val="19"/>
              </w:rPr>
              <w:t>Depression / anxiety</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Infertility precipitates psychological distress, while chronic stress lowers testosterone and worsens semen quality - a bidirectional loop.</w:t>
            </w:r>
          </w:p>
        </w:tc>
      </w:tr>
      <w:tr>
        <w:trPr>
          <w:cantSplit/>
        </w:trPr>
        <w:tc>
          <w:tcPr>
            <w:tcW w:type="dxa" w:w="2232"/>
            <w:vAlign w:val="top"/>
          </w:tcPr>
          <w:p>
            <w:pPr>
              <w:spacing w:after="40" w:before="0" w:line="259" w:lineRule="auto"/>
            </w:pPr>
            <w:r>
              <w:rPr>
                <w:rFonts w:ascii="Calibri" w:hAnsi="Calibri"/>
                <w:b/>
                <w:i w:val="0"/>
                <w:color w:val="212121"/>
                <w:sz w:val="19"/>
              </w:rPr>
              <w:t>Obstructive sleep apnoea</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Intermittent hypoxia and disrupted sleep lower testosterone and are associated with reduced semen quality.</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male-factor problems cause roughly half of infertility - both partners should be evaluated together, and semen analysis done early.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that male infertility is usually silent apart from failure to conceive; do not delay a semen analysis after 12 months of trying (6 months if the partner is &gt;35).</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known testicular toxins: stop smoking and smokeless tobacco, limit alcohol, and never use anabolic steroids or unprescribed testosterone (they suppress sperm production).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Reduce scrotal heat - avoid prolonged hot baths/saunas, laptops on the lap, tight underwear and very long uninterrupted sitting.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timely andrology referral for varicocele, undescended testis, prior mumps, genital infection or low libido - many causes are treatable.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men trying to conceive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Smokers and steroid users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Heat-exposed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Men with varicocele or hypogonadism</w:t>
            </w:r>
          </w:p>
        </w:tc>
        <w:tc>
          <w:tcPr>
            <w:tcW w:type="dxa" w:w="1036"/>
            <w:vAlign w:val="top"/>
          </w:tcPr>
          <w:p>
            <w:pPr>
              <w:spacing w:after="40" w:before="0" w:line="259" w:lineRule="auto"/>
            </w:pPr>
            <w:r>
              <w:rPr>
                <w:rFonts w:ascii="Calibri" w:hAnsi="Calibri"/>
                <w:b w:val="0"/>
                <w:i w:val="0"/>
                <w:color w:val="212121"/>
                <w:sz w:val="19"/>
              </w:rPr>
              <w:t>NA</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Undertake regular moderate-intensity exercise (brisk walking, cycling, swimming) to improve testosterone and semen parameters.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Aim for gradual 5-10% weight loss in overweight/obese men to reduce oestrogen conversion and scrotal heat.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excessive high-intensity endurance training and prolonged heat-generating activity, which can transiently lower sperm quality.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Break up prolonged sitting (especially for drivers and desk workers) to limit scrotal temperature rise.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Obese and overweight 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Sedentary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Men with oligospermia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Hypogonadal men</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Eat an antioxidant-rich diet with plenty of fruit, vegetables, nuts and whole grains to counter seminal oxidative stress.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adequate zinc, selenium, folate and vitamins C and E, which support spermatogenesis.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processed, fried and high-sugar foods and sugar-sweetened beverages that worsen obesity and oxidative stress.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Include omega-3 sources (fish, flaxseed, walnuts) linked to better sperm membrane quality.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Men with oligo-astheno-teratozoospermia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Obese 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High-processed-food consumers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Men with high sperm DNA fragmentation</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Aim for 7-9 hours of good-quality sleep per night to support healthy testosterone secretion.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 regular sleep-wake schedule; avoid rotating night shifts where possible.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and treat obstructive sleep apnoea in obese men with low testosterone.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screens and stimulants before bed to protect sleep quality.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Shift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Obese 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Men with low testosterone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Chronically sleep-deprived men</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all tobacco - both smoked and smokeless forms reduce sperm count and increase DNA fragmentation.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structured cessation support (counselling, nicotine replacement, quit-lines) to sustain abstinence.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second-hand smoke exposure, which also affects semen quality and the partner.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Explain that semen parameters improve over roughly 3 months (one spermatogenic cycle) after quitting.</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Smokers and tobacco chewers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Men with oligospermia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Couples planning conception or ART</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alcohol and ideally abstain while trying to conceive, as heavy intake lowers testosterone and sperm quality.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binge drinking, which causes acute testicular and hormonal disruption.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Combine reduced alcohol with smoking cessation for additive benefit on semen quality.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help for alcohol dependence, which can cause testicular atrophy.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Heavy and binge drinkers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Men with abnormal semen analysis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Men with hypogonadism</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Address psychological stress, anxiety and depression, which lower testosterone and worsen semen parameters.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Offer counselling and couple support to reduce the distress and stigma of infertility, which is often severe in India.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stress-reduction techniques (yoga, mindfulness, structured exercise) as adjuncts during evaluation and treatment.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and treat depression before and during assisted-reproduction cycles.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Male partners of infertile couples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Men undergoing ART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Men with stress-related low libido or ED</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a healthy BMI (18.5-24.9 kg/m²) from young adulthood to protect testosterone and sperm production.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Build regular activity into the daily routine to prevent central obesity and metabolic syndrome.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Protect the testes from heat and trauma during sport (appropriate support, avoid prolonged sauna/steam).</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Combine activity with a balanced diet rather than relying on supplements or anabolic aids.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Young adult 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Men with a family history of infertility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Men with sedentary occupations</w:t>
            </w:r>
          </w:p>
        </w:tc>
        <w:tc>
          <w:tcPr>
            <w:tcW w:type="dxa" w:w="1036"/>
            <w:vAlign w:val="top"/>
          </w:tcPr>
          <w:p>
            <w:pPr>
              <w:spacing w:after="40" w:before="0" w:line="259" w:lineRule="auto"/>
            </w:pPr>
            <w:r>
              <w:rPr>
                <w:rFonts w:ascii="Calibri" w:hAnsi="Calibri"/>
                <w:b w:val="0"/>
                <w:i w:val="0"/>
                <w:color w:val="212121"/>
                <w:sz w:val="19"/>
              </w:rPr>
              <w:t>Medium</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nmji.in/male-infertility-in-india-demographics-aetiology-and-outcomes-of-standard-clinical-practice/" TargetMode="External"/><Relationship Id="rId10" Type="http://schemas.openxmlformats.org/officeDocument/2006/relationships/hyperlink" Target="https://www.who.int/news/item/04-04-2023-1-in-6-people-globally-affected-by-infertility" TargetMode="External"/><Relationship Id="rId11" Type="http://schemas.openxmlformats.org/officeDocument/2006/relationships/hyperlink" Target="https://pubmed.ncbi.nlm.nih.gov/24673246/" TargetMode="External"/><Relationship Id="rId12" Type="http://schemas.openxmlformats.org/officeDocument/2006/relationships/hyperlink" Target="https://link.springer.com/article/10.1186/s12958-018-0425-z" TargetMode="External"/><Relationship Id="rId13" Type="http://schemas.openxmlformats.org/officeDocument/2006/relationships/hyperlink" Target="https://pubmed.ncbi.nlm.nih.gov/25456164/" TargetMode="External"/><Relationship Id="rId14" Type="http://schemas.openxmlformats.org/officeDocument/2006/relationships/hyperlink" Target="https://www.asrm.org/practice-guidance/practice-committee-documents/tobacco-or-marijuana-use/" TargetMode="External"/><Relationship Id="rId15" Type="http://schemas.openxmlformats.org/officeDocument/2006/relationships/hyperlink" Target="https://pubmed.ncbi.nlm.nih.gov/23242914/" TargetMode="External"/><Relationship Id="rId16" Type="http://schemas.openxmlformats.org/officeDocument/2006/relationships/hyperlink" Target="https://pmc.ncbi.nlm.nih.gov/articles/PMC10776073/" TargetMode="External"/><Relationship Id="rId17" Type="http://schemas.openxmlformats.org/officeDocument/2006/relationships/hyperlink" Target="https://www.frontiersin.org/journals/endocrinology/articles/10.3389/fendo.2018.00268/full" TargetMode="External"/><Relationship Id="rId18" Type="http://schemas.openxmlformats.org/officeDocument/2006/relationships/hyperlink" Target="https://www.icmr.gov.in/icmrobject/uploads/STWs/1725952326_urology_male_infertility.pdf" TargetMode="External"/><Relationship Id="rId19" Type="http://schemas.openxmlformats.org/officeDocument/2006/relationships/hyperlink" Target="https://www.fertility-smart.net/knowledge-center/normal-semen-analysis-who-202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