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Epididymo-orchitis</w:t>
      </w:r>
    </w:p>
    <w:p>
      <w:pPr>
        <w:spacing w:before="0" w:after="160"/>
      </w:pPr>
      <w:r>
        <w:rPr>
          <w:rFonts w:ascii="Calibri" w:hAnsi="Calibri"/>
          <w:b/>
          <w:i w:val="0"/>
          <w:color w:val="212121"/>
          <w:sz w:val="22"/>
        </w:rPr>
        <w:t xml:space="preserve">AKA </w:t>
      </w:r>
      <w:r>
        <w:rPr>
          <w:rFonts w:ascii="Calibri" w:hAnsi="Calibri"/>
          <w:b w:val="0"/>
          <w:i w:val="0"/>
          <w:color w:val="212121"/>
          <w:sz w:val="22"/>
        </w:rPr>
        <w:t>i.e., Epididymitis with orchitis, Infective acute scrotum, Inflammation of the epididymis and testis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Epididymo-orchitis is acute (occasionally chronic) inflammation of the epididymis that spreads to involve the adjacent testis, most often caused by ascending infection from the urethra or bladder. It is the commonest cause of the acute, non-traumatic painful scrotum in adult men and presents with unilateral scrotal pain, swelling and tenderness, frequently with a reactive hydrocele and lower urinary tract symptoms. In sexually active men under 35 it is usually due to sexually transmitted organisms (Chlamydia trachomatis, Neisseria gonorrhoeae), whereas in older men and boys it is usually due to urinary (enteric) pathogens; in India tuberculous and filarial causes are also clinically important.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Epididymo-orchitis is the single commonest cause of the acute painful scrotum in adult men. In a hospital-based Indian series of acute scrotal swellings it accounted for about 60% of presentations (testicular torsion 26%, trauma 14%). Community incidence is estimated at roughly 25–65 cases per 10,000 adult males per year, with the peak burden in the 20–40 year age band; orchitis accompanies epididymitis in a majority of cases (concurrent orchitis reported in about 58%).</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Epididymo-orchitis is primarily a clinical diagnosis supported by targeted investigations, the first priority being to exclude testicular torsion. It is suggested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Acute unilateral scrotal pain and swelling developing over 1–2 days, with maximal tenderness over the epididymis (posterior-superior aspect of the testis), often with a reactive hydrocele and overlying erythema/warmth;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Prehn sign (pain relieved by scrotal elevation) and a preserved cremasteric reflex, which help distinguish it from torsion (torsion: high-riding testis, absent cremasteric reflex);</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Urinalysis showing pyuria/leukocyte-esterase or nitrites, with a midstream urine culture positive for enteric organisms (E. coli and other coliforms) in urinary/older-age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Urethral Gram stain and nucleic-acid amplification testing (NAAT) of first-void urine/urethral swab for C. trachomatis and N. gonorrhoeae in sexually active men under 35 or with urethral discharge;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Colour Doppler ultrasonography of the scrotum showing an enlarged, hypervascular (hyperaemic) epididymis with or without testicular involvement and preserved/increased blood flow — mandatory when torsion cannot be excluded clinically (torsion shows reduced/absent flow);</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chronic, granulomatous or treatment-refractory disease, evaluation for tuberculosis (early-morning urine for AFB/GeneXpert MTB-RIF, characteristic heterogeneous epididymis or scrotal sinus on ultrasound) and for lymphatic filariasis (nocturnal peripheral smear for microfilariae, filarial antigen test, ultrasound 'filarial dance sign').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Epididymo-orchitis is classified by time course and by causative organism, which together determine the likely pathogen and empirical treatment:</w:t>
      </w:r>
    </w:p>
    <w:p>
      <w:pPr>
        <w:spacing w:before="0" w:after="80"/>
      </w:pPr>
      <w:r>
        <w:rPr>
          <w:rFonts w:ascii="Calibri" w:hAnsi="Calibri"/>
          <w:b w:val="0"/>
          <w:i w:val="0"/>
          <w:color w:val="212121"/>
          <w:sz w:val="21"/>
        </w:rPr>
        <w:t>(1) Acute epididymo-orchitis — symptoms of less than about six weeks' duration, dominated by infection, and the form most likely to be confused with testicular torsion.</w:t>
      </w:r>
    </w:p>
    <w:p>
      <w:pPr>
        <w:spacing w:before="0" w:after="80"/>
      </w:pPr>
      <w:r>
        <w:rPr>
          <w:rFonts w:ascii="Calibri" w:hAnsi="Calibri"/>
          <w:b w:val="0"/>
          <w:i w:val="0"/>
          <w:color w:val="212121"/>
          <w:sz w:val="21"/>
        </w:rPr>
        <w:t>(2) Sexually transmitted (STI-related) epididymo-orchitis — typically men under 35, caused by C. trachomatis and N. gonorrhoeae, and often accompanied by urethritis or urethral discharge; sexual partners require notification and treatment.</w:t>
      </w:r>
    </w:p>
    <w:p>
      <w:pPr>
        <w:spacing w:before="0" w:after="80"/>
      </w:pPr>
      <w:r>
        <w:rPr>
          <w:rFonts w:ascii="Calibri" w:hAnsi="Calibri"/>
          <w:b w:val="0"/>
          <w:i w:val="0"/>
          <w:color w:val="212121"/>
          <w:sz w:val="21"/>
        </w:rPr>
        <w:t>(3) Non-sexually-transmitted (urinary/enteric) epididymo-orchitis — typically men over 35, boys and men with bladder outlet obstruction, catheterisation or instrumentation, caused by coliforms such as E. coli, Klebsiella and Pseudomonas ascending from infected urine.</w:t>
      </w:r>
    </w:p>
    <w:p>
      <w:pPr>
        <w:spacing w:before="0" w:after="80"/>
      </w:pPr>
      <w:r>
        <w:rPr>
          <w:rFonts w:ascii="Calibri" w:hAnsi="Calibri"/>
          <w:b w:val="0"/>
          <w:i w:val="0"/>
          <w:color w:val="212121"/>
          <w:sz w:val="21"/>
        </w:rPr>
        <w:t>(4) Chronic epididymo-orchitis — symptoms persisting beyond about three months; in India this importantly includes granulomatous tuberculous disease and chronic filarial epididymo-orchitis, as well as idiopathic chronic orchialgia.</w:t>
      </w:r>
    </w:p>
    <w:p>
      <w:pPr>
        <w:spacing w:before="0" w:after="80"/>
      </w:pPr>
      <w:r>
        <w:rPr>
          <w:rFonts w:ascii="Calibri" w:hAnsi="Calibri"/>
          <w:b w:val="0"/>
          <w:i w:val="0"/>
          <w:color w:val="212121"/>
          <w:sz w:val="21"/>
        </w:rPr>
        <w:t>(5) Non-infective and other causes — viral orchitis (chiefly mumps), drug-induced (amiodarone), Behçet's disease and brucellosis, and chemical/traumatic inflammation from urine reflux.</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Sexually transmitted infection: Ascending urethral infection with Chlamydia trachomatis and Neisseria gonorrhoeae is the dominant cause in sexually active men under 35; Mycoplasma genitalium is an emerging contributor.</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Urinary (enteric) infection: In men over 35, boys and men with obstruction, Gram-negative coliforms (E. coli, Klebsiella, Pseudomonas) reflux from infected urine along the vas into the epididymis.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Bladder outlet obstruction and instrumentation: Benign prostatic hyperplasia, urethral stricture, catheterisation, cystoscopy and prostate surgery promote bacteriuria and retrograde reflux.</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Viral orchitis: Mumps is the classic viral cause, producing orchitis in 20–25% of post-pubertal males with the infection, usually 4–7 days after parotitis.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Tuberculosis: Haematogenous or canalicular spread of Mycobacterium tuberculosis makes the epididymis the commonest site of male genital TB — an important, often chronic cause in high-burden India.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Lymphatic filariasis: Wuchereria bancrofti lodging in scrotal lymphatics causes recurrent filarial funiculitis/epididymo-orchitis and hydrocele in endemic parts of India.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Host and behavioural factors: Unprotected sex and multiple partners, immunosuppression (including HIV and diabetes), and structural/congenital urinary anomalies increase susceptibility and severity.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(sexually active, 20–40 years)</w:t>
            </w:r>
          </w:p>
        </w:tc>
        <w:tc>
          <w:tcPr>
            <w:tcW w:type="dxa" w:w="4276"/>
            <w:vAlign w:val="top"/>
          </w:tcPr>
          <w:p>
            <w:pPr>
              <w:spacing w:after="60" w:line="259" w:lineRule="auto"/>
            </w:pPr>
            <w:r>
              <w:rPr>
                <w:rFonts w:ascii="Calibri" w:hAnsi="Calibri"/>
                <w:b w:val="0"/>
                <w:i w:val="0"/>
                <w:color w:val="212121"/>
                <w:sz w:val="19"/>
              </w:rPr>
              <w:t>Peak-incidence group. High rates of sexual activity make ascending chlamydial and gonococcal urethral infection the dominant mechanism; the epididymis is seeded by canalicular spread from the posterior urethra.</w:t>
            </w:r>
          </w:p>
          <w:p>
            <w:pPr>
              <w:spacing w:after="40" w:before="60" w:line="259" w:lineRule="auto"/>
            </w:pPr>
            <w:r>
              <w:rPr>
                <w:rFonts w:ascii="Calibri" w:hAnsi="Calibri"/>
                <w:b w:val="0"/>
                <w:i w:val="0"/>
                <w:color w:val="212121"/>
                <w:sz w:val="19"/>
              </w:rPr>
              <w:t>In a clinic-based series the median age was 33 years, and sexually transmitted organisms (chlamydia, gonorrhoea, M. genitalium) accounted for most microbiologically positive cases.</w:t>
            </w:r>
          </w:p>
          <w:p>
            <w:pPr>
              <w:spacing w:after="40" w:line="252" w:lineRule="auto"/>
            </w:pPr>
            <w:hyperlink r:id="rId9">
              <w:r>
                <w:rPr>
                  <w:rFonts w:ascii="Calibri" w:hAnsi="Calibri" w:cs="Calibri"/>
                  <w:sz w:val="18"/>
                  <w:color w:val="1155CC"/>
                  <w:u w:val="single"/>
                </w:rPr>
                <w:t xml:space="preserve">mdpi.com — aetiology &amp; outcomes of epididymo-orchitis (2025)</w:t>
              </w:r>
            </w:hyperlink>
          </w:p>
          <w:p>
            <w:pPr>
              <w:spacing w:before="60" w:after="40"/>
            </w:pPr>
            <w:r>
              <w:rPr>
                <w:rFonts w:ascii="Calibri" w:hAnsi="Calibri"/>
                <w:b w:val="0"/>
                <w:i w:val="0"/>
                <w:color w:val="5A5A5A"/>
                <w:sz w:val="18"/>
              </w:rPr>
              <w:t>#STI  #chlamydia  #gonorrhoea  #youngadults  #urethritis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(&gt;50 years)</w:t>
            </w:r>
          </w:p>
        </w:tc>
        <w:tc>
          <w:tcPr>
            <w:tcW w:type="dxa" w:w="4276"/>
            <w:vAlign w:val="top"/>
          </w:tcPr>
          <w:p>
            <w:pPr>
              <w:spacing w:after="60" w:line="259" w:lineRule="auto"/>
            </w:pPr>
            <w:r>
              <w:rPr>
                <w:rFonts w:ascii="Calibri" w:hAnsi="Calibri"/>
                <w:b w:val="0"/>
                <w:i w:val="0"/>
                <w:color w:val="212121"/>
                <w:sz w:val="19"/>
              </w:rPr>
              <w:t>Second peak. Bladder outlet obstruction from prostatic enlargement causes urinary stasis and enteric reflux; comorbidity and delayed presentation raise the risk of abscess and testicular loss.</w:t>
            </w:r>
          </w:p>
          <w:p>
            <w:pPr>
              <w:spacing w:after="40" w:before="60" w:line="259" w:lineRule="auto"/>
            </w:pPr>
            <w:r>
              <w:rPr>
                <w:rFonts w:ascii="Calibri" w:hAnsi="Calibri"/>
                <w:b w:val="0"/>
                <w:i w:val="0"/>
                <w:color w:val="212121"/>
                <w:sz w:val="19"/>
              </w:rPr>
              <w:t>In an outcome study, orchidectomy for acute epididymo-orchitis occurred in 4% of patients, with 80% of these in men aged over 35, and abscesses concentrated in older adults.</w:t>
            </w:r>
          </w:p>
          <w:p>
            <w:pPr>
              <w:spacing w:after="40" w:line="252" w:lineRule="auto"/>
            </w:pPr>
            <w:hyperlink r:id="rId10">
              <w:r>
                <w:rPr>
                  <w:rFonts w:ascii="Calibri" w:hAnsi="Calibri" w:cs="Calibri"/>
                  <w:sz w:val="18"/>
                  <w:color w:val="1155CC"/>
                  <w:u w:val="single"/>
                </w:rPr>
                <w:t xml:space="preserve">link.springer.com — outcome of acute epididymo-orchitis</w:t>
              </w:r>
            </w:hyperlink>
          </w:p>
          <w:p>
            <w:pPr>
              <w:spacing w:before="60" w:after="40"/>
            </w:pPr>
            <w:r>
              <w:rPr>
                <w:rFonts w:ascii="Calibri" w:hAnsi="Calibri"/>
                <w:b w:val="0"/>
                <w:i w:val="0"/>
                <w:color w:val="5A5A5A"/>
                <w:sz w:val="18"/>
              </w:rPr>
              <w:t>#BPH  #enteric  #testicularloss  #abscess  #oldermen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In pre-pubertal boys the condition is frequently post-infectious or related to congenital urinary anomalies and reflux rather than classic bacterial infection; it must still be distinguished urgently from torsion.</w:t>
            </w:r>
          </w:p>
          <w:p>
            <w:pPr>
              <w:spacing w:after="40" w:before="60" w:line="259" w:lineRule="auto"/>
            </w:pPr>
            <w:r>
              <w:rPr>
                <w:rFonts w:ascii="Calibri" w:hAnsi="Calibri"/>
                <w:b w:val="0"/>
                <w:i w:val="0"/>
                <w:color w:val="212121"/>
                <w:sz w:val="19"/>
              </w:rPr>
              <w:t>Reported annual incidence in boys aged 2–13 years is about 1.2 per 1,000, with roughly a quarter recurring within five years.</w:t>
            </w:r>
          </w:p>
          <w:p>
            <w:pPr>
              <w:spacing w:after="40" w:line="252" w:lineRule="auto"/>
            </w:pPr>
            <w:hyperlink r:id="rId11">
              <w:r>
                <w:rPr>
                  <w:rFonts w:ascii="Calibri" w:hAnsi="Calibri" w:cs="Calibri"/>
                  <w:sz w:val="18"/>
                  <w:color w:val="1155CC"/>
                  <w:u w:val="single"/>
                </w:rPr>
                <w:t xml:space="preserve">aafp.org — epididymitis: an overview</w:t>
              </w:r>
            </w:hyperlink>
          </w:p>
          <w:p>
            <w:pPr>
              <w:spacing w:before="60" w:after="40"/>
            </w:pPr>
            <w:r>
              <w:rPr>
                <w:rFonts w:ascii="Calibri" w:hAnsi="Calibri"/>
                <w:b w:val="0"/>
                <w:i w:val="0"/>
                <w:color w:val="5A5A5A"/>
                <w:sz w:val="18"/>
              </w:rPr>
              <w:t>#paediatric  #refluxanomaly  #postinfectious  #acutescrotum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(anatomically exclusive)</w:t>
            </w:r>
          </w:p>
        </w:tc>
        <w:tc>
          <w:tcPr>
            <w:tcW w:type="dxa" w:w="4276"/>
            <w:vAlign w:val="top"/>
          </w:tcPr>
          <w:p>
            <w:pPr>
              <w:spacing w:after="60" w:line="259" w:lineRule="auto"/>
            </w:pPr>
            <w:r>
              <w:rPr>
                <w:rFonts w:ascii="Calibri" w:hAnsi="Calibri"/>
                <w:b w:val="0"/>
                <w:i w:val="0"/>
                <w:color w:val="212121"/>
                <w:sz w:val="19"/>
              </w:rPr>
              <w:t>Epididymo-orchitis affects only the male genital tract; the epididymis and testis provide the anatomical substrate, and ascending infection along the vas deferens is the shared final pathway across all causes.</w:t>
            </w:r>
          </w:p>
          <w:p>
            <w:pPr>
              <w:spacing w:after="40" w:before="60" w:line="259" w:lineRule="auto"/>
            </w:pPr>
            <w:r>
              <w:rPr>
                <w:rFonts w:ascii="Calibri" w:hAnsi="Calibri"/>
                <w:b w:val="0"/>
                <w:i w:val="0"/>
                <w:color w:val="212121"/>
                <w:sz w:val="19"/>
              </w:rPr>
              <w:t>A male-exclusive condition; management always includes early exclusion of testicular torsion, the key surgical mimic.</w:t>
            </w:r>
          </w:p>
          <w:p>
            <w:pPr>
              <w:spacing w:before="60" w:after="40"/>
            </w:pPr>
            <w:r>
              <w:rPr>
                <w:rFonts w:ascii="Calibri" w:hAnsi="Calibri"/>
                <w:b w:val="0"/>
                <w:i w:val="0"/>
                <w:color w:val="5A5A5A"/>
                <w:sz w:val="18"/>
              </w:rPr>
              <w:t>#malehealth  #scrotum  #andrology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populations</w:t>
            </w:r>
          </w:p>
        </w:tc>
        <w:tc>
          <w:tcPr>
            <w:tcW w:type="dxa" w:w="4276"/>
            <w:vAlign w:val="top"/>
          </w:tcPr>
          <w:p>
            <w:pPr>
              <w:spacing w:after="60" w:line="259" w:lineRule="auto"/>
            </w:pPr>
            <w:r>
              <w:rPr>
                <w:rFonts w:ascii="Calibri" w:hAnsi="Calibri"/>
                <w:b w:val="0"/>
                <w:i w:val="0"/>
                <w:color w:val="212121"/>
                <w:sz w:val="19"/>
              </w:rPr>
              <w:t>Limited access to safe-sex resources, later presentation, and higher exposure to tuberculosis and lymphatic filariasis shift the disease spectrum toward chronic granulomatous and filarial epididymo-orchitis with greater complication rates.</w:t>
            </w:r>
          </w:p>
          <w:p>
            <w:pPr>
              <w:spacing w:after="40" w:before="60" w:line="259" w:lineRule="auto"/>
            </w:pPr>
            <w:r>
              <w:rPr>
                <w:rFonts w:ascii="Calibri" w:hAnsi="Calibri"/>
                <w:b w:val="0"/>
                <w:i w:val="0"/>
                <w:color w:val="212121"/>
                <w:sz w:val="19"/>
              </w:rPr>
              <w:t>Genital involvement from tuberculosis is reported to be commoner in India than in many other countries, and the epididymis is the most frequent male genital site affected.</w:t>
            </w:r>
          </w:p>
          <w:p>
            <w:pPr>
              <w:spacing w:after="40" w:line="252" w:lineRule="auto"/>
            </w:pPr>
            <w:hyperlink r:id="rId12">
              <w:r>
                <w:rPr>
                  <w:rFonts w:ascii="Calibri" w:hAnsi="Calibri" w:cs="Calibri"/>
                  <w:sz w:val="18"/>
                  <w:color w:val="1155CC"/>
                  <w:u w:val="single"/>
                </w:rPr>
                <w:t xml:space="preserve">tau.amegroups.org — genital tuberculosis review</w:t>
              </w:r>
            </w:hyperlink>
          </w:p>
          <w:p>
            <w:pPr>
              <w:spacing w:before="60" w:after="40"/>
            </w:pPr>
            <w:r>
              <w:rPr>
                <w:rFonts w:ascii="Calibri" w:hAnsi="Calibri"/>
                <w:b w:val="0"/>
                <w:i w:val="0"/>
                <w:color w:val="5A5A5A"/>
                <w:sz w:val="18"/>
              </w:rPr>
              <w:t>#ruralhealth  #TB  #filariasis  #delayedcare  #lowSES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endemicity</w:t>
            </w:r>
          </w:p>
        </w:tc>
        <w:tc>
          <w:tcPr>
            <w:tcW w:type="dxa" w:w="2160"/>
            <w:vAlign w:val="top"/>
          </w:tcPr>
          <w:p>
            <w:pPr>
              <w:spacing w:after="40" w:before="0" w:line="259" w:lineRule="auto"/>
            </w:pPr>
            <w:r>
              <w:rPr>
                <w:rFonts w:ascii="Calibri" w:hAnsi="Calibri"/>
                <w:b w:val="0"/>
                <w:i w:val="0"/>
                <w:color w:val="212121"/>
                <w:sz w:val="19"/>
              </w:rPr>
              <w:t>Filariasis-endemic India (Bihar, UP, Jharkhand, Odisha, AP, coastal belts)</w:t>
            </w:r>
          </w:p>
        </w:tc>
        <w:tc>
          <w:tcPr>
            <w:tcW w:type="dxa" w:w="4276"/>
            <w:vAlign w:val="top"/>
          </w:tcPr>
          <w:p>
            <w:pPr>
              <w:spacing w:after="60" w:line="259" w:lineRule="auto"/>
            </w:pPr>
            <w:r>
              <w:rPr>
                <w:rFonts w:ascii="Calibri" w:hAnsi="Calibri"/>
                <w:b w:val="0"/>
                <w:i w:val="0"/>
                <w:color w:val="212121"/>
                <w:sz w:val="19"/>
              </w:rPr>
              <w:t>In endemic zones, adult Wuchereria bancrofti worms lodging in scrotal lymphatics cause recurrent filarial funiculitis and epididymo-orchitis, and chronic filarial hydrocele.</w:t>
            </w:r>
          </w:p>
          <w:p>
            <w:pPr>
              <w:spacing w:after="40" w:before="60" w:line="259" w:lineRule="auto"/>
            </w:pPr>
            <w:r>
              <w:rPr>
                <w:rFonts w:ascii="Calibri" w:hAnsi="Calibri"/>
                <w:b w:val="0"/>
                <w:i w:val="0"/>
                <w:color w:val="212121"/>
                <w:sz w:val="19"/>
              </w:rPr>
              <w:t>Lymphatic filariasis in India is caused by W. bancrofti in about 99.4% of cases (Brugia malayi ≈0.6%), and genital manifestations including hydrocele are a leading chronic morbidity.</w:t>
            </w:r>
          </w:p>
          <w:p>
            <w:pPr>
              <w:spacing w:after="40" w:line="252" w:lineRule="auto"/>
            </w:pPr>
            <w:hyperlink r:id="rId13">
              <w:r>
                <w:rPr>
                  <w:rFonts w:ascii="Calibri" w:hAnsi="Calibri" w:cs="Calibri"/>
                  <w:sz w:val="18"/>
                  <w:color w:val="1155CC"/>
                  <w:u w:val="single"/>
                </w:rPr>
                <w:t xml:space="preserve">ncvbdc.mohfw.gov.in — filariasis (Govt. of India)</w:t>
              </w:r>
            </w:hyperlink>
          </w:p>
          <w:p>
            <w:pPr>
              <w:spacing w:before="60" w:after="40"/>
            </w:pPr>
            <w:r>
              <w:rPr>
                <w:rFonts w:ascii="Calibri" w:hAnsi="Calibri"/>
                <w:b w:val="0"/>
                <w:i w:val="0"/>
                <w:color w:val="5A5A5A"/>
                <w:sz w:val="18"/>
              </w:rPr>
              <w:t>#filariasis  #Wuchereria  #hydrocele  #endemicIndia  #NTD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TB burden</w:t>
            </w:r>
          </w:p>
        </w:tc>
        <w:tc>
          <w:tcPr>
            <w:tcW w:type="dxa" w:w="2160"/>
            <w:vAlign w:val="top"/>
          </w:tcPr>
          <w:p>
            <w:pPr>
              <w:spacing w:after="40" w:before="0" w:line="259" w:lineRule="auto"/>
            </w:pPr>
            <w:r>
              <w:rPr>
                <w:rFonts w:ascii="Calibri" w:hAnsi="Calibri"/>
                <w:b w:val="0"/>
                <w:i w:val="0"/>
                <w:color w:val="212121"/>
                <w:sz w:val="19"/>
              </w:rPr>
              <w:t>High tuberculosis-burden India</w:t>
            </w:r>
          </w:p>
        </w:tc>
        <w:tc>
          <w:tcPr>
            <w:tcW w:type="dxa" w:w="4276"/>
            <w:vAlign w:val="top"/>
          </w:tcPr>
          <w:p>
            <w:pPr>
              <w:spacing w:after="60" w:line="259" w:lineRule="auto"/>
            </w:pPr>
            <w:r>
              <w:rPr>
                <w:rFonts w:ascii="Calibri" w:hAnsi="Calibri"/>
                <w:b w:val="0"/>
                <w:i w:val="0"/>
                <w:color w:val="212121"/>
                <w:sz w:val="19"/>
              </w:rPr>
              <w:t>In a country with a very large TB burden, haematogenous and canalicular spread makes tuberculous epididymo-orchitis an important differential of chronic scrotal swelling and of the 'cold' testicular mass.</w:t>
            </w:r>
          </w:p>
          <w:p>
            <w:pPr>
              <w:spacing w:after="40" w:before="60" w:line="259" w:lineRule="auto"/>
            </w:pPr>
            <w:r>
              <w:rPr>
                <w:rFonts w:ascii="Calibri" w:hAnsi="Calibri"/>
                <w:b w:val="0"/>
                <w:i w:val="0"/>
                <w:color w:val="212121"/>
                <w:sz w:val="19"/>
              </w:rPr>
              <w:t>The epididymis is the commonest site of male genital TB, involved in about 48.9% of patients with genitourinary tuberculosis; bilateral involvement occurs in roughly 34%.</w:t>
            </w:r>
          </w:p>
          <w:p>
            <w:pPr>
              <w:spacing w:after="40" w:line="252" w:lineRule="auto"/>
            </w:pPr>
            <w:hyperlink r:id="rId12">
              <w:r>
                <w:rPr>
                  <w:rFonts w:ascii="Calibri" w:hAnsi="Calibri" w:cs="Calibri"/>
                  <w:sz w:val="18"/>
                  <w:color w:val="1155CC"/>
                  <w:u w:val="single"/>
                </w:rPr>
                <w:t xml:space="preserve">tau.amegroups.org — genital tuberculosis review</w:t>
              </w:r>
            </w:hyperlink>
          </w:p>
          <w:p>
            <w:pPr>
              <w:spacing w:before="60" w:after="40"/>
            </w:pPr>
            <w:r>
              <w:rPr>
                <w:rFonts w:ascii="Calibri" w:hAnsi="Calibri"/>
                <w:b w:val="0"/>
                <w:i w:val="0"/>
                <w:color w:val="5A5A5A"/>
                <w:sz w:val="18"/>
              </w:rPr>
              <w:t>#tuberculosis  #GUTB  #chronicswelling  #coldabscess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Multiple/new partners, unprotected sex, MSM</w:t>
            </w:r>
          </w:p>
        </w:tc>
        <w:tc>
          <w:tcPr>
            <w:tcW w:type="dxa" w:w="4276"/>
            <w:vAlign w:val="top"/>
          </w:tcPr>
          <w:p>
            <w:pPr>
              <w:spacing w:after="60" w:line="259" w:lineRule="auto"/>
            </w:pPr>
            <w:r>
              <w:rPr>
                <w:rFonts w:ascii="Calibri" w:hAnsi="Calibri"/>
                <w:b w:val="0"/>
                <w:i w:val="0"/>
                <w:color w:val="212121"/>
                <w:sz w:val="19"/>
              </w:rPr>
              <w:t>Unprotected intercourse, multiple or new partners and insertive anal intercourse increase acquisition of chlamydia and gonorrhoea (and, in MSM, enteric organisms), the principal drivers of STI-related epididymo-orchitis.</w:t>
            </w:r>
          </w:p>
          <w:p>
            <w:pPr>
              <w:spacing w:after="40" w:before="60" w:line="259" w:lineRule="auto"/>
            </w:pPr>
            <w:r>
              <w:rPr>
                <w:rFonts w:ascii="Calibri" w:hAnsi="Calibri"/>
                <w:b w:val="0"/>
                <w:i w:val="0"/>
                <w:color w:val="212121"/>
                <w:sz w:val="19"/>
              </w:rPr>
              <w:t>In a contemporary clinic cohort, 49% of epididymo-orchitis patients were men who have sex with men and 6% were HIV-positive; STI pathogens dominated the positive cultures.</w:t>
            </w:r>
          </w:p>
          <w:p>
            <w:pPr>
              <w:spacing w:after="40" w:line="252" w:lineRule="auto"/>
            </w:pPr>
            <w:hyperlink r:id="rId9">
              <w:r>
                <w:rPr>
                  <w:rFonts w:ascii="Calibri" w:hAnsi="Calibri" w:cs="Calibri"/>
                  <w:sz w:val="18"/>
                  <w:color w:val="1155CC"/>
                  <w:u w:val="single"/>
                </w:rPr>
                <w:t xml:space="preserve">mdpi.com — aetiology &amp; outcomes of epididymo-orchitis (2025)</w:t>
              </w:r>
            </w:hyperlink>
          </w:p>
          <w:p>
            <w:pPr>
              <w:spacing w:before="60" w:after="40"/>
            </w:pPr>
            <w:r>
              <w:rPr>
                <w:rFonts w:ascii="Calibri" w:hAnsi="Calibri"/>
                <w:b w:val="0"/>
                <w:i w:val="0"/>
                <w:color w:val="5A5A5A"/>
                <w:sz w:val="18"/>
              </w:rPr>
              <w:t>#unprotectedsex  #multiplepartners  #MSM  #HIV  #condomless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occupational</w:t>
            </w:r>
          </w:p>
        </w:tc>
        <w:tc>
          <w:tcPr>
            <w:tcW w:type="dxa" w:w="2160"/>
            <w:vAlign w:val="top"/>
          </w:tcPr>
          <w:p>
            <w:pPr>
              <w:spacing w:after="40" w:before="0" w:line="259" w:lineRule="auto"/>
            </w:pPr>
            <w:r>
              <w:rPr>
                <w:rFonts w:ascii="Calibri" w:hAnsi="Calibri"/>
                <w:b w:val="0"/>
                <w:i w:val="0"/>
                <w:color w:val="212121"/>
                <w:sz w:val="19"/>
              </w:rPr>
              <w:t>Long-distance drivers, cyclists, prolonged sitting</w:t>
            </w:r>
          </w:p>
        </w:tc>
        <w:tc>
          <w:tcPr>
            <w:tcW w:type="dxa" w:w="4276"/>
            <w:vAlign w:val="top"/>
          </w:tcPr>
          <w:p>
            <w:pPr>
              <w:spacing w:after="60" w:line="259" w:lineRule="auto"/>
            </w:pPr>
            <w:r>
              <w:rPr>
                <w:rFonts w:ascii="Calibri" w:hAnsi="Calibri"/>
                <w:b w:val="0"/>
                <w:i w:val="0"/>
                <w:color w:val="212121"/>
                <w:sz w:val="19"/>
              </w:rPr>
              <w:t>Prolonged perineal pressure and heat, and heavy straining or exertion with a full bladder, can promote urine reflux along the vas and aggravate scrotal inflammation.</w:t>
            </w:r>
          </w:p>
          <w:p>
            <w:pPr>
              <w:spacing w:after="40" w:before="60" w:line="259" w:lineRule="auto"/>
            </w:pPr>
            <w:r>
              <w:rPr>
                <w:rFonts w:ascii="Calibri" w:hAnsi="Calibri"/>
                <w:b w:val="0"/>
                <w:i w:val="0"/>
                <w:color w:val="212121"/>
                <w:sz w:val="19"/>
              </w:rPr>
              <w:t>Strenuous physical exertion with a full bladder is recognised as a provoking factor for reflux-related (chemical/enteric) epididymitis.</w:t>
            </w:r>
          </w:p>
          <w:p>
            <w:pPr>
              <w:spacing w:after="40" w:line="252" w:lineRule="auto"/>
            </w:pPr>
            <w:hyperlink r:id="rId14">
              <w:r>
                <w:rPr>
                  <w:rFonts w:ascii="Calibri" w:hAnsi="Calibri" w:cs="Calibri"/>
                  <w:sz w:val="18"/>
                  <w:color w:val="1155CC"/>
                  <w:u w:val="single"/>
                </w:rPr>
                <w:t xml:space="preserve">patient.info — epididymo-orchitis (professional)</w:t>
              </w:r>
            </w:hyperlink>
          </w:p>
          <w:p>
            <w:pPr>
              <w:spacing w:before="60" w:after="40"/>
            </w:pPr>
            <w:r>
              <w:rPr>
                <w:rFonts w:ascii="Calibri" w:hAnsi="Calibri"/>
                <w:b w:val="0"/>
                <w:i w:val="0"/>
                <w:color w:val="5A5A5A"/>
                <w:sz w:val="18"/>
              </w:rPr>
              <w:t>#prolongedsitting  #cycling  #perinealheat  #reflux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impairs mucosal immunity and microvascular healing and is associated with more sexually risky behaviour, indirectly increasing infection risk and slowing recovery.</w:t>
            </w:r>
          </w:p>
          <w:p>
            <w:pPr>
              <w:spacing w:after="40" w:before="60" w:line="259" w:lineRule="auto"/>
            </w:pPr>
            <w:r>
              <w:rPr>
                <w:rFonts w:ascii="Calibri" w:hAnsi="Calibri"/>
                <w:b w:val="0"/>
                <w:i w:val="0"/>
                <w:color w:val="212121"/>
                <w:sz w:val="19"/>
              </w:rPr>
              <w:t>Smoking is a general modifiable risk factor for genitourinary infection and delayed healing (a contributory rather than an independent cause).</w:t>
            </w:r>
          </w:p>
          <w:p>
            <w:pPr>
              <w:spacing w:before="60" w:after="40"/>
            </w:pPr>
            <w:r>
              <w:rPr>
                <w:rFonts w:ascii="Calibri" w:hAnsi="Calibri"/>
                <w:b w:val="0"/>
                <w:i w:val="0"/>
                <w:color w:val="5A5A5A"/>
                <w:sz w:val="18"/>
              </w:rPr>
              <w:t>#smoking  #immunity  #healing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Alcohol misuse is linked to unprotected sex and multiple partners, raising the likelihood of STI-related epididymo-orchitis, and heavy use can blunt immune defences.</w:t>
            </w:r>
          </w:p>
          <w:p>
            <w:pPr>
              <w:spacing w:after="40" w:before="60" w:line="259" w:lineRule="auto"/>
            </w:pPr>
            <w:r>
              <w:rPr>
                <w:rFonts w:ascii="Calibri" w:hAnsi="Calibri"/>
                <w:b w:val="0"/>
                <w:i w:val="0"/>
                <w:color w:val="212121"/>
                <w:sz w:val="19"/>
              </w:rPr>
              <w:t>Behavioural mediation via risky sexual practices (a contributory rather than a direct cause).</w:t>
            </w:r>
          </w:p>
          <w:p>
            <w:pPr>
              <w:spacing w:before="60" w:after="40"/>
            </w:pPr>
            <w:r>
              <w:rPr>
                <w:rFonts w:ascii="Calibri" w:hAnsi="Calibri"/>
                <w:b w:val="0"/>
                <w:i w:val="0"/>
                <w:color w:val="5A5A5A"/>
                <w:sz w:val="18"/>
              </w:rPr>
              <w:t>#alcohol  #riskysex  #STIrisk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Fluid intake</w:t>
            </w:r>
          </w:p>
        </w:tc>
        <w:tc>
          <w:tcPr>
            <w:tcW w:type="dxa" w:w="2160"/>
            <w:vAlign w:val="top"/>
          </w:tcPr>
          <w:p>
            <w:pPr>
              <w:spacing w:after="40" w:before="0" w:line="259" w:lineRule="auto"/>
            </w:pPr>
            <w:r>
              <w:rPr>
                <w:rFonts w:ascii="Calibri" w:hAnsi="Calibri"/>
                <w:b w:val="0"/>
                <w:i w:val="0"/>
                <w:color w:val="212121"/>
                <w:sz w:val="19"/>
              </w:rPr>
              <w:t>Low daily fluid intake</w:t>
            </w:r>
          </w:p>
        </w:tc>
        <w:tc>
          <w:tcPr>
            <w:tcW w:type="dxa" w:w="4276"/>
            <w:vAlign w:val="top"/>
          </w:tcPr>
          <w:p>
            <w:pPr>
              <w:spacing w:after="60" w:line="259" w:lineRule="auto"/>
            </w:pPr>
            <w:r>
              <w:rPr>
                <w:rFonts w:ascii="Calibri" w:hAnsi="Calibri"/>
                <w:b w:val="0"/>
                <w:i w:val="0"/>
                <w:color w:val="212121"/>
                <w:sz w:val="19"/>
              </w:rPr>
              <w:t>Inadequate hydration produces concentrated urine and urinary stasis, favouring urinary tract infection and the enteric ascending route to the epididymis, especially in older men.</w:t>
            </w:r>
          </w:p>
          <w:p>
            <w:pPr>
              <w:spacing w:after="40" w:before="60" w:line="259" w:lineRule="auto"/>
            </w:pPr>
            <w:r>
              <w:rPr>
                <w:rFonts w:ascii="Calibri" w:hAnsi="Calibri"/>
                <w:b w:val="0"/>
                <w:i w:val="0"/>
                <w:color w:val="212121"/>
                <w:sz w:val="19"/>
              </w:rPr>
              <w:t>Adequate hydration reduces urinary tract infection risk (indirect, contributory factor).</w:t>
            </w:r>
          </w:p>
          <w:p>
            <w:pPr>
              <w:spacing w:before="60" w:after="40"/>
            </w:pPr>
            <w:r>
              <w:rPr>
                <w:rFonts w:ascii="Calibri" w:hAnsi="Calibri"/>
                <w:b w:val="0"/>
                <w:i w:val="0"/>
                <w:color w:val="5A5A5A"/>
                <w:sz w:val="18"/>
              </w:rPr>
              <w:t>#hydration  #UTI  #urinarystasis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Unpasteurised dairy consumers (rural)</w:t>
            </w:r>
          </w:p>
        </w:tc>
        <w:tc>
          <w:tcPr>
            <w:tcW w:type="dxa" w:w="4276"/>
            <w:vAlign w:val="top"/>
          </w:tcPr>
          <w:p>
            <w:pPr>
              <w:spacing w:after="60" w:line="259" w:lineRule="auto"/>
            </w:pPr>
            <w:r>
              <w:rPr>
                <w:rFonts w:ascii="Calibri" w:hAnsi="Calibri"/>
                <w:b w:val="0"/>
                <w:i w:val="0"/>
                <w:color w:val="212121"/>
                <w:sz w:val="19"/>
              </w:rPr>
              <w:t>Consumption of raw or unpasteurised milk and milk products in livestock-rearing areas can transmit Brucella, an under-recognised cause of granulomatous epididymo-orchitis.</w:t>
            </w:r>
          </w:p>
          <w:p>
            <w:pPr>
              <w:spacing w:after="40" w:before="60" w:line="259" w:lineRule="auto"/>
            </w:pPr>
            <w:r>
              <w:rPr>
                <w:rFonts w:ascii="Calibri" w:hAnsi="Calibri"/>
                <w:b w:val="0"/>
                <w:i w:val="0"/>
                <w:color w:val="212121"/>
                <w:sz w:val="19"/>
              </w:rPr>
              <w:t>Brucellosis is a recognised cause of epididymo-orchitis, particularly where raw dairy is consumed.</w:t>
            </w:r>
          </w:p>
          <w:p>
            <w:pPr>
              <w:spacing w:after="40" w:line="252" w:lineRule="auto"/>
            </w:pPr>
            <w:hyperlink r:id="rId14">
              <w:r>
                <w:rPr>
                  <w:rFonts w:ascii="Calibri" w:hAnsi="Calibri" w:cs="Calibri"/>
                  <w:sz w:val="18"/>
                  <w:color w:val="1155CC"/>
                  <w:u w:val="single"/>
                </w:rPr>
                <w:t xml:space="preserve">patient.info — epididymo-orchitis (professional)</w:t>
              </w:r>
            </w:hyperlink>
          </w:p>
          <w:p>
            <w:pPr>
              <w:spacing w:before="60" w:after="40"/>
            </w:pPr>
            <w:r>
              <w:rPr>
                <w:rFonts w:ascii="Calibri" w:hAnsi="Calibri"/>
                <w:b w:val="0"/>
                <w:i w:val="0"/>
                <w:color w:val="5A5A5A"/>
                <w:sz w:val="18"/>
              </w:rPr>
              <w:t>#brucellosis  #rawmilk  #zoonosis  #granulomatous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Congenital anomaly / family history</w:t>
            </w:r>
          </w:p>
        </w:tc>
        <w:tc>
          <w:tcPr>
            <w:tcW w:type="dxa" w:w="2160"/>
            <w:vAlign w:val="top"/>
          </w:tcPr>
          <w:p>
            <w:pPr>
              <w:spacing w:after="40" w:before="0" w:line="259" w:lineRule="auto"/>
            </w:pPr>
            <w:r>
              <w:rPr>
                <w:rFonts w:ascii="Calibri" w:hAnsi="Calibri"/>
                <w:b w:val="0"/>
                <w:i w:val="0"/>
                <w:color w:val="212121"/>
                <w:sz w:val="19"/>
              </w:rPr>
              <w:t>Boys with vesicoureteric reflux or posterior urethral valves</w:t>
            </w:r>
          </w:p>
        </w:tc>
        <w:tc>
          <w:tcPr>
            <w:tcW w:type="dxa" w:w="4276"/>
            <w:vAlign w:val="top"/>
          </w:tcPr>
          <w:p>
            <w:pPr>
              <w:spacing w:after="60" w:line="259" w:lineRule="auto"/>
            </w:pPr>
            <w:r>
              <w:rPr>
                <w:rFonts w:ascii="Calibri" w:hAnsi="Calibri"/>
                <w:b w:val="0"/>
                <w:i w:val="0"/>
                <w:color w:val="212121"/>
                <w:sz w:val="19"/>
              </w:rPr>
              <w:t>Structural and congenital anomalies of the urinary tract cause abnormal urine reflux into the ejaculatory ducts and vas, predisposing pre-pubertal boys to recurrent epididymitis.</w:t>
            </w:r>
          </w:p>
          <w:p>
            <w:pPr>
              <w:spacing w:after="40" w:before="60" w:line="259" w:lineRule="auto"/>
            </w:pPr>
            <w:r>
              <w:rPr>
                <w:rFonts w:ascii="Calibri" w:hAnsi="Calibri"/>
                <w:b w:val="0"/>
                <w:i w:val="0"/>
                <w:color w:val="212121"/>
                <w:sz w:val="19"/>
              </w:rPr>
              <w:t>Recurrent paediatric epididymitis warrants urological evaluation for underlying anatomical abnormalities and reflux.</w:t>
            </w:r>
          </w:p>
          <w:p>
            <w:pPr>
              <w:spacing w:after="40" w:line="252" w:lineRule="auto"/>
            </w:pPr>
            <w:hyperlink r:id="rId11">
              <w:r>
                <w:rPr>
                  <w:rFonts w:ascii="Calibri" w:hAnsi="Calibri" w:cs="Calibri"/>
                  <w:sz w:val="18"/>
                  <w:color w:val="1155CC"/>
                  <w:u w:val="single"/>
                </w:rPr>
                <w:t xml:space="preserve">aafp.org — epididymitis: an overview</w:t>
              </w:r>
            </w:hyperlink>
          </w:p>
          <w:p>
            <w:pPr>
              <w:spacing w:before="60" w:after="40"/>
            </w:pPr>
            <w:r>
              <w:rPr>
                <w:rFonts w:ascii="Calibri" w:hAnsi="Calibri"/>
                <w:b w:val="0"/>
                <w:i w:val="0"/>
                <w:color w:val="5A5A5A"/>
                <w:sz w:val="18"/>
              </w:rPr>
              <w:t>#VUR  #PUV  #congenital  #refluxanomaly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Bladder outlet obstruction / BPH</w:t>
            </w:r>
          </w:p>
        </w:tc>
        <w:tc>
          <w:tcPr>
            <w:tcW w:type="dxa" w:w="2160"/>
            <w:vAlign w:val="top"/>
          </w:tcPr>
          <w:p>
            <w:pPr>
              <w:spacing w:after="40" w:before="0" w:line="259" w:lineRule="auto"/>
            </w:pPr>
            <w:r>
              <w:rPr>
                <w:rFonts w:ascii="Calibri" w:hAnsi="Calibri"/>
                <w:b w:val="0"/>
                <w:i w:val="0"/>
                <w:color w:val="212121"/>
                <w:sz w:val="19"/>
              </w:rPr>
              <w:t>Men with prostatic enlargement or stricture</w:t>
            </w:r>
          </w:p>
        </w:tc>
        <w:tc>
          <w:tcPr>
            <w:tcW w:type="dxa" w:w="4276"/>
            <w:vAlign w:val="top"/>
          </w:tcPr>
          <w:p>
            <w:pPr>
              <w:spacing w:after="60" w:line="259" w:lineRule="auto"/>
            </w:pPr>
            <w:r>
              <w:rPr>
                <w:rFonts w:ascii="Calibri" w:hAnsi="Calibri"/>
                <w:b w:val="0"/>
                <w:i w:val="0"/>
                <w:color w:val="212121"/>
                <w:sz w:val="19"/>
              </w:rPr>
              <w:t>Obstruction causes incomplete bladder emptying, high post-void residual and bacteriuria, driving retrograde enteric infection of the epididymis in men over 35.</w:t>
            </w:r>
          </w:p>
          <w:p>
            <w:pPr>
              <w:spacing w:after="40" w:before="60" w:line="259" w:lineRule="auto"/>
            </w:pPr>
            <w:r>
              <w:rPr>
                <w:rFonts w:ascii="Calibri" w:hAnsi="Calibri"/>
                <w:b w:val="0"/>
                <w:i w:val="0"/>
                <w:color w:val="212121"/>
                <w:sz w:val="19"/>
              </w:rPr>
              <w:t>Over the age of 35, non-STI Gram-negative enteric organisms predominate and are frequently linked to obstruction, catheterisation or instrumentation.</w:t>
            </w:r>
          </w:p>
          <w:p>
            <w:pPr>
              <w:spacing w:after="40" w:line="252" w:lineRule="auto"/>
            </w:pPr>
            <w:hyperlink r:id="rId14">
              <w:r>
                <w:rPr>
                  <w:rFonts w:ascii="Calibri" w:hAnsi="Calibri" w:cs="Calibri"/>
                  <w:sz w:val="18"/>
                  <w:color w:val="1155CC"/>
                  <w:u w:val="single"/>
                </w:rPr>
                <w:t xml:space="preserve">patient.info — epididymo-orchitis (professional)</w:t>
              </w:r>
            </w:hyperlink>
          </w:p>
          <w:p>
            <w:pPr>
              <w:spacing w:before="60" w:after="40"/>
            </w:pPr>
            <w:r>
              <w:rPr>
                <w:rFonts w:ascii="Calibri" w:hAnsi="Calibri"/>
                <w:b w:val="0"/>
                <w:i w:val="0"/>
                <w:color w:val="5A5A5A"/>
                <w:sz w:val="18"/>
              </w:rPr>
              <w:t>#BPH  #obstruction  #bacteriuria  #enteric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Hyperglycaemia impairs neutrophil function and microvascular perfusion, predisposing to more severe infection, abscess formation and slower resolution.</w:t>
            </w:r>
          </w:p>
          <w:p>
            <w:pPr>
              <w:spacing w:after="40" w:before="60" w:line="259" w:lineRule="auto"/>
            </w:pPr>
            <w:r>
              <w:rPr>
                <w:rFonts w:ascii="Calibri" w:hAnsi="Calibri"/>
                <w:b w:val="0"/>
                <w:i w:val="0"/>
                <w:color w:val="212121"/>
                <w:sz w:val="19"/>
              </w:rPr>
              <w:t>Greater severity of epididymitis is associated with older age, diabetes, fever and raised inflammatory markers (CRP, WBC).</w:t>
            </w:r>
          </w:p>
          <w:p>
            <w:pPr>
              <w:spacing w:after="40" w:line="252" w:lineRule="auto"/>
            </w:pPr>
            <w:hyperlink r:id="rId15">
              <w:r>
                <w:rPr>
                  <w:rFonts w:ascii="Calibri" w:hAnsi="Calibri" w:cs="Calibri"/>
                  <w:sz w:val="18"/>
                  <w:color w:val="1155CC"/>
                  <w:u w:val="single"/>
                </w:rPr>
                <w:t xml:space="preserve">ncbi.nlm.nih.gov — Epididymitis (StatPearls)</w:t>
              </w:r>
            </w:hyperlink>
          </w:p>
          <w:p>
            <w:pPr>
              <w:spacing w:before="60" w:after="40"/>
            </w:pPr>
            <w:r>
              <w:rPr>
                <w:rFonts w:ascii="Calibri" w:hAnsi="Calibri"/>
                <w:b w:val="0"/>
                <w:i w:val="0"/>
                <w:color w:val="5A5A5A"/>
                <w:sz w:val="18"/>
              </w:rPr>
              <w:t>#diabetes  #immunecompromise  #severeinfection  #abscessrisk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Indwelling catheter / SCI / recurrent UTI</w:t>
            </w:r>
          </w:p>
        </w:tc>
        <w:tc>
          <w:tcPr>
            <w:tcW w:type="dxa" w:w="2160"/>
            <w:vAlign w:val="top"/>
          </w:tcPr>
          <w:p>
            <w:pPr>
              <w:spacing w:after="40" w:before="0" w:line="259" w:lineRule="auto"/>
            </w:pPr>
            <w:r>
              <w:rPr>
                <w:rFonts w:ascii="Calibri" w:hAnsi="Calibri"/>
                <w:b w:val="0"/>
                <w:i w:val="0"/>
                <w:color w:val="212121"/>
                <w:sz w:val="19"/>
              </w:rPr>
              <w:t>Catheterised &amp; spinal-cord-injury patients</w:t>
            </w:r>
          </w:p>
        </w:tc>
        <w:tc>
          <w:tcPr>
            <w:tcW w:type="dxa" w:w="4276"/>
            <w:vAlign w:val="top"/>
          </w:tcPr>
          <w:p>
            <w:pPr>
              <w:spacing w:after="60" w:line="259" w:lineRule="auto"/>
            </w:pPr>
            <w:r>
              <w:rPr>
                <w:rFonts w:ascii="Calibri" w:hAnsi="Calibri"/>
                <w:b w:val="0"/>
                <w:i w:val="0"/>
                <w:color w:val="212121"/>
                <w:sz w:val="19"/>
              </w:rPr>
              <w:t>Long-term catheterisation, neurogenic bladder and recurrent urinary infection maintain bacteriuria and reflux, making enteric epididymo-orchitis a recurrent problem.</w:t>
            </w:r>
          </w:p>
          <w:p>
            <w:pPr>
              <w:spacing w:after="40" w:before="60" w:line="259" w:lineRule="auto"/>
            </w:pPr>
            <w:r>
              <w:rPr>
                <w:rFonts w:ascii="Calibri" w:hAnsi="Calibri"/>
                <w:b w:val="0"/>
                <w:i w:val="0"/>
                <w:color w:val="212121"/>
                <w:sz w:val="19"/>
              </w:rPr>
              <w:t>Indwelling catheters, bladder outlet obstruction and urinary instrumentation are established risk factors for epididymo-orchitis.</w:t>
            </w:r>
          </w:p>
          <w:p>
            <w:pPr>
              <w:spacing w:after="40" w:line="252" w:lineRule="auto"/>
            </w:pPr>
            <w:hyperlink r:id="rId16">
              <w:r>
                <w:rPr>
                  <w:rFonts w:ascii="Calibri" w:hAnsi="Calibri" w:cs="Calibri"/>
                  <w:sz w:val="18"/>
                  <w:color w:val="1155CC"/>
                  <w:u w:val="single"/>
                </w:rPr>
                <w:t xml:space="preserve">merckmanuals.com — orchitis (professional)</w:t>
              </w:r>
            </w:hyperlink>
          </w:p>
          <w:p>
            <w:pPr>
              <w:spacing w:before="60" w:after="40"/>
            </w:pPr>
            <w:r>
              <w:rPr>
                <w:rFonts w:ascii="Calibri" w:hAnsi="Calibri"/>
                <w:b w:val="0"/>
                <w:i w:val="0"/>
                <w:color w:val="5A5A5A"/>
                <w:sz w:val="18"/>
              </w:rPr>
              <w:t>#catheter  #neurogenicbladder  #recurrentUTI  #SCI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HIV-positive &amp; immunocompromised men</w:t>
            </w:r>
          </w:p>
        </w:tc>
        <w:tc>
          <w:tcPr>
            <w:tcW w:type="dxa" w:w="4276"/>
            <w:vAlign w:val="top"/>
          </w:tcPr>
          <w:p>
            <w:pPr>
              <w:spacing w:after="60" w:line="259" w:lineRule="auto"/>
            </w:pPr>
            <w:r>
              <w:rPr>
                <w:rFonts w:ascii="Calibri" w:hAnsi="Calibri"/>
                <w:b w:val="0"/>
                <w:i w:val="0"/>
                <w:color w:val="212121"/>
                <w:sz w:val="19"/>
              </w:rPr>
              <w:t>Immunosuppression broadens the causative spectrum (including CMV, mycobacteria, fungi) and worsens severity; STI-related epididymitis both signals and facilitates HIV transmission.</w:t>
            </w:r>
          </w:p>
          <w:p>
            <w:pPr>
              <w:spacing w:after="40" w:before="60" w:line="259" w:lineRule="auto"/>
            </w:pPr>
            <w:r>
              <w:rPr>
                <w:rFonts w:ascii="Calibri" w:hAnsi="Calibri"/>
                <w:b w:val="0"/>
                <w:i w:val="0"/>
                <w:color w:val="212121"/>
                <w:sz w:val="19"/>
              </w:rPr>
              <w:t>Patients with STI-related epididymitis have an estimated 2–5 times the risk of acquiring and transmitting HIV.</w:t>
            </w:r>
          </w:p>
          <w:p>
            <w:pPr>
              <w:spacing w:after="40" w:line="252" w:lineRule="auto"/>
            </w:pPr>
            <w:hyperlink r:id="rId15">
              <w:r>
                <w:rPr>
                  <w:rFonts w:ascii="Calibri" w:hAnsi="Calibri" w:cs="Calibri"/>
                  <w:sz w:val="18"/>
                  <w:color w:val="1155CC"/>
                  <w:u w:val="single"/>
                </w:rPr>
                <w:t xml:space="preserve">ncbi.nlm.nih.gov — Epididymitis (StatPearls)</w:t>
              </w:r>
            </w:hyperlink>
          </w:p>
          <w:p>
            <w:pPr>
              <w:spacing w:before="60" w:after="40"/>
            </w:pPr>
            <w:r>
              <w:rPr>
                <w:rFonts w:ascii="Calibri" w:hAnsi="Calibri"/>
                <w:b w:val="0"/>
                <w:i w:val="0"/>
                <w:color w:val="5A5A5A"/>
                <w:sz w:val="18"/>
              </w:rPr>
              <w:t>#HIV  #immunosuppression  #opportunistic  #CMV</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epididymo-orchitis, but prolonged perineal pressure (long-distance cycling, prolonged sitting) and heavy straining with a full bladder can provoke urine reflux and aggravate symptoms. Rest and scrotal support aid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is not a direct cause; relevance is indirect — adequate hydration lowers urinary infection risk, while consumption of raw/unpasteurised dairy can transmit Brucella, a cause of granulomatous epididymo-orchitis.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link; adequate rest supports immune recovery during acute infection but is not an independent risk factor.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shown to independently predict testicular loss, but it impairs mucosal immunity and healing and correlates with riskier sexual behaviour, indirectly raising infection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acts indirectly by increasing unprotected sex and multiple-partner exposure (STI acquisition); heavy use can also impair host defences.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chronic epididymo-orchitis and chronic scrotal pain markedly reduce quality of life and are associated with anxiety and depression in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fluid intake dilutes urine and reduces urinary stasis and infection, lowering the risk of the enteric ascending route that causes epididymo-orchitis in older men.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Genital hygiene, consistent condom use and safe sexual practices strongly reduce STI-related disease, while aseptic catheter care reduces enteric infection — the two dominant mechanisms of epididymo-orchitis.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Unprotected sex and a new/multiple partners, urinary tract infection, catheterisation, cystoscopy or prostate surgery, and mumps exposure in the non-immune are the principal triggers of an acute episode.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Consistent condom use</w:t>
            </w:r>
          </w:p>
        </w:tc>
        <w:tc>
          <w:tcPr>
            <w:tcW w:type="dxa" w:w="1655"/>
            <w:vAlign w:val="top"/>
          </w:tcPr>
          <w:p>
            <w:pPr>
              <w:spacing w:after="40" w:before="0" w:line="259" w:lineRule="auto"/>
            </w:pPr>
            <w:r>
              <w:rPr>
                <w:rFonts w:ascii="Calibri" w:hAnsi="Calibri"/>
                <w:b w:val="0"/>
                <w:i w:val="0"/>
                <w:color w:val="212121"/>
                <w:sz w:val="19"/>
              </w:rPr>
              <w:t>Sexually active men &lt;35, multiple partners, MSM</w:t>
            </w:r>
          </w:p>
        </w:tc>
        <w:tc>
          <w:tcPr>
            <w:tcW w:type="dxa" w:w="1512"/>
            <w:vAlign w:val="top"/>
          </w:tcPr>
          <w:p>
            <w:pPr>
              <w:spacing w:after="40" w:before="0" w:line="259" w:lineRule="auto"/>
            </w:pPr>
            <w:r>
              <w:rPr>
                <w:rFonts w:ascii="Calibri" w:hAnsi="Calibri"/>
                <w:b w:val="0"/>
                <w:i w:val="0"/>
                <w:color w:val="212121"/>
                <w:sz w:val="19"/>
              </w:rPr>
              <w:t>Correct use in every sexual act</w:t>
            </w:r>
          </w:p>
        </w:tc>
        <w:tc>
          <w:tcPr>
            <w:tcW w:type="dxa" w:w="1512"/>
            <w:vAlign w:val="top"/>
          </w:tcPr>
          <w:p>
            <w:pPr>
              <w:spacing w:after="40" w:before="0" w:line="259" w:lineRule="auto"/>
            </w:pPr>
            <w:r>
              <w:rPr>
                <w:rFonts w:ascii="Calibri" w:hAnsi="Calibri"/>
                <w:b w:val="0"/>
                <w:i w:val="0"/>
                <w:color w:val="212121"/>
                <w:sz w:val="19"/>
              </w:rPr>
              <w:t>Inconsistent or no use</w:t>
            </w:r>
          </w:p>
        </w:tc>
        <w:tc>
          <w:tcPr>
            <w:tcW w:type="dxa" w:w="1468"/>
            <w:vAlign w:val="top"/>
          </w:tcPr>
          <w:p>
            <w:pPr>
              <w:spacing w:after="60" w:line="259" w:lineRule="auto"/>
            </w:pPr>
            <w:r>
              <w:rPr>
                <w:rFonts w:ascii="Calibri" w:hAnsi="Calibri"/>
                <w:b w:val="0"/>
                <w:i w:val="0"/>
                <w:color w:val="212121"/>
                <w:sz w:val="19"/>
              </w:rPr>
              <w:t>Barrier protection is the key preventive against STI-related epididymo-orchitis and HIV co-transmission</w:t>
            </w:r>
          </w:p>
          <w:p>
            <w:pPr>
              <w:spacing w:after="40" w:line="252" w:lineRule="auto"/>
            </w:pPr>
            <w:hyperlink r:id="rId15">
              <w:r>
                <w:rPr>
                  <w:rFonts w:ascii="Calibri" w:hAnsi="Calibri" w:cs="Calibri"/>
                  <w:sz w:val="18"/>
                  <w:color w:val="1155CC"/>
                  <w:u w:val="single"/>
                </w:rPr>
                <w:t xml:space="preserve">https://www.ncbi.nlm.nih.gov/books/NBK430814/</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Number of sexual partners (past 12 months)</w:t>
            </w:r>
          </w:p>
        </w:tc>
        <w:tc>
          <w:tcPr>
            <w:tcW w:type="dxa" w:w="1655"/>
            <w:vAlign w:val="top"/>
          </w:tcPr>
          <w:p>
            <w:pPr>
              <w:spacing w:after="40" w:before="0" w:line="259" w:lineRule="auto"/>
            </w:pPr>
            <w:r>
              <w:rPr>
                <w:rFonts w:ascii="Calibri" w:hAnsi="Calibri"/>
                <w:b w:val="0"/>
                <w:i w:val="0"/>
                <w:color w:val="212121"/>
                <w:sz w:val="19"/>
              </w:rPr>
              <w:t>Young sexually active men</w:t>
            </w:r>
          </w:p>
        </w:tc>
        <w:tc>
          <w:tcPr>
            <w:tcW w:type="dxa" w:w="1512"/>
            <w:vAlign w:val="top"/>
          </w:tcPr>
          <w:p>
            <w:pPr>
              <w:spacing w:after="40" w:before="0" w:line="259" w:lineRule="auto"/>
            </w:pPr>
            <w:r>
              <w:rPr>
                <w:rFonts w:ascii="Calibri" w:hAnsi="Calibri"/>
                <w:b w:val="0"/>
                <w:i w:val="0"/>
                <w:color w:val="212121"/>
                <w:sz w:val="19"/>
              </w:rPr>
              <w:t>1 mutually monogamous partner</w:t>
            </w:r>
          </w:p>
        </w:tc>
        <w:tc>
          <w:tcPr>
            <w:tcW w:type="dxa" w:w="1512"/>
            <w:vAlign w:val="top"/>
          </w:tcPr>
          <w:p>
            <w:pPr>
              <w:spacing w:after="40" w:before="0" w:line="259" w:lineRule="auto"/>
            </w:pPr>
            <w:r>
              <w:rPr>
                <w:rFonts w:ascii="Calibri" w:hAnsi="Calibri"/>
                <w:b w:val="0"/>
                <w:i w:val="0"/>
                <w:color w:val="212121"/>
                <w:sz w:val="19"/>
              </w:rPr>
              <w:t>≥2 or any new partner</w:t>
            </w:r>
          </w:p>
        </w:tc>
        <w:tc>
          <w:tcPr>
            <w:tcW w:type="dxa" w:w="1468"/>
            <w:vAlign w:val="top"/>
          </w:tcPr>
          <w:p>
            <w:pPr>
              <w:spacing w:after="60" w:line="259" w:lineRule="auto"/>
            </w:pPr>
            <w:r>
              <w:rPr>
                <w:rFonts w:ascii="Calibri" w:hAnsi="Calibri"/>
                <w:b w:val="0"/>
                <w:i w:val="0"/>
                <w:color w:val="212121"/>
                <w:sz w:val="19"/>
              </w:rPr>
              <w:t>More partners raises chlamydial/gonococcal exposure; index case and partners need treatment</w:t>
            </w:r>
          </w:p>
          <w:p>
            <w:pPr>
              <w:spacing w:after="40" w:line="252" w:lineRule="auto"/>
            </w:pPr>
            <w:hyperlink r:id="rId9">
              <w:r>
                <w:rPr>
                  <w:rFonts w:ascii="Calibri" w:hAnsi="Calibri" w:cs="Calibri"/>
                  <w:sz w:val="18"/>
                  <w:color w:val="1155CC"/>
                  <w:u w:val="single"/>
                </w:rPr>
                <w:t xml:space="preserve">https://www.mdpi.com/2674-0710/5/1/10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Recent urinary instrumentation / catheterisation</w:t>
            </w:r>
          </w:p>
        </w:tc>
        <w:tc>
          <w:tcPr>
            <w:tcW w:type="dxa" w:w="1655"/>
            <w:vAlign w:val="top"/>
          </w:tcPr>
          <w:p>
            <w:pPr>
              <w:spacing w:after="40" w:before="0" w:line="259" w:lineRule="auto"/>
            </w:pPr>
            <w:r>
              <w:rPr>
                <w:rFonts w:ascii="Calibri" w:hAnsi="Calibri"/>
                <w:b w:val="0"/>
                <w:i w:val="0"/>
                <w:color w:val="212121"/>
                <w:sz w:val="19"/>
              </w:rPr>
              <w:t>Older men, post-operative, SCI</w:t>
            </w:r>
          </w:p>
        </w:tc>
        <w:tc>
          <w:tcPr>
            <w:tcW w:type="dxa" w:w="1512"/>
            <w:vAlign w:val="top"/>
          </w:tcPr>
          <w:p>
            <w:pPr>
              <w:spacing w:after="40" w:before="0" w:line="259" w:lineRule="auto"/>
            </w:pPr>
            <w:r>
              <w:rPr>
                <w:rFonts w:ascii="Calibri" w:hAnsi="Calibri"/>
                <w:b w:val="0"/>
                <w:i w:val="0"/>
                <w:color w:val="212121"/>
                <w:sz w:val="19"/>
              </w:rPr>
              <w:t>None; aseptic technique, minimal dwell time</w:t>
            </w:r>
          </w:p>
        </w:tc>
        <w:tc>
          <w:tcPr>
            <w:tcW w:type="dxa" w:w="1512"/>
            <w:vAlign w:val="top"/>
          </w:tcPr>
          <w:p>
            <w:pPr>
              <w:spacing w:after="40" w:before="0" w:line="259" w:lineRule="auto"/>
            </w:pPr>
            <w:r>
              <w:rPr>
                <w:rFonts w:ascii="Calibri" w:hAnsi="Calibri"/>
                <w:b w:val="0"/>
                <w:i w:val="0"/>
                <w:color w:val="212121"/>
                <w:sz w:val="19"/>
              </w:rPr>
              <w:t>Recent catheter, cystoscopy or TURP</w:t>
            </w:r>
          </w:p>
        </w:tc>
        <w:tc>
          <w:tcPr>
            <w:tcW w:type="dxa" w:w="1468"/>
            <w:vAlign w:val="top"/>
          </w:tcPr>
          <w:p>
            <w:pPr>
              <w:spacing w:after="60" w:line="259" w:lineRule="auto"/>
            </w:pPr>
            <w:r>
              <w:rPr>
                <w:rFonts w:ascii="Calibri" w:hAnsi="Calibri"/>
                <w:b w:val="0"/>
                <w:i w:val="0"/>
                <w:color w:val="212121"/>
                <w:sz w:val="19"/>
              </w:rPr>
              <w:t>Instrumentation introduces and refluxes enteric organisms into the epididymis</w:t>
            </w:r>
          </w:p>
          <w:p>
            <w:pPr>
              <w:spacing w:after="40" w:line="252" w:lineRule="auto"/>
            </w:pPr>
            <w:hyperlink r:id="rId14">
              <w:r>
                <w:rPr>
                  <w:rFonts w:ascii="Calibri" w:hAnsi="Calibri" w:cs="Calibri"/>
                  <w:sz w:val="18"/>
                  <w:color w:val="1155CC"/>
                  <w:u w:val="single"/>
                </w:rPr>
                <w:t xml:space="preserve">https://patient.info/doctor/general-surgery/epididymo-orchitis-pro</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Post-void residual urine volume</w:t>
            </w:r>
          </w:p>
        </w:tc>
        <w:tc>
          <w:tcPr>
            <w:tcW w:type="dxa" w:w="1655"/>
            <w:vAlign w:val="top"/>
          </w:tcPr>
          <w:p>
            <w:pPr>
              <w:spacing w:after="40" w:before="0" w:line="259" w:lineRule="auto"/>
            </w:pPr>
            <w:r>
              <w:rPr>
                <w:rFonts w:ascii="Calibri" w:hAnsi="Calibri"/>
                <w:b w:val="0"/>
                <w:i w:val="0"/>
                <w:color w:val="212121"/>
                <w:sz w:val="19"/>
              </w:rPr>
              <w:t>Men &gt;50 with LUTS/BPH</w:t>
            </w:r>
          </w:p>
        </w:tc>
        <w:tc>
          <w:tcPr>
            <w:tcW w:type="dxa" w:w="1512"/>
            <w:vAlign w:val="top"/>
          </w:tcPr>
          <w:p>
            <w:pPr>
              <w:spacing w:after="40" w:before="0" w:line="259" w:lineRule="auto"/>
            </w:pPr>
            <w:r>
              <w:rPr>
                <w:rFonts w:ascii="Calibri" w:hAnsi="Calibri"/>
                <w:b w:val="0"/>
                <w:i w:val="0"/>
                <w:color w:val="212121"/>
                <w:sz w:val="19"/>
              </w:rPr>
              <w:t>&lt; 50 mL</w:t>
            </w:r>
          </w:p>
        </w:tc>
        <w:tc>
          <w:tcPr>
            <w:tcW w:type="dxa" w:w="1512"/>
            <w:vAlign w:val="top"/>
          </w:tcPr>
          <w:p>
            <w:pPr>
              <w:spacing w:after="40" w:before="0" w:line="259" w:lineRule="auto"/>
            </w:pPr>
            <w:r>
              <w:rPr>
                <w:rFonts w:ascii="Calibri" w:hAnsi="Calibri"/>
                <w:b w:val="0"/>
                <w:i w:val="0"/>
                <w:color w:val="212121"/>
                <w:sz w:val="19"/>
              </w:rPr>
              <w:t>&gt; 100 mL (significant obstruction)</w:t>
            </w:r>
          </w:p>
        </w:tc>
        <w:tc>
          <w:tcPr>
            <w:tcW w:type="dxa" w:w="1468"/>
            <w:vAlign w:val="top"/>
          </w:tcPr>
          <w:p>
            <w:pPr>
              <w:spacing w:after="40" w:before="0" w:line="259" w:lineRule="auto"/>
            </w:pPr>
            <w:r>
              <w:rPr>
                <w:rFonts w:ascii="Calibri" w:hAnsi="Calibri"/>
                <w:b w:val="0"/>
                <w:i w:val="0"/>
                <w:color w:val="212121"/>
                <w:sz w:val="19"/>
              </w:rPr>
              <w:t>High residual and bacteriuria drive retrograde enteric epididymo-orchitis</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Older men, recurrent-UTI patients</w:t>
            </w:r>
          </w:p>
        </w:tc>
        <w:tc>
          <w:tcPr>
            <w:tcW w:type="dxa" w:w="1512"/>
            <w:vAlign w:val="top"/>
          </w:tcPr>
          <w:p>
            <w:pPr>
              <w:spacing w:after="40" w:before="0" w:line="259" w:lineRule="auto"/>
            </w:pPr>
            <w:r>
              <w:rPr>
                <w:rFonts w:ascii="Calibri" w:hAnsi="Calibri"/>
                <w:b w:val="0"/>
                <w:i w:val="0"/>
                <w:color w:val="212121"/>
                <w:sz w:val="19"/>
              </w:rPr>
              <w:t>≈ 2–3 L/day (unless restricted)</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40" w:before="0" w:line="259" w:lineRule="auto"/>
            </w:pPr>
            <w:r>
              <w:rPr>
                <w:rFonts w:ascii="Calibri" w:hAnsi="Calibri"/>
                <w:b w:val="0"/>
                <w:i w:val="0"/>
                <w:color w:val="212121"/>
                <w:sz w:val="19"/>
              </w:rPr>
              <w:t>Concentrated urine and stasis favour urinary infection and ascending spread</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Uninterrupted sitting / long-distance cycling</w:t>
            </w:r>
          </w:p>
        </w:tc>
        <w:tc>
          <w:tcPr>
            <w:tcW w:type="dxa" w:w="1655"/>
            <w:vAlign w:val="top"/>
          </w:tcPr>
          <w:p>
            <w:pPr>
              <w:spacing w:after="40" w:before="0" w:line="259" w:lineRule="auto"/>
            </w:pPr>
            <w:r>
              <w:rPr>
                <w:rFonts w:ascii="Calibri" w:hAnsi="Calibri"/>
                <w:b w:val="0"/>
                <w:i w:val="0"/>
                <w:color w:val="212121"/>
                <w:sz w:val="19"/>
              </w:rPr>
              <w:t>Drivers, cyclists, desk workers</w:t>
            </w:r>
          </w:p>
        </w:tc>
        <w:tc>
          <w:tcPr>
            <w:tcW w:type="dxa" w:w="1512"/>
            <w:vAlign w:val="top"/>
          </w:tcPr>
          <w:p>
            <w:pPr>
              <w:spacing w:after="40" w:before="0" w:line="259" w:lineRule="auto"/>
            </w:pPr>
            <w:r>
              <w:rPr>
                <w:rFonts w:ascii="Calibri" w:hAnsi="Calibri"/>
                <w:b w:val="0"/>
                <w:i w:val="0"/>
                <w:color w:val="212121"/>
                <w:sz w:val="19"/>
              </w:rPr>
              <w:t>Break every 30–60 min; padded saddle</w:t>
            </w:r>
          </w:p>
        </w:tc>
        <w:tc>
          <w:tcPr>
            <w:tcW w:type="dxa" w:w="1512"/>
            <w:vAlign w:val="top"/>
          </w:tcPr>
          <w:p>
            <w:pPr>
              <w:spacing w:after="40" w:before="0" w:line="259" w:lineRule="auto"/>
            </w:pPr>
            <w:r>
              <w:rPr>
                <w:rFonts w:ascii="Calibri" w:hAnsi="Calibri"/>
                <w:b w:val="0"/>
                <w:i w:val="0"/>
                <w:color w:val="212121"/>
                <w:sz w:val="19"/>
              </w:rPr>
              <w:t>Prolonged sitting or long rides without breaks</w:t>
            </w:r>
          </w:p>
        </w:tc>
        <w:tc>
          <w:tcPr>
            <w:tcW w:type="dxa" w:w="1468"/>
            <w:vAlign w:val="top"/>
          </w:tcPr>
          <w:p>
            <w:pPr>
              <w:spacing w:after="40" w:before="0" w:line="259" w:lineRule="auto"/>
            </w:pPr>
            <w:r>
              <w:rPr>
                <w:rFonts w:ascii="Calibri" w:hAnsi="Calibri"/>
                <w:b w:val="0"/>
                <w:i w:val="0"/>
                <w:color w:val="212121"/>
                <w:sz w:val="19"/>
              </w:rPr>
              <w:t>Perineal heat/pressure and straining aggravate scrotal inflammation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Impairs mucosal immunity and healing; contributory rather than causal</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 moderate intake; avoid binge</w:t>
            </w:r>
          </w:p>
        </w:tc>
        <w:tc>
          <w:tcPr>
            <w:tcW w:type="dxa" w:w="1512"/>
            <w:vAlign w:val="top"/>
          </w:tcPr>
          <w:p>
            <w:pPr>
              <w:spacing w:after="40" w:before="0" w:line="259" w:lineRule="auto"/>
            </w:pPr>
            <w:r>
              <w:rPr>
                <w:rFonts w:ascii="Calibri" w:hAnsi="Calibri"/>
                <w:b w:val="0"/>
                <w:i w:val="0"/>
                <w:color w:val="212121"/>
                <w:sz w:val="19"/>
              </w:rPr>
              <w:t>Binge drinking / heavy weekly intake</w:t>
            </w:r>
          </w:p>
        </w:tc>
        <w:tc>
          <w:tcPr>
            <w:tcW w:type="dxa" w:w="1468"/>
            <w:vAlign w:val="top"/>
          </w:tcPr>
          <w:p>
            <w:pPr>
              <w:spacing w:after="40" w:before="0" w:line="259" w:lineRule="auto"/>
            </w:pPr>
            <w:r>
              <w:rPr>
                <w:rFonts w:ascii="Calibri" w:hAnsi="Calibri"/>
                <w:b w:val="0"/>
                <w:i w:val="0"/>
                <w:color w:val="212121"/>
                <w:sz w:val="19"/>
              </w:rPr>
              <w:t>Mediated through risky sexual behaviour and impaired defences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Body temperature (severity marker)</w:t>
            </w:r>
          </w:p>
        </w:tc>
        <w:tc>
          <w:tcPr>
            <w:tcW w:type="dxa" w:w="1655"/>
            <w:vAlign w:val="top"/>
          </w:tcPr>
          <w:p>
            <w:pPr>
              <w:spacing w:after="40" w:before="0" w:line="259" w:lineRule="auto"/>
            </w:pPr>
            <w:r>
              <w:rPr>
                <w:rFonts w:ascii="Calibri" w:hAnsi="Calibri"/>
                <w:b w:val="0"/>
                <w:i w:val="0"/>
                <w:color w:val="212121"/>
                <w:sz w:val="19"/>
              </w:rPr>
              <w:t>Acute epididymo-orchitis</w:t>
            </w:r>
          </w:p>
        </w:tc>
        <w:tc>
          <w:tcPr>
            <w:tcW w:type="dxa" w:w="1512"/>
            <w:vAlign w:val="top"/>
          </w:tcPr>
          <w:p>
            <w:pPr>
              <w:spacing w:after="40" w:before="0" w:line="259" w:lineRule="auto"/>
            </w:pPr>
            <w:r>
              <w:rPr>
                <w:rFonts w:ascii="Calibri" w:hAnsi="Calibri"/>
                <w:b w:val="0"/>
                <w:i w:val="0"/>
                <w:color w:val="212121"/>
                <w:sz w:val="19"/>
              </w:rPr>
              <w:t>Afebrile (≤ 37.5°C)</w:t>
            </w:r>
          </w:p>
        </w:tc>
        <w:tc>
          <w:tcPr>
            <w:tcW w:type="dxa" w:w="1512"/>
            <w:vAlign w:val="top"/>
          </w:tcPr>
          <w:p>
            <w:pPr>
              <w:spacing w:after="40" w:before="0" w:line="259" w:lineRule="auto"/>
            </w:pPr>
            <w:r>
              <w:rPr>
                <w:rFonts w:ascii="Calibri" w:hAnsi="Calibri"/>
                <w:b w:val="0"/>
                <w:i w:val="0"/>
                <w:color w:val="212121"/>
                <w:sz w:val="19"/>
              </w:rPr>
              <w:t>&gt; 38°C with systemic features</w:t>
            </w:r>
          </w:p>
        </w:tc>
        <w:tc>
          <w:tcPr>
            <w:tcW w:type="dxa" w:w="1468"/>
            <w:vAlign w:val="top"/>
          </w:tcPr>
          <w:p>
            <w:pPr>
              <w:spacing w:after="60" w:line="259" w:lineRule="auto"/>
            </w:pPr>
            <w:r>
              <w:rPr>
                <w:rFonts w:ascii="Calibri" w:hAnsi="Calibri"/>
                <w:b w:val="0"/>
                <w:i w:val="0"/>
                <w:color w:val="212121"/>
                <w:sz w:val="19"/>
              </w:rPr>
              <w:t>Fever with raised CRP/WBC flags abscess risk and possible admission</w:t>
            </w:r>
          </w:p>
          <w:p>
            <w:pPr>
              <w:spacing w:after="40" w:line="252" w:lineRule="auto"/>
            </w:pPr>
            <w:hyperlink r:id="rId10">
              <w:r>
                <w:rPr>
                  <w:rFonts w:ascii="Calibri" w:hAnsi="Calibri" w:cs="Calibri"/>
                  <w:sz w:val="18"/>
                  <w:color w:val="1155CC"/>
                  <w:u w:val="single"/>
                </w:rPr>
                <w:t xml:space="preserve">https://link.springer.com/article/10.1007/s00345-023-04500-1</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 glycaemic control</w:t>
            </w:r>
          </w:p>
        </w:tc>
        <w:tc>
          <w:tcPr>
            <w:tcW w:type="dxa" w:w="1655"/>
            <w:vAlign w:val="top"/>
          </w:tcPr>
          <w:p>
            <w:pPr>
              <w:spacing w:after="40" w:before="0" w:line="259" w:lineRule="auto"/>
            </w:pPr>
            <w:r>
              <w:rPr>
                <w:rFonts w:ascii="Calibri" w:hAnsi="Calibri"/>
                <w:b w:val="0"/>
                <w:i w:val="0"/>
                <w:color w:val="212121"/>
                <w:sz w:val="19"/>
              </w:rPr>
              <w:t>Diabetic men</w:t>
            </w:r>
          </w:p>
        </w:tc>
        <w:tc>
          <w:tcPr>
            <w:tcW w:type="dxa" w:w="1512"/>
            <w:vAlign w:val="top"/>
          </w:tcPr>
          <w:p>
            <w:pPr>
              <w:spacing w:after="40" w:before="0" w:line="259" w:lineRule="auto"/>
            </w:pPr>
            <w:r>
              <w:rPr>
                <w:rFonts w:ascii="Calibri" w:hAnsi="Calibri"/>
                <w:b w:val="0"/>
                <w:i w:val="0"/>
                <w:color w:val="212121"/>
                <w:sz w:val="19"/>
              </w:rPr>
              <w:t>&lt; 5.7% (non-diabetic); individualised target if diabetic</w:t>
            </w:r>
          </w:p>
        </w:tc>
        <w:tc>
          <w:tcPr>
            <w:tcW w:type="dxa" w:w="1512"/>
            <w:vAlign w:val="top"/>
          </w:tcPr>
          <w:p>
            <w:pPr>
              <w:spacing w:after="40" w:before="0" w:line="259" w:lineRule="auto"/>
            </w:pPr>
            <w:r>
              <w:rPr>
                <w:rFonts w:ascii="Calibri" w:hAnsi="Calibri"/>
                <w:b w:val="0"/>
                <w:i w:val="0"/>
                <w:color w:val="212121"/>
                <w:sz w:val="19"/>
              </w:rPr>
              <w:t>Poorly controlled diabetes</w:t>
            </w:r>
          </w:p>
        </w:tc>
        <w:tc>
          <w:tcPr>
            <w:tcW w:type="dxa" w:w="1468"/>
            <w:vAlign w:val="top"/>
          </w:tcPr>
          <w:p>
            <w:pPr>
              <w:spacing w:after="60" w:line="259" w:lineRule="auto"/>
            </w:pPr>
            <w:r>
              <w:rPr>
                <w:rFonts w:ascii="Calibri" w:hAnsi="Calibri"/>
                <w:b w:val="0"/>
                <w:i w:val="0"/>
                <w:color w:val="212121"/>
                <w:sz w:val="19"/>
              </w:rPr>
              <w:t>Hyperglycaemia predicts more severe infection and abscess</w:t>
            </w:r>
          </w:p>
          <w:p>
            <w:pPr>
              <w:spacing w:after="40" w:line="252" w:lineRule="auto"/>
            </w:pPr>
            <w:hyperlink r:id="rId15">
              <w:r>
                <w:rPr>
                  <w:rFonts w:ascii="Calibri" w:hAnsi="Calibri" w:cs="Calibri"/>
                  <w:sz w:val="18"/>
                  <w:color w:val="1155CC"/>
                  <w:u w:val="single"/>
                </w:rPr>
                <w:t xml:space="preserve">https://www.ncbi.nlm.nih.gov/books/NBK430814/</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microscopy</w:t>
            </w:r>
          </w:p>
        </w:tc>
        <w:tc>
          <w:tcPr>
            <w:tcW w:type="dxa" w:w="1036"/>
            <w:vAlign w:val="top"/>
          </w:tcPr>
          <w:p>
            <w:pPr>
              <w:spacing w:after="40" w:before="0" w:line="259" w:lineRule="auto"/>
            </w:pPr>
            <w:r>
              <w:rPr>
                <w:rFonts w:ascii="Calibri" w:hAnsi="Calibri"/>
                <w:b w:val="0"/>
                <w:i w:val="0"/>
                <w:color w:val="212121"/>
                <w:sz w:val="16"/>
              </w:rPr>
              <w:t>Urinalysis (dipstick + microscopy)</w:t>
            </w:r>
          </w:p>
        </w:tc>
        <w:tc>
          <w:tcPr>
            <w:tcW w:type="dxa" w:w="892"/>
            <w:vAlign w:val="top"/>
          </w:tcPr>
          <w:p>
            <w:pPr>
              <w:spacing w:after="40" w:before="0" w:line="259" w:lineRule="auto"/>
            </w:pPr>
            <w:r>
              <w:rPr>
                <w:rFonts w:ascii="Calibri" w:hAnsi="Calibri"/>
                <w:b w:val="0"/>
                <w:i w:val="0"/>
                <w:color w:val="212121"/>
                <w:sz w:val="16"/>
              </w:rPr>
              <w:t>Midstream urine</w:t>
            </w:r>
          </w:p>
        </w:tc>
        <w:tc>
          <w:tcPr>
            <w:tcW w:type="dxa" w:w="950"/>
            <w:vAlign w:val="top"/>
          </w:tcPr>
          <w:p>
            <w:pPr>
              <w:spacing w:after="40" w:before="0" w:line="259" w:lineRule="auto"/>
            </w:pPr>
            <w:r>
              <w:rPr>
                <w:rFonts w:ascii="Calibri" w:hAnsi="Calibri"/>
                <w:b w:val="0"/>
                <w:i w:val="0"/>
                <w:color w:val="212121"/>
                <w:sz w:val="16"/>
              </w:rPr>
              <w:t>No leukocytes, nitrites negative</w:t>
            </w:r>
          </w:p>
        </w:tc>
        <w:tc>
          <w:tcPr>
            <w:tcW w:type="dxa" w:w="950"/>
            <w:vAlign w:val="top"/>
          </w:tcPr>
          <w:p>
            <w:pPr>
              <w:spacing w:after="40" w:before="0" w:line="259" w:lineRule="auto"/>
            </w:pPr>
            <w:r>
              <w:rPr>
                <w:rFonts w:ascii="Calibri" w:hAnsi="Calibri"/>
                <w:b w:val="0"/>
                <w:i w:val="0"/>
                <w:color w:val="212121"/>
                <w:sz w:val="16"/>
              </w:rPr>
              <w:t>Pyuria, leukocyte-esterase/nitrite positive</w:t>
            </w:r>
          </w:p>
        </w:tc>
        <w:tc>
          <w:tcPr>
            <w:tcW w:type="dxa" w:w="1036"/>
            <w:vAlign w:val="top"/>
          </w:tcPr>
          <w:p>
            <w:pPr>
              <w:spacing w:after="40" w:before="0" w:line="259" w:lineRule="auto"/>
            </w:pPr>
            <w:r>
              <w:rPr>
                <w:rFonts w:ascii="Calibri" w:hAnsi="Calibri"/>
                <w:b w:val="0"/>
                <w:i w:val="0"/>
                <w:color w:val="212121"/>
                <w:sz w:val="16"/>
              </w:rPr>
              <w:t>Pyuria/bacteriuria supports an enteric (urinary) source</w:t>
            </w:r>
          </w:p>
        </w:tc>
        <w:tc>
          <w:tcPr>
            <w:tcW w:type="dxa" w:w="1036"/>
            <w:vAlign w:val="top"/>
          </w:tcPr>
          <w:p>
            <w:pPr>
              <w:spacing w:after="40" w:before="0" w:line="259" w:lineRule="auto"/>
            </w:pPr>
            <w:r>
              <w:rPr>
                <w:rFonts w:ascii="Calibri" w:hAnsi="Calibri"/>
                <w:b w:val="0"/>
                <w:i w:val="0"/>
                <w:color w:val="212121"/>
                <w:sz w:val="16"/>
              </w:rPr>
              <w:t>Men &gt;35, boys, catheterised, LUTS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First-line screening</w:t>
            </w:r>
          </w:p>
        </w:tc>
        <w:tc>
          <w:tcPr>
            <w:tcW w:type="dxa" w:w="720"/>
            <w:vAlign w:val="top"/>
          </w:tcPr>
          <w:p>
            <w:pPr>
              <w:spacing w:after="40" w:before="0" w:line="259" w:lineRule="auto"/>
            </w:pPr>
            <w:r>
              <w:rPr>
                <w:rFonts w:ascii="Calibri" w:hAnsi="Calibri"/>
                <w:b w:val="0"/>
                <w:i w:val="0"/>
                <w:color w:val="212121"/>
                <w:sz w:val="16"/>
              </w:rPr>
              <w:t>Bacteriuria points to coliform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Midstream urine culture &amp; sensitivity</w:t>
            </w:r>
          </w:p>
        </w:tc>
        <w:tc>
          <w:tcPr>
            <w:tcW w:type="dxa" w:w="892"/>
            <w:vAlign w:val="top"/>
          </w:tcPr>
          <w:p>
            <w:pPr>
              <w:spacing w:after="40" w:before="0" w:line="259" w:lineRule="auto"/>
            </w:pPr>
            <w:r>
              <w:rPr>
                <w:rFonts w:ascii="Calibri" w:hAnsi="Calibri"/>
                <w:b w:val="0"/>
                <w:i w:val="0"/>
                <w:color w:val="212121"/>
                <w:sz w:val="16"/>
              </w:rPr>
              <w:t>Urine C/S</w:t>
            </w:r>
          </w:p>
        </w:tc>
        <w:tc>
          <w:tcPr>
            <w:tcW w:type="dxa" w:w="950"/>
            <w:vAlign w:val="top"/>
          </w:tcPr>
          <w:p>
            <w:pPr>
              <w:spacing w:after="40" w:before="0" w:line="259" w:lineRule="auto"/>
            </w:pPr>
            <w:r>
              <w:rPr>
                <w:rFonts w:ascii="Calibri" w:hAnsi="Calibri"/>
                <w:b w:val="0"/>
                <w:i w:val="0"/>
                <w:color w:val="212121"/>
                <w:sz w:val="16"/>
              </w:rPr>
              <w:t>No growth / &lt; 10^3 CFU/mL</w:t>
            </w:r>
          </w:p>
        </w:tc>
        <w:tc>
          <w:tcPr>
            <w:tcW w:type="dxa" w:w="950"/>
            <w:vAlign w:val="top"/>
          </w:tcPr>
          <w:p>
            <w:pPr>
              <w:spacing w:after="40" w:before="0" w:line="259" w:lineRule="auto"/>
            </w:pPr>
            <w:r>
              <w:rPr>
                <w:rFonts w:ascii="Calibri" w:hAnsi="Calibri"/>
                <w:b w:val="0"/>
                <w:i w:val="0"/>
                <w:color w:val="212121"/>
                <w:sz w:val="16"/>
              </w:rPr>
              <w:t>Significant growth of E. coli / coliforms</w:t>
            </w:r>
          </w:p>
        </w:tc>
        <w:tc>
          <w:tcPr>
            <w:tcW w:type="dxa" w:w="1036"/>
            <w:vAlign w:val="top"/>
          </w:tcPr>
          <w:p>
            <w:pPr>
              <w:spacing w:after="40" w:before="0" w:line="259" w:lineRule="auto"/>
            </w:pPr>
            <w:r>
              <w:rPr>
                <w:rFonts w:ascii="Calibri" w:hAnsi="Calibri"/>
                <w:b w:val="0"/>
                <w:i w:val="0"/>
                <w:color w:val="212121"/>
                <w:sz w:val="16"/>
              </w:rPr>
              <w:t>Identifies enteric pathogen and guides targeted antibiotics</w:t>
            </w:r>
          </w:p>
        </w:tc>
        <w:tc>
          <w:tcPr>
            <w:tcW w:type="dxa" w:w="1036"/>
            <w:vAlign w:val="top"/>
          </w:tcPr>
          <w:p>
            <w:pPr>
              <w:spacing w:after="40" w:before="0" w:line="259" w:lineRule="auto"/>
            </w:pPr>
            <w:r>
              <w:rPr>
                <w:rFonts w:ascii="Calibri" w:hAnsi="Calibri"/>
                <w:b w:val="0"/>
                <w:i w:val="0"/>
                <w:color w:val="212121"/>
                <w:sz w:val="16"/>
              </w:rPr>
              <w:t>Older men, recurrent UTI, obstruction</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Guides therapy</w:t>
            </w:r>
          </w:p>
        </w:tc>
        <w:tc>
          <w:tcPr>
            <w:tcW w:type="dxa" w:w="720"/>
            <w:vAlign w:val="top"/>
          </w:tcPr>
          <w:p>
            <w:pPr>
              <w:spacing w:after="40" w:before="0" w:line="259" w:lineRule="auto"/>
            </w:pPr>
            <w:r>
              <w:rPr>
                <w:rFonts w:ascii="Calibri" w:hAnsi="Calibri"/>
                <w:b w:val="0"/>
                <w:i w:val="0"/>
                <w:color w:val="212121"/>
                <w:sz w:val="16"/>
              </w:rPr>
              <w:t>Collect before starting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Urethral Gram stain</w:t>
            </w:r>
          </w:p>
        </w:tc>
        <w:tc>
          <w:tcPr>
            <w:tcW w:type="dxa" w:w="892"/>
            <w:vAlign w:val="top"/>
          </w:tcPr>
          <w:p>
            <w:pPr>
              <w:spacing w:after="40" w:before="0" w:line="259" w:lineRule="auto"/>
            </w:pPr>
            <w:r>
              <w:rPr>
                <w:rFonts w:ascii="Calibri" w:hAnsi="Calibri"/>
                <w:b w:val="0"/>
                <w:i w:val="0"/>
                <w:color w:val="212121"/>
                <w:sz w:val="16"/>
              </w:rPr>
              <w:t>Urethral smear</w:t>
            </w:r>
          </w:p>
        </w:tc>
        <w:tc>
          <w:tcPr>
            <w:tcW w:type="dxa" w:w="950"/>
            <w:vAlign w:val="top"/>
          </w:tcPr>
          <w:p>
            <w:pPr>
              <w:spacing w:after="40" w:before="0" w:line="259" w:lineRule="auto"/>
            </w:pPr>
            <w:r>
              <w:rPr>
                <w:rFonts w:ascii="Calibri" w:hAnsi="Calibri"/>
                <w:b w:val="0"/>
                <w:i w:val="0"/>
                <w:color w:val="212121"/>
                <w:sz w:val="16"/>
              </w:rPr>
              <w:t>&lt; 5 WBC/hpf, no organisms</w:t>
            </w:r>
          </w:p>
        </w:tc>
        <w:tc>
          <w:tcPr>
            <w:tcW w:type="dxa" w:w="950"/>
            <w:vAlign w:val="top"/>
          </w:tcPr>
          <w:p>
            <w:pPr>
              <w:spacing w:after="40" w:before="0" w:line="259" w:lineRule="auto"/>
            </w:pPr>
            <w:r>
              <w:rPr>
                <w:rFonts w:ascii="Calibri" w:hAnsi="Calibri"/>
                <w:b w:val="0"/>
                <w:i w:val="0"/>
                <w:color w:val="212121"/>
                <w:sz w:val="16"/>
              </w:rPr>
              <w:t>≥ 5 WBC/hpf; Gram-negative intracellular diplococci</w:t>
            </w:r>
          </w:p>
        </w:tc>
        <w:tc>
          <w:tcPr>
            <w:tcW w:type="dxa" w:w="1036"/>
            <w:vAlign w:val="top"/>
          </w:tcPr>
          <w:p>
            <w:pPr>
              <w:spacing w:after="40" w:before="0" w:line="259" w:lineRule="auto"/>
            </w:pPr>
            <w:r>
              <w:rPr>
                <w:rFonts w:ascii="Calibri" w:hAnsi="Calibri"/>
                <w:b w:val="0"/>
                <w:i w:val="0"/>
                <w:color w:val="212121"/>
                <w:sz w:val="16"/>
              </w:rPr>
              <w:t>Diplococci suggest gonococcal, WBC without diplococci suggest non-gonococcal urethritis</w:t>
            </w:r>
          </w:p>
        </w:tc>
        <w:tc>
          <w:tcPr>
            <w:tcW w:type="dxa" w:w="1036"/>
            <w:vAlign w:val="top"/>
          </w:tcPr>
          <w:p>
            <w:pPr>
              <w:spacing w:after="40" w:before="0" w:line="259" w:lineRule="auto"/>
            </w:pPr>
            <w:r>
              <w:rPr>
                <w:rFonts w:ascii="Calibri" w:hAnsi="Calibri"/>
                <w:b w:val="0"/>
                <w:i w:val="0"/>
                <w:color w:val="212121"/>
                <w:sz w:val="16"/>
              </w:rPr>
              <w:t>Men &lt;35 with discharge</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Rapid bedside test</w:t>
            </w:r>
          </w:p>
        </w:tc>
        <w:tc>
          <w:tcPr>
            <w:tcW w:type="dxa" w:w="720"/>
            <w:vAlign w:val="top"/>
          </w:tcPr>
          <w:p>
            <w:pPr>
              <w:spacing w:after="40" w:before="0" w:line="259" w:lineRule="auto"/>
            </w:pPr>
            <w:r>
              <w:rPr>
                <w:rFonts w:ascii="Calibri" w:hAnsi="Calibri"/>
                <w:b w:val="0"/>
                <w:i w:val="0"/>
                <w:color w:val="212121"/>
                <w:sz w:val="16"/>
              </w:rPr>
              <w:t>Best on a morning specimen before voiding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NAAT for C. trachomatis &amp; N. gonorrhoeae</w:t>
            </w:r>
          </w:p>
        </w:tc>
        <w:tc>
          <w:tcPr>
            <w:tcW w:type="dxa" w:w="892"/>
            <w:vAlign w:val="top"/>
          </w:tcPr>
          <w:p>
            <w:pPr>
              <w:spacing w:after="40" w:before="0" w:line="259" w:lineRule="auto"/>
            </w:pPr>
            <w:r>
              <w:rPr>
                <w:rFonts w:ascii="Calibri" w:hAnsi="Calibri"/>
                <w:b w:val="0"/>
                <w:i w:val="0"/>
                <w:color w:val="212121"/>
                <w:sz w:val="16"/>
              </w:rPr>
              <w:t>First-void urine / urethral NAAT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Chlamydia and/or gonorrhoea detected</w:t>
            </w:r>
          </w:p>
        </w:tc>
        <w:tc>
          <w:tcPr>
            <w:tcW w:type="dxa" w:w="1036"/>
            <w:vAlign w:val="top"/>
          </w:tcPr>
          <w:p>
            <w:pPr>
              <w:spacing w:after="40" w:before="0" w:line="259" w:lineRule="auto"/>
            </w:pPr>
            <w:r>
              <w:rPr>
                <w:rFonts w:ascii="Calibri" w:hAnsi="Calibri"/>
                <w:b w:val="0"/>
                <w:i w:val="0"/>
                <w:color w:val="212121"/>
                <w:sz w:val="16"/>
              </w:rPr>
              <w:t>Confirms STI aetiology; triggers partner notification</w:t>
            </w:r>
          </w:p>
        </w:tc>
        <w:tc>
          <w:tcPr>
            <w:tcW w:type="dxa" w:w="1036"/>
            <w:vAlign w:val="top"/>
          </w:tcPr>
          <w:p>
            <w:pPr>
              <w:spacing w:after="40" w:before="0" w:line="259" w:lineRule="auto"/>
            </w:pPr>
            <w:r>
              <w:rPr>
                <w:rFonts w:ascii="Calibri" w:hAnsi="Calibri"/>
                <w:b w:val="0"/>
                <w:i w:val="0"/>
                <w:color w:val="212121"/>
                <w:sz w:val="16"/>
              </w:rPr>
              <w:t>Sexually active men &lt;35, new partners, MSM</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Gold standard for STI</w:t>
            </w:r>
          </w:p>
        </w:tc>
        <w:tc>
          <w:tcPr>
            <w:tcW w:type="dxa" w:w="720"/>
            <w:vAlign w:val="top"/>
          </w:tcPr>
          <w:p>
            <w:pPr>
              <w:spacing w:after="40" w:before="0" w:line="259" w:lineRule="auto"/>
            </w:pPr>
            <w:r>
              <w:rPr>
                <w:rFonts w:ascii="Calibri" w:hAnsi="Calibri"/>
                <w:b w:val="0"/>
                <w:i w:val="0"/>
                <w:color w:val="212121"/>
                <w:sz w:val="16"/>
              </w:rPr>
              <w:t>High sensitivity; also screen for HIV/syphilis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Colour Doppler ultrasound of scrotum</w:t>
            </w:r>
          </w:p>
        </w:tc>
        <w:tc>
          <w:tcPr>
            <w:tcW w:type="dxa" w:w="892"/>
            <w:vAlign w:val="top"/>
          </w:tcPr>
          <w:p>
            <w:pPr>
              <w:spacing w:after="40" w:before="0" w:line="259" w:lineRule="auto"/>
            </w:pPr>
            <w:r>
              <w:rPr>
                <w:rFonts w:ascii="Calibri" w:hAnsi="Calibri"/>
                <w:b w:val="0"/>
                <w:i w:val="0"/>
                <w:color w:val="212121"/>
                <w:sz w:val="16"/>
              </w:rPr>
              <w:t>Scrotal USG + Doppler</w:t>
            </w:r>
          </w:p>
        </w:tc>
        <w:tc>
          <w:tcPr>
            <w:tcW w:type="dxa" w:w="950"/>
            <w:vAlign w:val="top"/>
          </w:tcPr>
          <w:p>
            <w:pPr>
              <w:spacing w:after="40" w:before="0" w:line="259" w:lineRule="auto"/>
            </w:pPr>
            <w:r>
              <w:rPr>
                <w:rFonts w:ascii="Calibri" w:hAnsi="Calibri"/>
                <w:b w:val="0"/>
                <w:i w:val="0"/>
                <w:color w:val="212121"/>
                <w:sz w:val="16"/>
              </w:rPr>
              <w:t>Normal size, normal/symmetrical flow</w:t>
            </w:r>
          </w:p>
        </w:tc>
        <w:tc>
          <w:tcPr>
            <w:tcW w:type="dxa" w:w="950"/>
            <w:vAlign w:val="top"/>
          </w:tcPr>
          <w:p>
            <w:pPr>
              <w:spacing w:after="40" w:before="0" w:line="259" w:lineRule="auto"/>
            </w:pPr>
            <w:r>
              <w:rPr>
                <w:rFonts w:ascii="Calibri" w:hAnsi="Calibri"/>
                <w:b w:val="0"/>
                <w:i w:val="0"/>
                <w:color w:val="212121"/>
                <w:sz w:val="16"/>
              </w:rPr>
              <w:t>Enlarged hyperaemic epididymis ± testis with increased flow</w:t>
            </w:r>
          </w:p>
        </w:tc>
        <w:tc>
          <w:tcPr>
            <w:tcW w:type="dxa" w:w="1036"/>
            <w:vAlign w:val="top"/>
          </w:tcPr>
          <w:p>
            <w:pPr>
              <w:spacing w:after="40" w:before="0" w:line="259" w:lineRule="auto"/>
            </w:pPr>
            <w:r>
              <w:rPr>
                <w:rFonts w:ascii="Calibri" w:hAnsi="Calibri"/>
                <w:b w:val="0"/>
                <w:i w:val="0"/>
                <w:color w:val="212121"/>
                <w:sz w:val="16"/>
              </w:rPr>
              <w:t>Confirms inflammation and, crucially, excludes torsion (absent flow)</w:t>
            </w:r>
          </w:p>
        </w:tc>
        <w:tc>
          <w:tcPr>
            <w:tcW w:type="dxa" w:w="1036"/>
            <w:vAlign w:val="top"/>
          </w:tcPr>
          <w:p>
            <w:pPr>
              <w:spacing w:after="40" w:before="0" w:line="259" w:lineRule="auto"/>
            </w:pPr>
            <w:r>
              <w:rPr>
                <w:rFonts w:ascii="Calibri" w:hAnsi="Calibri"/>
                <w:b w:val="0"/>
                <w:i w:val="0"/>
                <w:color w:val="212121"/>
                <w:sz w:val="16"/>
              </w:rPr>
              <w:t>All acute scrotum, torsion cannot be excluded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differential test</w:t>
            </w:r>
          </w:p>
        </w:tc>
        <w:tc>
          <w:tcPr>
            <w:tcW w:type="dxa" w:w="720"/>
            <w:vAlign w:val="top"/>
          </w:tcPr>
          <w:p>
            <w:pPr>
              <w:spacing w:after="40" w:before="0" w:line="259" w:lineRule="auto"/>
            </w:pPr>
            <w:r>
              <w:rPr>
                <w:rFonts w:ascii="Calibri" w:hAnsi="Calibri"/>
                <w:b w:val="0"/>
                <w:i w:val="0"/>
                <w:color w:val="212121"/>
                <w:sz w:val="16"/>
              </w:rPr>
              <w:t>Also detects abscess, pyocele and hydrocele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biochemistry</w:t>
            </w:r>
          </w:p>
        </w:tc>
        <w:tc>
          <w:tcPr>
            <w:tcW w:type="dxa" w:w="1036"/>
            <w:vAlign w:val="top"/>
          </w:tcPr>
          <w:p>
            <w:pPr>
              <w:spacing w:after="40" w:before="0" w:line="259" w:lineRule="auto"/>
            </w:pPr>
            <w:r>
              <w:rPr>
                <w:rFonts w:ascii="Calibri" w:hAnsi="Calibri"/>
                <w:b w:val="0"/>
                <w:i w:val="0"/>
                <w:color w:val="212121"/>
                <w:sz w:val="16"/>
              </w:rPr>
              <w:t>Full blood count + CRP</w:t>
            </w:r>
          </w:p>
        </w:tc>
        <w:tc>
          <w:tcPr>
            <w:tcW w:type="dxa" w:w="892"/>
            <w:vAlign w:val="top"/>
          </w:tcPr>
          <w:p>
            <w:pPr>
              <w:spacing w:after="40" w:before="0" w:line="259" w:lineRule="auto"/>
            </w:pPr>
            <w:r>
              <w:rPr>
                <w:rFonts w:ascii="Calibri" w:hAnsi="Calibri"/>
                <w:b w:val="0"/>
                <w:i w:val="0"/>
                <w:color w:val="212121"/>
                <w:sz w:val="16"/>
              </w:rPr>
              <w:t>FBC, CRP</w:t>
            </w:r>
          </w:p>
        </w:tc>
        <w:tc>
          <w:tcPr>
            <w:tcW w:type="dxa" w:w="950"/>
            <w:vAlign w:val="top"/>
          </w:tcPr>
          <w:p>
            <w:pPr>
              <w:spacing w:after="40" w:before="0" w:line="259" w:lineRule="auto"/>
            </w:pPr>
            <w:r>
              <w:rPr>
                <w:rFonts w:ascii="Calibri" w:hAnsi="Calibri"/>
                <w:b w:val="0"/>
                <w:i w:val="0"/>
                <w:color w:val="212121"/>
                <w:sz w:val="16"/>
              </w:rPr>
              <w:t>Normal WBC, CRP &lt; 5 mg/L</w:t>
            </w:r>
          </w:p>
        </w:tc>
        <w:tc>
          <w:tcPr>
            <w:tcW w:type="dxa" w:w="950"/>
            <w:vAlign w:val="top"/>
          </w:tcPr>
          <w:p>
            <w:pPr>
              <w:spacing w:after="40" w:before="0" w:line="259" w:lineRule="auto"/>
            </w:pPr>
            <w:r>
              <w:rPr>
                <w:rFonts w:ascii="Calibri" w:hAnsi="Calibri"/>
                <w:b w:val="0"/>
                <w:i w:val="0"/>
                <w:color w:val="212121"/>
                <w:sz w:val="16"/>
              </w:rPr>
              <w:t>Leukocytosis, raised CRP</w:t>
            </w:r>
          </w:p>
        </w:tc>
        <w:tc>
          <w:tcPr>
            <w:tcW w:type="dxa" w:w="1036"/>
            <w:vAlign w:val="top"/>
          </w:tcPr>
          <w:p>
            <w:pPr>
              <w:spacing w:after="40" w:before="0" w:line="259" w:lineRule="auto"/>
            </w:pPr>
            <w:r>
              <w:rPr>
                <w:rFonts w:ascii="Calibri" w:hAnsi="Calibri"/>
                <w:b w:val="0"/>
                <w:i w:val="0"/>
                <w:color w:val="212121"/>
                <w:sz w:val="16"/>
              </w:rPr>
              <w:t>Marks severity and abscess risk; helps admission decisions</w:t>
            </w:r>
          </w:p>
        </w:tc>
        <w:tc>
          <w:tcPr>
            <w:tcW w:type="dxa" w:w="1036"/>
            <w:vAlign w:val="top"/>
          </w:tcPr>
          <w:p>
            <w:pPr>
              <w:spacing w:after="40" w:before="0" w:line="259" w:lineRule="auto"/>
            </w:pPr>
            <w:r>
              <w:rPr>
                <w:rFonts w:ascii="Calibri" w:hAnsi="Calibri"/>
                <w:b w:val="0"/>
                <w:i w:val="0"/>
                <w:color w:val="212121"/>
                <w:sz w:val="16"/>
              </w:rPr>
              <w:t>Febrile, diabetic, systemically unwell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marker</w:t>
            </w:r>
          </w:p>
        </w:tc>
        <w:tc>
          <w:tcPr>
            <w:tcW w:type="dxa" w:w="720"/>
            <w:vAlign w:val="top"/>
          </w:tcPr>
          <w:p>
            <w:pPr>
              <w:spacing w:after="40" w:before="0" w:line="259" w:lineRule="auto"/>
            </w:pPr>
            <w:r>
              <w:rPr>
                <w:rFonts w:ascii="Calibri" w:hAnsi="Calibri"/>
                <w:b w:val="0"/>
                <w:i w:val="0"/>
                <w:color w:val="212121"/>
                <w:sz w:val="16"/>
              </w:rPr>
              <w:t>Rising markers despite therapy suggest abscess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 HbA1c</w:t>
            </w:r>
          </w:p>
        </w:tc>
        <w:tc>
          <w:tcPr>
            <w:tcW w:type="dxa" w:w="892"/>
            <w:vAlign w:val="top"/>
          </w:tcPr>
          <w:p>
            <w:pPr>
              <w:spacing w:after="40" w:before="0" w:line="259" w:lineRule="auto"/>
            </w:pPr>
            <w:r>
              <w:rPr>
                <w:rFonts w:ascii="Calibri" w:hAnsi="Calibri"/>
                <w:b w:val="0"/>
                <w:i w:val="0"/>
                <w:color w:val="212121"/>
                <w:sz w:val="16"/>
              </w:rPr>
              <w:t>Glucose, HbA1c</w:t>
            </w:r>
          </w:p>
        </w:tc>
        <w:tc>
          <w:tcPr>
            <w:tcW w:type="dxa" w:w="950"/>
            <w:vAlign w:val="top"/>
          </w:tcPr>
          <w:p>
            <w:pPr>
              <w:spacing w:after="40" w:before="0" w:line="259" w:lineRule="auto"/>
            </w:pPr>
            <w:r>
              <w:rPr>
                <w:rFonts w:ascii="Calibri" w:hAnsi="Calibri"/>
                <w:b w:val="0"/>
                <w:i w:val="0"/>
                <w:color w:val="212121"/>
                <w:sz w:val="16"/>
              </w:rPr>
              <w:t>Fasting 70–99 mg/dL; HbA1c &lt; 5.7%</w:t>
            </w:r>
          </w:p>
        </w:tc>
        <w:tc>
          <w:tcPr>
            <w:tcW w:type="dxa" w:w="950"/>
            <w:vAlign w:val="top"/>
          </w:tcPr>
          <w:p>
            <w:pPr>
              <w:spacing w:after="40" w:before="0" w:line="259" w:lineRule="auto"/>
            </w:pPr>
            <w:r>
              <w:rPr>
                <w:rFonts w:ascii="Calibri" w:hAnsi="Calibri"/>
                <w:b w:val="0"/>
                <w:i w:val="0"/>
                <w:color w:val="212121"/>
                <w:sz w:val="16"/>
              </w:rPr>
              <w:t>Hyperglycaemia; HbA1c ≥ 6.5%</w:t>
            </w:r>
          </w:p>
        </w:tc>
        <w:tc>
          <w:tcPr>
            <w:tcW w:type="dxa" w:w="1036"/>
            <w:vAlign w:val="top"/>
          </w:tcPr>
          <w:p>
            <w:pPr>
              <w:spacing w:after="40" w:before="0" w:line="259" w:lineRule="auto"/>
            </w:pPr>
            <w:r>
              <w:rPr>
                <w:rFonts w:ascii="Calibri" w:hAnsi="Calibri"/>
                <w:b w:val="0"/>
                <w:i w:val="0"/>
                <w:color w:val="212121"/>
                <w:sz w:val="16"/>
              </w:rPr>
              <w:t>Uncontrolled diabetes predicts severe/complicated disease</w:t>
            </w:r>
          </w:p>
        </w:tc>
        <w:tc>
          <w:tcPr>
            <w:tcW w:type="dxa" w:w="1036"/>
            <w:vAlign w:val="top"/>
          </w:tcPr>
          <w:p>
            <w:pPr>
              <w:spacing w:after="40" w:before="0" w:line="259" w:lineRule="auto"/>
            </w:pPr>
            <w:r>
              <w:rPr>
                <w:rFonts w:ascii="Calibri" w:hAnsi="Calibri"/>
                <w:b w:val="0"/>
                <w:i w:val="0"/>
                <w:color w:val="212121"/>
                <w:sz w:val="16"/>
              </w:rPr>
              <w:t>Diabetic and recurrent-infection 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Optimise glycaemia to aid resolution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 molecular</w:t>
            </w:r>
          </w:p>
        </w:tc>
        <w:tc>
          <w:tcPr>
            <w:tcW w:type="dxa" w:w="1036"/>
            <w:vAlign w:val="top"/>
          </w:tcPr>
          <w:p>
            <w:pPr>
              <w:spacing w:after="40" w:before="0" w:line="259" w:lineRule="auto"/>
            </w:pPr>
            <w:r>
              <w:rPr>
                <w:rFonts w:ascii="Calibri" w:hAnsi="Calibri"/>
                <w:b w:val="0"/>
                <w:i w:val="0"/>
                <w:color w:val="212121"/>
                <w:sz w:val="16"/>
              </w:rPr>
              <w:t>TB workup (urine AFB, GeneXpert MTB/RIF, tissue)</w:t>
            </w:r>
          </w:p>
        </w:tc>
        <w:tc>
          <w:tcPr>
            <w:tcW w:type="dxa" w:w="892"/>
            <w:vAlign w:val="top"/>
          </w:tcPr>
          <w:p>
            <w:pPr>
              <w:spacing w:after="40" w:before="0" w:line="259" w:lineRule="auto"/>
            </w:pPr>
            <w:r>
              <w:rPr>
                <w:rFonts w:ascii="Calibri" w:hAnsi="Calibri"/>
                <w:b w:val="0"/>
                <w:i w:val="0"/>
                <w:color w:val="212121"/>
                <w:sz w:val="16"/>
              </w:rPr>
              <w:t>AFB smear/culture, GeneXpert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AFB / MTB detected; caseating granulomas</w:t>
            </w:r>
          </w:p>
        </w:tc>
        <w:tc>
          <w:tcPr>
            <w:tcW w:type="dxa" w:w="1036"/>
            <w:vAlign w:val="top"/>
          </w:tcPr>
          <w:p>
            <w:pPr>
              <w:spacing w:after="40" w:before="0" w:line="259" w:lineRule="auto"/>
            </w:pPr>
            <w:r>
              <w:rPr>
                <w:rFonts w:ascii="Calibri" w:hAnsi="Calibri"/>
                <w:b w:val="0"/>
                <w:i w:val="0"/>
                <w:color w:val="212121"/>
                <w:sz w:val="16"/>
              </w:rPr>
              <w:t>Confirms tuberculous epididymo-orchitis in chronic/refractory disease</w:t>
            </w:r>
          </w:p>
        </w:tc>
        <w:tc>
          <w:tcPr>
            <w:tcW w:type="dxa" w:w="1036"/>
            <w:vAlign w:val="top"/>
          </w:tcPr>
          <w:p>
            <w:pPr>
              <w:spacing w:after="40" w:before="0" w:line="259" w:lineRule="auto"/>
            </w:pPr>
            <w:r>
              <w:rPr>
                <w:rFonts w:ascii="Calibri" w:hAnsi="Calibri"/>
                <w:b w:val="0"/>
                <w:i w:val="0"/>
                <w:color w:val="212121"/>
                <w:sz w:val="16"/>
              </w:rPr>
              <w:t>Chronic swelling, sinus, TB contact, endemic India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 in India</w:t>
            </w:r>
          </w:p>
        </w:tc>
        <w:tc>
          <w:tcPr>
            <w:tcW w:type="dxa" w:w="720"/>
            <w:vAlign w:val="top"/>
          </w:tcPr>
          <w:p>
            <w:pPr>
              <w:spacing w:after="40" w:before="0" w:line="259" w:lineRule="auto"/>
            </w:pPr>
            <w:r>
              <w:rPr>
                <w:rFonts w:ascii="Calibri" w:hAnsi="Calibri"/>
                <w:b w:val="0"/>
                <w:i w:val="0"/>
                <w:color w:val="212121"/>
                <w:sz w:val="16"/>
              </w:rPr>
              <w:t>Epididymis is the commonest male genital TB site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Filarial workup (nocturnal smear, filarial antigen)</w:t>
            </w:r>
          </w:p>
        </w:tc>
        <w:tc>
          <w:tcPr>
            <w:tcW w:type="dxa" w:w="892"/>
            <w:vAlign w:val="top"/>
          </w:tcPr>
          <w:p>
            <w:pPr>
              <w:spacing w:after="40" w:before="0" w:line="259" w:lineRule="auto"/>
            </w:pPr>
            <w:r>
              <w:rPr>
                <w:rFonts w:ascii="Calibri" w:hAnsi="Calibri"/>
                <w:b w:val="0"/>
                <w:i w:val="0"/>
                <w:color w:val="212121"/>
                <w:sz w:val="16"/>
              </w:rPr>
              <w:t>Night blood smear, ICT antigen, USG</w:t>
            </w:r>
          </w:p>
        </w:tc>
        <w:tc>
          <w:tcPr>
            <w:tcW w:type="dxa" w:w="950"/>
            <w:vAlign w:val="top"/>
          </w:tcPr>
          <w:p>
            <w:pPr>
              <w:spacing w:after="40" w:before="0" w:line="259" w:lineRule="auto"/>
            </w:pPr>
            <w:r>
              <w:rPr>
                <w:rFonts w:ascii="Calibri" w:hAnsi="Calibri"/>
                <w:b w:val="0"/>
                <w:i w:val="0"/>
                <w:color w:val="212121"/>
                <w:sz w:val="16"/>
              </w:rPr>
              <w:t>No microfilariae; antigen negative</w:t>
            </w:r>
          </w:p>
        </w:tc>
        <w:tc>
          <w:tcPr>
            <w:tcW w:type="dxa" w:w="950"/>
            <w:vAlign w:val="top"/>
          </w:tcPr>
          <w:p>
            <w:pPr>
              <w:spacing w:after="40" w:before="0" w:line="259" w:lineRule="auto"/>
            </w:pPr>
            <w:r>
              <w:rPr>
                <w:rFonts w:ascii="Calibri" w:hAnsi="Calibri"/>
                <w:b w:val="0"/>
                <w:i w:val="0"/>
                <w:color w:val="212121"/>
                <w:sz w:val="16"/>
              </w:rPr>
              <w:t>Microfilariae seen; antigen positive; 'filarial dance sign'</w:t>
            </w:r>
          </w:p>
        </w:tc>
        <w:tc>
          <w:tcPr>
            <w:tcW w:type="dxa" w:w="1036"/>
            <w:vAlign w:val="top"/>
          </w:tcPr>
          <w:p>
            <w:pPr>
              <w:spacing w:after="40" w:before="0" w:line="259" w:lineRule="auto"/>
            </w:pPr>
            <w:r>
              <w:rPr>
                <w:rFonts w:ascii="Calibri" w:hAnsi="Calibri"/>
                <w:b w:val="0"/>
                <w:i w:val="0"/>
                <w:color w:val="212121"/>
                <w:sz w:val="16"/>
              </w:rPr>
              <w:t>Confirms filarial epididymo-orchitis/funiculitis in endemic zones</w:t>
            </w:r>
          </w:p>
        </w:tc>
        <w:tc>
          <w:tcPr>
            <w:tcW w:type="dxa" w:w="1036"/>
            <w:vAlign w:val="top"/>
          </w:tcPr>
          <w:p>
            <w:pPr>
              <w:spacing w:after="40" w:before="0" w:line="259" w:lineRule="auto"/>
            </w:pPr>
            <w:r>
              <w:rPr>
                <w:rFonts w:ascii="Calibri" w:hAnsi="Calibri"/>
                <w:b w:val="0"/>
                <w:i w:val="0"/>
                <w:color w:val="212121"/>
                <w:sz w:val="16"/>
              </w:rPr>
              <w:t>Residents of filariasis-endemic India, chronic/recurrent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Endemic-area test</w:t>
            </w:r>
          </w:p>
        </w:tc>
        <w:tc>
          <w:tcPr>
            <w:tcW w:type="dxa" w:w="720"/>
            <w:vAlign w:val="top"/>
          </w:tcPr>
          <w:p>
            <w:pPr>
              <w:spacing w:after="40" w:before="0" w:line="259" w:lineRule="auto"/>
            </w:pPr>
            <w:r>
              <w:rPr>
                <w:rFonts w:ascii="Calibri" w:hAnsi="Calibri"/>
                <w:b w:val="0"/>
                <w:i w:val="0"/>
                <w:color w:val="212121"/>
                <w:sz w:val="16"/>
              </w:rPr>
              <w:t>Samples ideally drawn at night (nocturnal periodicity)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Mumps IgM / IgG</w:t>
            </w:r>
          </w:p>
        </w:tc>
        <w:tc>
          <w:tcPr>
            <w:tcW w:type="dxa" w:w="892"/>
            <w:vAlign w:val="top"/>
          </w:tcPr>
          <w:p>
            <w:pPr>
              <w:spacing w:after="40" w:before="0" w:line="259" w:lineRule="auto"/>
            </w:pPr>
            <w:r>
              <w:rPr>
                <w:rFonts w:ascii="Calibri" w:hAnsi="Calibri"/>
                <w:b w:val="0"/>
                <w:i w:val="0"/>
                <w:color w:val="212121"/>
                <w:sz w:val="16"/>
              </w:rPr>
              <w:t>Mumps serology</w:t>
            </w:r>
          </w:p>
        </w:tc>
        <w:tc>
          <w:tcPr>
            <w:tcW w:type="dxa" w:w="950"/>
            <w:vAlign w:val="top"/>
          </w:tcPr>
          <w:p>
            <w:pPr>
              <w:spacing w:after="40" w:before="0" w:line="259" w:lineRule="auto"/>
            </w:pPr>
            <w:r>
              <w:rPr>
                <w:rFonts w:ascii="Calibri" w:hAnsi="Calibri"/>
                <w:b w:val="0"/>
                <w:i w:val="0"/>
                <w:color w:val="212121"/>
                <w:sz w:val="16"/>
              </w:rPr>
              <w:t>IgM negative</w:t>
            </w:r>
          </w:p>
        </w:tc>
        <w:tc>
          <w:tcPr>
            <w:tcW w:type="dxa" w:w="950"/>
            <w:vAlign w:val="top"/>
          </w:tcPr>
          <w:p>
            <w:pPr>
              <w:spacing w:after="40" w:before="0" w:line="259" w:lineRule="auto"/>
            </w:pPr>
            <w:r>
              <w:rPr>
                <w:rFonts w:ascii="Calibri" w:hAnsi="Calibri"/>
                <w:b w:val="0"/>
                <w:i w:val="0"/>
                <w:color w:val="212121"/>
                <w:sz w:val="16"/>
              </w:rPr>
              <w:t>IgM positive (acute mumps)</w:t>
            </w:r>
          </w:p>
        </w:tc>
        <w:tc>
          <w:tcPr>
            <w:tcW w:type="dxa" w:w="1036"/>
            <w:vAlign w:val="top"/>
          </w:tcPr>
          <w:p>
            <w:pPr>
              <w:spacing w:after="40" w:before="0" w:line="259" w:lineRule="auto"/>
            </w:pPr>
            <w:r>
              <w:rPr>
                <w:rFonts w:ascii="Calibri" w:hAnsi="Calibri"/>
                <w:b w:val="0"/>
                <w:i w:val="0"/>
                <w:color w:val="212121"/>
                <w:sz w:val="16"/>
              </w:rPr>
              <w:t>Supports viral (mumps) orchitis, especially with parotitis and no bacteriuria</w:t>
            </w:r>
          </w:p>
        </w:tc>
        <w:tc>
          <w:tcPr>
            <w:tcW w:type="dxa" w:w="1036"/>
            <w:vAlign w:val="top"/>
          </w:tcPr>
          <w:p>
            <w:pPr>
              <w:spacing w:after="40" w:before="0" w:line="259" w:lineRule="auto"/>
            </w:pPr>
            <w:r>
              <w:rPr>
                <w:rFonts w:ascii="Calibri" w:hAnsi="Calibri"/>
                <w:b w:val="0"/>
                <w:i w:val="0"/>
                <w:color w:val="212121"/>
                <w:sz w:val="16"/>
              </w:rPr>
              <w:t>Non-immune post-pubertal males with parotitis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Confirms viral cause</w:t>
            </w:r>
          </w:p>
        </w:tc>
        <w:tc>
          <w:tcPr>
            <w:tcW w:type="dxa" w:w="720"/>
            <w:vAlign w:val="top"/>
          </w:tcPr>
          <w:p>
            <w:pPr>
              <w:spacing w:after="40" w:before="0" w:line="259" w:lineRule="auto"/>
            </w:pPr>
            <w:r>
              <w:rPr>
                <w:rFonts w:ascii="Calibri" w:hAnsi="Calibri"/>
                <w:b w:val="0"/>
                <w:i w:val="0"/>
                <w:color w:val="212121"/>
                <w:sz w:val="16"/>
              </w:rPr>
              <w:t>Management is supportive; MMR prevents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Unilateral scrotal pain, swelling, dysuria, urethral discharge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Gradual scrotal pain over 1–2 days ± urinary symptoms</w:t>
            </w:r>
          </w:p>
        </w:tc>
        <w:tc>
          <w:tcPr>
            <w:tcW w:type="dxa" w:w="1036"/>
            <w:vAlign w:val="top"/>
          </w:tcPr>
          <w:p>
            <w:pPr>
              <w:spacing w:after="40" w:before="0" w:line="259" w:lineRule="auto"/>
            </w:pPr>
            <w:r>
              <w:rPr>
                <w:rFonts w:ascii="Calibri" w:hAnsi="Calibri"/>
                <w:b w:val="0"/>
                <w:i w:val="0"/>
                <w:color w:val="212121"/>
                <w:sz w:val="16"/>
              </w:rPr>
              <w:t>Cardinal presentation of epididymo-orchitis</w:t>
            </w:r>
          </w:p>
        </w:tc>
        <w:tc>
          <w:tcPr>
            <w:tcW w:type="dxa" w:w="1036"/>
            <w:vAlign w:val="top"/>
          </w:tcPr>
          <w:p>
            <w:pPr>
              <w:spacing w:after="40" w:before="0" w:line="259" w:lineRule="auto"/>
            </w:pPr>
            <w:r>
              <w:rPr>
                <w:rFonts w:ascii="Calibri" w:hAnsi="Calibri"/>
                <w:b w:val="0"/>
                <w:i w:val="0"/>
                <w:color w:val="212121"/>
                <w:sz w:val="16"/>
              </w:rPr>
              <w:t>Adult men with acute scrotum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Sudden severe pain suggests torsion instead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history</w:t>
            </w:r>
          </w:p>
        </w:tc>
        <w:tc>
          <w:tcPr>
            <w:tcW w:type="dxa" w:w="979"/>
            <w:vAlign w:val="top"/>
          </w:tcPr>
          <w:p>
            <w:pPr>
              <w:spacing w:after="40" w:before="0" w:line="259" w:lineRule="auto"/>
            </w:pPr>
            <w:r>
              <w:rPr>
                <w:rFonts w:ascii="Calibri" w:hAnsi="Calibri"/>
                <w:b w:val="0"/>
                <w:i w:val="0"/>
                <w:color w:val="212121"/>
                <w:sz w:val="16"/>
              </w:rPr>
              <w:t>Partners, contact, condom use, MSM, prior STI</w:t>
            </w:r>
          </w:p>
        </w:tc>
        <w:tc>
          <w:tcPr>
            <w:tcW w:type="dxa" w:w="950"/>
            <w:vAlign w:val="top"/>
          </w:tcPr>
          <w:p>
            <w:pPr>
              <w:spacing w:after="40" w:before="0" w:line="259" w:lineRule="auto"/>
            </w:pPr>
            <w:r>
              <w:rPr>
                <w:rFonts w:ascii="Calibri" w:hAnsi="Calibri"/>
                <w:b w:val="0"/>
                <w:i w:val="0"/>
                <w:color w:val="212121"/>
                <w:sz w:val="16"/>
              </w:rPr>
              <w:t>Monogamous, protected</w:t>
            </w:r>
          </w:p>
        </w:tc>
        <w:tc>
          <w:tcPr>
            <w:tcW w:type="dxa" w:w="950"/>
            <w:vAlign w:val="top"/>
          </w:tcPr>
          <w:p>
            <w:pPr>
              <w:spacing w:after="40" w:before="0" w:line="259" w:lineRule="auto"/>
            </w:pPr>
            <w:r>
              <w:rPr>
                <w:rFonts w:ascii="Calibri" w:hAnsi="Calibri"/>
                <w:b w:val="0"/>
                <w:i w:val="0"/>
                <w:color w:val="212121"/>
                <w:sz w:val="16"/>
              </w:rPr>
              <w:t>New/multiple partners, unprotected, prior STI</w:t>
            </w:r>
          </w:p>
        </w:tc>
        <w:tc>
          <w:tcPr>
            <w:tcW w:type="dxa" w:w="1036"/>
            <w:vAlign w:val="top"/>
          </w:tcPr>
          <w:p>
            <w:pPr>
              <w:spacing w:after="40" w:before="0" w:line="259" w:lineRule="auto"/>
            </w:pPr>
            <w:r>
              <w:rPr>
                <w:rFonts w:ascii="Calibri" w:hAnsi="Calibri"/>
                <w:b w:val="0"/>
                <w:i w:val="0"/>
                <w:color w:val="212121"/>
                <w:sz w:val="16"/>
              </w:rPr>
              <w:t>Points to STI aetiology and need for partner treatment</w:t>
            </w:r>
          </w:p>
        </w:tc>
        <w:tc>
          <w:tcPr>
            <w:tcW w:type="dxa" w:w="1036"/>
            <w:vAlign w:val="top"/>
          </w:tcPr>
          <w:p>
            <w:pPr>
              <w:spacing w:after="40" w:before="0" w:line="259" w:lineRule="auto"/>
            </w:pPr>
            <w:r>
              <w:rPr>
                <w:rFonts w:ascii="Calibri" w:hAnsi="Calibri"/>
                <w:b w:val="0"/>
                <w:i w:val="0"/>
                <w:color w:val="212121"/>
                <w:sz w:val="16"/>
              </w:rPr>
              <w:t>Men &lt;35, MSM</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Directs testing</w:t>
            </w:r>
          </w:p>
        </w:tc>
        <w:tc>
          <w:tcPr>
            <w:tcW w:type="dxa" w:w="720"/>
            <w:vAlign w:val="top"/>
          </w:tcPr>
          <w:p>
            <w:pPr>
              <w:spacing w:after="40" w:before="0" w:line="259" w:lineRule="auto"/>
            </w:pPr>
            <w:r>
              <w:rPr>
                <w:rFonts w:ascii="Calibri" w:hAnsi="Calibri"/>
                <w:b w:val="0"/>
                <w:i w:val="0"/>
                <w:color w:val="212121"/>
                <w:sz w:val="16"/>
              </w:rPr>
              <w:t>Take sensitively and confidentially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Urinary &amp; obstructive history</w:t>
            </w:r>
          </w:p>
        </w:tc>
        <w:tc>
          <w:tcPr>
            <w:tcW w:type="dxa" w:w="979"/>
            <w:vAlign w:val="top"/>
          </w:tcPr>
          <w:p>
            <w:pPr>
              <w:spacing w:after="40" w:before="0" w:line="259" w:lineRule="auto"/>
            </w:pPr>
            <w:r>
              <w:rPr>
                <w:rFonts w:ascii="Calibri" w:hAnsi="Calibri"/>
                <w:b w:val="0"/>
                <w:i w:val="0"/>
                <w:color w:val="212121"/>
                <w:sz w:val="16"/>
              </w:rPr>
              <w:t>LUTS, recurrent UTI, catheter, instrumentation</w:t>
            </w:r>
          </w:p>
        </w:tc>
        <w:tc>
          <w:tcPr>
            <w:tcW w:type="dxa" w:w="950"/>
            <w:vAlign w:val="top"/>
          </w:tcPr>
          <w:p>
            <w:pPr>
              <w:spacing w:after="40" w:before="0" w:line="259" w:lineRule="auto"/>
            </w:pPr>
            <w:r>
              <w:rPr>
                <w:rFonts w:ascii="Calibri" w:hAnsi="Calibri"/>
                <w:b w:val="0"/>
                <w:i w:val="0"/>
                <w:color w:val="212121"/>
                <w:sz w:val="16"/>
              </w:rPr>
              <w:t>No urinary symptoms</w:t>
            </w:r>
          </w:p>
        </w:tc>
        <w:tc>
          <w:tcPr>
            <w:tcW w:type="dxa" w:w="950"/>
            <w:vAlign w:val="top"/>
          </w:tcPr>
          <w:p>
            <w:pPr>
              <w:spacing w:after="40" w:before="0" w:line="259" w:lineRule="auto"/>
            </w:pPr>
            <w:r>
              <w:rPr>
                <w:rFonts w:ascii="Calibri" w:hAnsi="Calibri"/>
                <w:b w:val="0"/>
                <w:i w:val="0"/>
                <w:color w:val="212121"/>
                <w:sz w:val="16"/>
              </w:rPr>
              <w:t>Poor stream, recurrent UTI, recent catheter/surgery</w:t>
            </w:r>
          </w:p>
        </w:tc>
        <w:tc>
          <w:tcPr>
            <w:tcW w:type="dxa" w:w="1036"/>
            <w:vAlign w:val="top"/>
          </w:tcPr>
          <w:p>
            <w:pPr>
              <w:spacing w:after="40" w:before="0" w:line="259" w:lineRule="auto"/>
            </w:pPr>
            <w:r>
              <w:rPr>
                <w:rFonts w:ascii="Calibri" w:hAnsi="Calibri"/>
                <w:b w:val="0"/>
                <w:i w:val="0"/>
                <w:color w:val="212121"/>
                <w:sz w:val="16"/>
              </w:rPr>
              <w:t>Suggests enteric urinary source and obstruction</w:t>
            </w:r>
          </w:p>
        </w:tc>
        <w:tc>
          <w:tcPr>
            <w:tcW w:type="dxa" w:w="1036"/>
            <w:vAlign w:val="top"/>
          </w:tcPr>
          <w:p>
            <w:pPr>
              <w:spacing w:after="40" w:before="0" w:line="259" w:lineRule="auto"/>
            </w:pPr>
            <w:r>
              <w:rPr>
                <w:rFonts w:ascii="Calibri" w:hAnsi="Calibri"/>
                <w:b w:val="0"/>
                <w:i w:val="0"/>
                <w:color w:val="212121"/>
                <w:sz w:val="16"/>
              </w:rPr>
              <w:t>Men &gt;35, SCI, post-operative</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Identifies source</w:t>
            </w:r>
          </w:p>
        </w:tc>
        <w:tc>
          <w:tcPr>
            <w:tcW w:type="dxa" w:w="720"/>
            <w:vAlign w:val="top"/>
          </w:tcPr>
          <w:p>
            <w:pPr>
              <w:spacing w:after="40" w:before="0" w:line="259" w:lineRule="auto"/>
            </w:pPr>
            <w:r>
              <w:rPr>
                <w:rFonts w:ascii="Calibri" w:hAnsi="Calibri"/>
                <w:b w:val="0"/>
                <w:i w:val="0"/>
                <w:color w:val="212121"/>
                <w:sz w:val="16"/>
              </w:rPr>
              <w:t>Prompts urine culture and flow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&amp; exposure history</w:t>
            </w:r>
          </w:p>
        </w:tc>
        <w:tc>
          <w:tcPr>
            <w:tcW w:type="dxa" w:w="979"/>
            <w:vAlign w:val="top"/>
          </w:tcPr>
          <w:p>
            <w:pPr>
              <w:spacing w:after="40" w:before="0" w:line="259" w:lineRule="auto"/>
            </w:pPr>
            <w:r>
              <w:rPr>
                <w:rFonts w:ascii="Calibri" w:hAnsi="Calibri"/>
                <w:b w:val="0"/>
                <w:i w:val="0"/>
                <w:color w:val="212121"/>
                <w:sz w:val="16"/>
              </w:rPr>
              <w:t>Parotitis, TB contact/night sweats, endemic residence, raw-milk intake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Recent mumps, TB features, filariasis-endemic origin, unpasteurised dairy</w:t>
            </w:r>
          </w:p>
        </w:tc>
        <w:tc>
          <w:tcPr>
            <w:tcW w:type="dxa" w:w="1036"/>
            <w:vAlign w:val="top"/>
          </w:tcPr>
          <w:p>
            <w:pPr>
              <w:spacing w:after="40" w:before="0" w:line="259" w:lineRule="auto"/>
            </w:pPr>
            <w:r>
              <w:rPr>
                <w:rFonts w:ascii="Calibri" w:hAnsi="Calibri"/>
                <w:b w:val="0"/>
                <w:i w:val="0"/>
                <w:color w:val="212121"/>
                <w:sz w:val="16"/>
              </w:rPr>
              <w:t>Flags viral, tuberculous, filarial or brucellar causes</w:t>
            </w:r>
          </w:p>
        </w:tc>
        <w:tc>
          <w:tcPr>
            <w:tcW w:type="dxa" w:w="1036"/>
            <w:vAlign w:val="top"/>
          </w:tcPr>
          <w:p>
            <w:pPr>
              <w:spacing w:after="40" w:before="0" w:line="259" w:lineRule="auto"/>
            </w:pPr>
            <w:r>
              <w:rPr>
                <w:rFonts w:ascii="Calibri" w:hAnsi="Calibri"/>
                <w:b w:val="0"/>
                <w:i w:val="0"/>
                <w:color w:val="212121"/>
                <w:sz w:val="16"/>
              </w:rPr>
              <w:t>Non-immune, rural, endemic-area patients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Broadens differential</w:t>
            </w:r>
          </w:p>
        </w:tc>
        <w:tc>
          <w:tcPr>
            <w:tcW w:type="dxa" w:w="720"/>
            <w:vAlign w:val="top"/>
          </w:tcPr>
          <w:p>
            <w:pPr>
              <w:spacing w:after="40" w:before="0" w:line="259" w:lineRule="auto"/>
            </w:pPr>
            <w:r>
              <w:rPr>
                <w:rFonts w:ascii="Calibri" w:hAnsi="Calibri"/>
                <w:b w:val="0"/>
                <w:i w:val="0"/>
                <w:color w:val="212121"/>
                <w:sz w:val="16"/>
              </w:rPr>
              <w:t>Crucial for the India-specific spectrum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Scrotal palpation</w:t>
            </w:r>
          </w:p>
        </w:tc>
        <w:tc>
          <w:tcPr>
            <w:tcW w:type="dxa" w:w="979"/>
            <w:vAlign w:val="top"/>
          </w:tcPr>
          <w:p>
            <w:pPr>
              <w:spacing w:after="40" w:before="0" w:line="259" w:lineRule="auto"/>
            </w:pPr>
            <w:r>
              <w:rPr>
                <w:rFonts w:ascii="Calibri" w:hAnsi="Calibri"/>
                <w:b w:val="0"/>
                <w:i w:val="0"/>
                <w:color w:val="212121"/>
                <w:sz w:val="16"/>
              </w:rPr>
              <w:t>Epididymal &amp; testicular tenderness, swelling, hydrocele</w:t>
            </w:r>
          </w:p>
        </w:tc>
        <w:tc>
          <w:tcPr>
            <w:tcW w:type="dxa" w:w="950"/>
            <w:vAlign w:val="top"/>
          </w:tcPr>
          <w:p>
            <w:pPr>
              <w:spacing w:after="40" w:before="0" w:line="259" w:lineRule="auto"/>
            </w:pPr>
            <w:r>
              <w:rPr>
                <w:rFonts w:ascii="Calibri" w:hAnsi="Calibri"/>
                <w:b w:val="0"/>
                <w:i w:val="0"/>
                <w:color w:val="212121"/>
                <w:sz w:val="16"/>
              </w:rPr>
              <w:t>Non-tender, normal contour</w:t>
            </w:r>
          </w:p>
        </w:tc>
        <w:tc>
          <w:tcPr>
            <w:tcW w:type="dxa" w:w="950"/>
            <w:vAlign w:val="top"/>
          </w:tcPr>
          <w:p>
            <w:pPr>
              <w:spacing w:after="40" w:before="0" w:line="259" w:lineRule="auto"/>
            </w:pPr>
            <w:r>
              <w:rPr>
                <w:rFonts w:ascii="Calibri" w:hAnsi="Calibri"/>
                <w:b w:val="0"/>
                <w:i w:val="0"/>
                <w:color w:val="212121"/>
                <w:sz w:val="16"/>
              </w:rPr>
              <w:t>Tender indurated epididymis, enlarged testis, reactive hydrocele</w:t>
            </w:r>
          </w:p>
        </w:tc>
        <w:tc>
          <w:tcPr>
            <w:tcW w:type="dxa" w:w="1036"/>
            <w:vAlign w:val="top"/>
          </w:tcPr>
          <w:p>
            <w:pPr>
              <w:spacing w:after="40" w:before="0" w:line="259" w:lineRule="auto"/>
            </w:pPr>
            <w:r>
              <w:rPr>
                <w:rFonts w:ascii="Calibri" w:hAnsi="Calibri"/>
                <w:b w:val="0"/>
                <w:i w:val="0"/>
                <w:color w:val="212121"/>
                <w:sz w:val="16"/>
              </w:rPr>
              <w:t>Localises inflammation to epididymis/testis</w:t>
            </w:r>
          </w:p>
        </w:tc>
        <w:tc>
          <w:tcPr>
            <w:tcW w:type="dxa" w:w="1036"/>
            <w:vAlign w:val="top"/>
          </w:tcPr>
          <w:p>
            <w:pPr>
              <w:spacing w:after="40" w:before="0" w:line="259" w:lineRule="auto"/>
            </w:pPr>
            <w:r>
              <w:rPr>
                <w:rFonts w:ascii="Calibri" w:hAnsi="Calibri"/>
                <w:b w:val="0"/>
                <w:i w:val="0"/>
                <w:color w:val="212121"/>
                <w:sz w:val="16"/>
              </w:rPr>
              <w:t>All acute scrotum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Core examination</w:t>
            </w:r>
          </w:p>
        </w:tc>
        <w:tc>
          <w:tcPr>
            <w:tcW w:type="dxa" w:w="720"/>
            <w:vAlign w:val="top"/>
          </w:tcPr>
          <w:p>
            <w:pPr>
              <w:spacing w:after="40" w:before="0" w:line="259" w:lineRule="auto"/>
            </w:pPr>
            <w:r>
              <w:rPr>
                <w:rFonts w:ascii="Calibri" w:hAnsi="Calibri"/>
                <w:b w:val="0"/>
                <w:i w:val="0"/>
                <w:color w:val="212121"/>
                <w:sz w:val="16"/>
              </w:rPr>
              <w:t>Examine the non-affected side for comparison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Prehn sign &amp; cremasteric reflex</w:t>
            </w:r>
          </w:p>
        </w:tc>
        <w:tc>
          <w:tcPr>
            <w:tcW w:type="dxa" w:w="979"/>
            <w:vAlign w:val="top"/>
          </w:tcPr>
          <w:p>
            <w:pPr>
              <w:spacing w:after="40" w:before="0" w:line="259" w:lineRule="auto"/>
            </w:pPr>
            <w:r>
              <w:rPr>
                <w:rFonts w:ascii="Calibri" w:hAnsi="Calibri"/>
                <w:b w:val="0"/>
                <w:i w:val="0"/>
                <w:color w:val="212121"/>
                <w:sz w:val="16"/>
              </w:rPr>
              <w:t>Pain on elevation; cremasteric reflex</w:t>
            </w:r>
          </w:p>
        </w:tc>
        <w:tc>
          <w:tcPr>
            <w:tcW w:type="dxa" w:w="950"/>
            <w:vAlign w:val="top"/>
          </w:tcPr>
          <w:p>
            <w:pPr>
              <w:spacing w:after="40" w:before="0" w:line="259" w:lineRule="auto"/>
            </w:pPr>
            <w:r>
              <w:rPr>
                <w:rFonts w:ascii="Calibri" w:hAnsi="Calibri"/>
                <w:b w:val="0"/>
                <w:i w:val="0"/>
                <w:color w:val="212121"/>
                <w:sz w:val="16"/>
              </w:rPr>
              <w:t>Reflex present</w:t>
            </w:r>
          </w:p>
        </w:tc>
        <w:tc>
          <w:tcPr>
            <w:tcW w:type="dxa" w:w="950"/>
            <w:vAlign w:val="top"/>
          </w:tcPr>
          <w:p>
            <w:pPr>
              <w:spacing w:after="40" w:before="0" w:line="259" w:lineRule="auto"/>
            </w:pPr>
            <w:r>
              <w:rPr>
                <w:rFonts w:ascii="Calibri" w:hAnsi="Calibri"/>
                <w:b w:val="0"/>
                <w:i w:val="0"/>
                <w:color w:val="212121"/>
                <w:sz w:val="16"/>
              </w:rPr>
              <w:t>Prehn positive (relief on elevation), reflex present in EO</w:t>
            </w:r>
          </w:p>
        </w:tc>
        <w:tc>
          <w:tcPr>
            <w:tcW w:type="dxa" w:w="1036"/>
            <w:vAlign w:val="top"/>
          </w:tcPr>
          <w:p>
            <w:pPr>
              <w:spacing w:after="40" w:before="0" w:line="259" w:lineRule="auto"/>
            </w:pPr>
            <w:r>
              <w:rPr>
                <w:rFonts w:ascii="Calibri" w:hAnsi="Calibri"/>
                <w:b w:val="0"/>
                <w:i w:val="0"/>
                <w:color w:val="212121"/>
                <w:sz w:val="16"/>
              </w:rPr>
              <w:t>Helps distinguish epididymo-orchitis from torsion</w:t>
            </w:r>
          </w:p>
        </w:tc>
        <w:tc>
          <w:tcPr>
            <w:tcW w:type="dxa" w:w="1036"/>
            <w:vAlign w:val="top"/>
          </w:tcPr>
          <w:p>
            <w:pPr>
              <w:spacing w:after="40" w:before="0" w:line="259" w:lineRule="auto"/>
            </w:pPr>
            <w:r>
              <w:rPr>
                <w:rFonts w:ascii="Calibri" w:hAnsi="Calibri"/>
                <w:b w:val="0"/>
                <w:i w:val="0"/>
                <w:color w:val="212121"/>
                <w:sz w:val="16"/>
              </w:rPr>
              <w:t>Any acute painful scrotum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Bedside differentiation</w:t>
            </w:r>
          </w:p>
        </w:tc>
        <w:tc>
          <w:tcPr>
            <w:tcW w:type="dxa" w:w="720"/>
            <w:vAlign w:val="top"/>
          </w:tcPr>
          <w:p>
            <w:pPr>
              <w:spacing w:after="40" w:before="0" w:line="259" w:lineRule="auto"/>
            </w:pPr>
            <w:r>
              <w:rPr>
                <w:rFonts w:ascii="Calibri" w:hAnsi="Calibri"/>
                <w:b w:val="0"/>
                <w:i w:val="0"/>
                <w:color w:val="212121"/>
                <w:sz w:val="16"/>
              </w:rPr>
              <w:t>Absent cremasteric reflex favours torsion — image urgently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Systemic &amp; local signs</w:t>
            </w:r>
          </w:p>
        </w:tc>
        <w:tc>
          <w:tcPr>
            <w:tcW w:type="dxa" w:w="979"/>
            <w:vAlign w:val="top"/>
          </w:tcPr>
          <w:p>
            <w:pPr>
              <w:spacing w:after="40" w:before="0" w:line="259" w:lineRule="auto"/>
            </w:pPr>
            <w:r>
              <w:rPr>
                <w:rFonts w:ascii="Calibri" w:hAnsi="Calibri"/>
                <w:b w:val="0"/>
                <w:i w:val="0"/>
                <w:color w:val="212121"/>
                <w:sz w:val="16"/>
              </w:rPr>
              <w:t>Fever, scrotal erythema/warmth, urethral discharge, inguinal nodes</w:t>
            </w:r>
          </w:p>
        </w:tc>
        <w:tc>
          <w:tcPr>
            <w:tcW w:type="dxa" w:w="950"/>
            <w:vAlign w:val="top"/>
          </w:tcPr>
          <w:p>
            <w:pPr>
              <w:spacing w:after="40" w:before="0" w:line="259" w:lineRule="auto"/>
            </w:pPr>
            <w:r>
              <w:rPr>
                <w:rFonts w:ascii="Calibri" w:hAnsi="Calibri"/>
                <w:b w:val="0"/>
                <w:i w:val="0"/>
                <w:color w:val="212121"/>
                <w:sz w:val="16"/>
              </w:rPr>
              <w:t>Afebrile, no discharge</w:t>
            </w:r>
          </w:p>
        </w:tc>
        <w:tc>
          <w:tcPr>
            <w:tcW w:type="dxa" w:w="950"/>
            <w:vAlign w:val="top"/>
          </w:tcPr>
          <w:p>
            <w:pPr>
              <w:spacing w:after="40" w:before="0" w:line="259" w:lineRule="auto"/>
            </w:pPr>
            <w:r>
              <w:rPr>
                <w:rFonts w:ascii="Calibri" w:hAnsi="Calibri"/>
                <w:b w:val="0"/>
                <w:i w:val="0"/>
                <w:color w:val="212121"/>
                <w:sz w:val="16"/>
              </w:rPr>
              <w:t>Fever, erythema, milkable discharge, tender nodes</w:t>
            </w:r>
          </w:p>
        </w:tc>
        <w:tc>
          <w:tcPr>
            <w:tcW w:type="dxa" w:w="1036"/>
            <w:vAlign w:val="top"/>
          </w:tcPr>
          <w:p>
            <w:pPr>
              <w:spacing w:after="40" w:before="0" w:line="259" w:lineRule="auto"/>
            </w:pPr>
            <w:r>
              <w:rPr>
                <w:rFonts w:ascii="Calibri" w:hAnsi="Calibri"/>
                <w:b w:val="0"/>
                <w:i w:val="0"/>
                <w:color w:val="212121"/>
                <w:sz w:val="16"/>
              </w:rPr>
              <w:t>Indicates infective activity and severity</w:t>
            </w:r>
          </w:p>
        </w:tc>
        <w:tc>
          <w:tcPr>
            <w:tcW w:type="dxa" w:w="1036"/>
            <w:vAlign w:val="top"/>
          </w:tcPr>
          <w:p>
            <w:pPr>
              <w:spacing w:after="40" w:before="0" w:line="259" w:lineRule="auto"/>
            </w:pPr>
            <w:r>
              <w:rPr>
                <w:rFonts w:ascii="Calibri" w:hAnsi="Calibri"/>
                <w:b w:val="0"/>
                <w:i w:val="0"/>
                <w:color w:val="212121"/>
                <w:sz w:val="16"/>
              </w:rPr>
              <w:t>Febrile/systemically unwell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assessment</w:t>
            </w:r>
          </w:p>
        </w:tc>
        <w:tc>
          <w:tcPr>
            <w:tcW w:type="dxa" w:w="720"/>
            <w:vAlign w:val="top"/>
          </w:tcPr>
          <w:p>
            <w:pPr>
              <w:spacing w:after="40" w:before="0" w:line="259" w:lineRule="auto"/>
            </w:pPr>
            <w:r>
              <w:rPr>
                <w:rFonts w:ascii="Calibri" w:hAnsi="Calibri"/>
                <w:b w:val="0"/>
                <w:i w:val="0"/>
                <w:color w:val="212121"/>
                <w:sz w:val="16"/>
              </w:rPr>
              <w:t>High fever raises abscess/admission concern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Prostate / cord / sinus assessment</w:t>
            </w:r>
          </w:p>
        </w:tc>
        <w:tc>
          <w:tcPr>
            <w:tcW w:type="dxa" w:w="979"/>
            <w:vAlign w:val="top"/>
          </w:tcPr>
          <w:p>
            <w:pPr>
              <w:spacing w:after="40" w:before="0" w:line="259" w:lineRule="auto"/>
            </w:pPr>
            <w:r>
              <w:rPr>
                <w:rFonts w:ascii="Calibri" w:hAnsi="Calibri"/>
                <w:b w:val="0"/>
                <w:i w:val="0"/>
                <w:color w:val="212121"/>
                <w:sz w:val="16"/>
              </w:rPr>
              <w:t>DRE prostate, vas/cord thickening, scrotal sinus</w:t>
            </w:r>
          </w:p>
        </w:tc>
        <w:tc>
          <w:tcPr>
            <w:tcW w:type="dxa" w:w="950"/>
            <w:vAlign w:val="top"/>
          </w:tcPr>
          <w:p>
            <w:pPr>
              <w:spacing w:after="40" w:before="0" w:line="259" w:lineRule="auto"/>
            </w:pPr>
            <w:r>
              <w:rPr>
                <w:rFonts w:ascii="Calibri" w:hAnsi="Calibri"/>
                <w:b w:val="0"/>
                <w:i w:val="0"/>
                <w:color w:val="212121"/>
                <w:sz w:val="16"/>
              </w:rPr>
              <w:t>Smooth prostate, normal cord, intact skin</w:t>
            </w:r>
          </w:p>
        </w:tc>
        <w:tc>
          <w:tcPr>
            <w:tcW w:type="dxa" w:w="950"/>
            <w:vAlign w:val="top"/>
          </w:tcPr>
          <w:p>
            <w:pPr>
              <w:spacing w:after="40" w:before="0" w:line="259" w:lineRule="auto"/>
            </w:pPr>
            <w:r>
              <w:rPr>
                <w:rFonts w:ascii="Calibri" w:hAnsi="Calibri"/>
                <w:b w:val="0"/>
                <w:i w:val="0"/>
                <w:color w:val="212121"/>
                <w:sz w:val="16"/>
              </w:rPr>
              <w:t>Enlarged/tender prostate, beaded thickened vas, draining sinus</w:t>
            </w:r>
          </w:p>
        </w:tc>
        <w:tc>
          <w:tcPr>
            <w:tcW w:type="dxa" w:w="1036"/>
            <w:vAlign w:val="top"/>
          </w:tcPr>
          <w:p>
            <w:pPr>
              <w:spacing w:after="40" w:before="0" w:line="259" w:lineRule="auto"/>
            </w:pPr>
            <w:r>
              <w:rPr>
                <w:rFonts w:ascii="Calibri" w:hAnsi="Calibri"/>
                <w:b w:val="0"/>
                <w:i w:val="0"/>
                <w:color w:val="212121"/>
                <w:sz w:val="16"/>
              </w:rPr>
              <w:t>Detects BPH/prostatitis, tuberculous or filarial involvement</w:t>
            </w:r>
          </w:p>
        </w:tc>
        <w:tc>
          <w:tcPr>
            <w:tcW w:type="dxa" w:w="1036"/>
            <w:vAlign w:val="top"/>
          </w:tcPr>
          <w:p>
            <w:pPr>
              <w:spacing w:after="40" w:before="0" w:line="259" w:lineRule="auto"/>
            </w:pPr>
            <w:r>
              <w:rPr>
                <w:rFonts w:ascii="Calibri" w:hAnsi="Calibri"/>
                <w:b w:val="0"/>
                <w:i w:val="0"/>
                <w:color w:val="212121"/>
                <w:sz w:val="16"/>
              </w:rPr>
              <w:t>Older men, chronic/granulomatous cases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Aetiological clues</w:t>
            </w:r>
          </w:p>
        </w:tc>
        <w:tc>
          <w:tcPr>
            <w:tcW w:type="dxa" w:w="720"/>
            <w:vAlign w:val="top"/>
          </w:tcPr>
          <w:p>
            <w:pPr>
              <w:spacing w:after="40" w:before="0" w:line="259" w:lineRule="auto"/>
            </w:pPr>
            <w:r>
              <w:rPr>
                <w:rFonts w:ascii="Calibri" w:hAnsi="Calibri"/>
                <w:b w:val="0"/>
                <w:i w:val="0"/>
                <w:color w:val="212121"/>
                <w:sz w:val="16"/>
              </w:rPr>
              <w:t>Beaded vas and sinus suggest tuberculosis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Unilateral scrotal pain (gradual onset)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pain building over 1–2 days, localised initially to the epididymis at the back of the testis.</w:t>
            </w:r>
          </w:p>
        </w:tc>
      </w:tr>
      <w:tr>
        <w:trPr>
          <w:cantSplit/>
        </w:trPr>
        <w:tc>
          <w:tcPr>
            <w:tcW w:type="dxa" w:w="2304"/>
            <w:vAlign w:val="top"/>
          </w:tcPr>
          <w:p>
            <w:pPr>
              <w:spacing w:after="40" w:before="0" w:line="259" w:lineRule="auto"/>
            </w:pPr>
            <w:r>
              <w:rPr>
                <w:rFonts w:ascii="Calibri" w:hAnsi="Calibri"/>
                <w:b/>
                <w:i w:val="0"/>
                <w:color w:val="212121"/>
                <w:sz w:val="19"/>
              </w:rPr>
              <w:t>Scrotal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enlargement of the affected hemiscrotum from inflammation and a reactive hydrocele.</w:t>
            </w:r>
          </w:p>
        </w:tc>
      </w:tr>
      <w:tr>
        <w:trPr>
          <w:cantSplit/>
        </w:trPr>
        <w:tc>
          <w:tcPr>
            <w:tcW w:type="dxa" w:w="2304"/>
            <w:vAlign w:val="top"/>
          </w:tcPr>
          <w:p>
            <w:pPr>
              <w:spacing w:after="40" w:before="0" w:line="259" w:lineRule="auto"/>
            </w:pPr>
            <w:r>
              <w:rPr>
                <w:rFonts w:ascii="Calibri" w:hAnsi="Calibri"/>
                <w:b/>
                <w:i w:val="0"/>
                <w:color w:val="212121"/>
                <w:sz w:val="19"/>
              </w:rPr>
              <w:t>Scrotal tenderness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tenderness on palpation of the epididymis and, when orchitis coexists, the testis.</w:t>
            </w:r>
          </w:p>
        </w:tc>
      </w:tr>
      <w:tr>
        <w:trPr>
          <w:cantSplit/>
        </w:trPr>
        <w:tc>
          <w:tcPr>
            <w:tcW w:type="dxa" w:w="2304"/>
            <w:vAlign w:val="top"/>
          </w:tcPr>
          <w:p>
            <w:pPr>
              <w:spacing w:after="40" w:before="0" w:line="259" w:lineRule="auto"/>
            </w:pPr>
            <w:r>
              <w:rPr>
                <w:rFonts w:ascii="Calibri" w:hAnsi="Calibri"/>
                <w:b/>
                <w:i w:val="0"/>
                <w:color w:val="212121"/>
                <w:sz w:val="19"/>
              </w:rPr>
              <w:t>Dysuria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urination reflecting the associated urethral or urinary tract infection.</w:t>
            </w:r>
          </w:p>
        </w:tc>
      </w:tr>
      <w:tr>
        <w:trPr>
          <w:cantSplit/>
        </w:trPr>
        <w:tc>
          <w:tcPr>
            <w:tcW w:type="dxa" w:w="2304"/>
            <w:vAlign w:val="top"/>
          </w:tcPr>
          <w:p>
            <w:pPr>
              <w:spacing w:after="40" w:before="0" w:line="259" w:lineRule="auto"/>
            </w:pPr>
            <w:r>
              <w:rPr>
                <w:rFonts w:ascii="Calibri" w:hAnsi="Calibri"/>
                <w:b/>
                <w:i w:val="0"/>
                <w:color w:val="212121"/>
                <w:sz w:val="19"/>
              </w:rPr>
              <w:t>Urinary frequency / urgency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Lower urinary tract symptoms accompanying enteric (urinary source) disease.</w:t>
            </w:r>
          </w:p>
        </w:tc>
      </w:tr>
      <w:tr>
        <w:trPr>
          <w:cantSplit/>
        </w:trPr>
        <w:tc>
          <w:tcPr>
            <w:tcW w:type="dxa" w:w="2304"/>
            <w:vAlign w:val="top"/>
          </w:tcPr>
          <w:p>
            <w:pPr>
              <w:spacing w:after="40" w:before="0" w:line="259" w:lineRule="auto"/>
            </w:pPr>
            <w:r>
              <w:rPr>
                <w:rFonts w:ascii="Calibri" w:hAnsi="Calibri"/>
                <w:b/>
                <w:i w:val="0"/>
                <w:color w:val="212121"/>
                <w:sz w:val="19"/>
              </w:rPr>
              <w:t>Fever &amp; chills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infective response; higher fever suggests more severe disease or abscess.</w:t>
            </w:r>
          </w:p>
        </w:tc>
      </w:tr>
      <w:tr>
        <w:trPr>
          <w:cantSplit/>
        </w:trPr>
        <w:tc>
          <w:tcPr>
            <w:tcW w:type="dxa" w:w="2304"/>
            <w:vAlign w:val="top"/>
          </w:tcPr>
          <w:p>
            <w:pPr>
              <w:spacing w:after="40" w:before="0" w:line="259" w:lineRule="auto"/>
            </w:pPr>
            <w:r>
              <w:rPr>
                <w:rFonts w:ascii="Calibri" w:hAnsi="Calibri"/>
                <w:b/>
                <w:i w:val="0"/>
                <w:color w:val="212121"/>
                <w:sz w:val="19"/>
              </w:rPr>
              <w:t>Urethral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Suggests a sexually transmitted cause (gonococcal or non-gonococcal urethritis) in younger men.</w:t>
            </w:r>
          </w:p>
        </w:tc>
      </w:tr>
      <w:tr>
        <w:trPr>
          <w:cantSplit/>
        </w:trPr>
        <w:tc>
          <w:tcPr>
            <w:tcW w:type="dxa" w:w="2304"/>
            <w:vAlign w:val="top"/>
          </w:tcPr>
          <w:p>
            <w:pPr>
              <w:spacing w:after="40" w:before="0" w:line="259" w:lineRule="auto"/>
            </w:pPr>
            <w:r>
              <w:rPr>
                <w:rFonts w:ascii="Calibri" w:hAnsi="Calibri"/>
                <w:b/>
                <w:i w:val="0"/>
                <w:color w:val="212121"/>
                <w:sz w:val="19"/>
              </w:rPr>
              <w:t>Lower abdominal / groin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may radiate from the scrotum to the ipsilateral groin and lower abdomen.</w:t>
            </w:r>
          </w:p>
        </w:tc>
      </w:tr>
      <w:tr>
        <w:trPr>
          <w:cantSplit/>
        </w:trPr>
        <w:tc>
          <w:tcPr>
            <w:tcW w:type="dxa" w:w="2304"/>
            <w:vAlign w:val="top"/>
          </w:tcPr>
          <w:p>
            <w:pPr>
              <w:spacing w:after="40" w:before="0" w:line="259" w:lineRule="auto"/>
            </w:pPr>
            <w:r>
              <w:rPr>
                <w:rFonts w:ascii="Calibri" w:hAnsi="Calibri"/>
                <w:b/>
                <w:i w:val="0"/>
                <w:color w:val="212121"/>
                <w:sz w:val="19"/>
              </w:rPr>
              <w:t>Scrotal erythema &amp; warmth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Overlying skin becomes red, warm and shiny as inflammation intensifies.</w:t>
            </w:r>
          </w:p>
        </w:tc>
      </w:tr>
      <w:tr>
        <w:trPr>
          <w:cantSplit/>
        </w:trPr>
        <w:tc>
          <w:tcPr>
            <w:tcW w:type="dxa" w:w="2304"/>
            <w:vAlign w:val="top"/>
          </w:tcPr>
          <w:p>
            <w:pPr>
              <w:spacing w:after="40" w:before="0" w:line="259" w:lineRule="auto"/>
            </w:pPr>
            <w:r>
              <w:rPr>
                <w:rFonts w:ascii="Calibri" w:hAnsi="Calibri"/>
                <w:b/>
                <w:i w:val="0"/>
                <w:color w:val="212121"/>
                <w:sz w:val="19"/>
              </w:rPr>
              <w:t>Painful ejaculation / haematospermia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inflammation of the epididymis and adjacent genital tract.</w:t>
            </w:r>
          </w:p>
        </w:tc>
      </w:tr>
      <w:tr>
        <w:trPr>
          <w:cantSplit/>
        </w:trPr>
        <w:tc>
          <w:tcPr>
            <w:tcW w:type="dxa" w:w="2304"/>
            <w:vAlign w:val="top"/>
          </w:tcPr>
          <w:p>
            <w:pPr>
              <w:spacing w:after="40" w:before="0" w:line="259" w:lineRule="auto"/>
            </w:pPr>
            <w:r>
              <w:rPr>
                <w:rFonts w:ascii="Calibri" w:hAnsi="Calibri"/>
                <w:b/>
                <w:i w:val="0"/>
                <w:color w:val="212121"/>
                <w:sz w:val="19"/>
              </w:rPr>
              <w:t>Malaise, nausea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General constitutional upset; prominent vomiting should raise suspicion of torsion.</w:t>
            </w:r>
          </w:p>
        </w:tc>
      </w:tr>
      <w:tr>
        <w:trPr>
          <w:cantSplit/>
        </w:trPr>
        <w:tc>
          <w:tcPr>
            <w:tcW w:type="dxa" w:w="2304"/>
            <w:vAlign w:val="top"/>
          </w:tcPr>
          <w:p>
            <w:pPr>
              <w:spacing w:after="40" w:before="0" w:line="259" w:lineRule="auto"/>
            </w:pPr>
            <w:r>
              <w:rPr>
                <w:rFonts w:ascii="Calibri" w:hAnsi="Calibri"/>
                <w:b/>
                <w:i w:val="0"/>
                <w:color w:val="212121"/>
                <w:sz w:val="19"/>
              </w:rPr>
              <w:t>Haematuria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Blood in the urine may accompany urinary tract or, occasionally, tuberculous involvement.</w:t>
            </w:r>
          </w:p>
        </w:tc>
      </w:tr>
      <w:tr>
        <w:trPr>
          <w:cantSplit/>
        </w:trPr>
        <w:tc>
          <w:tcPr>
            <w:tcW w:type="dxa" w:w="2304"/>
            <w:vAlign w:val="top"/>
          </w:tcPr>
          <w:p>
            <w:pPr>
              <w:spacing w:after="40" w:before="0" w:line="259" w:lineRule="auto"/>
            </w:pPr>
            <w:r>
              <w:rPr>
                <w:rFonts w:ascii="Calibri" w:hAnsi="Calibri"/>
                <w:b/>
                <w:i w:val="0"/>
                <w:color w:val="212121"/>
                <w:sz w:val="19"/>
              </w:rPr>
              <w:t>Painless or chronic scrotal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Insidious, relatively painless enlargement points to tuberculous or filarial (chronic) disease.</w:t>
            </w:r>
          </w:p>
        </w:tc>
      </w:tr>
      <w:tr>
        <w:trPr>
          <w:cantSplit/>
        </w:trPr>
        <w:tc>
          <w:tcPr>
            <w:tcW w:type="dxa" w:w="2304"/>
            <w:vAlign w:val="top"/>
          </w:tcPr>
          <w:p>
            <w:pPr>
              <w:spacing w:after="40" w:before="0" w:line="259" w:lineRule="auto"/>
            </w:pPr>
            <w:r>
              <w:rPr>
                <w:rFonts w:ascii="Calibri" w:hAnsi="Calibri"/>
                <w:b/>
                <w:i w:val="0"/>
                <w:color w:val="212121"/>
                <w:sz w:val="19"/>
              </w:rPr>
              <w:t>Discharging scrotal sinus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chronically draining scrotal sinus is characteristic of tuberculous epididymo-orchitis.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Tender, indurated epididymis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Swollen, exquisitely tender epididymis along the posterior testis — the hallmark physical sign.</w:t>
            </w:r>
          </w:p>
        </w:tc>
      </w:tr>
      <w:tr>
        <w:trPr>
          <w:cantSplit/>
        </w:trPr>
        <w:tc>
          <w:tcPr>
            <w:tcW w:type="dxa" w:w="3456"/>
            <w:vAlign w:val="top"/>
          </w:tcPr>
          <w:p>
            <w:pPr>
              <w:spacing w:after="40" w:before="0" w:line="259" w:lineRule="auto"/>
            </w:pPr>
            <w:r>
              <w:rPr>
                <w:rFonts w:ascii="Calibri" w:hAnsi="Calibri"/>
                <w:b/>
                <w:i w:val="0"/>
                <w:color w:val="212121"/>
                <w:sz w:val="19"/>
              </w:rPr>
              <w:t>Enlarged, tender testis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When orchitis coexists the testis is also swollen and tender, with loss of the epididymo-testicular groove.</w:t>
            </w:r>
          </w:p>
        </w:tc>
      </w:tr>
      <w:tr>
        <w:trPr>
          <w:cantSplit/>
        </w:trPr>
        <w:tc>
          <w:tcPr>
            <w:tcW w:type="dxa" w:w="3456"/>
            <w:vAlign w:val="top"/>
          </w:tcPr>
          <w:p>
            <w:pPr>
              <w:spacing w:after="40" w:before="0" w:line="259" w:lineRule="auto"/>
            </w:pPr>
            <w:r>
              <w:rPr>
                <w:rFonts w:ascii="Calibri" w:hAnsi="Calibri"/>
                <w:b/>
                <w:i w:val="0"/>
                <w:color w:val="212121"/>
                <w:sz w:val="19"/>
              </w:rPr>
              <w:t>Erythematous, warm scrotal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Overlying inflammation with oedema; skin may be shiny and adherent.</w:t>
            </w:r>
          </w:p>
        </w:tc>
      </w:tr>
      <w:tr>
        <w:trPr>
          <w:cantSplit/>
        </w:trPr>
        <w:tc>
          <w:tcPr>
            <w:tcW w:type="dxa" w:w="3456"/>
            <w:vAlign w:val="top"/>
          </w:tcPr>
          <w:p>
            <w:pPr>
              <w:spacing w:after="40" w:before="0" w:line="259" w:lineRule="auto"/>
            </w:pPr>
            <w:r>
              <w:rPr>
                <w:rFonts w:ascii="Calibri" w:hAnsi="Calibri"/>
                <w:b/>
                <w:i w:val="0"/>
                <w:color w:val="212121"/>
                <w:sz w:val="19"/>
              </w:rPr>
              <w:t>Reactive hydrocele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Secondary fluid collection around the testis, transilluminant and often tense.</w:t>
            </w:r>
          </w:p>
        </w:tc>
      </w:tr>
      <w:tr>
        <w:trPr>
          <w:cantSplit/>
        </w:trPr>
        <w:tc>
          <w:tcPr>
            <w:tcW w:type="dxa" w:w="3456"/>
            <w:vAlign w:val="top"/>
          </w:tcPr>
          <w:p>
            <w:pPr>
              <w:spacing w:after="40" w:before="0" w:line="259" w:lineRule="auto"/>
            </w:pPr>
            <w:r>
              <w:rPr>
                <w:rFonts w:ascii="Calibri" w:hAnsi="Calibri"/>
                <w:b/>
                <w:i w:val="0"/>
                <w:color w:val="212121"/>
                <w:sz w:val="19"/>
              </w:rPr>
              <w:t>Positive Prehn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Elevation of the scrotum relieves pain in epididymo-orchitis (unlike torsion).</w:t>
            </w:r>
          </w:p>
        </w:tc>
      </w:tr>
      <w:tr>
        <w:trPr>
          <w:cantSplit/>
        </w:trPr>
        <w:tc>
          <w:tcPr>
            <w:tcW w:type="dxa" w:w="3456"/>
            <w:vAlign w:val="top"/>
          </w:tcPr>
          <w:p>
            <w:pPr>
              <w:spacing w:after="40" w:before="0" w:line="259" w:lineRule="auto"/>
            </w:pPr>
            <w:r>
              <w:rPr>
                <w:rFonts w:ascii="Calibri" w:hAnsi="Calibri"/>
                <w:b/>
                <w:i w:val="0"/>
                <w:color w:val="212121"/>
                <w:sz w:val="19"/>
              </w:rPr>
              <w:t>Intact cremasteric reflex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preserved reflex favours epididymo-orchitis; its absence strongly suggests torsion.</w:t>
            </w:r>
          </w:p>
        </w:tc>
      </w:tr>
      <w:tr>
        <w:trPr>
          <w:cantSplit/>
        </w:trPr>
        <w:tc>
          <w:tcPr>
            <w:tcW w:type="dxa" w:w="3456"/>
            <w:vAlign w:val="top"/>
          </w:tcPr>
          <w:p>
            <w:pPr>
              <w:spacing w:after="40" w:before="0" w:line="259" w:lineRule="auto"/>
            </w:pPr>
            <w:r>
              <w:rPr>
                <w:rFonts w:ascii="Calibri" w:hAnsi="Calibri"/>
                <w:b/>
                <w:i w:val="0"/>
                <w:color w:val="212121"/>
                <w:sz w:val="19"/>
              </w:rPr>
              <w:t>Fever / 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Systemic signs of infection, more marked in severe or abscess-forming disease.</w:t>
            </w:r>
          </w:p>
        </w:tc>
      </w:tr>
      <w:tr>
        <w:trPr>
          <w:cantSplit/>
        </w:trPr>
        <w:tc>
          <w:tcPr>
            <w:tcW w:type="dxa" w:w="3456"/>
            <w:vAlign w:val="top"/>
          </w:tcPr>
          <w:p>
            <w:pPr>
              <w:spacing w:after="40" w:before="0" w:line="259" w:lineRule="auto"/>
            </w:pPr>
            <w:r>
              <w:rPr>
                <w:rFonts w:ascii="Calibri" w:hAnsi="Calibri"/>
                <w:b/>
                <w:i w:val="0"/>
                <w:color w:val="212121"/>
                <w:sz w:val="19"/>
              </w:rPr>
              <w:t>Urethral discharge on milking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Expressible discharge indicates associated urethritis in STI-related cases.</w:t>
            </w:r>
          </w:p>
        </w:tc>
      </w:tr>
      <w:tr>
        <w:trPr>
          <w:cantSplit/>
        </w:trPr>
        <w:tc>
          <w:tcPr>
            <w:tcW w:type="dxa" w:w="3456"/>
            <w:vAlign w:val="top"/>
          </w:tcPr>
          <w:p>
            <w:pPr>
              <w:spacing w:after="40" w:before="0" w:line="259" w:lineRule="auto"/>
            </w:pPr>
            <w:r>
              <w:rPr>
                <w:rFonts w:ascii="Calibri" w:hAnsi="Calibri"/>
                <w:b/>
                <w:i w:val="0"/>
                <w:color w:val="212121"/>
                <w:sz w:val="19"/>
              </w:rPr>
              <w:t>Inguinal lymphadenopathy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 enlargement of ipsilateral inguinal nodes may accompany infection.</w:t>
            </w:r>
          </w:p>
        </w:tc>
      </w:tr>
      <w:tr>
        <w:trPr>
          <w:cantSplit/>
        </w:trPr>
        <w:tc>
          <w:tcPr>
            <w:tcW w:type="dxa" w:w="3456"/>
            <w:vAlign w:val="top"/>
          </w:tcPr>
          <w:p>
            <w:pPr>
              <w:spacing w:after="40" w:before="0" w:line="259" w:lineRule="auto"/>
            </w:pPr>
            <w:r>
              <w:rPr>
                <w:rFonts w:ascii="Calibri" w:hAnsi="Calibri"/>
                <w:b/>
                <w:i w:val="0"/>
                <w:color w:val="212121"/>
                <w:sz w:val="19"/>
              </w:rPr>
              <w:t>Thickened, beaded vas deferens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craggy, beaded vas or epididymal nodularity suggests tuberculous involvement.</w:t>
            </w:r>
          </w:p>
        </w:tc>
      </w:tr>
      <w:tr>
        <w:trPr>
          <w:cantSplit/>
        </w:trPr>
        <w:tc>
          <w:tcPr>
            <w:tcW w:type="dxa" w:w="3456"/>
            <w:vAlign w:val="top"/>
          </w:tcPr>
          <w:p>
            <w:pPr>
              <w:spacing w:after="40" w:before="0" w:line="259" w:lineRule="auto"/>
            </w:pPr>
            <w:r>
              <w:rPr>
                <w:rFonts w:ascii="Calibri" w:hAnsi="Calibri"/>
                <w:b/>
                <w:i w:val="0"/>
                <w:color w:val="212121"/>
                <w:sz w:val="19"/>
              </w:rPr>
              <w:t>Fluctuant scrotal mass (abscess/pyocele)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fluctuant, pointing collection indicates abscess formation and usually needs drainage.</w:t>
            </w:r>
          </w:p>
        </w:tc>
      </w:tr>
      <w:tr>
        <w:trPr>
          <w:cantSplit/>
        </w:trPr>
        <w:tc>
          <w:tcPr>
            <w:tcW w:type="dxa" w:w="3456"/>
            <w:vAlign w:val="top"/>
          </w:tcPr>
          <w:p>
            <w:pPr>
              <w:spacing w:after="40" w:before="0" w:line="259" w:lineRule="auto"/>
            </w:pPr>
            <w:r>
              <w:rPr>
                <w:rFonts w:ascii="Calibri" w:hAnsi="Calibri"/>
                <w:b/>
                <w:i w:val="0"/>
                <w:color w:val="212121"/>
                <w:sz w:val="19"/>
              </w:rPr>
              <w:t>Draining scrotal sinus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chronic cutaneous sinus over the epididymis is characteristic of tuberculosis.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Reactive hydrocele and scrotal wall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Epididymal / testicular (scrotal) abscess and pyocele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Testicular ischaemia or infarction from swelling and venous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Extension to Fournier's gangrene (necrotising scrotal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sepsis in severe or neglected infection</w:t>
            </w:r>
          </w:p>
        </w:tc>
        <w:tc>
          <w:tcPr>
            <w:tcW w:type="dxa" w:w="2980"/>
            <w:vAlign w:val="top"/>
          </w:tcPr>
          <w:p>
            <w:pPr>
              <w:spacing w:after="40" w:before="0" w:line="259" w:lineRule="auto"/>
            </w:pPr>
            <w:r>
              <w:rPr>
                <w:rFonts w:ascii="Calibri" w:hAnsi="Calibri"/>
                <w:b w:val="0"/>
                <w:i w:val="0"/>
                <w:color w:val="212121"/>
                <w:sz w:val="19"/>
              </w:rPr>
              <w:t>Direct, acute consequences of intense scrotal infection and inflammation; abscess correlates with the need for orchidectomy.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epididymitis and chronic orchialgia (scrotal pain &gt; 3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Testicular atrophy following orchitis (notably mumps)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epididymo-orchitis, especially with obstruction or catheters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Granulomatous disease with sinus formation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filarial epididymo-orchitis and hydrocele</w:t>
            </w:r>
          </w:p>
        </w:tc>
        <w:tc>
          <w:tcPr>
            <w:tcW w:type="dxa" w:w="2980"/>
            <w:vAlign w:val="top"/>
          </w:tcPr>
          <w:p>
            <w:pPr>
              <w:spacing w:after="40" w:before="0" w:line="259" w:lineRule="auto"/>
            </w:pPr>
            <w:r>
              <w:rPr>
                <w:rFonts w:ascii="Calibri" w:hAnsi="Calibri"/>
                <w:b w:val="0"/>
                <w:i w:val="0"/>
                <w:color w:val="212121"/>
                <w:sz w:val="19"/>
              </w:rPr>
              <w:t>Subacute and chronic sequelae from persistent or repeated inflammation, prominent in the tuberculous and filarial forms common in India.</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azoospermia and subfertility/infertility (especially bilateral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Hypogonadism from bilateral testicular atrophy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Orchidectomy / permanent testicular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scrotal pain syndrome with impaired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Psychosexual and psychological morbidity</w:t>
            </w:r>
          </w:p>
        </w:tc>
        <w:tc>
          <w:tcPr>
            <w:tcW w:type="dxa" w:w="2980"/>
            <w:vAlign w:val="top"/>
          </w:tcPr>
          <w:p>
            <w:pPr>
              <w:spacing w:after="40" w:before="0" w:line="259" w:lineRule="auto"/>
            </w:pPr>
            <w:r>
              <w:rPr>
                <w:rFonts w:ascii="Calibri" w:hAnsi="Calibri"/>
                <w:b w:val="0"/>
                <w:i w:val="0"/>
                <w:color w:val="212121"/>
                <w:sz w:val="19"/>
              </w:rPr>
              <w:t>Irreversible, disabling outcomes of longstanding or bilateral disease; fertility is diminished in about one-quarter of men after unilateral and two-thirds after bilateral mumps orchitis.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Urinary tract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Enteric coliforms ascending from infected urine are the dominant non-STI cause; UTI and epididymo-orchitis share the same organisms and route.</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 / bladder outlet obstruction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Obstruction with high residual urine and bacteriuria drives retrograde enteric infection in men over 35.</w:t>
            </w:r>
          </w:p>
        </w:tc>
      </w:tr>
      <w:tr>
        <w:trPr>
          <w:cantSplit/>
        </w:trPr>
        <w:tc>
          <w:tcPr>
            <w:tcW w:type="dxa" w:w="2232"/>
            <w:vAlign w:val="top"/>
          </w:tcPr>
          <w:p>
            <w:pPr>
              <w:spacing w:after="40" w:before="0" w:line="259" w:lineRule="auto"/>
            </w:pPr>
            <w:r>
              <w:rPr>
                <w:rFonts w:ascii="Calibri" w:hAnsi="Calibri"/>
                <w:b/>
                <w:i w:val="0"/>
                <w:color w:val="212121"/>
                <w:sz w:val="19"/>
              </w:rPr>
              <w:t>Sexually transmitted infection (chlamydia / gonorrhoea urethritis)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The leading cause in sexually active men under 35; urethritis precedes canalicular spread to the epididymis.</w:t>
            </w:r>
          </w:p>
          <w:p>
            <w:pPr>
              <w:spacing w:after="40" w:before="0" w:line="259" w:lineRule="auto"/>
            </w:pPr>
            <w:r>
              <w:rPr>
                <w:rFonts w:ascii="Calibri" w:hAnsi="Calibri"/>
                <w:b/>
                <w:i w:val="0"/>
                <w:color w:val="212121"/>
                <w:sz w:val="19"/>
              </w:rPr>
              <w:t>~50% in men &lt;35</w:t>
            </w:r>
          </w:p>
        </w:tc>
      </w:tr>
      <w:tr>
        <w:trPr>
          <w:cantSplit/>
        </w:trPr>
        <w:tc>
          <w:tcPr>
            <w:tcW w:type="dxa" w:w="2232"/>
            <w:vAlign w:val="top"/>
          </w:tcPr>
          <w:p>
            <w:pPr>
              <w:spacing w:after="40" w:before="0" w:line="259" w:lineRule="auto"/>
            </w:pPr>
            <w:r>
              <w:rPr>
                <w:rFonts w:ascii="Calibri" w:hAnsi="Calibri"/>
                <w:b/>
                <w:i w:val="0"/>
                <w:color w:val="212121"/>
                <w:sz w:val="19"/>
              </w:rPr>
              <w:t>Genitourinary tuberculosis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epididymis is the commonest male genital TB site (about 48.9% of GUTB); an important chronic cause in India.</w:t>
            </w:r>
          </w:p>
          <w:p>
            <w:pPr>
              <w:spacing w:after="40" w:before="0" w:line="259" w:lineRule="auto"/>
            </w:pPr>
            <w:r>
              <w:rPr>
                <w:rFonts w:ascii="Calibri" w:hAnsi="Calibri"/>
                <w:b/>
                <w:i w:val="0"/>
                <w:color w:val="212121"/>
                <w:sz w:val="19"/>
              </w:rPr>
              <w:t>Up to 48.9% of GUTB</w:t>
            </w:r>
          </w:p>
        </w:tc>
      </w:tr>
      <w:tr>
        <w:trPr>
          <w:cantSplit/>
        </w:trPr>
        <w:tc>
          <w:tcPr>
            <w:tcW w:type="dxa" w:w="2232"/>
            <w:vAlign w:val="top"/>
          </w:tcPr>
          <w:p>
            <w:pPr>
              <w:spacing w:after="40" w:before="0" w:line="259" w:lineRule="auto"/>
            </w:pPr>
            <w:r>
              <w:rPr>
                <w:rFonts w:ascii="Calibri" w:hAnsi="Calibri"/>
                <w:b/>
                <w:i w:val="0"/>
                <w:color w:val="212121"/>
                <w:sz w:val="19"/>
              </w:rPr>
              <w:t>Lymphatic filariasis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Wuchereria bancrofti in scrotal lymphatics causes recurrent filarial funiculitis/epididymo-orchitis and hydrocele in endemic India.</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Impaired immunity predisposes to more severe infection and abscess and alters management thresholds.</w:t>
            </w:r>
          </w:p>
        </w:tc>
      </w:tr>
      <w:tr>
        <w:trPr>
          <w:cantSplit/>
        </w:trPr>
        <w:tc>
          <w:tcPr>
            <w:tcW w:type="dxa" w:w="2232"/>
            <w:vAlign w:val="top"/>
          </w:tcPr>
          <w:p>
            <w:pPr>
              <w:spacing w:after="40" w:before="0" w:line="259" w:lineRule="auto"/>
            </w:pPr>
            <w:r>
              <w:rPr>
                <w:rFonts w:ascii="Calibri" w:hAnsi="Calibri"/>
                <w:b/>
                <w:i w:val="0"/>
                <w:color w:val="212121"/>
                <w:sz w:val="19"/>
              </w:rPr>
              <w:t>HIV /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STI-related epididymitis carries 2–5× the risk of HIV transmission; immunosuppression broadens the pathogen spectrum.</w:t>
            </w:r>
          </w:p>
        </w:tc>
      </w:tr>
      <w:tr>
        <w:trPr>
          <w:cantSplit/>
        </w:trPr>
        <w:tc>
          <w:tcPr>
            <w:tcW w:type="dxa" w:w="2232"/>
            <w:vAlign w:val="top"/>
          </w:tcPr>
          <w:p>
            <w:pPr>
              <w:spacing w:after="40" w:before="0" w:line="259" w:lineRule="auto"/>
            </w:pPr>
            <w:r>
              <w:rPr>
                <w:rFonts w:ascii="Calibri" w:hAnsi="Calibri"/>
                <w:b/>
                <w:i w:val="0"/>
                <w:color w:val="212121"/>
                <w:sz w:val="19"/>
              </w:rPr>
              <w:t>Mumps (viral)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Orchitis develops in 20–25% of post-pubertal males with mumps, typically 4–7 days after parotitis.</w:t>
            </w:r>
          </w:p>
          <w:p>
            <w:pPr>
              <w:spacing w:after="40" w:before="0" w:line="259" w:lineRule="auto"/>
            </w:pPr>
            <w:r>
              <w:rPr>
                <w:rFonts w:ascii="Calibri" w:hAnsi="Calibri"/>
                <w:b/>
                <w:i w:val="0"/>
                <w:color w:val="212121"/>
                <w:sz w:val="19"/>
              </w:rPr>
              <w:t>20–25% of post-pubertal mumps</w:t>
            </w:r>
          </w:p>
        </w:tc>
      </w:tr>
      <w:tr>
        <w:trPr>
          <w:cantSplit/>
        </w:trPr>
        <w:tc>
          <w:tcPr>
            <w:tcW w:type="dxa" w:w="2232"/>
            <w:vAlign w:val="top"/>
          </w:tcPr>
          <w:p>
            <w:pPr>
              <w:spacing w:after="40" w:before="0" w:line="259" w:lineRule="auto"/>
            </w:pPr>
            <w:r>
              <w:rPr>
                <w:rFonts w:ascii="Calibri" w:hAnsi="Calibri"/>
                <w:b/>
                <w:i w:val="0"/>
                <w:color w:val="212121"/>
                <w:sz w:val="19"/>
              </w:rPr>
              <w:t>Male infertility / subfertility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Obstructive azoospermia and testicular atrophy after bilateral or tuberculous disease reduce fertility.</w:t>
            </w:r>
          </w:p>
        </w:tc>
      </w:tr>
      <w:tr>
        <w:trPr>
          <w:cantSplit/>
        </w:trPr>
        <w:tc>
          <w:tcPr>
            <w:tcW w:type="dxa" w:w="2232"/>
            <w:vAlign w:val="top"/>
          </w:tcPr>
          <w:p>
            <w:pPr>
              <w:spacing w:after="40" w:before="0" w:line="259" w:lineRule="auto"/>
            </w:pPr>
            <w:r>
              <w:rPr>
                <w:rFonts w:ascii="Calibri" w:hAnsi="Calibri"/>
                <w:b/>
                <w:i w:val="0"/>
                <w:color w:val="212121"/>
                <w:sz w:val="19"/>
              </w:rPr>
              <w:t>Chronic scrotal pain / orchialgia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subset progress to chronic pain persisting beyond three months, impairing quality of life.</w:t>
            </w:r>
          </w:p>
        </w:tc>
      </w:tr>
      <w:tr>
        <w:trPr>
          <w:cantSplit/>
        </w:trPr>
        <w:tc>
          <w:tcPr>
            <w:tcW w:type="dxa" w:w="2232"/>
            <w:vAlign w:val="top"/>
          </w:tcPr>
          <w:p>
            <w:pPr>
              <w:spacing w:after="40" w:before="0" w:line="259" w:lineRule="auto"/>
            </w:pPr>
            <w:r>
              <w:rPr>
                <w:rFonts w:ascii="Calibri" w:hAnsi="Calibri"/>
                <w:b/>
                <w:i w:val="0"/>
                <w:color w:val="212121"/>
                <w:sz w:val="19"/>
              </w:rPr>
              <w:t>Prostatitis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Prostatic infection and epididymo-orchitis frequently coexist and share ascending urinary and STI organisms.</w:t>
            </w:r>
          </w:p>
        </w:tc>
      </w:tr>
      <w:tr>
        <w:trPr>
          <w:cantSplit/>
        </w:trPr>
        <w:tc>
          <w:tcPr>
            <w:tcW w:type="dxa" w:w="2232"/>
            <w:vAlign w:val="top"/>
          </w:tcPr>
          <w:p>
            <w:pPr>
              <w:spacing w:after="40" w:before="0" w:line="259" w:lineRule="auto"/>
            </w:pPr>
            <w:r>
              <w:rPr>
                <w:rFonts w:ascii="Calibri" w:hAnsi="Calibri"/>
                <w:b/>
                <w:i w:val="0"/>
                <w:color w:val="212121"/>
                <w:sz w:val="19"/>
              </w:rPr>
              <w:t>Testicular torsion (differential)</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critical surgical mimic that must be excluded urgently; misdiagnosis risks testicular loss.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 sex — consistent, correct condom use and limiting new/multiple partners — to prevent chlamydial and gonococcal epididymo-orchitis.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treatment for urethral discharge, dysuria or urinary tract infection, and ensure sexual partners are notified and treated.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 flag' sudden severe scrotal pain and present immediately, because testicular torsion is a time-critical surgical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MMR vaccination to prevent mumps orchitis, a cause of testicular atrophy and subfertility.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tuberculosis-endemic and filariasis-endemic areas, complete anti-TB therapy fully and participate in mass drug administration for filariasis.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over 50 with poor urinary stream should have prostate/bladder outflow assessed to reduce recurrent enteric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young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&gt;50 with LUTS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Non-immune (unvaccinated) males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Residents of TB/filariasis-endemic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Catheterised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episode, rest and use a scrotal support (or supportive underwear) to reduce pain 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lifting, straining and long-distance cycling until the inflammation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Apply the general principle of gradual return to activity once pain and fever resolve, usually over 1–2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uninterrupted sitting and take regular breaks to limit perineal heat and pressure.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epididymo-orchitis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Cyclists and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(about 2–3 litres/day unless medically restricted) to keep urine dilute and reduce urinary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or unpasteurised milk and dairy, especially in livestock-rearing areas, to prevent brucellar epididymo-orchitis.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immunity-supporting diet rich in fruits, vegetables and adequate protein.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through diet in people with diabetes to reduce severe/complicated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Recurrent-UTI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raw-dairy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during acute infection to support immune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routine of about 7–9 hours to support overall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acute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adult 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mucosal immunity and tissue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tobacco-cessation support (counselling, nicotine replacement)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during recovery from an acute episode to aid resolution.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recovering from epididymo-orchitis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and avoid binge drinking, which is linked to unprotected sex and STI acquisition.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taking antibiotics that interact with it (for example nitroimidazoles).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intake to support immune defences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sexually active 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and address the anxiety and distress that accompany genital infection and chronic scrotal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chronic epididymo-orchitis/orchialgia, use a multidisciplinary approach including pain management and, where indicated, neuromodulators.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and reassurance about fertility, and refer for andrology/fertility assessment when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non-judgemental sexual-health counselling to support partner treatment and prevention.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chronic scrotal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worried about 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STI-related cases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Empty the bladder before strenuous exertion or heavy lifting to reduce the chance of urine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well-fitted padded saddle and take breaks on long rides to limit perineal trauma.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Cyclists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mild LUTS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dpi.com/2674-0710/5/1/10" TargetMode="External"/><Relationship Id="rId10" Type="http://schemas.openxmlformats.org/officeDocument/2006/relationships/hyperlink" Target="https://link.springer.com/article/10.1007/s00345-023-04500-1" TargetMode="External"/><Relationship Id="rId11" Type="http://schemas.openxmlformats.org/officeDocument/2006/relationships/hyperlink" Target="https://www.aafp.org/pubs/afp/issues/2016/1101/p723.html" TargetMode="External"/><Relationship Id="rId12" Type="http://schemas.openxmlformats.org/officeDocument/2006/relationships/hyperlink" Target="https://tau.amegroups.org/article/view/13854/html" TargetMode="External"/><Relationship Id="rId13" Type="http://schemas.openxmlformats.org/officeDocument/2006/relationships/hyperlink" Target="https://ncvbdc.mohfw.gov.in/index4.php?lang=1&amp;level=0&amp;linkid=450&amp;lid=3727" TargetMode="External"/><Relationship Id="rId14" Type="http://schemas.openxmlformats.org/officeDocument/2006/relationships/hyperlink" Target="https://patient.info/doctor/general-surgery/epididymo-orchitis-pro" TargetMode="External"/><Relationship Id="rId15" Type="http://schemas.openxmlformats.org/officeDocument/2006/relationships/hyperlink" Target="https://www.ncbi.nlm.nih.gov/books/NBK430814/" TargetMode="External"/><Relationship Id="rId16" Type="http://schemas.openxmlformats.org/officeDocument/2006/relationships/hyperlink" Target="https://www.merckmanuals.com/professional/genitourinary-disorders/penile-and-scrotal-disorders/orch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