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Peyronie's Disease</w:t>
      </w:r>
    </w:p>
    <w:p>
      <w:pPr>
        <w:spacing w:before="0" w:after="160"/>
      </w:pPr>
      <w:r>
        <w:rPr>
          <w:rFonts w:ascii="Calibri" w:hAnsi="Calibri"/>
          <w:b/>
          <w:i w:val="0"/>
          <w:color w:val="212121"/>
          <w:sz w:val="22"/>
        </w:rPr>
        <w:t xml:space="preserve">AKA </w:t>
      </w:r>
      <w:r>
        <w:rPr>
          <w:rFonts w:ascii="Calibri" w:hAnsi="Calibri"/>
          <w:b w:val="0"/>
          <w:i w:val="0"/>
          <w:color w:val="212121"/>
          <w:sz w:val="22"/>
        </w:rPr>
        <w:t>i.e., Penile fibrosis, Induratio penis plastica (IPP), Chronic inflammation of the tunica albuginea (CITA), Bent/curved penis, Penile plaque disease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Peyronie's disease is an acquired, localized fibrotic connective-tissue disorder of the penis in which a scar or plaque of disorganized collagen forms within the tunica albuginea of the corpora cavernosa. This inelastic plaque prevents the affected segment from expanding during erection, producing penile curvature, deformity (indentation, hourglass or hinge), penile shortening, painful erections and, frequently, erectile dysfunction. It typically evolves through an early active (inflammatory) phase followed by a chronic (stable) phase in which the deformity becomes fixed. It is distinct from congenital penile curvature, which is present from puberty and has no plaque.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Peyronie's disease is common but heavily under-reported. Best clinical estimates place prevalence at about 3-9% of adult men (StatPearls cites 9-10%, with true prevalence possibly up to 18% after adjusting for under-reporting), yet self-reported 'probable' rates (~11%) dwarf clinically confirmed rates (~0.7%). There is no robust nationwide Indian survey, and stigma around sexual health leads to substantial under-diagnosis in India. However, India carries an exceptionally large at-risk pool: the ICMR-INDIAB-17 national study estimated ~101 million adults (11.4%) with diabetes, and up to ~62% of Indian type-2-diabetic men have erectile dysfunction - and diabetic men with ED are 4-5 times more likely to develop Peyronie's disease.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Peyronie's disease is a clinical diagnosis based on a characteristic history and physical examination; no laboratory test is diagnostic. Assessment is directed at confirming the plaque, objectively grading the deformity, determining the disease phase and identifying comorbidity: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History of an acquired penile deformity that develops over weeks to months - curvature, a palpable lump, penile shortening, painful erections and/or new difficulty with penetration or erectile function;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Palpation of the flaccid penis revealing a discrete, firm plaque or nodule (most often on the dorsal aspect) along the tunica albuginea, with documentation of stretched penile length;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Objective assessment of curvature on the erect penis - ideally after an in-office intracavernosal vasoactive injection (ICI) with goniometer/protractor measurement, or via a standardized home photograph, because more than half of men over-estimate their own curvature;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Penile colour Doppler duplex ultrasound to detect non-palpable plaques and calcification and to assess cavernosal arterial inflow and veno-occlusive function - recommended before any invasive intervention;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Determination of disease phase: active/acute (painful erections, evolving curvature, progression over the preceding months) versus chronic/stable (no progression for &gt;=3 months, pain resolved, plaque often calcified);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Selective, targeted investigations only where indicated - fasting glucose/HbA1c, lipid profile and a morning total testosterone when diabetes, metabolic syndrome or hypogonadism is suspected.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Peyronie's disease is classified by clinical phase, by etiology and by deformity severity:</w:t>
      </w:r>
    </w:p>
    <w:p>
      <w:pPr>
        <w:spacing w:before="0" w:after="80"/>
      </w:pPr>
      <w:r>
        <w:rPr>
          <w:rFonts w:ascii="Calibri" w:hAnsi="Calibri"/>
          <w:b w:val="0"/>
          <w:i w:val="0"/>
          <w:color w:val="212121"/>
          <w:sz w:val="21"/>
        </w:rPr>
        <w:t>(1) Active (acute/inflammatory) phase - the first roughly 6-18 months, characterized by ongoing inflammation, painful erections, a tender evolving plaque and progressive curvature; the deformity is not yet stable and this is the window in which medical therapy aims to limit progression;</w:t>
      </w:r>
    </w:p>
    <w:p>
      <w:pPr>
        <w:spacing w:before="0" w:after="80"/>
      </w:pPr>
      <w:r>
        <w:rPr>
          <w:rFonts w:ascii="Calibri" w:hAnsi="Calibri"/>
          <w:b w:val="0"/>
          <w:i w:val="0"/>
          <w:color w:val="212121"/>
          <w:sz w:val="21"/>
        </w:rPr>
        <w:t>(2) Chronic (stable) phase - the plaque has matured and may be calcified, pain has resolved and the curvature has been stable for at least 3 months; the deformity is fixed and, if functionally limiting, is amenable to surgical correction;</w:t>
      </w:r>
    </w:p>
    <w:p>
      <w:pPr>
        <w:spacing w:before="0" w:after="80"/>
      </w:pPr>
      <w:r>
        <w:rPr>
          <w:rFonts w:ascii="Calibri" w:hAnsi="Calibri"/>
          <w:b w:val="0"/>
          <w:i w:val="0"/>
          <w:color w:val="212121"/>
          <w:sz w:val="21"/>
        </w:rPr>
        <w:t>(3) Etiological types - acquired Peyronie's disease (the classic form driven by repetitive tunical microtrauma and aberrant wound healing), iatrogenic/post-surgical disease (e.g. after radical prostatectomy or instrumentation), as distinct from congenital penile curvature (present from puberty, no plaque);</w:t>
      </w:r>
    </w:p>
    <w:p>
      <w:pPr>
        <w:spacing w:before="0" w:after="80"/>
      </w:pPr>
      <w:r>
        <w:rPr>
          <w:rFonts w:ascii="Calibri" w:hAnsi="Calibri"/>
          <w:b w:val="0"/>
          <w:i w:val="0"/>
          <w:color w:val="212121"/>
          <w:sz w:val="21"/>
        </w:rPr>
        <w:t>(4) Severity/deformity grade - mild (curvature &lt;30 degrees, functionally straight), moderate (30-60 degrees), and severe (&gt;60 degrees and/or complex hourglass, hinge, indentation or destabilizing deformities that preclude penetration), often supplemented by plaque calcification grading on ultrasound.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Repetitive penile microtrauma: Repeated minor buckling or bending injury to the erect penis (during intercourse or sport) causes microtears of the tunica albuginea with blood and fibrin extravasation - the leading proposed trigger; abnormal fibrin is found in ~95% of Peyronie plaques and none in controls.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Aberrant wound healing and fibrosis: Failure to clear fibrin from the poorly vascular tunica drives sustained TGF-beta1, PAI-1, PDGF and IL-1/IL-6 signalling, myofibroblast proliferation and deposition of disorganized type I and type III collagen, forming an inelastic plaque instead of normal healing.</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Genetic predisposition: Familial clustering (up to ~4% of first-degree relatives), an HLA-B7 association and a shared fibromatosis diathesis with Dupuytren's contracture and Ledderhose (plantar) disease.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Diabetes mellitus and vasculopathy: Impaired microvascular wound healing and reduced tunical elasticity; diabetic men with erectile dysfunction are 4-5 times more likely to develop Peyronie's disease.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Erectile dysfunction: Poorly rigid erections increase tunical buckling and shear stress during intercourse, promoting the microtrauma that initiates plaque formation - a bidirectional relationship.</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Iatrogenic and urological injury: Radical prostatectomy (Peyronie's disease in ~16% of patients), transurethral surgery, cystoscopy and urethral catheterization.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Hypogonadism and other risk factors: Low serum testosterone, hyperlipidemia, hypertension, smoking, obesity and advancing age.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Middle-aged adults (40-59 years)</w:t>
            </w:r>
          </w:p>
        </w:tc>
        <w:tc>
          <w:tcPr>
            <w:tcW w:type="dxa" w:w="4276"/>
            <w:vAlign w:val="top"/>
          </w:tcPr>
          <w:p>
            <w:pPr>
              <w:spacing w:after="60" w:line="259" w:lineRule="auto"/>
            </w:pPr>
            <w:r>
              <w:rPr>
                <w:rFonts w:ascii="Calibri" w:hAnsi="Calibri"/>
                <w:b w:val="0"/>
                <w:i w:val="0"/>
                <w:color w:val="212121"/>
                <w:sz w:val="19"/>
              </w:rPr>
              <w:t>Peak incidence occurs in the fifth and sixth decades, when cumulative tunical microtrauma, declining tissue elasticity and rising metabolic/vascular disease converge. The plaque forms as an aberrant fibrotic scar in the tunica albuginea after repeated minor injury.</w:t>
            </w:r>
          </w:p>
          <w:p>
            <w:pPr>
              <w:spacing w:after="40" w:before="60" w:line="259" w:lineRule="auto"/>
            </w:pPr>
            <w:r>
              <w:rPr>
                <w:rFonts w:ascii="Calibri" w:hAnsi="Calibri"/>
                <w:b w:val="0"/>
                <w:i w:val="0"/>
                <w:color w:val="212121"/>
                <w:sz w:val="19"/>
              </w:rPr>
              <w:t>In a series of 564 men, the mean age at presentation was 49.5 years, with the majority (75.7%) over 40 and peak incidence in the 50-59 age group.</w:t>
            </w:r>
          </w:p>
          <w:p>
            <w:pPr>
              <w:spacing w:after="40" w:line="252" w:lineRule="auto"/>
            </w:pPr>
            <w:hyperlink r:id="rId9">
              <w:r>
                <w:rPr>
                  <w:rFonts w:ascii="Calibri" w:hAnsi="Calibri" w:cs="Calibri"/>
                  <w:sz w:val="18"/>
                  <w:color w:val="1155CC"/>
                  <w:u w:val="single"/>
                </w:rPr>
                <w:t xml:space="preserve">mdpi.com/2075-4418/14/11/1125 - clinical presentation of 564 PD cases</w:t>
              </w:r>
            </w:hyperlink>
          </w:p>
          <w:p>
            <w:pPr>
              <w:spacing w:before="60" w:after="40"/>
            </w:pPr>
            <w:r>
              <w:rPr>
                <w:rFonts w:ascii="Calibri" w:hAnsi="Calibri"/>
                <w:b w:val="0"/>
                <w:i w:val="0"/>
                <w:color w:val="5A5A5A"/>
                <w:sz w:val="18"/>
              </w:rPr>
              <w:t>#peyronies  #penilefibrosis  #middleage  #tunicaalbuginea  #plaque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years)</w:t>
            </w:r>
          </w:p>
        </w:tc>
        <w:tc>
          <w:tcPr>
            <w:tcW w:type="dxa" w:w="4276"/>
            <w:vAlign w:val="top"/>
          </w:tcPr>
          <w:p>
            <w:pPr>
              <w:spacing w:after="60" w:line="259" w:lineRule="auto"/>
            </w:pPr>
            <w:r>
              <w:rPr>
                <w:rFonts w:ascii="Calibri" w:hAnsi="Calibri"/>
                <w:b w:val="0"/>
                <w:i w:val="0"/>
                <w:color w:val="212121"/>
                <w:sz w:val="19"/>
              </w:rPr>
              <w:t>Prevalence of palpable penile plaque continues to rise with age as tissue repair capacity falls and comorbid vascular disease, diabetes and hypogonadism accumulate.</w:t>
            </w:r>
          </w:p>
          <w:p>
            <w:pPr>
              <w:spacing w:after="40" w:before="60" w:line="259" w:lineRule="auto"/>
            </w:pPr>
            <w:r>
              <w:rPr>
                <w:rFonts w:ascii="Calibri" w:hAnsi="Calibri"/>
                <w:b w:val="0"/>
                <w:i w:val="0"/>
                <w:color w:val="212121"/>
                <w:sz w:val="19"/>
              </w:rPr>
              <w:t>Palpable-plaque prevalence rises with age from ~1.5% at 30-39 years to a maximum of ~6.5% in men aged 70 and over.</w:t>
            </w:r>
          </w:p>
          <w:p>
            <w:pPr>
              <w:spacing w:after="40" w:line="252" w:lineRule="auto"/>
            </w:pPr>
            <w:hyperlink r:id="rId10">
              <w:r>
                <w:rPr>
                  <w:rFonts w:ascii="Calibri" w:hAnsi="Calibri" w:cs="Calibri"/>
                  <w:sz w:val="18"/>
                  <w:color w:val="1155CC"/>
                  <w:u w:val="single"/>
                </w:rPr>
                <w:t xml:space="preserve">tau.amegroups.org - PD epidemiology review</w:t>
              </w:r>
            </w:hyperlink>
          </w:p>
          <w:p>
            <w:pPr>
              <w:spacing w:before="60" w:after="40"/>
            </w:pPr>
            <w:r>
              <w:rPr>
                <w:rFonts w:ascii="Calibri" w:hAnsi="Calibri"/>
                <w:b w:val="0"/>
                <w:i w:val="0"/>
                <w:color w:val="5A5A5A"/>
                <w:sz w:val="18"/>
              </w:rPr>
              <w:t>#ageing  #penileplaque  #vasculardisease  #hypogonadism</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Younger adults (&lt;40 years)</w:t>
            </w:r>
          </w:p>
        </w:tc>
        <w:tc>
          <w:tcPr>
            <w:tcW w:type="dxa" w:w="4276"/>
            <w:vAlign w:val="top"/>
          </w:tcPr>
          <w:p>
            <w:pPr>
              <w:spacing w:after="60" w:line="259" w:lineRule="auto"/>
            </w:pPr>
            <w:r>
              <w:rPr>
                <w:rFonts w:ascii="Calibri" w:hAnsi="Calibri"/>
                <w:b w:val="0"/>
                <w:i w:val="0"/>
                <w:color w:val="212121"/>
                <w:sz w:val="19"/>
              </w:rPr>
              <w:t>A substantial minority present young; these men tend to have a heavier plaque burden and worse glycaemic profiles, suggesting a more aggressive fibrogenic diathesis.</w:t>
            </w:r>
          </w:p>
          <w:p>
            <w:pPr>
              <w:spacing w:after="40" w:before="60" w:line="259" w:lineRule="auto"/>
            </w:pPr>
            <w:r>
              <w:rPr>
                <w:rFonts w:ascii="Calibri" w:hAnsi="Calibri"/>
                <w:b w:val="0"/>
                <w:i w:val="0"/>
                <w:color w:val="212121"/>
                <w:sz w:val="19"/>
              </w:rPr>
              <w:t>About 24% of Peyronie's cases present at 40 years or younger; younger patients tend to have more plaques and higher HbA1c levels.</w:t>
            </w:r>
          </w:p>
          <w:p>
            <w:pPr>
              <w:spacing w:after="40" w:line="252" w:lineRule="auto"/>
            </w:pPr>
            <w:hyperlink r:id="rId9">
              <w:r>
                <w:rPr>
                  <w:rFonts w:ascii="Calibri" w:hAnsi="Calibri" w:cs="Calibri"/>
                  <w:sz w:val="18"/>
                  <w:color w:val="1155CC"/>
                  <w:u w:val="single"/>
                </w:rPr>
                <w:t xml:space="preserve">mdpi.com/2075-4418/14/11/1125 - PD in younger men</w:t>
              </w:r>
            </w:hyperlink>
          </w:p>
          <w:p>
            <w:pPr>
              <w:spacing w:before="60" w:after="40"/>
            </w:pPr>
            <w:r>
              <w:rPr>
                <w:rFonts w:ascii="Calibri" w:hAnsi="Calibri"/>
                <w:b w:val="0"/>
                <w:i w:val="0"/>
                <w:color w:val="5A5A5A"/>
                <w:sz w:val="18"/>
              </w:rPr>
              <w:t>#youngmen  #aggressivephenotype  #hba1c  #plaqueburden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(exclusive)</w:t>
            </w:r>
          </w:p>
        </w:tc>
        <w:tc>
          <w:tcPr>
            <w:tcW w:type="dxa" w:w="4276"/>
            <w:vAlign w:val="top"/>
          </w:tcPr>
          <w:p>
            <w:pPr>
              <w:spacing w:after="60" w:line="259" w:lineRule="auto"/>
            </w:pPr>
            <w:r>
              <w:rPr>
                <w:rFonts w:ascii="Calibri" w:hAnsi="Calibri"/>
                <w:b w:val="0"/>
                <w:i w:val="0"/>
                <w:color w:val="212121"/>
                <w:sz w:val="19"/>
              </w:rPr>
              <w:t>Peyronie's disease affects only men, as the target tissue is the tunica albuginea surrounding the penile corpora cavernosa; it is one of the most common acquired penile disorders in adult men.</w:t>
            </w:r>
          </w:p>
          <w:p>
            <w:pPr>
              <w:spacing w:after="40" w:before="60" w:line="259" w:lineRule="auto"/>
            </w:pPr>
            <w:r>
              <w:rPr>
                <w:rFonts w:ascii="Calibri" w:hAnsi="Calibri"/>
                <w:b w:val="0"/>
                <w:i w:val="0"/>
                <w:color w:val="212121"/>
                <w:sz w:val="19"/>
              </w:rPr>
              <w:t>Peyronie's disease occurs almost exclusively in adult men; best overall estimates place prevalence at about 9-10% of adult males.</w:t>
            </w:r>
          </w:p>
          <w:p>
            <w:pPr>
              <w:spacing w:after="40" w:line="252" w:lineRule="auto"/>
            </w:pPr>
            <w:hyperlink r:id="rId11">
              <w:r>
                <w:rPr>
                  <w:rFonts w:ascii="Calibri" w:hAnsi="Calibri" w:cs="Calibri"/>
                  <w:sz w:val="18"/>
                  <w:color w:val="1155CC"/>
                  <w:u w:val="single"/>
                </w:rPr>
                <w:t xml:space="preserve">ncbi.nlm.nih.gov - StatPearls Peyronie Disease</w:t>
              </w:r>
            </w:hyperlink>
          </w:p>
          <w:p>
            <w:pPr>
              <w:spacing w:before="60" w:after="40"/>
            </w:pPr>
            <w:r>
              <w:rPr>
                <w:rFonts w:ascii="Calibri" w:hAnsi="Calibri"/>
                <w:b w:val="0"/>
                <w:i w:val="0"/>
                <w:color w:val="5A5A5A"/>
                <w:sz w:val="18"/>
              </w:rPr>
              <w:t>#malehealth  #andrology  #penilehealth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Men who avoid care due to stigma</w:t>
            </w:r>
          </w:p>
        </w:tc>
        <w:tc>
          <w:tcPr>
            <w:tcW w:type="dxa" w:w="4276"/>
            <w:vAlign w:val="top"/>
          </w:tcPr>
          <w:p>
            <w:pPr>
              <w:spacing w:after="60" w:line="259" w:lineRule="auto"/>
            </w:pPr>
            <w:r>
              <w:rPr>
                <w:rFonts w:ascii="Calibri" w:hAnsi="Calibri"/>
                <w:b w:val="0"/>
                <w:i w:val="0"/>
                <w:color w:val="212121"/>
                <w:sz w:val="19"/>
              </w:rPr>
              <w:t>Sexual-health stigma, embarrassment and low awareness lead many men to delay or avoid urological assessment, so recorded prevalence badly understates the true burden - a particular issue in conservative social settings including much of India.</w:t>
            </w:r>
          </w:p>
          <w:p>
            <w:pPr>
              <w:spacing w:after="40" w:before="60" w:line="259" w:lineRule="auto"/>
            </w:pPr>
            <w:r>
              <w:rPr>
                <w:rFonts w:ascii="Calibri" w:hAnsi="Calibri"/>
                <w:b w:val="0"/>
                <w:i w:val="0"/>
                <w:color w:val="212121"/>
                <w:sz w:val="19"/>
              </w:rPr>
              <w:t>Self-reported 'probable' Peyronie's disease (~11%) far exceeds clinically confirmed rates (~0.7%), reflecting large-scale under-diagnosis and delayed presentation.</w:t>
            </w:r>
          </w:p>
          <w:p>
            <w:pPr>
              <w:spacing w:after="40" w:line="252" w:lineRule="auto"/>
            </w:pPr>
            <w:hyperlink r:id="rId12">
              <w:r>
                <w:rPr>
                  <w:rFonts w:ascii="Calibri" w:hAnsi="Calibri" w:cs="Calibri"/>
                  <w:sz w:val="18"/>
                  <w:color w:val="1155CC"/>
                  <w:u w:val="single"/>
                </w:rPr>
                <w:t xml:space="preserve">frontiersin.org - global perspective on PD management</w:t>
              </w:r>
            </w:hyperlink>
          </w:p>
          <w:p>
            <w:pPr>
              <w:spacing w:before="60" w:after="40"/>
            </w:pPr>
            <w:r>
              <w:rPr>
                <w:rFonts w:ascii="Calibri" w:hAnsi="Calibri"/>
                <w:b w:val="0"/>
                <w:i w:val="0"/>
                <w:color w:val="5A5A5A"/>
                <w:sz w:val="18"/>
              </w:rPr>
              <w:t>#stigma  #underdiagnosis  #delayedcare  #sexualhealth</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White / Northern-European ancestry</w:t>
            </w:r>
          </w:p>
        </w:tc>
        <w:tc>
          <w:tcPr>
            <w:tcW w:type="dxa" w:w="4276"/>
            <w:vAlign w:val="top"/>
          </w:tcPr>
          <w:p>
            <w:pPr>
              <w:spacing w:after="60" w:line="259" w:lineRule="auto"/>
            </w:pPr>
            <w:r>
              <w:rPr>
                <w:rFonts w:ascii="Calibri" w:hAnsi="Calibri"/>
                <w:b w:val="0"/>
                <w:i w:val="0"/>
                <w:color w:val="212121"/>
                <w:sz w:val="19"/>
              </w:rPr>
              <w:t>The highest incidence is reported in men of white/Northern-European descent, consistent with the shared genetic fibromatosis diathesis (Dupuytren's disease), though ascertainment bias inflates this figure.</w:t>
            </w:r>
          </w:p>
          <w:p>
            <w:pPr>
              <w:spacing w:after="40" w:before="60" w:line="259" w:lineRule="auto"/>
            </w:pPr>
            <w:r>
              <w:rPr>
                <w:rFonts w:ascii="Calibri" w:hAnsi="Calibri"/>
                <w:b w:val="0"/>
                <w:i w:val="0"/>
                <w:color w:val="212121"/>
                <w:sz w:val="19"/>
              </w:rPr>
              <w:t>White men have the highest reported incidence of Peyronie's disease, partly reflecting better data collection and healthcare-seeking.</w:t>
            </w:r>
          </w:p>
          <w:p>
            <w:pPr>
              <w:spacing w:after="40" w:line="252" w:lineRule="auto"/>
            </w:pPr>
            <w:hyperlink r:id="rId11">
              <w:r>
                <w:rPr>
                  <w:rFonts w:ascii="Calibri" w:hAnsi="Calibri" w:cs="Calibri"/>
                  <w:sz w:val="18"/>
                  <w:color w:val="1155CC"/>
                  <w:u w:val="single"/>
                </w:rPr>
                <w:t xml:space="preserve">ncbi.nlm.nih.gov - StatPearls Peyronie Disease</w:t>
              </w:r>
            </w:hyperlink>
          </w:p>
          <w:p>
            <w:pPr>
              <w:spacing w:before="60" w:after="40"/>
            </w:pPr>
            <w:r>
              <w:rPr>
                <w:rFonts w:ascii="Calibri" w:hAnsi="Calibri"/>
                <w:b w:val="0"/>
                <w:i w:val="0"/>
                <w:color w:val="5A5A5A"/>
                <w:sz w:val="18"/>
              </w:rPr>
              <w:t>#ethnicity  #fibromatosis  #ascertainmentbias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(India)</w:t>
            </w:r>
          </w:p>
        </w:tc>
        <w:tc>
          <w:tcPr>
            <w:tcW w:type="dxa" w:w="2160"/>
            <w:vAlign w:val="top"/>
          </w:tcPr>
          <w:p>
            <w:pPr>
              <w:spacing w:after="40" w:before="0" w:line="259" w:lineRule="auto"/>
            </w:pPr>
            <w:r>
              <w:rPr>
                <w:rFonts w:ascii="Calibri" w:hAnsi="Calibri"/>
                <w:b w:val="0"/>
                <w:i w:val="0"/>
                <w:color w:val="212121"/>
                <w:sz w:val="19"/>
              </w:rPr>
              <w:t>Indian men with high diabetes burden</w:t>
            </w:r>
          </w:p>
        </w:tc>
        <w:tc>
          <w:tcPr>
            <w:tcW w:type="dxa" w:w="4276"/>
            <w:vAlign w:val="top"/>
          </w:tcPr>
          <w:p>
            <w:pPr>
              <w:spacing w:after="60" w:line="259" w:lineRule="auto"/>
            </w:pPr>
            <w:r>
              <w:rPr>
                <w:rFonts w:ascii="Calibri" w:hAnsi="Calibri"/>
                <w:b w:val="0"/>
                <w:i w:val="0"/>
                <w:color w:val="212121"/>
                <w:sz w:val="19"/>
              </w:rPr>
              <w:t>India's very large and rising diabetes burden translates directly into Peyronie's risk, because diabetic microvasculopathy impairs tunical healing and diabetes-related erectile dysfunction promotes the buckling microtrauma that initiates plaques.</w:t>
            </w:r>
          </w:p>
          <w:p>
            <w:pPr>
              <w:spacing w:after="40" w:before="60" w:line="259" w:lineRule="auto"/>
            </w:pPr>
            <w:r>
              <w:rPr>
                <w:rFonts w:ascii="Calibri" w:hAnsi="Calibri"/>
                <w:b w:val="0"/>
                <w:i w:val="0"/>
                <w:color w:val="212121"/>
                <w:sz w:val="19"/>
              </w:rPr>
              <w:t>The ICMR-INDIAB-17 national study estimated ~101 million Indian adults (11.4%) living with diabetes - a large pool at elevated Peyronie's risk via diabetic erectile dysfunction.</w:t>
            </w:r>
          </w:p>
          <w:p>
            <w:pPr>
              <w:spacing w:after="40" w:line="252" w:lineRule="auto"/>
            </w:pPr>
            <w:hyperlink r:id="rId13">
              <w:r>
                <w:rPr>
                  <w:rFonts w:ascii="Calibri" w:hAnsi="Calibri" w:cs="Calibri"/>
                  <w:sz w:val="18"/>
                  <w:color w:val="1155CC"/>
                  <w:u w:val="single"/>
                </w:rPr>
                <w:t xml:space="preserve">thelancet.com - ICMR-INDIAB-17 national diabetes study</w:t>
              </w:r>
            </w:hyperlink>
          </w:p>
          <w:p>
            <w:pPr>
              <w:spacing w:before="60" w:after="40"/>
            </w:pPr>
            <w:r>
              <w:rPr>
                <w:rFonts w:ascii="Calibri" w:hAnsi="Calibri"/>
                <w:b w:val="0"/>
                <w:i w:val="0"/>
                <w:color w:val="5A5A5A"/>
                <w:sz w:val="18"/>
              </w:rPr>
              <w:t>#india  #icmrindiab  #diabetesepidemic  #indiafirst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Overweight / Obese, sedentary</w:t>
            </w:r>
          </w:p>
        </w:tc>
        <w:tc>
          <w:tcPr>
            <w:tcW w:type="dxa" w:w="2160"/>
            <w:vAlign w:val="top"/>
          </w:tcPr>
          <w:p>
            <w:pPr>
              <w:spacing w:after="40" w:before="0" w:line="259" w:lineRule="auto"/>
            </w:pPr>
            <w:r>
              <w:rPr>
                <w:rFonts w:ascii="Calibri" w:hAnsi="Calibri"/>
                <w:b w:val="0"/>
                <w:i w:val="0"/>
                <w:color w:val="212121"/>
                <w:sz w:val="19"/>
              </w:rPr>
              <w:t>Obese and metabolically unhealthy men</w:t>
            </w:r>
          </w:p>
        </w:tc>
        <w:tc>
          <w:tcPr>
            <w:tcW w:type="dxa" w:w="4276"/>
            <w:vAlign w:val="top"/>
          </w:tcPr>
          <w:p>
            <w:pPr>
              <w:spacing w:after="60" w:line="259" w:lineRule="auto"/>
            </w:pPr>
            <w:r>
              <w:rPr>
                <w:rFonts w:ascii="Calibri" w:hAnsi="Calibri"/>
                <w:b w:val="0"/>
                <w:i w:val="0"/>
                <w:color w:val="212121"/>
                <w:sz w:val="19"/>
              </w:rPr>
              <w:t>Central obesity and physical inactivity cluster with diabetes, dyslipidemia and endothelial dysfunction, all of which impair tunical wound healing and erectile rigidity and thereby raise Peyronie's risk.</w:t>
            </w:r>
          </w:p>
          <w:p>
            <w:pPr>
              <w:spacing w:after="40" w:before="60" w:line="259" w:lineRule="auto"/>
            </w:pPr>
            <w:r>
              <w:rPr>
                <w:rFonts w:ascii="Calibri" w:hAnsi="Calibri"/>
                <w:b w:val="0"/>
                <w:i w:val="0"/>
                <w:color w:val="212121"/>
                <w:sz w:val="19"/>
              </w:rPr>
              <w:t>Obesity was present in ~27% of men diagnosed with Peyronie's disease in a urological-care cohort.</w:t>
            </w:r>
          </w:p>
          <w:p>
            <w:pPr>
              <w:spacing w:after="40" w:line="252" w:lineRule="auto"/>
            </w:pPr>
            <w:hyperlink r:id="rId14">
              <w:r>
                <w:rPr>
                  <w:rFonts w:ascii="Calibri" w:hAnsi="Calibri" w:cs="Calibri"/>
                  <w:sz w:val="18"/>
                  <w:color w:val="1155CC"/>
                  <w:u w:val="single"/>
                </w:rPr>
                <w:t xml:space="preserve">academic.oup.com - PD prevalence &amp; risk factors in urological care</w:t>
              </w:r>
            </w:hyperlink>
          </w:p>
          <w:p>
            <w:pPr>
              <w:spacing w:before="60" w:after="40"/>
            </w:pPr>
            <w:r>
              <w:rPr>
                <w:rFonts w:ascii="Calibri" w:hAnsi="Calibri"/>
                <w:b w:val="0"/>
                <w:i w:val="0"/>
                <w:color w:val="5A5A5A"/>
                <w:sz w:val="18"/>
              </w:rPr>
              <w:t>#obesity  #sedentary  #metabolicsyndrome  #endothelial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and former smokers</w:t>
            </w:r>
          </w:p>
        </w:tc>
        <w:tc>
          <w:tcPr>
            <w:tcW w:type="dxa" w:w="4276"/>
            <w:vAlign w:val="top"/>
          </w:tcPr>
          <w:p>
            <w:pPr>
              <w:spacing w:after="60" w:line="259" w:lineRule="auto"/>
            </w:pPr>
            <w:r>
              <w:rPr>
                <w:rFonts w:ascii="Calibri" w:hAnsi="Calibri"/>
                <w:b w:val="0"/>
                <w:i w:val="0"/>
                <w:color w:val="212121"/>
                <w:sz w:val="19"/>
              </w:rPr>
              <w:t>Tobacco causes endothelial injury and impairs microvascular wound healing, plausibly favouring aberrant tunical fibrosis; the association is consistent though evidence is not uniform.</w:t>
            </w:r>
          </w:p>
          <w:p>
            <w:pPr>
              <w:spacing w:after="40" w:before="60" w:line="259" w:lineRule="auto"/>
            </w:pPr>
            <w:r>
              <w:rPr>
                <w:rFonts w:ascii="Calibri" w:hAnsi="Calibri"/>
                <w:b w:val="0"/>
                <w:i w:val="0"/>
                <w:color w:val="212121"/>
                <w:sz w:val="19"/>
              </w:rPr>
              <w:t>Up to ~65% of men with Peyronie's disease were current or former smokers (current-smoker prevalence ratio 1.81; ex-smoker 1.93).</w:t>
            </w:r>
          </w:p>
          <w:p>
            <w:pPr>
              <w:spacing w:after="40" w:line="252" w:lineRule="auto"/>
            </w:pPr>
            <w:hyperlink r:id="rId14">
              <w:r>
                <w:rPr>
                  <w:rFonts w:ascii="Calibri" w:hAnsi="Calibri" w:cs="Calibri"/>
                  <w:sz w:val="18"/>
                  <w:color w:val="1155CC"/>
                  <w:u w:val="single"/>
                </w:rPr>
                <w:t xml:space="preserve">academic.oup.com - PD risk factors (smoking)</w:t>
              </w:r>
            </w:hyperlink>
          </w:p>
          <w:p>
            <w:pPr>
              <w:spacing w:before="60" w:after="40"/>
            </w:pPr>
            <w:r>
              <w:rPr>
                <w:rFonts w:ascii="Calibri" w:hAnsi="Calibri"/>
                <w:b w:val="0"/>
                <w:i w:val="0"/>
                <w:color w:val="5A5A5A"/>
                <w:sz w:val="18"/>
              </w:rPr>
              <w:t>#smoking  #tobacco  #endothelialinjury  #woundhealing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alcohol users</w:t>
            </w:r>
          </w:p>
        </w:tc>
        <w:tc>
          <w:tcPr>
            <w:tcW w:type="dxa" w:w="4276"/>
            <w:vAlign w:val="top"/>
          </w:tcPr>
          <w:p>
            <w:pPr>
              <w:spacing w:after="60" w:line="259" w:lineRule="auto"/>
            </w:pPr>
            <w:r>
              <w:rPr>
                <w:rFonts w:ascii="Calibri" w:hAnsi="Calibri"/>
                <w:b w:val="0"/>
                <w:i w:val="0"/>
                <w:color w:val="212121"/>
                <w:sz w:val="19"/>
              </w:rPr>
              <w:t>Alcohol abuse is listed among the classic Peyronie's risk factors and worsens erectile function and tissue repair, although the direct association is inconsistent across studies.</w:t>
            </w:r>
          </w:p>
          <w:p>
            <w:pPr>
              <w:spacing w:after="40" w:before="60" w:line="259" w:lineRule="auto"/>
            </w:pPr>
            <w:r>
              <w:rPr>
                <w:rFonts w:ascii="Calibri" w:hAnsi="Calibri"/>
                <w:b w:val="0"/>
                <w:i w:val="0"/>
                <w:color w:val="212121"/>
                <w:sz w:val="19"/>
              </w:rPr>
              <w:t>Alcohol abuse is cited among Peyronie's risk factors alongside hypertension, diabetes, hyperlipidemia and smoking (Bjekic et al.).</w:t>
            </w:r>
          </w:p>
          <w:p>
            <w:pPr>
              <w:spacing w:after="40" w:line="252" w:lineRule="auto"/>
            </w:pPr>
            <w:hyperlink r:id="rId10">
              <w:r>
                <w:rPr>
                  <w:rFonts w:ascii="Calibri" w:hAnsi="Calibri" w:cs="Calibri"/>
                  <w:sz w:val="18"/>
                  <w:color w:val="1155CC"/>
                  <w:u w:val="single"/>
                </w:rPr>
                <w:t xml:space="preserve">tau.amegroups.org - PD risk-factor review</w:t>
              </w:r>
            </w:hyperlink>
          </w:p>
          <w:p>
            <w:pPr>
              <w:spacing w:before="60" w:after="40"/>
            </w:pPr>
            <w:r>
              <w:rPr>
                <w:rFonts w:ascii="Calibri" w:hAnsi="Calibri"/>
                <w:b w:val="0"/>
                <w:i w:val="0"/>
                <w:color w:val="5A5A5A"/>
                <w:sz w:val="18"/>
              </w:rPr>
              <w:t>#alcohol  #riskfactor  #erectilefunction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Repetitive penile microtrauma</w:t>
            </w:r>
          </w:p>
        </w:tc>
        <w:tc>
          <w:tcPr>
            <w:tcW w:type="dxa" w:w="2160"/>
            <w:vAlign w:val="top"/>
          </w:tcPr>
          <w:p>
            <w:pPr>
              <w:spacing w:after="40" w:before="0" w:line="259" w:lineRule="auto"/>
            </w:pPr>
            <w:r>
              <w:rPr>
                <w:rFonts w:ascii="Calibri" w:hAnsi="Calibri"/>
                <w:b w:val="0"/>
                <w:i w:val="0"/>
                <w:color w:val="212121"/>
                <w:sz w:val="19"/>
              </w:rPr>
              <w:t>Vigorous sexual activity, cyclists, athletes</w:t>
            </w:r>
          </w:p>
        </w:tc>
        <w:tc>
          <w:tcPr>
            <w:tcW w:type="dxa" w:w="4276"/>
            <w:vAlign w:val="top"/>
          </w:tcPr>
          <w:p>
            <w:pPr>
              <w:spacing w:after="60" w:line="259" w:lineRule="auto"/>
            </w:pPr>
            <w:r>
              <w:rPr>
                <w:rFonts w:ascii="Calibri" w:hAnsi="Calibri"/>
                <w:b w:val="0"/>
                <w:i w:val="0"/>
                <w:color w:val="212121"/>
                <w:sz w:val="19"/>
              </w:rPr>
              <w:t>Repeated minor buckling or bending of the erect penis during intercourse or sport is the leading mechanistic trigger, seeding fibrin deposition and an aberrant healing cascade in the tunica albuginea.</w:t>
            </w:r>
          </w:p>
          <w:p>
            <w:pPr>
              <w:spacing w:after="40" w:before="60" w:line="259" w:lineRule="auto"/>
            </w:pPr>
            <w:r>
              <w:rPr>
                <w:rFonts w:ascii="Calibri" w:hAnsi="Calibri"/>
                <w:b w:val="0"/>
                <w:i w:val="0"/>
                <w:color w:val="212121"/>
                <w:sz w:val="19"/>
              </w:rPr>
              <w:t>Repetitive microtrauma is the leading proposed mechanism; abnormal fibrin is found in ~95% of Peyronie plaques and in none of the control samples.</w:t>
            </w:r>
          </w:p>
          <w:p>
            <w:pPr>
              <w:spacing w:after="40" w:line="252" w:lineRule="auto"/>
            </w:pPr>
            <w:hyperlink r:id="rId11">
              <w:r>
                <w:rPr>
                  <w:rFonts w:ascii="Calibri" w:hAnsi="Calibri" w:cs="Calibri"/>
                  <w:sz w:val="18"/>
                  <w:color w:val="1155CC"/>
                  <w:u w:val="single"/>
                </w:rPr>
                <w:t xml:space="preserve">ncbi.nlm.nih.gov - StatPearls (microtrauma &amp; fibrin)</w:t>
              </w:r>
            </w:hyperlink>
          </w:p>
          <w:p>
            <w:pPr>
              <w:spacing w:before="60" w:after="40"/>
            </w:pPr>
            <w:r>
              <w:rPr>
                <w:rFonts w:ascii="Calibri" w:hAnsi="Calibri"/>
                <w:b w:val="0"/>
                <w:i w:val="0"/>
                <w:color w:val="5A5A5A"/>
                <w:sz w:val="18"/>
              </w:rPr>
              <w:t>#microtrauma  #buckling  #fibrin  #sportsinjury</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High-glycaemic / pro-inflammatory diet</w:t>
            </w:r>
          </w:p>
        </w:tc>
        <w:tc>
          <w:tcPr>
            <w:tcW w:type="dxa" w:w="2160"/>
            <w:vAlign w:val="top"/>
          </w:tcPr>
          <w:p>
            <w:pPr>
              <w:spacing w:after="40" w:before="0" w:line="259" w:lineRule="auto"/>
            </w:pPr>
            <w:r>
              <w:rPr>
                <w:rFonts w:ascii="Calibri" w:hAnsi="Calibri"/>
                <w:b w:val="0"/>
                <w:i w:val="0"/>
                <w:color w:val="212121"/>
                <w:sz w:val="19"/>
              </w:rPr>
              <w:t>Men with diabetogenic, metabolic-syndrome diets</w:t>
            </w:r>
          </w:p>
        </w:tc>
        <w:tc>
          <w:tcPr>
            <w:tcW w:type="dxa" w:w="4276"/>
            <w:vAlign w:val="top"/>
          </w:tcPr>
          <w:p>
            <w:pPr>
              <w:spacing w:after="60" w:line="259" w:lineRule="auto"/>
            </w:pPr>
            <w:r>
              <w:rPr>
                <w:rFonts w:ascii="Calibri" w:hAnsi="Calibri"/>
                <w:b w:val="0"/>
                <w:i w:val="0"/>
                <w:color w:val="212121"/>
                <w:sz w:val="19"/>
              </w:rPr>
              <w:t>There is no direct dietary cause of Peyronie's disease, but diets that drive diabetes, dyslipidemia and central obesity indirectly increase risk through impaired healing and diabetic erectile dysfunction.</w:t>
            </w:r>
          </w:p>
          <w:p>
            <w:pPr>
              <w:spacing w:after="40" w:before="60" w:line="259" w:lineRule="auto"/>
            </w:pPr>
            <w:r>
              <w:rPr>
                <w:rFonts w:ascii="Calibri" w:hAnsi="Calibri"/>
                <w:b w:val="0"/>
                <w:i w:val="0"/>
                <w:color w:val="212121"/>
                <w:sz w:val="19"/>
              </w:rPr>
              <w:t>Diabetic men with erectile dysfunction are 4-5 times more likely than the general population to develop Peyronie's disease, linking diabetogenic diets to risk indirectly.</w:t>
            </w:r>
          </w:p>
          <w:p>
            <w:pPr>
              <w:spacing w:after="40" w:line="252" w:lineRule="auto"/>
            </w:pPr>
            <w:hyperlink r:id="rId11">
              <w:r>
                <w:rPr>
                  <w:rFonts w:ascii="Calibri" w:hAnsi="Calibri" w:cs="Calibri"/>
                  <w:sz w:val="18"/>
                  <w:color w:val="1155CC"/>
                  <w:u w:val="single"/>
                </w:rPr>
                <w:t xml:space="preserve">ncbi.nlm.nih.gov - StatPearls (diabetes &amp; PD)</w:t>
              </w:r>
            </w:hyperlink>
          </w:p>
          <w:p>
            <w:pPr>
              <w:spacing w:before="60" w:after="40"/>
            </w:pPr>
            <w:r>
              <w:rPr>
                <w:rFonts w:ascii="Calibri" w:hAnsi="Calibri"/>
                <w:b w:val="0"/>
                <w:i w:val="0"/>
                <w:color w:val="5A5A5A"/>
                <w:sz w:val="18"/>
              </w:rPr>
              <w:t>#highglycemic  #metabolicsyndrome  #indirectrisk  #diet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 antioxidant intake</w:t>
            </w:r>
          </w:p>
        </w:tc>
        <w:tc>
          <w:tcPr>
            <w:tcW w:type="dxa" w:w="2160"/>
            <w:vAlign w:val="top"/>
          </w:tcPr>
          <w:p>
            <w:pPr>
              <w:spacing w:after="40" w:before="0" w:line="259" w:lineRule="auto"/>
            </w:pPr>
            <w:r>
              <w:rPr>
                <w:rFonts w:ascii="Calibri" w:hAnsi="Calibri"/>
                <w:b w:val="0"/>
                <w:i w:val="0"/>
                <w:color w:val="212121"/>
                <w:sz w:val="19"/>
              </w:rPr>
              <w:t>Diets poor in antioxidants</w:t>
            </w:r>
          </w:p>
        </w:tc>
        <w:tc>
          <w:tcPr>
            <w:tcW w:type="dxa" w:w="4276"/>
            <w:vAlign w:val="top"/>
          </w:tcPr>
          <w:p>
            <w:pPr>
              <w:spacing w:after="60" w:line="259" w:lineRule="auto"/>
            </w:pPr>
            <w:r>
              <w:rPr>
                <w:rFonts w:ascii="Calibri" w:hAnsi="Calibri"/>
                <w:b w:val="0"/>
                <w:i w:val="0"/>
                <w:color w:val="212121"/>
                <w:sz w:val="19"/>
              </w:rPr>
              <w:t>Oxidative stress participates in the fibrogenic cascade that builds the plaque; antioxidant compounds (e.g. coenzyme Q10, pentoxifylline, combination antioxidants) have therefore been studied as adjunctive therapy, implying a mechanistic role for oxidative balance.</w:t>
            </w:r>
          </w:p>
          <w:p>
            <w:pPr>
              <w:spacing w:after="40" w:before="60" w:line="259" w:lineRule="auto"/>
            </w:pPr>
            <w:r>
              <w:rPr>
                <w:rFonts w:ascii="Calibri" w:hAnsi="Calibri"/>
                <w:b w:val="0"/>
                <w:i w:val="0"/>
                <w:color w:val="212121"/>
                <w:sz w:val="19"/>
              </w:rPr>
              <w:t>Oxidative stress contributes to plaque fibrogenesis, and antioxidant-based agents are among the medical therapies evaluated for Peyronie's disease.</w:t>
            </w:r>
          </w:p>
          <w:p>
            <w:pPr>
              <w:spacing w:after="40" w:line="252" w:lineRule="auto"/>
            </w:pPr>
            <w:hyperlink r:id="rId11">
              <w:r>
                <w:rPr>
                  <w:rFonts w:ascii="Calibri" w:hAnsi="Calibri" w:cs="Calibri"/>
                  <w:sz w:val="18"/>
                  <w:color w:val="1155CC"/>
                  <w:u w:val="single"/>
                </w:rPr>
                <w:t xml:space="preserve">ncbi.nlm.nih.gov - StatPearls (oxidative stress &amp; antioxidants)</w:t>
              </w:r>
            </w:hyperlink>
          </w:p>
          <w:p>
            <w:pPr>
              <w:spacing w:before="60" w:after="40"/>
            </w:pPr>
            <w:r>
              <w:rPr>
                <w:rFonts w:ascii="Calibri" w:hAnsi="Calibri"/>
                <w:b w:val="0"/>
                <w:i w:val="0"/>
                <w:color w:val="5A5A5A"/>
                <w:sz w:val="18"/>
              </w:rPr>
              <w:t>#antioxidants  #oxidativestress  #coq10  #fibrogenesis</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Peyronie's or Dupuytren's disease</w:t>
            </w:r>
          </w:p>
        </w:tc>
        <w:tc>
          <w:tcPr>
            <w:tcW w:type="dxa" w:w="4276"/>
            <w:vAlign w:val="top"/>
          </w:tcPr>
          <w:p>
            <w:pPr>
              <w:spacing w:after="60" w:line="259" w:lineRule="auto"/>
            </w:pPr>
            <w:r>
              <w:rPr>
                <w:rFonts w:ascii="Calibri" w:hAnsi="Calibri"/>
                <w:b w:val="0"/>
                <w:i w:val="0"/>
                <w:color w:val="212121"/>
                <w:sz w:val="19"/>
              </w:rPr>
              <w:t>Inherited susceptibility to abnormal fibrosis strongly raises risk; the same diathesis underlies co-occurring palmar and plantar fibromatoses.</w:t>
            </w:r>
          </w:p>
          <w:p>
            <w:pPr>
              <w:spacing w:after="40" w:before="60" w:line="259" w:lineRule="auto"/>
            </w:pPr>
            <w:r>
              <w:rPr>
                <w:rFonts w:ascii="Calibri" w:hAnsi="Calibri"/>
                <w:b w:val="0"/>
                <w:i w:val="0"/>
                <w:color w:val="212121"/>
                <w:sz w:val="19"/>
              </w:rPr>
              <w:t>Up to ~4% of first-degree relatives of Peyronie's patients develop the condition, and an HLA-B7 association has been reported.</w:t>
            </w:r>
          </w:p>
          <w:p>
            <w:pPr>
              <w:spacing w:after="40" w:line="252" w:lineRule="auto"/>
            </w:pPr>
            <w:hyperlink r:id="rId11">
              <w:r>
                <w:rPr>
                  <w:rFonts w:ascii="Calibri" w:hAnsi="Calibri" w:cs="Calibri"/>
                  <w:sz w:val="18"/>
                  <w:color w:val="1155CC"/>
                  <w:u w:val="single"/>
                </w:rPr>
                <w:t xml:space="preserve">ncbi.nlm.nih.gov - StatPearls (genetics of PD)</w:t>
              </w:r>
            </w:hyperlink>
          </w:p>
          <w:p>
            <w:pPr>
              <w:spacing w:before="60" w:after="40"/>
            </w:pPr>
            <w:r>
              <w:rPr>
                <w:rFonts w:ascii="Calibri" w:hAnsi="Calibri"/>
                <w:b w:val="0"/>
                <w:i w:val="0"/>
                <w:color w:val="5A5A5A"/>
                <w:sz w:val="18"/>
              </w:rPr>
              <w:t>#familyhistory  #hereditary  #hlab7  #fibromatosis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Fibromatosis diathesis</w:t>
            </w:r>
          </w:p>
        </w:tc>
        <w:tc>
          <w:tcPr>
            <w:tcW w:type="dxa" w:w="2160"/>
            <w:vAlign w:val="top"/>
          </w:tcPr>
          <w:p>
            <w:pPr>
              <w:spacing w:after="40" w:before="0" w:line="259" w:lineRule="auto"/>
            </w:pPr>
            <w:r>
              <w:rPr>
                <w:rFonts w:ascii="Calibri" w:hAnsi="Calibri"/>
                <w:b w:val="0"/>
                <w:i w:val="0"/>
                <w:color w:val="212121"/>
                <w:sz w:val="19"/>
              </w:rPr>
              <w:t>Men with a systemic fibrosing tendency</w:t>
            </w:r>
          </w:p>
        </w:tc>
        <w:tc>
          <w:tcPr>
            <w:tcW w:type="dxa" w:w="4276"/>
            <w:vAlign w:val="top"/>
          </w:tcPr>
          <w:p>
            <w:pPr>
              <w:spacing w:after="60" w:line="259" w:lineRule="auto"/>
            </w:pPr>
            <w:r>
              <w:rPr>
                <w:rFonts w:ascii="Calibri" w:hAnsi="Calibri"/>
                <w:b w:val="0"/>
                <w:i w:val="0"/>
                <w:color w:val="212121"/>
                <w:sz w:val="19"/>
              </w:rPr>
              <w:t>Peyronie's disease behaves as one manifestation of a systemic fibroproliferative diathesis that also produces Dupuytren's contracture, Ledderhose disease, plantar fasciitis and other fibroses, implicating shared genetic and molecular (TGF-beta) pathways.</w:t>
            </w:r>
          </w:p>
          <w:p>
            <w:pPr>
              <w:spacing w:after="40" w:before="60" w:line="259" w:lineRule="auto"/>
            </w:pPr>
            <w:r>
              <w:rPr>
                <w:rFonts w:ascii="Calibri" w:hAnsi="Calibri"/>
                <w:b w:val="0"/>
                <w:i w:val="0"/>
                <w:color w:val="212121"/>
                <w:sz w:val="19"/>
              </w:rPr>
              <w:t>Dupuytren's contracture co-occurs in about 22% of Peyronie's patients, reflecting a shared fibromatosis diathesis.</w:t>
            </w:r>
          </w:p>
          <w:p>
            <w:pPr>
              <w:spacing w:after="40" w:line="252" w:lineRule="auto"/>
            </w:pPr>
            <w:hyperlink r:id="rId11">
              <w:r>
                <w:rPr>
                  <w:rFonts w:ascii="Calibri" w:hAnsi="Calibri" w:cs="Calibri"/>
                  <w:sz w:val="18"/>
                  <w:color w:val="1155CC"/>
                  <w:u w:val="single"/>
                </w:rPr>
                <w:t xml:space="preserve">ncbi.nlm.nih.gov - StatPearls (Dupuytren association)</w:t>
              </w:r>
            </w:hyperlink>
          </w:p>
          <w:p>
            <w:pPr>
              <w:spacing w:before="60" w:after="40"/>
            </w:pPr>
            <w:r>
              <w:rPr>
                <w:rFonts w:ascii="Calibri" w:hAnsi="Calibri"/>
                <w:b w:val="0"/>
                <w:i w:val="0"/>
                <w:color w:val="5A5A5A"/>
                <w:sz w:val="18"/>
              </w:rPr>
              <w:t>#fibromatosis  #dupuytren  #ledderhose  #tgfbeta</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Men with type 2 diabetes</w:t>
            </w:r>
          </w:p>
        </w:tc>
        <w:tc>
          <w:tcPr>
            <w:tcW w:type="dxa" w:w="4276"/>
            <w:vAlign w:val="top"/>
          </w:tcPr>
          <w:p>
            <w:pPr>
              <w:spacing w:after="60" w:line="259" w:lineRule="auto"/>
            </w:pPr>
            <w:r>
              <w:rPr>
                <w:rFonts w:ascii="Calibri" w:hAnsi="Calibri"/>
                <w:b w:val="0"/>
                <w:i w:val="0"/>
                <w:color w:val="212121"/>
                <w:sz w:val="19"/>
              </w:rPr>
              <w:t>Diabetic microangiopathy impairs tunical wound healing and reduces tissue elasticity, and the erectile dysfunction it produces adds buckling microtrauma - a powerful combined risk pathway.</w:t>
            </w:r>
          </w:p>
          <w:p>
            <w:pPr>
              <w:spacing w:after="40" w:before="60" w:line="259" w:lineRule="auto"/>
            </w:pPr>
            <w:r>
              <w:rPr>
                <w:rFonts w:ascii="Calibri" w:hAnsi="Calibri"/>
                <w:b w:val="0"/>
                <w:i w:val="0"/>
                <w:color w:val="212121"/>
                <w:sz w:val="19"/>
              </w:rPr>
              <w:t>Diabetes was present in ~43% of Peyronie's patients (prevalence ratio 2.99); diabetic men with ED are 4-5x more likely to develop the disease.</w:t>
            </w:r>
          </w:p>
          <w:p>
            <w:pPr>
              <w:spacing w:after="40" w:line="252" w:lineRule="auto"/>
            </w:pPr>
            <w:hyperlink r:id="rId14">
              <w:r>
                <w:rPr>
                  <w:rFonts w:ascii="Calibri" w:hAnsi="Calibri" w:cs="Calibri"/>
                  <w:sz w:val="18"/>
                  <w:color w:val="1155CC"/>
                  <w:u w:val="single"/>
                </w:rPr>
                <w:t xml:space="preserve">academic.oup.com - PD &amp; diabetes prevalence ratio</w:t>
              </w:r>
            </w:hyperlink>
          </w:p>
          <w:p>
            <w:pPr>
              <w:spacing w:before="60" w:after="40"/>
            </w:pPr>
            <w:r>
              <w:rPr>
                <w:rFonts w:ascii="Calibri" w:hAnsi="Calibri"/>
                <w:b w:val="0"/>
                <w:i w:val="0"/>
                <w:color w:val="5A5A5A"/>
                <w:sz w:val="18"/>
              </w:rPr>
              <w:t>#diabetes  #microangiopathy  #woundhealing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Erectile dysfunction</w:t>
            </w:r>
          </w:p>
        </w:tc>
        <w:tc>
          <w:tcPr>
            <w:tcW w:type="dxa" w:w="2160"/>
            <w:vAlign w:val="top"/>
          </w:tcPr>
          <w:p>
            <w:pPr>
              <w:spacing w:after="40" w:before="0" w:line="259" w:lineRule="auto"/>
            </w:pPr>
            <w:r>
              <w:rPr>
                <w:rFonts w:ascii="Calibri" w:hAnsi="Calibri"/>
                <w:b w:val="0"/>
                <w:i w:val="0"/>
                <w:color w:val="212121"/>
                <w:sz w:val="19"/>
              </w:rPr>
              <w:t>Men with pre-existing erectile dysfunction</w:t>
            </w:r>
          </w:p>
        </w:tc>
        <w:tc>
          <w:tcPr>
            <w:tcW w:type="dxa" w:w="4276"/>
            <w:vAlign w:val="top"/>
          </w:tcPr>
          <w:p>
            <w:pPr>
              <w:spacing w:after="60" w:line="259" w:lineRule="auto"/>
            </w:pPr>
            <w:r>
              <w:rPr>
                <w:rFonts w:ascii="Calibri" w:hAnsi="Calibri"/>
                <w:b w:val="0"/>
                <w:i w:val="0"/>
                <w:color w:val="212121"/>
                <w:sz w:val="19"/>
              </w:rPr>
              <w:t>Poor erectile rigidity increases tunical buckling during intercourse, seeding microtrauma; conversely the plaque and deformity worsen erections - a bidirectional loop especially strong in Indian diabetic men.</w:t>
            </w:r>
          </w:p>
          <w:p>
            <w:pPr>
              <w:spacing w:after="40" w:before="60" w:line="259" w:lineRule="auto"/>
            </w:pPr>
            <w:r>
              <w:rPr>
                <w:rFonts w:ascii="Calibri" w:hAnsi="Calibri"/>
                <w:b w:val="0"/>
                <w:i w:val="0"/>
                <w:color w:val="212121"/>
                <w:sz w:val="19"/>
              </w:rPr>
              <w:t>In a north-Indian tertiary-care study, erectile dysfunction prevalence in type-2-diabetic men was 62.08%; ED co-exists in 40-60% of Peyronie's patients.</w:t>
            </w:r>
          </w:p>
          <w:p>
            <w:pPr>
              <w:spacing w:after="40" w:line="252" w:lineRule="auto"/>
            </w:pPr>
            <w:hyperlink r:id="rId15">
              <w:r>
                <w:rPr>
                  <w:rFonts w:ascii="Calibri" w:hAnsi="Calibri" w:cs="Calibri"/>
                  <w:sz w:val="18"/>
                  <w:color w:val="1155CC"/>
                  <w:u w:val="single"/>
                </w:rPr>
                <w:t xml:space="preserve">ijsurgery.com - ED prevalence in T2DM men, North India</w:t>
              </w:r>
            </w:hyperlink>
          </w:p>
          <w:p>
            <w:pPr>
              <w:spacing w:before="60" w:after="40"/>
            </w:pPr>
            <w:r>
              <w:rPr>
                <w:rFonts w:ascii="Calibri" w:hAnsi="Calibri"/>
                <w:b w:val="0"/>
                <w:i w:val="0"/>
                <w:color w:val="5A5A5A"/>
                <w:sz w:val="18"/>
              </w:rPr>
              <w:t>#erectiledysfunction  #bidirectional  #india  #buckling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Dupuytren's contracture</w:t>
            </w:r>
          </w:p>
        </w:tc>
        <w:tc>
          <w:tcPr>
            <w:tcW w:type="dxa" w:w="2160"/>
            <w:vAlign w:val="top"/>
          </w:tcPr>
          <w:p>
            <w:pPr>
              <w:spacing w:after="40" w:before="0" w:line="259" w:lineRule="auto"/>
            </w:pPr>
            <w:r>
              <w:rPr>
                <w:rFonts w:ascii="Calibri" w:hAnsi="Calibri"/>
                <w:b w:val="0"/>
                <w:i w:val="0"/>
                <w:color w:val="212121"/>
                <w:sz w:val="19"/>
              </w:rPr>
              <w:t>Men with palmar fibromatosis</w:t>
            </w:r>
          </w:p>
        </w:tc>
        <w:tc>
          <w:tcPr>
            <w:tcW w:type="dxa" w:w="4276"/>
            <w:vAlign w:val="top"/>
          </w:tcPr>
          <w:p>
            <w:pPr>
              <w:spacing w:after="60" w:line="259" w:lineRule="auto"/>
            </w:pPr>
            <w:r>
              <w:rPr>
                <w:rFonts w:ascii="Calibri" w:hAnsi="Calibri"/>
                <w:b w:val="0"/>
                <w:i w:val="0"/>
                <w:color w:val="212121"/>
                <w:sz w:val="19"/>
              </w:rPr>
              <w:t>Dupuytren's contracture and Peyronie's disease share fibroblast dysregulation and TGF-beta-driven collagen deposition; each markedly raises the likelihood of the other.</w:t>
            </w:r>
          </w:p>
          <w:p>
            <w:pPr>
              <w:spacing w:after="40" w:before="60" w:line="259" w:lineRule="auto"/>
            </w:pPr>
            <w:r>
              <w:rPr>
                <w:rFonts w:ascii="Calibri" w:hAnsi="Calibri"/>
                <w:b w:val="0"/>
                <w:i w:val="0"/>
                <w:color w:val="212121"/>
                <w:sz w:val="19"/>
              </w:rPr>
              <w:t>Dupuytren's contracture was present in 22.1% of Peyronie's patients (89 of 415 men).</w:t>
            </w:r>
          </w:p>
          <w:p>
            <w:pPr>
              <w:spacing w:after="40" w:line="252" w:lineRule="auto"/>
            </w:pPr>
            <w:hyperlink r:id="rId11">
              <w:r>
                <w:rPr>
                  <w:rFonts w:ascii="Calibri" w:hAnsi="Calibri" w:cs="Calibri"/>
                  <w:sz w:val="18"/>
                  <w:color w:val="1155CC"/>
                  <w:u w:val="single"/>
                </w:rPr>
                <w:t xml:space="preserve">ncbi.nlm.nih.gov - StatPearls (Dupuytren 22.1%)</w:t>
              </w:r>
            </w:hyperlink>
          </w:p>
          <w:p>
            <w:pPr>
              <w:spacing w:before="60" w:after="40"/>
            </w:pPr>
            <w:r>
              <w:rPr>
                <w:rFonts w:ascii="Calibri" w:hAnsi="Calibri"/>
                <w:b w:val="0"/>
                <w:i w:val="0"/>
                <w:color w:val="5A5A5A"/>
                <w:sz w:val="18"/>
              </w:rPr>
              <w:t>#dupuytren  #palmarfibromatosis  #sharedpathway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Hypogonadism</w:t>
            </w:r>
          </w:p>
        </w:tc>
        <w:tc>
          <w:tcPr>
            <w:tcW w:type="dxa" w:w="2160"/>
            <w:vAlign w:val="top"/>
          </w:tcPr>
          <w:p>
            <w:pPr>
              <w:spacing w:after="40" w:before="0" w:line="259" w:lineRule="auto"/>
            </w:pPr>
            <w:r>
              <w:rPr>
                <w:rFonts w:ascii="Calibri" w:hAnsi="Calibri"/>
                <w:b w:val="0"/>
                <w:i w:val="0"/>
                <w:color w:val="212121"/>
                <w:sz w:val="19"/>
              </w:rPr>
              <w:t>Men with low testosterone</w:t>
            </w:r>
          </w:p>
        </w:tc>
        <w:tc>
          <w:tcPr>
            <w:tcW w:type="dxa" w:w="4276"/>
            <w:vAlign w:val="top"/>
          </w:tcPr>
          <w:p>
            <w:pPr>
              <w:spacing w:after="60" w:line="259" w:lineRule="auto"/>
            </w:pPr>
            <w:r>
              <w:rPr>
                <w:rFonts w:ascii="Calibri" w:hAnsi="Calibri"/>
                <w:b w:val="0"/>
                <w:i w:val="0"/>
                <w:color w:val="212121"/>
                <w:sz w:val="19"/>
              </w:rPr>
              <w:t>Low testosterone is associated with Peyronie's disease and with greater curvature, likely via effects on tunical collagen turnover and erectile tissue health, though causality remains debated.</w:t>
            </w:r>
          </w:p>
          <w:p>
            <w:pPr>
              <w:spacing w:after="40" w:before="60" w:line="259" w:lineRule="auto"/>
            </w:pPr>
            <w:r>
              <w:rPr>
                <w:rFonts w:ascii="Calibri" w:hAnsi="Calibri"/>
                <w:b w:val="0"/>
                <w:i w:val="0"/>
                <w:color w:val="212121"/>
                <w:sz w:val="19"/>
              </w:rPr>
              <w:t>In one series, 74.4% of Peyronie's patients had testosterone below 300 ng/dL (hypogonadal range).</w:t>
            </w:r>
          </w:p>
          <w:p>
            <w:pPr>
              <w:spacing w:after="40" w:line="252" w:lineRule="auto"/>
            </w:pPr>
            <w:hyperlink r:id="rId10">
              <w:r>
                <w:rPr>
                  <w:rFonts w:ascii="Calibri" w:hAnsi="Calibri" w:cs="Calibri"/>
                  <w:sz w:val="18"/>
                  <w:color w:val="1155CC"/>
                  <w:u w:val="single"/>
                </w:rPr>
                <w:t xml:space="preserve">tau.amegroups.org - PD &amp; hypogonadism (Moreno et al.)</w:t>
              </w:r>
            </w:hyperlink>
          </w:p>
          <w:p>
            <w:pPr>
              <w:spacing w:before="60" w:after="40"/>
            </w:pPr>
            <w:r>
              <w:rPr>
                <w:rFonts w:ascii="Calibri" w:hAnsi="Calibri"/>
                <w:b w:val="0"/>
                <w:i w:val="0"/>
                <w:color w:val="5A5A5A"/>
                <w:sz w:val="18"/>
              </w:rPr>
              <w:t>#hypogonadism  #lowtestosterone  #curvature  #hormonal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Central obesity, metabolic syndrome and physical inactivity cluster with diabetes and vascular disease that impair tunical healing; obesity was present in ~27% of PD patients. Regular activity supports vascular and erectile health but is not directly protective against plaque.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dietary cause is established. Diets driving diabetes, dyslipidemia and obesity raise risk indirectly, and oxidative stress contributes to plaque fibrogenesis.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evidence links sleep to Peyronie's disease; poor sleep worsens metabolic, erectile and mental health that are indirectly relevant to risk and coping.</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(current and former) was reported in up to ~65% of PD patients and is associated with the disease via endothelial injury and impaired microvascular healing, though evidence is somewhat conflicting.</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abuse is listed among classic PD risk factors (Bjekic et al.) and worsens erectile function and tissue repair, but the direct association is inconsistent.</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Not causal, but Peyronie's disease produces marked psychological morbidity - significant depression in ~58% and anxiety in ~88% of men in one cohort - which affects help-seeking, sexual function and treatment adherence (bidirectional impact).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relationship between hydration status and Peyronie's disease.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relationship between caffeine intake and Peyronie's disease.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role; general genital hygiene is relevant only to comorbid infection and peri-operative wound care, not to plaque formation.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Repetitive penile microtrauma/buckling during intercourse or sport and iatrogenic tunical injury (radical prostatectomy, cystoscopy, catheterization) are the principal provoking events that seed fibrin deposition and aberrant fibrosis.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18.5-24.9 kg/m^2</w:t>
            </w:r>
          </w:p>
        </w:tc>
        <w:tc>
          <w:tcPr>
            <w:tcW w:type="dxa" w:w="1512"/>
            <w:vAlign w:val="top"/>
          </w:tcPr>
          <w:p>
            <w:pPr>
              <w:spacing w:after="40" w:before="0" w:line="259" w:lineRule="auto"/>
            </w:pPr>
            <w:r>
              <w:rPr>
                <w:rFonts w:ascii="Calibri" w:hAnsi="Calibri"/>
                <w:b w:val="0"/>
                <w:i w:val="0"/>
                <w:color w:val="212121"/>
                <w:sz w:val="19"/>
              </w:rPr>
              <w:t>&gt;=25 (overweight); &gt;=30 (obesity)</w:t>
            </w:r>
          </w:p>
        </w:tc>
        <w:tc>
          <w:tcPr>
            <w:tcW w:type="dxa" w:w="1468"/>
            <w:vAlign w:val="top"/>
          </w:tcPr>
          <w:p>
            <w:pPr>
              <w:spacing w:after="60" w:line="259" w:lineRule="auto"/>
            </w:pPr>
            <w:r>
              <w:rPr>
                <w:rFonts w:ascii="Calibri" w:hAnsi="Calibri"/>
                <w:b w:val="0"/>
                <w:i w:val="0"/>
                <w:color w:val="212121"/>
                <w:sz w:val="19"/>
              </w:rPr>
              <w:t>Obesity clusters with diabetes/vascular disease that impair tunical healing; present in ~27% of PD patients</w:t>
            </w:r>
          </w:p>
          <w:p>
            <w:pPr>
              <w:spacing w:after="40" w:line="252" w:lineRule="auto"/>
            </w:pPr>
            <w:hyperlink r:id="rId14">
              <w:r>
                <w:rPr>
                  <w:rFonts w:ascii="Calibri" w:hAnsi="Calibri" w:cs="Calibri"/>
                  <w:sz w:val="18"/>
                  <w:color w:val="1155CC"/>
                  <w:u w:val="single"/>
                </w:rPr>
                <w:t xml:space="preserve">https://academic.oup.com/smoa/article/8/2/230/6956525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Adult men (Asian-Indian cut-offs)</w:t>
            </w:r>
          </w:p>
        </w:tc>
        <w:tc>
          <w:tcPr>
            <w:tcW w:type="dxa" w:w="1512"/>
            <w:vAlign w:val="top"/>
          </w:tcPr>
          <w:p>
            <w:pPr>
              <w:spacing w:after="40" w:before="0" w:line="259" w:lineRule="auto"/>
            </w:pPr>
            <w:r>
              <w:rPr>
                <w:rFonts w:ascii="Calibri" w:hAnsi="Calibri"/>
                <w:b w:val="0"/>
                <w:i w:val="0"/>
                <w:color w:val="212121"/>
                <w:sz w:val="19"/>
              </w:rPr>
              <w:t>&lt; 90 cm (men)</w:t>
            </w:r>
          </w:p>
        </w:tc>
        <w:tc>
          <w:tcPr>
            <w:tcW w:type="dxa" w:w="1512"/>
            <w:vAlign w:val="top"/>
          </w:tcPr>
          <w:p>
            <w:pPr>
              <w:spacing w:after="40" w:before="0" w:line="259" w:lineRule="auto"/>
            </w:pPr>
            <w:r>
              <w:rPr>
                <w:rFonts w:ascii="Calibri" w:hAnsi="Calibri"/>
                <w:b w:val="0"/>
                <w:i w:val="0"/>
                <w:color w:val="212121"/>
                <w:sz w:val="19"/>
              </w:rPr>
              <w:t>&gt;= 90 cm</w:t>
            </w:r>
          </w:p>
        </w:tc>
        <w:tc>
          <w:tcPr>
            <w:tcW w:type="dxa" w:w="1468"/>
            <w:vAlign w:val="top"/>
          </w:tcPr>
          <w:p>
            <w:pPr>
              <w:spacing w:after="40" w:before="0" w:line="259" w:lineRule="auto"/>
            </w:pPr>
            <w:r>
              <w:rPr>
                <w:rFonts w:ascii="Calibri" w:hAnsi="Calibri"/>
                <w:b w:val="0"/>
                <w:i w:val="0"/>
                <w:color w:val="212121"/>
                <w:sz w:val="19"/>
              </w:rPr>
              <w:t>Central adiposity marks metabolic risk driving diabetic ED and impaired healing</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&gt;=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Supports glycaemic, vascular and erectile health that underpin tunical integrity</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60" w:line="259" w:lineRule="auto"/>
            </w:pPr>
            <w:r>
              <w:rPr>
                <w:rFonts w:ascii="Calibri" w:hAnsi="Calibri"/>
                <w:b w:val="0"/>
                <w:i w:val="0"/>
                <w:color w:val="212121"/>
                <w:sz w:val="19"/>
              </w:rPr>
              <w:t>Up to ~65% of PD patients are current/former smokers; endothelial injury impairs healing</w:t>
            </w:r>
          </w:p>
          <w:p>
            <w:pPr>
              <w:spacing w:after="40" w:line="252" w:lineRule="auto"/>
            </w:pPr>
            <w:hyperlink r:id="rId14">
              <w:r>
                <w:rPr>
                  <w:rFonts w:ascii="Calibri" w:hAnsi="Calibri" w:cs="Calibri"/>
                  <w:sz w:val="18"/>
                  <w:color w:val="1155CC"/>
                  <w:u w:val="single"/>
                </w:rPr>
                <w:t xml:space="preserve">https://academic.oup.com/smoa/article/8/2/230/6956525</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&lt;= 14 drinks/week</w:t>
            </w:r>
          </w:p>
        </w:tc>
        <w:tc>
          <w:tcPr>
            <w:tcW w:type="dxa" w:w="1512"/>
            <w:vAlign w:val="top"/>
          </w:tcPr>
          <w:p>
            <w:pPr>
              <w:spacing w:after="40" w:before="0" w:line="259" w:lineRule="auto"/>
            </w:pPr>
            <w:r>
              <w:rPr>
                <w:rFonts w:ascii="Calibri" w:hAnsi="Calibri"/>
                <w:b w:val="0"/>
                <w:i w:val="0"/>
                <w:color w:val="212121"/>
                <w:sz w:val="19"/>
              </w:rPr>
              <w:t>&gt; 14 drinks/week; any binge use</w:t>
            </w:r>
          </w:p>
        </w:tc>
        <w:tc>
          <w:tcPr>
            <w:tcW w:type="dxa" w:w="1468"/>
            <w:vAlign w:val="top"/>
          </w:tcPr>
          <w:p>
            <w:pPr>
              <w:spacing w:after="40" w:before="0" w:line="259" w:lineRule="auto"/>
            </w:pPr>
            <w:r>
              <w:rPr>
                <w:rFonts w:ascii="Calibri" w:hAnsi="Calibri"/>
                <w:b w:val="0"/>
                <w:i w:val="0"/>
                <w:color w:val="212121"/>
                <w:sz w:val="19"/>
              </w:rPr>
              <w:t>Heavy use worsens erectile function and tissue repair</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HbA1c (%)</w:t>
            </w:r>
          </w:p>
        </w:tc>
        <w:tc>
          <w:tcPr>
            <w:tcW w:type="dxa" w:w="1655"/>
            <w:vAlign w:val="top"/>
          </w:tcPr>
          <w:p>
            <w:pPr>
              <w:spacing w:after="40" w:before="0" w:line="259" w:lineRule="auto"/>
            </w:pPr>
            <w:r>
              <w:rPr>
                <w:rFonts w:ascii="Calibri" w:hAnsi="Calibri"/>
                <w:b w:val="0"/>
                <w:i w:val="0"/>
                <w:color w:val="212121"/>
                <w:sz w:val="19"/>
              </w:rPr>
              <w:t>Men at metabolic risk</w:t>
            </w:r>
          </w:p>
        </w:tc>
        <w:tc>
          <w:tcPr>
            <w:tcW w:type="dxa" w:w="1512"/>
            <w:vAlign w:val="top"/>
          </w:tcPr>
          <w:p>
            <w:pPr>
              <w:spacing w:after="40" w:before="0" w:line="259" w:lineRule="auto"/>
            </w:pPr>
            <w:r>
              <w:rPr>
                <w:rFonts w:ascii="Calibri" w:hAnsi="Calibri"/>
                <w:b w:val="0"/>
                <w:i w:val="0"/>
                <w:color w:val="212121"/>
                <w:sz w:val="19"/>
              </w:rPr>
              <w:t>&lt; 5.7 %</w:t>
            </w:r>
          </w:p>
        </w:tc>
        <w:tc>
          <w:tcPr>
            <w:tcW w:type="dxa" w:w="1512"/>
            <w:vAlign w:val="top"/>
          </w:tcPr>
          <w:p>
            <w:pPr>
              <w:spacing w:after="40" w:before="0" w:line="259" w:lineRule="auto"/>
            </w:pPr>
            <w:r>
              <w:rPr>
                <w:rFonts w:ascii="Calibri" w:hAnsi="Calibri"/>
                <w:b w:val="0"/>
                <w:i w:val="0"/>
                <w:color w:val="212121"/>
                <w:sz w:val="19"/>
              </w:rPr>
              <w:t>&gt;= 6.5 % (diabetes); 5.7-6.4 % (prediabetes)</w:t>
            </w:r>
          </w:p>
        </w:tc>
        <w:tc>
          <w:tcPr>
            <w:tcW w:type="dxa" w:w="1468"/>
            <w:vAlign w:val="top"/>
          </w:tcPr>
          <w:p>
            <w:pPr>
              <w:spacing w:after="60" w:line="259" w:lineRule="auto"/>
            </w:pPr>
            <w:r>
              <w:rPr>
                <w:rFonts w:ascii="Calibri" w:hAnsi="Calibri"/>
                <w:b w:val="0"/>
                <w:i w:val="0"/>
                <w:color w:val="212121"/>
                <w:sz w:val="19"/>
              </w:rPr>
              <w:t>Diabetic ED confers 4-5x PD risk; younger PD patients show higher HbA1c</w:t>
            </w:r>
          </w:p>
          <w:p>
            <w:pPr>
              <w:spacing w:after="40" w:line="252" w:lineRule="auto"/>
            </w:pPr>
            <w:hyperlink r:id="rId11">
              <w:r>
                <w:rPr>
                  <w:rFonts w:ascii="Calibri" w:hAnsi="Calibri" w:cs="Calibri"/>
                  <w:sz w:val="18"/>
                  <w:color w:val="1155CC"/>
                  <w:u w:val="single"/>
                </w:rPr>
                <w:t xml:space="preserve">https://www.ncbi.nlm.nih.gov/books/NBK560628/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plasma glucose (mg/dL)</w:t>
            </w:r>
          </w:p>
        </w:tc>
        <w:tc>
          <w:tcPr>
            <w:tcW w:type="dxa" w:w="1655"/>
            <w:vAlign w:val="top"/>
          </w:tcPr>
          <w:p>
            <w:pPr>
              <w:spacing w:after="40" w:before="0" w:line="259" w:lineRule="auto"/>
            </w:pPr>
            <w:r>
              <w:rPr>
                <w:rFonts w:ascii="Calibri" w:hAnsi="Calibri"/>
                <w:b w:val="0"/>
                <w:i w:val="0"/>
                <w:color w:val="212121"/>
                <w:sz w:val="19"/>
              </w:rPr>
              <w:t>Men at metabolic risk</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&gt;= 126 mg/dL</w:t>
            </w:r>
          </w:p>
        </w:tc>
        <w:tc>
          <w:tcPr>
            <w:tcW w:type="dxa" w:w="1468"/>
            <w:vAlign w:val="top"/>
          </w:tcPr>
          <w:p>
            <w:pPr>
              <w:spacing w:after="40" w:before="0" w:line="259" w:lineRule="auto"/>
            </w:pPr>
            <w:r>
              <w:rPr>
                <w:rFonts w:ascii="Calibri" w:hAnsi="Calibri"/>
                <w:b w:val="0"/>
                <w:i w:val="0"/>
                <w:color w:val="212121"/>
                <w:sz w:val="19"/>
              </w:rPr>
              <w:t>Screens for the diabetes that underlies much PD risk in India</w:t>
            </w:r>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(PHQ-9)</w:t>
            </w:r>
          </w:p>
        </w:tc>
        <w:tc>
          <w:tcPr>
            <w:tcW w:type="dxa" w:w="1655"/>
            <w:vAlign w:val="top"/>
          </w:tcPr>
          <w:p>
            <w:pPr>
              <w:spacing w:after="40" w:before="0" w:line="259" w:lineRule="auto"/>
            </w:pPr>
            <w:r>
              <w:rPr>
                <w:rFonts w:ascii="Calibri" w:hAnsi="Calibri"/>
                <w:b w:val="0"/>
                <w:i w:val="0"/>
                <w:color w:val="212121"/>
                <w:sz w:val="19"/>
              </w:rPr>
              <w:t>Men with PD</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&gt;= 10 (moderate-severe)</w:t>
            </w:r>
          </w:p>
        </w:tc>
        <w:tc>
          <w:tcPr>
            <w:tcW w:type="dxa" w:w="1468"/>
            <w:vAlign w:val="top"/>
          </w:tcPr>
          <w:p>
            <w:pPr>
              <w:spacing w:after="60" w:line="259" w:lineRule="auto"/>
            </w:pPr>
            <w:r>
              <w:rPr>
                <w:rFonts w:ascii="Calibri" w:hAnsi="Calibri"/>
                <w:b w:val="0"/>
                <w:i w:val="0"/>
                <w:color w:val="212121"/>
                <w:sz w:val="19"/>
              </w:rPr>
              <w:t>Significant depression affected ~58% of PD patients in one cohort</w:t>
            </w:r>
          </w:p>
          <w:p>
            <w:pPr>
              <w:spacing w:after="40" w:line="252" w:lineRule="auto"/>
            </w:pPr>
            <w:hyperlink r:id="rId9">
              <w:r>
                <w:rPr>
                  <w:rFonts w:ascii="Calibri" w:hAnsi="Calibri" w:cs="Calibri"/>
                  <w:sz w:val="18"/>
                  <w:color w:val="1155CC"/>
                  <w:u w:val="single"/>
                </w:rPr>
                <w:t xml:space="preserve">https://www.mdpi.com/2075-4418/14/11/1125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Anxiety screen (GAD-7)</w:t>
            </w:r>
          </w:p>
        </w:tc>
        <w:tc>
          <w:tcPr>
            <w:tcW w:type="dxa" w:w="1655"/>
            <w:vAlign w:val="top"/>
          </w:tcPr>
          <w:p>
            <w:pPr>
              <w:spacing w:after="40" w:before="0" w:line="259" w:lineRule="auto"/>
            </w:pPr>
            <w:r>
              <w:rPr>
                <w:rFonts w:ascii="Calibri" w:hAnsi="Calibri"/>
                <w:b w:val="0"/>
                <w:i w:val="0"/>
                <w:color w:val="212121"/>
                <w:sz w:val="19"/>
              </w:rPr>
              <w:t>Men with PD</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&gt;= 10 (moderate-severe)</w:t>
            </w:r>
          </w:p>
        </w:tc>
        <w:tc>
          <w:tcPr>
            <w:tcW w:type="dxa" w:w="1468"/>
            <w:vAlign w:val="top"/>
          </w:tcPr>
          <w:p>
            <w:pPr>
              <w:spacing w:after="60" w:line="259" w:lineRule="auto"/>
            </w:pPr>
            <w:r>
              <w:rPr>
                <w:rFonts w:ascii="Calibri" w:hAnsi="Calibri"/>
                <w:b w:val="0"/>
                <w:i w:val="0"/>
                <w:color w:val="212121"/>
                <w:sz w:val="19"/>
              </w:rPr>
              <w:t>Significant anxiety affected ~88% of PD patients in one cohort</w:t>
            </w:r>
          </w:p>
          <w:p>
            <w:pPr>
              <w:spacing w:after="40" w:line="252" w:lineRule="auto"/>
            </w:pPr>
            <w:hyperlink r:id="rId9">
              <w:r>
                <w:rPr>
                  <w:rFonts w:ascii="Calibri" w:hAnsi="Calibri" w:cs="Calibri"/>
                  <w:sz w:val="18"/>
                  <w:color w:val="1155CC"/>
                  <w:u w:val="single"/>
                </w:rPr>
                <w:t xml:space="preserve">https://www.mdpi.com/2075-4418/14/11/1125</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Erect penile curvature (degrees)</w:t>
            </w:r>
          </w:p>
        </w:tc>
        <w:tc>
          <w:tcPr>
            <w:tcW w:type="dxa" w:w="1655"/>
            <w:vAlign w:val="top"/>
          </w:tcPr>
          <w:p>
            <w:pPr>
              <w:spacing w:after="40" w:before="0" w:line="259" w:lineRule="auto"/>
            </w:pPr>
            <w:r>
              <w:rPr>
                <w:rFonts w:ascii="Calibri" w:hAnsi="Calibri"/>
                <w:b w:val="0"/>
                <w:i w:val="0"/>
                <w:color w:val="212121"/>
                <w:sz w:val="19"/>
              </w:rPr>
              <w:t>Men with PD</w:t>
            </w:r>
          </w:p>
        </w:tc>
        <w:tc>
          <w:tcPr>
            <w:tcW w:type="dxa" w:w="1512"/>
            <w:vAlign w:val="top"/>
          </w:tcPr>
          <w:p>
            <w:pPr>
              <w:spacing w:after="40" w:before="0" w:line="259" w:lineRule="auto"/>
            </w:pPr>
            <w:r>
              <w:rPr>
                <w:rFonts w:ascii="Calibri" w:hAnsi="Calibri"/>
                <w:b w:val="0"/>
                <w:i w:val="0"/>
                <w:color w:val="212121"/>
                <w:sz w:val="19"/>
              </w:rPr>
              <w:t>&lt; 20 degrees (functionally straight)</w:t>
            </w:r>
          </w:p>
        </w:tc>
        <w:tc>
          <w:tcPr>
            <w:tcW w:type="dxa" w:w="1512"/>
            <w:vAlign w:val="top"/>
          </w:tcPr>
          <w:p>
            <w:pPr>
              <w:spacing w:after="40" w:before="0" w:line="259" w:lineRule="auto"/>
            </w:pPr>
            <w:r>
              <w:rPr>
                <w:rFonts w:ascii="Calibri" w:hAnsi="Calibri"/>
                <w:b w:val="0"/>
                <w:i w:val="0"/>
                <w:color w:val="212121"/>
                <w:sz w:val="19"/>
              </w:rPr>
              <w:t>&gt; 30 degrees (functional impact); &gt; 60 degrees (often surgical)</w:t>
            </w:r>
          </w:p>
        </w:tc>
        <w:tc>
          <w:tcPr>
            <w:tcW w:type="dxa" w:w="1468"/>
            <w:vAlign w:val="top"/>
          </w:tcPr>
          <w:p>
            <w:pPr>
              <w:spacing w:after="60" w:line="259" w:lineRule="auto"/>
            </w:pPr>
            <w:r>
              <w:rPr>
                <w:rFonts w:ascii="Calibri" w:hAnsi="Calibri"/>
                <w:b w:val="0"/>
                <w:i w:val="0"/>
                <w:color w:val="212121"/>
                <w:sz w:val="19"/>
              </w:rPr>
              <w:t>Median curvature ~48 degrees; &gt;50% of men over-estimate their own angle</w:t>
            </w:r>
          </w:p>
          <w:p>
            <w:pPr>
              <w:spacing w:after="40" w:line="252" w:lineRule="auto"/>
            </w:pPr>
            <w:hyperlink r:id="rId11">
              <w:r>
                <w:rPr>
                  <w:rFonts w:ascii="Calibri" w:hAnsi="Calibri" w:cs="Calibri"/>
                  <w:sz w:val="18"/>
                  <w:color w:val="1155CC"/>
                  <w:u w:val="single"/>
                </w:rPr>
                <w:t xml:space="preserve">https://www.ncbi.nlm.nih.gov/books/NBK560628/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Morning total testosterone (ng/dL)</w:t>
            </w:r>
          </w:p>
        </w:tc>
        <w:tc>
          <w:tcPr>
            <w:tcW w:type="dxa" w:w="1655"/>
            <w:vAlign w:val="top"/>
          </w:tcPr>
          <w:p>
            <w:pPr>
              <w:spacing w:after="40" w:before="0" w:line="259" w:lineRule="auto"/>
            </w:pPr>
            <w:r>
              <w:rPr>
                <w:rFonts w:ascii="Calibri" w:hAnsi="Calibri"/>
                <w:b w:val="0"/>
                <w:i w:val="0"/>
                <w:color w:val="212121"/>
                <w:sz w:val="19"/>
              </w:rPr>
              <w:t>Men with PD / suspected hypogonadism</w:t>
            </w:r>
          </w:p>
        </w:tc>
        <w:tc>
          <w:tcPr>
            <w:tcW w:type="dxa" w:w="1512"/>
            <w:vAlign w:val="top"/>
          </w:tcPr>
          <w:p>
            <w:pPr>
              <w:spacing w:after="40" w:before="0" w:line="259" w:lineRule="auto"/>
            </w:pPr>
            <w:r>
              <w:rPr>
                <w:rFonts w:ascii="Calibri" w:hAnsi="Calibri"/>
                <w:b w:val="0"/>
                <w:i w:val="0"/>
                <w:color w:val="212121"/>
                <w:sz w:val="19"/>
              </w:rPr>
              <w:t>&gt; 300 ng/dL</w:t>
            </w:r>
          </w:p>
        </w:tc>
        <w:tc>
          <w:tcPr>
            <w:tcW w:type="dxa" w:w="1512"/>
            <w:vAlign w:val="top"/>
          </w:tcPr>
          <w:p>
            <w:pPr>
              <w:spacing w:after="40" w:before="0" w:line="259" w:lineRule="auto"/>
            </w:pPr>
            <w:r>
              <w:rPr>
                <w:rFonts w:ascii="Calibri" w:hAnsi="Calibri"/>
                <w:b w:val="0"/>
                <w:i w:val="0"/>
                <w:color w:val="212121"/>
                <w:sz w:val="19"/>
              </w:rPr>
              <w:t>&lt; 300 ng/dL</w:t>
            </w:r>
          </w:p>
        </w:tc>
        <w:tc>
          <w:tcPr>
            <w:tcW w:type="dxa" w:w="1468"/>
            <w:vAlign w:val="top"/>
          </w:tcPr>
          <w:p>
            <w:pPr>
              <w:spacing w:after="60" w:line="259" w:lineRule="auto"/>
            </w:pPr>
            <w:r>
              <w:rPr>
                <w:rFonts w:ascii="Calibri" w:hAnsi="Calibri"/>
                <w:b w:val="0"/>
                <w:i w:val="0"/>
                <w:color w:val="212121"/>
                <w:sz w:val="19"/>
              </w:rPr>
              <w:t>74.4% of PD patients were hypogonadal in one series; screen only if symptoms suggest</w:t>
            </w:r>
          </w:p>
          <w:p>
            <w:pPr>
              <w:spacing w:after="40" w:line="252" w:lineRule="auto"/>
            </w:pPr>
            <w:hyperlink r:id="rId10">
              <w:r>
                <w:rPr>
                  <w:rFonts w:ascii="Calibri" w:hAnsi="Calibri" w:cs="Calibri"/>
                  <w:sz w:val="18"/>
                  <w:color w:val="1155CC"/>
                  <w:u w:val="single"/>
                </w:rPr>
                <w:t xml:space="preserve">https://tau.amegroups.org/article/view/10408/html</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Plaque, calcification &amp; cavernosal flow (PSV/EDV)</w:t>
            </w:r>
          </w:p>
        </w:tc>
        <w:tc>
          <w:tcPr>
            <w:tcW w:type="dxa" w:w="892"/>
            <w:vAlign w:val="top"/>
          </w:tcPr>
          <w:p>
            <w:pPr>
              <w:spacing w:after="40" w:before="0" w:line="259" w:lineRule="auto"/>
            </w:pPr>
            <w:r>
              <w:rPr>
                <w:rFonts w:ascii="Calibri" w:hAnsi="Calibri"/>
                <w:b w:val="0"/>
                <w:i w:val="0"/>
                <w:color w:val="212121"/>
                <w:sz w:val="16"/>
              </w:rPr>
              <w:t>Penile colour Doppler duplex ultrasound (with ICI)</w:t>
            </w:r>
          </w:p>
        </w:tc>
        <w:tc>
          <w:tcPr>
            <w:tcW w:type="dxa" w:w="950"/>
            <w:vAlign w:val="top"/>
          </w:tcPr>
          <w:p>
            <w:pPr>
              <w:spacing w:after="40" w:before="0" w:line="259" w:lineRule="auto"/>
            </w:pPr>
            <w:r>
              <w:rPr>
                <w:rFonts w:ascii="Calibri" w:hAnsi="Calibri"/>
                <w:b w:val="0"/>
                <w:i w:val="0"/>
                <w:color w:val="212121"/>
                <w:sz w:val="16"/>
              </w:rPr>
              <w:t>No plaque; PSV &gt; 35 cm/s, EDV &lt; 5 cm/s</w:t>
            </w:r>
          </w:p>
        </w:tc>
        <w:tc>
          <w:tcPr>
            <w:tcW w:type="dxa" w:w="950"/>
            <w:vAlign w:val="top"/>
          </w:tcPr>
          <w:p>
            <w:pPr>
              <w:spacing w:after="40" w:before="0" w:line="259" w:lineRule="auto"/>
            </w:pPr>
            <w:r>
              <w:rPr>
                <w:rFonts w:ascii="Calibri" w:hAnsi="Calibri"/>
                <w:b w:val="0"/>
                <w:i w:val="0"/>
                <w:color w:val="212121"/>
                <w:sz w:val="16"/>
              </w:rPr>
              <w:t>Fibrous plaque +/- calcification; PSV &lt; 25 (arterial insufficiency) or EDV &gt; 5 (venous leak)</w:t>
            </w:r>
          </w:p>
        </w:tc>
        <w:tc>
          <w:tcPr>
            <w:tcW w:type="dxa" w:w="1036"/>
            <w:vAlign w:val="top"/>
          </w:tcPr>
          <w:p>
            <w:pPr>
              <w:spacing w:after="40" w:before="0" w:line="259" w:lineRule="auto"/>
            </w:pPr>
            <w:r>
              <w:rPr>
                <w:rFonts w:ascii="Calibri" w:hAnsi="Calibri"/>
                <w:b w:val="0"/>
                <w:i w:val="0"/>
                <w:color w:val="212121"/>
                <w:sz w:val="16"/>
              </w:rPr>
              <w:t>Confirms/locates plaque including non-palpable lesions, grades calcification and characterises erectile haemodynamics</w:t>
            </w:r>
          </w:p>
        </w:tc>
        <w:tc>
          <w:tcPr>
            <w:tcW w:type="dxa" w:w="1036"/>
            <w:vAlign w:val="top"/>
          </w:tcPr>
          <w:p>
            <w:pPr>
              <w:spacing w:after="40" w:before="0" w:line="259" w:lineRule="auto"/>
            </w:pPr>
            <w:r>
              <w:rPr>
                <w:rFonts w:ascii="Calibri" w:hAnsi="Calibri"/>
                <w:b w:val="0"/>
                <w:i w:val="0"/>
                <w:color w:val="212121"/>
                <w:sz w:val="16"/>
              </w:rPr>
              <w:t>All PD patients before invasive treatment; men with concurrent 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imaging</w:t>
            </w:r>
          </w:p>
        </w:tc>
        <w:tc>
          <w:tcPr>
            <w:tcW w:type="dxa" w:w="720"/>
            <w:vAlign w:val="top"/>
          </w:tcPr>
          <w:p>
            <w:pPr>
              <w:spacing w:after="40" w:before="0" w:line="259" w:lineRule="auto"/>
            </w:pPr>
            <w:r>
              <w:rPr>
                <w:rFonts w:ascii="Calibri" w:hAnsi="Calibri"/>
                <w:b w:val="0"/>
                <w:i w:val="0"/>
                <w:color w:val="212121"/>
                <w:sz w:val="16"/>
              </w:rPr>
              <w:t>Performed after intracavernosal vasoactive injection for an adequate erection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Functional</w:t>
            </w:r>
          </w:p>
        </w:tc>
        <w:tc>
          <w:tcPr>
            <w:tcW w:type="dxa" w:w="1036"/>
            <w:vAlign w:val="top"/>
          </w:tcPr>
          <w:p>
            <w:pPr>
              <w:spacing w:after="40" w:before="0" w:line="259" w:lineRule="auto"/>
            </w:pPr>
            <w:r>
              <w:rPr>
                <w:rFonts w:ascii="Calibri" w:hAnsi="Calibri"/>
                <w:b w:val="0"/>
                <w:i w:val="0"/>
                <w:color w:val="212121"/>
                <w:sz w:val="16"/>
              </w:rPr>
              <w:t>Erect penile curvature angle</w:t>
            </w:r>
          </w:p>
        </w:tc>
        <w:tc>
          <w:tcPr>
            <w:tcW w:type="dxa" w:w="892"/>
            <w:vAlign w:val="top"/>
          </w:tcPr>
          <w:p>
            <w:pPr>
              <w:spacing w:after="40" w:before="0" w:line="259" w:lineRule="auto"/>
            </w:pPr>
            <w:r>
              <w:rPr>
                <w:rFonts w:ascii="Calibri" w:hAnsi="Calibri"/>
                <w:b w:val="0"/>
                <w:i w:val="0"/>
                <w:color w:val="212121"/>
                <w:sz w:val="16"/>
              </w:rPr>
              <w:t>In-office intracavernosal injection (ICI) with goniometry</w:t>
            </w:r>
          </w:p>
        </w:tc>
        <w:tc>
          <w:tcPr>
            <w:tcW w:type="dxa" w:w="950"/>
            <w:vAlign w:val="top"/>
          </w:tcPr>
          <w:p>
            <w:pPr>
              <w:spacing w:after="40" w:before="0" w:line="259" w:lineRule="auto"/>
            </w:pPr>
            <w:r>
              <w:rPr>
                <w:rFonts w:ascii="Calibri" w:hAnsi="Calibri"/>
                <w:b w:val="0"/>
                <w:i w:val="0"/>
                <w:color w:val="212121"/>
                <w:sz w:val="16"/>
              </w:rPr>
              <w:t>&lt; 20 degrees</w:t>
            </w:r>
          </w:p>
        </w:tc>
        <w:tc>
          <w:tcPr>
            <w:tcW w:type="dxa" w:w="950"/>
            <w:vAlign w:val="top"/>
          </w:tcPr>
          <w:p>
            <w:pPr>
              <w:spacing w:after="40" w:before="0" w:line="259" w:lineRule="auto"/>
            </w:pPr>
            <w:r>
              <w:rPr>
                <w:rFonts w:ascii="Calibri" w:hAnsi="Calibri"/>
                <w:b w:val="0"/>
                <w:i w:val="0"/>
                <w:color w:val="212121"/>
                <w:sz w:val="16"/>
              </w:rPr>
              <w:t>&gt; 30 degrees (functional); &gt; 60 degrees (often surgical)</w:t>
            </w:r>
          </w:p>
        </w:tc>
        <w:tc>
          <w:tcPr>
            <w:tcW w:type="dxa" w:w="1036"/>
            <w:vAlign w:val="top"/>
          </w:tcPr>
          <w:p>
            <w:pPr>
              <w:spacing w:after="40" w:before="0" w:line="259" w:lineRule="auto"/>
            </w:pPr>
            <w:r>
              <w:rPr>
                <w:rFonts w:ascii="Calibri" w:hAnsi="Calibri"/>
                <w:b w:val="0"/>
                <w:i w:val="0"/>
                <w:color w:val="212121"/>
                <w:sz w:val="16"/>
              </w:rPr>
              <w:t>Objective, reproducible grading of deformity; corrects the frequent patient over-estimation</w:t>
            </w:r>
          </w:p>
        </w:tc>
        <w:tc>
          <w:tcPr>
            <w:tcW w:type="dxa" w:w="1036"/>
            <w:vAlign w:val="top"/>
          </w:tcPr>
          <w:p>
            <w:pPr>
              <w:spacing w:after="40" w:before="0" w:line="259" w:lineRule="auto"/>
            </w:pPr>
            <w:r>
              <w:rPr>
                <w:rFonts w:ascii="Calibri" w:hAnsi="Calibri"/>
                <w:b w:val="0"/>
                <w:i w:val="0"/>
                <w:color w:val="212121"/>
                <w:sz w:val="16"/>
              </w:rPr>
              <w:t>PD patients being staged or considered for surgery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operative planning</w:t>
            </w:r>
          </w:p>
        </w:tc>
        <w:tc>
          <w:tcPr>
            <w:tcW w:type="dxa" w:w="720"/>
            <w:vAlign w:val="top"/>
          </w:tcPr>
          <w:p>
            <w:pPr>
              <w:spacing w:after="40" w:before="0" w:line="259" w:lineRule="auto"/>
            </w:pPr>
            <w:r>
              <w:rPr>
                <w:rFonts w:ascii="Calibri" w:hAnsi="Calibri"/>
                <w:b w:val="0"/>
                <w:i w:val="0"/>
                <w:color w:val="212121"/>
                <w:sz w:val="16"/>
              </w:rPr>
              <w:t>A standardized home photograph of the erect penis is an acceptable alternative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Glycated haemoglobin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4.0-5.6 %</w:t>
            </w:r>
          </w:p>
        </w:tc>
        <w:tc>
          <w:tcPr>
            <w:tcW w:type="dxa" w:w="950"/>
            <w:vAlign w:val="top"/>
          </w:tcPr>
          <w:p>
            <w:pPr>
              <w:spacing w:after="40" w:before="0" w:line="259" w:lineRule="auto"/>
            </w:pPr>
            <w:r>
              <w:rPr>
                <w:rFonts w:ascii="Calibri" w:hAnsi="Calibri"/>
                <w:b w:val="0"/>
                <w:i w:val="0"/>
                <w:color w:val="212121"/>
                <w:sz w:val="16"/>
              </w:rPr>
              <w:t>&gt;= 6.5 %</w:t>
            </w:r>
          </w:p>
        </w:tc>
        <w:tc>
          <w:tcPr>
            <w:tcW w:type="dxa" w:w="1036"/>
            <w:vAlign w:val="top"/>
          </w:tcPr>
          <w:p>
            <w:pPr>
              <w:spacing w:after="40" w:before="0" w:line="259" w:lineRule="auto"/>
            </w:pPr>
            <w:r>
              <w:rPr>
                <w:rFonts w:ascii="Calibri" w:hAnsi="Calibri"/>
                <w:b w:val="0"/>
                <w:i w:val="0"/>
                <w:color w:val="212121"/>
                <w:sz w:val="16"/>
              </w:rPr>
              <w:t>Detects the diabetes that impairs tunical healing and drives diabetic ED - a major PD risk pathway in India</w:t>
            </w:r>
          </w:p>
        </w:tc>
        <w:tc>
          <w:tcPr>
            <w:tcW w:type="dxa" w:w="1036"/>
            <w:vAlign w:val="top"/>
          </w:tcPr>
          <w:p>
            <w:pPr>
              <w:spacing w:after="40" w:before="0" w:line="259" w:lineRule="auto"/>
            </w:pPr>
            <w:r>
              <w:rPr>
                <w:rFonts w:ascii="Calibri" w:hAnsi="Calibri"/>
                <w:b w:val="0"/>
                <w:i w:val="0"/>
                <w:color w:val="212121"/>
                <w:sz w:val="16"/>
              </w:rPr>
              <w:t>PD patients, especially younger men and those with ED</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Comorbidity screen</w:t>
            </w:r>
          </w:p>
        </w:tc>
        <w:tc>
          <w:tcPr>
            <w:tcW w:type="dxa" w:w="720"/>
            <w:vAlign w:val="top"/>
          </w:tcPr>
          <w:p>
            <w:pPr>
              <w:spacing w:after="40" w:before="0" w:line="259" w:lineRule="auto"/>
            </w:pPr>
            <w:r>
              <w:rPr>
                <w:rFonts w:ascii="Calibri" w:hAnsi="Calibri"/>
                <w:b w:val="0"/>
                <w:i w:val="0"/>
                <w:color w:val="212121"/>
                <w:sz w:val="16"/>
              </w:rPr>
              <w:t>Younger PD patients often show elevated HbA1c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plasma glucose</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70-99 mg/dL</w:t>
            </w:r>
          </w:p>
        </w:tc>
        <w:tc>
          <w:tcPr>
            <w:tcW w:type="dxa" w:w="950"/>
            <w:vAlign w:val="top"/>
          </w:tcPr>
          <w:p>
            <w:pPr>
              <w:spacing w:after="40" w:before="0" w:line="259" w:lineRule="auto"/>
            </w:pPr>
            <w:r>
              <w:rPr>
                <w:rFonts w:ascii="Calibri" w:hAnsi="Calibri"/>
                <w:b w:val="0"/>
                <w:i w:val="0"/>
                <w:color w:val="212121"/>
                <w:sz w:val="16"/>
              </w:rPr>
              <w:t>&gt;= 126 mg/dL</w:t>
            </w:r>
          </w:p>
        </w:tc>
        <w:tc>
          <w:tcPr>
            <w:tcW w:type="dxa" w:w="1036"/>
            <w:vAlign w:val="top"/>
          </w:tcPr>
          <w:p>
            <w:pPr>
              <w:spacing w:after="40" w:before="0" w:line="259" w:lineRule="auto"/>
            </w:pPr>
            <w:r>
              <w:rPr>
                <w:rFonts w:ascii="Calibri" w:hAnsi="Calibri"/>
                <w:b w:val="0"/>
                <w:i w:val="0"/>
                <w:color w:val="212121"/>
                <w:sz w:val="16"/>
              </w:rPr>
              <w:t>Confirms dysglycaemia contributing to microvascular impairment</w:t>
            </w:r>
          </w:p>
        </w:tc>
        <w:tc>
          <w:tcPr>
            <w:tcW w:type="dxa" w:w="1036"/>
            <w:vAlign w:val="top"/>
          </w:tcPr>
          <w:p>
            <w:pPr>
              <w:spacing w:after="40" w:before="0" w:line="259" w:lineRule="auto"/>
            </w:pPr>
            <w:r>
              <w:rPr>
                <w:rFonts w:ascii="Calibri" w:hAnsi="Calibri"/>
                <w:b w:val="0"/>
                <w:i w:val="0"/>
                <w:color w:val="212121"/>
                <w:sz w:val="16"/>
              </w:rPr>
              <w:t>PD patients with metabolic risk</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Comorbidity screen</w:t>
            </w:r>
          </w:p>
        </w:tc>
        <w:tc>
          <w:tcPr>
            <w:tcW w:type="dxa" w:w="720"/>
            <w:vAlign w:val="top"/>
          </w:tcPr>
          <w:p>
            <w:pPr>
              <w:spacing w:after="40" w:before="0" w:line="259" w:lineRule="auto"/>
            </w:pPr>
            <w:r>
              <w:rPr>
                <w:rFonts w:ascii="Calibri" w:hAnsi="Calibri"/>
                <w:b w:val="0"/>
                <w:i w:val="0"/>
                <w:color w:val="212121"/>
                <w:sz w:val="16"/>
              </w:rPr>
              <w:t>Repeat/confirm before labelling diabetic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w:t>
            </w:r>
          </w:p>
        </w:tc>
        <w:tc>
          <w:tcPr>
            <w:tcW w:type="dxa" w:w="892"/>
            <w:vAlign w:val="top"/>
          </w:tcPr>
          <w:p>
            <w:pPr>
              <w:spacing w:after="40" w:before="0" w:line="259" w:lineRule="auto"/>
            </w:pPr>
            <w:r>
              <w:rPr>
                <w:rFonts w:ascii="Calibri" w:hAnsi="Calibri"/>
                <w:b w:val="0"/>
                <w:i w:val="0"/>
                <w:color w:val="212121"/>
                <w:sz w:val="16"/>
              </w:rPr>
              <w:t>Serum lipids</w:t>
            </w:r>
          </w:p>
        </w:tc>
        <w:tc>
          <w:tcPr>
            <w:tcW w:type="dxa" w:w="950"/>
            <w:vAlign w:val="top"/>
          </w:tcPr>
          <w:p>
            <w:pPr>
              <w:spacing w:after="40" w:before="0" w:line="259" w:lineRule="auto"/>
            </w:pPr>
            <w:r>
              <w:rPr>
                <w:rFonts w:ascii="Calibri" w:hAnsi="Calibri"/>
                <w:b w:val="0"/>
                <w:i w:val="0"/>
                <w:color w:val="212121"/>
                <w:sz w:val="16"/>
              </w:rPr>
              <w:t>LDL &lt; 100 mg/dL; TG &lt; 150 mg/dL</w:t>
            </w:r>
          </w:p>
        </w:tc>
        <w:tc>
          <w:tcPr>
            <w:tcW w:type="dxa" w:w="950"/>
            <w:vAlign w:val="top"/>
          </w:tcPr>
          <w:p>
            <w:pPr>
              <w:spacing w:after="40" w:before="0" w:line="259" w:lineRule="auto"/>
            </w:pPr>
            <w:r>
              <w:rPr>
                <w:rFonts w:ascii="Calibri" w:hAnsi="Calibri"/>
                <w:b w:val="0"/>
                <w:i w:val="0"/>
                <w:color w:val="212121"/>
                <w:sz w:val="16"/>
              </w:rPr>
              <w:t>LDL &gt;= 130; TG &gt;= 150; low HDL</w:t>
            </w:r>
          </w:p>
        </w:tc>
        <w:tc>
          <w:tcPr>
            <w:tcW w:type="dxa" w:w="1036"/>
            <w:vAlign w:val="top"/>
          </w:tcPr>
          <w:p>
            <w:pPr>
              <w:spacing w:after="40" w:before="0" w:line="259" w:lineRule="auto"/>
            </w:pPr>
            <w:r>
              <w:rPr>
                <w:rFonts w:ascii="Calibri" w:hAnsi="Calibri"/>
                <w:b w:val="0"/>
                <w:i w:val="0"/>
                <w:color w:val="212121"/>
                <w:sz w:val="16"/>
              </w:rPr>
              <w:t>Dyslipidemia is a recognised PD/vascular risk factor and guides cardiovascular risk reduction</w:t>
            </w:r>
          </w:p>
        </w:tc>
        <w:tc>
          <w:tcPr>
            <w:tcW w:type="dxa" w:w="1036"/>
            <w:vAlign w:val="top"/>
          </w:tcPr>
          <w:p>
            <w:pPr>
              <w:spacing w:after="40" w:before="0" w:line="259" w:lineRule="auto"/>
            </w:pPr>
            <w:r>
              <w:rPr>
                <w:rFonts w:ascii="Calibri" w:hAnsi="Calibri"/>
                <w:b w:val="0"/>
                <w:i w:val="0"/>
                <w:color w:val="212121"/>
                <w:sz w:val="16"/>
              </w:rPr>
              <w:t>PD patients with metabolic syndrome</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Comorbidity screen</w:t>
            </w:r>
          </w:p>
        </w:tc>
        <w:tc>
          <w:tcPr>
            <w:tcW w:type="dxa" w:w="720"/>
            <w:vAlign w:val="top"/>
          </w:tcPr>
          <w:p>
            <w:pPr>
              <w:spacing w:after="40" w:before="0" w:line="259" w:lineRule="auto"/>
            </w:pPr>
            <w:r>
              <w:rPr>
                <w:rFonts w:ascii="Calibri" w:hAnsi="Calibri"/>
                <w:b w:val="0"/>
                <w:i w:val="0"/>
                <w:color w:val="212121"/>
                <w:sz w:val="16"/>
              </w:rPr>
              <w:t>Part of shared cardiovascular-erectile risk assessment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Morning total testosterone</w:t>
            </w:r>
          </w:p>
        </w:tc>
        <w:tc>
          <w:tcPr>
            <w:tcW w:type="dxa" w:w="892"/>
            <w:vAlign w:val="top"/>
          </w:tcPr>
          <w:p>
            <w:pPr>
              <w:spacing w:after="40" w:before="0" w:line="259" w:lineRule="auto"/>
            </w:pPr>
            <w:r>
              <w:rPr>
                <w:rFonts w:ascii="Calibri" w:hAnsi="Calibri"/>
                <w:b w:val="0"/>
                <w:i w:val="0"/>
                <w:color w:val="212121"/>
                <w:sz w:val="16"/>
              </w:rPr>
              <w:t>Serum testosterone</w:t>
            </w:r>
          </w:p>
        </w:tc>
        <w:tc>
          <w:tcPr>
            <w:tcW w:type="dxa" w:w="950"/>
            <w:vAlign w:val="top"/>
          </w:tcPr>
          <w:p>
            <w:pPr>
              <w:spacing w:after="40" w:before="0" w:line="259" w:lineRule="auto"/>
            </w:pPr>
            <w:r>
              <w:rPr>
                <w:rFonts w:ascii="Calibri" w:hAnsi="Calibri"/>
                <w:b w:val="0"/>
                <w:i w:val="0"/>
                <w:color w:val="212121"/>
                <w:sz w:val="16"/>
              </w:rPr>
              <w:t>&gt; 300 ng/dL</w:t>
            </w:r>
          </w:p>
        </w:tc>
        <w:tc>
          <w:tcPr>
            <w:tcW w:type="dxa" w:w="950"/>
            <w:vAlign w:val="top"/>
          </w:tcPr>
          <w:p>
            <w:pPr>
              <w:spacing w:after="40" w:before="0" w:line="259" w:lineRule="auto"/>
            </w:pPr>
            <w:r>
              <w:rPr>
                <w:rFonts w:ascii="Calibri" w:hAnsi="Calibri"/>
                <w:b w:val="0"/>
                <w:i w:val="0"/>
                <w:color w:val="212121"/>
                <w:sz w:val="16"/>
              </w:rPr>
              <w:t>&lt; 300 ng/dL</w:t>
            </w:r>
          </w:p>
        </w:tc>
        <w:tc>
          <w:tcPr>
            <w:tcW w:type="dxa" w:w="1036"/>
            <w:vAlign w:val="top"/>
          </w:tcPr>
          <w:p>
            <w:pPr>
              <w:spacing w:after="40" w:before="0" w:line="259" w:lineRule="auto"/>
            </w:pPr>
            <w:r>
              <w:rPr>
                <w:rFonts w:ascii="Calibri" w:hAnsi="Calibri"/>
                <w:b w:val="0"/>
                <w:i w:val="0"/>
                <w:color w:val="212121"/>
                <w:sz w:val="16"/>
              </w:rPr>
              <w:t>Identifies hypogonadism, associated with PD and greater curvature</w:t>
            </w:r>
          </w:p>
        </w:tc>
        <w:tc>
          <w:tcPr>
            <w:tcW w:type="dxa" w:w="1036"/>
            <w:vAlign w:val="top"/>
          </w:tcPr>
          <w:p>
            <w:pPr>
              <w:spacing w:after="40" w:before="0" w:line="259" w:lineRule="auto"/>
            </w:pPr>
            <w:r>
              <w:rPr>
                <w:rFonts w:ascii="Calibri" w:hAnsi="Calibri"/>
                <w:b w:val="0"/>
                <w:i w:val="0"/>
                <w:color w:val="212121"/>
                <w:sz w:val="16"/>
              </w:rPr>
              <w:t>PD patients with low libido, fatigue or 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Order only when hypogonadism is clinically suspected; not routine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 (selective)</w:t>
            </w:r>
          </w:p>
        </w:tc>
        <w:tc>
          <w:tcPr>
            <w:tcW w:type="dxa" w:w="1036"/>
            <w:vAlign w:val="top"/>
          </w:tcPr>
          <w:p>
            <w:pPr>
              <w:spacing w:after="40" w:before="0" w:line="259" w:lineRule="auto"/>
            </w:pPr>
            <w:r>
              <w:rPr>
                <w:rFonts w:ascii="Calibri" w:hAnsi="Calibri"/>
                <w:b w:val="0"/>
                <w:i w:val="0"/>
                <w:color w:val="212121"/>
                <w:sz w:val="16"/>
              </w:rPr>
              <w:t>Plaque signal / extent</w:t>
            </w:r>
          </w:p>
        </w:tc>
        <w:tc>
          <w:tcPr>
            <w:tcW w:type="dxa" w:w="892"/>
            <w:vAlign w:val="top"/>
          </w:tcPr>
          <w:p>
            <w:pPr>
              <w:spacing w:after="40" w:before="0" w:line="259" w:lineRule="auto"/>
            </w:pPr>
            <w:r>
              <w:rPr>
                <w:rFonts w:ascii="Calibri" w:hAnsi="Calibri"/>
                <w:b w:val="0"/>
                <w:i w:val="0"/>
                <w:color w:val="212121"/>
                <w:sz w:val="16"/>
              </w:rPr>
              <w:t>Penile MRI</w:t>
            </w:r>
          </w:p>
        </w:tc>
        <w:tc>
          <w:tcPr>
            <w:tcW w:type="dxa" w:w="950"/>
            <w:vAlign w:val="top"/>
          </w:tcPr>
          <w:p>
            <w:pPr>
              <w:spacing w:after="40" w:before="0" w:line="259" w:lineRule="auto"/>
            </w:pPr>
            <w:r>
              <w:rPr>
                <w:rFonts w:ascii="Calibri" w:hAnsi="Calibri"/>
                <w:b w:val="0"/>
                <w:i w:val="0"/>
                <w:color w:val="212121"/>
                <w:sz w:val="16"/>
              </w:rPr>
              <w:t>No abnormal low-signal plaque</w:t>
            </w:r>
          </w:p>
        </w:tc>
        <w:tc>
          <w:tcPr>
            <w:tcW w:type="dxa" w:w="950"/>
            <w:vAlign w:val="top"/>
          </w:tcPr>
          <w:p>
            <w:pPr>
              <w:spacing w:after="40" w:before="0" w:line="259" w:lineRule="auto"/>
            </w:pPr>
            <w:r>
              <w:rPr>
                <w:rFonts w:ascii="Calibri" w:hAnsi="Calibri"/>
                <w:b w:val="0"/>
                <w:i w:val="0"/>
                <w:color w:val="212121"/>
                <w:sz w:val="16"/>
              </w:rPr>
              <w:t>Low-signal-intensity plaque; complex septal involvement</w:t>
            </w:r>
          </w:p>
        </w:tc>
        <w:tc>
          <w:tcPr>
            <w:tcW w:type="dxa" w:w="1036"/>
            <w:vAlign w:val="top"/>
          </w:tcPr>
          <w:p>
            <w:pPr>
              <w:spacing w:after="40" w:before="0" w:line="259" w:lineRule="auto"/>
            </w:pPr>
            <w:r>
              <w:rPr>
                <w:rFonts w:ascii="Calibri" w:hAnsi="Calibri"/>
                <w:b w:val="0"/>
                <w:i w:val="0"/>
                <w:color w:val="212121"/>
                <w:sz w:val="16"/>
              </w:rPr>
              <w:t>Reserved for equivocal or complex cases; excellent soft-tissue detail but poor for calcification and costly</w:t>
            </w:r>
          </w:p>
        </w:tc>
        <w:tc>
          <w:tcPr>
            <w:tcW w:type="dxa" w:w="1036"/>
            <w:vAlign w:val="top"/>
          </w:tcPr>
          <w:p>
            <w:pPr>
              <w:spacing w:after="40" w:before="0" w:line="259" w:lineRule="auto"/>
            </w:pPr>
            <w:r>
              <w:rPr>
                <w:rFonts w:ascii="Calibri" w:hAnsi="Calibri"/>
                <w:b w:val="0"/>
                <w:i w:val="0"/>
                <w:color w:val="212121"/>
                <w:sz w:val="16"/>
              </w:rPr>
              <w:t>Selected complex/atypical PD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 (not routine)</w:t>
            </w:r>
          </w:p>
        </w:tc>
        <w:tc>
          <w:tcPr>
            <w:tcW w:type="dxa" w:w="720"/>
            <w:vAlign w:val="top"/>
          </w:tcPr>
          <w:p>
            <w:pPr>
              <w:spacing w:after="40" w:before="0" w:line="259" w:lineRule="auto"/>
            </w:pPr>
            <w:r>
              <w:rPr>
                <w:rFonts w:ascii="Calibri" w:hAnsi="Calibri"/>
                <w:b w:val="0"/>
                <w:i w:val="0"/>
                <w:color w:val="212121"/>
                <w:sz w:val="16"/>
              </w:rPr>
              <w:t>Not recommended for routine work-up</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Acquired penile curvature, palpable lump, painful erection, shortening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Cardinal presenting features of Peyronie's disease</w:t>
            </w:r>
          </w:p>
        </w:tc>
        <w:tc>
          <w:tcPr>
            <w:tcW w:type="dxa" w:w="1036"/>
            <w:vAlign w:val="top"/>
          </w:tcPr>
          <w:p>
            <w:pPr>
              <w:spacing w:after="40" w:before="0" w:line="259" w:lineRule="auto"/>
            </w:pPr>
            <w:r>
              <w:rPr>
                <w:rFonts w:ascii="Calibri" w:hAnsi="Calibri"/>
                <w:b w:val="0"/>
                <w:i w:val="0"/>
                <w:color w:val="212121"/>
                <w:sz w:val="16"/>
              </w:rPr>
              <w:t>Adult men with new penile deformity or plaque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Distinguish from congenital curvature (lifelong, no plaque)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 timeline &amp; stability</w:t>
            </w:r>
          </w:p>
        </w:tc>
        <w:tc>
          <w:tcPr>
            <w:tcW w:type="dxa" w:w="979"/>
            <w:vAlign w:val="top"/>
          </w:tcPr>
          <w:p>
            <w:pPr>
              <w:spacing w:after="40" w:before="0" w:line="259" w:lineRule="auto"/>
            </w:pPr>
            <w:r>
              <w:rPr>
                <w:rFonts w:ascii="Calibri" w:hAnsi="Calibri"/>
                <w:b w:val="0"/>
                <w:i w:val="0"/>
                <w:color w:val="212121"/>
                <w:sz w:val="16"/>
              </w:rPr>
              <w:t>Onset, progression, duration of stability</w:t>
            </w:r>
          </w:p>
        </w:tc>
        <w:tc>
          <w:tcPr>
            <w:tcW w:type="dxa" w:w="950"/>
            <w:vAlign w:val="top"/>
          </w:tcPr>
          <w:p>
            <w:pPr>
              <w:spacing w:after="40" w:before="0" w:line="259" w:lineRule="auto"/>
            </w:pPr>
            <w:r>
              <w:rPr>
                <w:rFonts w:ascii="Calibri" w:hAnsi="Calibri"/>
                <w:b w:val="0"/>
                <w:i w:val="0"/>
                <w:color w:val="212121"/>
                <w:sz w:val="16"/>
              </w:rPr>
              <w:t>NA</w:t>
            </w:r>
          </w:p>
        </w:tc>
        <w:tc>
          <w:tcPr>
            <w:tcW w:type="dxa" w:w="950"/>
            <w:vAlign w:val="top"/>
          </w:tcPr>
          <w:p>
            <w:pPr>
              <w:spacing w:after="40" w:before="0" w:line="259" w:lineRule="auto"/>
            </w:pPr>
            <w:r>
              <w:rPr>
                <w:rFonts w:ascii="Calibri" w:hAnsi="Calibri"/>
                <w:b w:val="0"/>
                <w:i w:val="0"/>
                <w:color w:val="212121"/>
                <w:sz w:val="16"/>
              </w:rPr>
              <w:t>Progressive vs stable &gt;=3 months</w:t>
            </w:r>
          </w:p>
        </w:tc>
        <w:tc>
          <w:tcPr>
            <w:tcW w:type="dxa" w:w="1036"/>
            <w:vAlign w:val="top"/>
          </w:tcPr>
          <w:p>
            <w:pPr>
              <w:spacing w:after="40" w:before="0" w:line="259" w:lineRule="auto"/>
            </w:pPr>
            <w:r>
              <w:rPr>
                <w:rFonts w:ascii="Calibri" w:hAnsi="Calibri"/>
                <w:b w:val="0"/>
                <w:i w:val="0"/>
                <w:color w:val="212121"/>
                <w:sz w:val="16"/>
              </w:rPr>
              <w:t>Determines active vs chronic phase - central to treatment choice</w:t>
            </w:r>
          </w:p>
        </w:tc>
        <w:tc>
          <w:tcPr>
            <w:tcW w:type="dxa" w:w="1036"/>
            <w:vAlign w:val="top"/>
          </w:tcPr>
          <w:p>
            <w:pPr>
              <w:spacing w:after="40" w:before="0" w:line="259" w:lineRule="auto"/>
            </w:pPr>
            <w:r>
              <w:rPr>
                <w:rFonts w:ascii="Calibri" w:hAnsi="Calibri"/>
                <w:b w:val="0"/>
                <w:i w:val="0"/>
                <w:color w:val="212121"/>
                <w:sz w:val="16"/>
              </w:rPr>
              <w:t>All PD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Staging</w:t>
            </w:r>
          </w:p>
        </w:tc>
        <w:tc>
          <w:tcPr>
            <w:tcW w:type="dxa" w:w="720"/>
            <w:vAlign w:val="top"/>
          </w:tcPr>
          <w:p>
            <w:pPr>
              <w:spacing w:after="40" w:before="0" w:line="259" w:lineRule="auto"/>
            </w:pPr>
            <w:r>
              <w:rPr>
                <w:rFonts w:ascii="Calibri" w:hAnsi="Calibri"/>
                <w:b w:val="0"/>
                <w:i w:val="0"/>
                <w:color w:val="212121"/>
                <w:sz w:val="16"/>
              </w:rPr>
              <w:t>Medical therapy targets the active phase; surgery the stable phase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Trauma &amp; iatrogenic history</w:t>
            </w:r>
          </w:p>
        </w:tc>
        <w:tc>
          <w:tcPr>
            <w:tcW w:type="dxa" w:w="979"/>
            <w:vAlign w:val="top"/>
          </w:tcPr>
          <w:p>
            <w:pPr>
              <w:spacing w:after="40" w:before="0" w:line="259" w:lineRule="auto"/>
            </w:pPr>
            <w:r>
              <w:rPr>
                <w:rFonts w:ascii="Calibri" w:hAnsi="Calibri"/>
                <w:b w:val="0"/>
                <w:i w:val="0"/>
                <w:color w:val="212121"/>
                <w:sz w:val="16"/>
              </w:rPr>
              <w:t>Sexual/sport microtrauma, prostatectomy, instrumentation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relevant event</w:t>
            </w:r>
          </w:p>
        </w:tc>
        <w:tc>
          <w:tcPr>
            <w:tcW w:type="dxa" w:w="1036"/>
            <w:vAlign w:val="top"/>
          </w:tcPr>
          <w:p>
            <w:pPr>
              <w:spacing w:after="40" w:before="0" w:line="259" w:lineRule="auto"/>
            </w:pPr>
            <w:r>
              <w:rPr>
                <w:rFonts w:ascii="Calibri" w:hAnsi="Calibri"/>
                <w:b w:val="0"/>
                <w:i w:val="0"/>
                <w:color w:val="212121"/>
                <w:sz w:val="16"/>
              </w:rPr>
              <w:t>Identifies provoking injury; PD follows radical prostatectomy in ~16%</w:t>
            </w:r>
          </w:p>
        </w:tc>
        <w:tc>
          <w:tcPr>
            <w:tcW w:type="dxa" w:w="1036"/>
            <w:vAlign w:val="top"/>
          </w:tcPr>
          <w:p>
            <w:pPr>
              <w:spacing w:after="40" w:before="0" w:line="259" w:lineRule="auto"/>
            </w:pPr>
            <w:r>
              <w:rPr>
                <w:rFonts w:ascii="Calibri" w:hAnsi="Calibri"/>
                <w:b w:val="0"/>
                <w:i w:val="0"/>
                <w:color w:val="212121"/>
                <w:sz w:val="16"/>
              </w:rPr>
              <w:t>Post-pelvic-surgery and instrumented 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Etiological</w:t>
            </w:r>
          </w:p>
        </w:tc>
        <w:tc>
          <w:tcPr>
            <w:tcW w:type="dxa" w:w="720"/>
            <w:vAlign w:val="top"/>
          </w:tcPr>
          <w:p>
            <w:pPr>
              <w:spacing w:after="40" w:before="0" w:line="259" w:lineRule="auto"/>
            </w:pPr>
            <w:r>
              <w:rPr>
                <w:rFonts w:ascii="Calibri" w:hAnsi="Calibri"/>
                <w:b w:val="0"/>
                <w:i w:val="0"/>
                <w:color w:val="212121"/>
                <w:sz w:val="16"/>
              </w:rPr>
              <w:t>Ask specifically about buckling injuries and catheterization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fibromatosis history</w:t>
            </w:r>
          </w:p>
        </w:tc>
        <w:tc>
          <w:tcPr>
            <w:tcW w:type="dxa" w:w="979"/>
            <w:vAlign w:val="top"/>
          </w:tcPr>
          <w:p>
            <w:pPr>
              <w:spacing w:after="40" w:before="0" w:line="259" w:lineRule="auto"/>
            </w:pPr>
            <w:r>
              <w:rPr>
                <w:rFonts w:ascii="Calibri" w:hAnsi="Calibri"/>
                <w:b w:val="0"/>
                <w:i w:val="0"/>
                <w:color w:val="212121"/>
                <w:sz w:val="16"/>
              </w:rPr>
              <w:t>First-degree PD/Dupuytren's; personal Dupuytren/Ledderhose</w:t>
            </w:r>
          </w:p>
        </w:tc>
        <w:tc>
          <w:tcPr>
            <w:tcW w:type="dxa" w:w="950"/>
            <w:vAlign w:val="top"/>
          </w:tcPr>
          <w:p>
            <w:pPr>
              <w:spacing w:after="40" w:before="0" w:line="259" w:lineRule="auto"/>
            </w:pPr>
            <w:r>
              <w:rPr>
                <w:rFonts w:ascii="Calibri" w:hAnsi="Calibri"/>
                <w:b w:val="0"/>
                <w:i w:val="0"/>
                <w:color w:val="212121"/>
                <w:sz w:val="16"/>
              </w:rPr>
              <w:t>No family/fibrosis history</w:t>
            </w:r>
          </w:p>
        </w:tc>
        <w:tc>
          <w:tcPr>
            <w:tcW w:type="dxa" w:w="950"/>
            <w:vAlign w:val="top"/>
          </w:tcPr>
          <w:p>
            <w:pPr>
              <w:spacing w:after="40" w:before="0" w:line="259" w:lineRule="auto"/>
            </w:pPr>
            <w:r>
              <w:rPr>
                <w:rFonts w:ascii="Calibri" w:hAnsi="Calibri"/>
                <w:b w:val="0"/>
                <w:i w:val="0"/>
                <w:color w:val="212121"/>
                <w:sz w:val="16"/>
              </w:rPr>
              <w:t>&gt;=1 affected relative or coexisting fibromatosis</w:t>
            </w:r>
          </w:p>
        </w:tc>
        <w:tc>
          <w:tcPr>
            <w:tcW w:type="dxa" w:w="1036"/>
            <w:vAlign w:val="top"/>
          </w:tcPr>
          <w:p>
            <w:pPr>
              <w:spacing w:after="40" w:before="0" w:line="259" w:lineRule="auto"/>
            </w:pPr>
            <w:r>
              <w:rPr>
                <w:rFonts w:ascii="Calibri" w:hAnsi="Calibri"/>
                <w:b w:val="0"/>
                <w:i w:val="0"/>
                <w:color w:val="212121"/>
                <w:sz w:val="16"/>
              </w:rPr>
              <w:t>Reveals genetic fibromatosis diathesis</w:t>
            </w:r>
          </w:p>
        </w:tc>
        <w:tc>
          <w:tcPr>
            <w:tcW w:type="dxa" w:w="1036"/>
            <w:vAlign w:val="top"/>
          </w:tcPr>
          <w:p>
            <w:pPr>
              <w:spacing w:after="40" w:before="0" w:line="259" w:lineRule="auto"/>
            </w:pPr>
            <w:r>
              <w:rPr>
                <w:rFonts w:ascii="Calibri" w:hAnsi="Calibri"/>
                <w:b w:val="0"/>
                <w:i w:val="0"/>
                <w:color w:val="212121"/>
                <w:sz w:val="16"/>
              </w:rPr>
              <w:t>Men with familial fibrosis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Examine palms (Dupuytren) and soles (Ledderhose)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Sexual &amp; psychosocial assessment</w:t>
            </w:r>
          </w:p>
        </w:tc>
        <w:tc>
          <w:tcPr>
            <w:tcW w:type="dxa" w:w="979"/>
            <w:vAlign w:val="top"/>
          </w:tcPr>
          <w:p>
            <w:pPr>
              <w:spacing w:after="40" w:before="0" w:line="259" w:lineRule="auto"/>
            </w:pPr>
            <w:r>
              <w:rPr>
                <w:rFonts w:ascii="Calibri" w:hAnsi="Calibri"/>
                <w:b w:val="0"/>
                <w:i w:val="0"/>
                <w:color w:val="212121"/>
                <w:sz w:val="16"/>
              </w:rPr>
              <w:t>IIEF-5 score, distress, relationship impact</w:t>
            </w:r>
          </w:p>
        </w:tc>
        <w:tc>
          <w:tcPr>
            <w:tcW w:type="dxa" w:w="950"/>
            <w:vAlign w:val="top"/>
          </w:tcPr>
          <w:p>
            <w:pPr>
              <w:spacing w:after="40" w:before="0" w:line="259" w:lineRule="auto"/>
            </w:pPr>
            <w:r>
              <w:rPr>
                <w:rFonts w:ascii="Calibri" w:hAnsi="Calibri"/>
                <w:b w:val="0"/>
                <w:i w:val="0"/>
                <w:color w:val="212121"/>
                <w:sz w:val="16"/>
              </w:rPr>
              <w:t>IIEF-5 22-25; minimal distress</w:t>
            </w:r>
          </w:p>
        </w:tc>
        <w:tc>
          <w:tcPr>
            <w:tcW w:type="dxa" w:w="950"/>
            <w:vAlign w:val="top"/>
          </w:tcPr>
          <w:p>
            <w:pPr>
              <w:spacing w:after="40" w:before="0" w:line="259" w:lineRule="auto"/>
            </w:pPr>
            <w:r>
              <w:rPr>
                <w:rFonts w:ascii="Calibri" w:hAnsi="Calibri"/>
                <w:b w:val="0"/>
                <w:i w:val="0"/>
                <w:color w:val="212121"/>
                <w:sz w:val="16"/>
              </w:rPr>
              <w:t>IIEF-5 &lt;= 21; significant depression/anxiety</w:t>
            </w:r>
          </w:p>
        </w:tc>
        <w:tc>
          <w:tcPr>
            <w:tcW w:type="dxa" w:w="1036"/>
            <w:vAlign w:val="top"/>
          </w:tcPr>
          <w:p>
            <w:pPr>
              <w:spacing w:after="40" w:before="0" w:line="259" w:lineRule="auto"/>
            </w:pPr>
            <w:r>
              <w:rPr>
                <w:rFonts w:ascii="Calibri" w:hAnsi="Calibri"/>
                <w:b w:val="0"/>
                <w:i w:val="0"/>
                <w:color w:val="212121"/>
                <w:sz w:val="16"/>
              </w:rPr>
              <w:t>Quantifies ED and the major psychological morbidity of PD</w:t>
            </w:r>
          </w:p>
        </w:tc>
        <w:tc>
          <w:tcPr>
            <w:tcW w:type="dxa" w:w="1036"/>
            <w:vAlign w:val="top"/>
          </w:tcPr>
          <w:p>
            <w:pPr>
              <w:spacing w:after="40" w:before="0" w:line="259" w:lineRule="auto"/>
            </w:pPr>
            <w:r>
              <w:rPr>
                <w:rFonts w:ascii="Calibri" w:hAnsi="Calibri"/>
                <w:b w:val="0"/>
                <w:i w:val="0"/>
                <w:color w:val="212121"/>
                <w:sz w:val="16"/>
              </w:rPr>
              <w:t>All PD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Functional / QoL</w:t>
            </w:r>
          </w:p>
        </w:tc>
        <w:tc>
          <w:tcPr>
            <w:tcW w:type="dxa" w:w="720"/>
            <w:vAlign w:val="top"/>
          </w:tcPr>
          <w:p>
            <w:pPr>
              <w:spacing w:after="40" w:before="0" w:line="259" w:lineRule="auto"/>
            </w:pPr>
            <w:r>
              <w:rPr>
                <w:rFonts w:ascii="Calibri" w:hAnsi="Calibri"/>
                <w:b w:val="0"/>
                <w:i w:val="0"/>
                <w:color w:val="212121"/>
                <w:sz w:val="16"/>
              </w:rPr>
              <w:t>Depression affects ~58% and anxiety ~88% of PD patients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Plaque palpation &amp; penile length</w:t>
            </w:r>
          </w:p>
        </w:tc>
        <w:tc>
          <w:tcPr>
            <w:tcW w:type="dxa" w:w="979"/>
            <w:vAlign w:val="top"/>
          </w:tcPr>
          <w:p>
            <w:pPr>
              <w:spacing w:after="40" w:before="0" w:line="259" w:lineRule="auto"/>
            </w:pPr>
            <w:r>
              <w:rPr>
                <w:rFonts w:ascii="Calibri" w:hAnsi="Calibri"/>
                <w:b w:val="0"/>
                <w:i w:val="0"/>
                <w:color w:val="212121"/>
                <w:sz w:val="16"/>
              </w:rPr>
              <w:t>Flaccid plaque location; stretched penile length</w:t>
            </w:r>
          </w:p>
        </w:tc>
        <w:tc>
          <w:tcPr>
            <w:tcW w:type="dxa" w:w="950"/>
            <w:vAlign w:val="top"/>
          </w:tcPr>
          <w:p>
            <w:pPr>
              <w:spacing w:after="40" w:before="0" w:line="259" w:lineRule="auto"/>
            </w:pPr>
            <w:r>
              <w:rPr>
                <w:rFonts w:ascii="Calibri" w:hAnsi="Calibri"/>
                <w:b w:val="0"/>
                <w:i w:val="0"/>
                <w:color w:val="212121"/>
                <w:sz w:val="16"/>
              </w:rPr>
              <w:t>No plaque; baseline length</w:t>
            </w:r>
          </w:p>
        </w:tc>
        <w:tc>
          <w:tcPr>
            <w:tcW w:type="dxa" w:w="950"/>
            <w:vAlign w:val="top"/>
          </w:tcPr>
          <w:p>
            <w:pPr>
              <w:spacing w:after="40" w:before="0" w:line="259" w:lineRule="auto"/>
            </w:pPr>
            <w:r>
              <w:rPr>
                <w:rFonts w:ascii="Calibri" w:hAnsi="Calibri"/>
                <w:b w:val="0"/>
                <w:i w:val="0"/>
                <w:color w:val="212121"/>
                <w:sz w:val="16"/>
              </w:rPr>
              <w:t>Palpable dorsal plaque (89%); reduced stretched length</w:t>
            </w:r>
          </w:p>
        </w:tc>
        <w:tc>
          <w:tcPr>
            <w:tcW w:type="dxa" w:w="1036"/>
            <w:vAlign w:val="top"/>
          </w:tcPr>
          <w:p>
            <w:pPr>
              <w:spacing w:after="40" w:before="0" w:line="259" w:lineRule="auto"/>
            </w:pPr>
            <w:r>
              <w:rPr>
                <w:rFonts w:ascii="Calibri" w:hAnsi="Calibri"/>
                <w:b w:val="0"/>
                <w:i w:val="0"/>
                <w:color w:val="212121"/>
                <w:sz w:val="16"/>
              </w:rPr>
              <w:t>Confirms and localises the plaque and documents shortening</w:t>
            </w:r>
          </w:p>
        </w:tc>
        <w:tc>
          <w:tcPr>
            <w:tcW w:type="dxa" w:w="1036"/>
            <w:vAlign w:val="top"/>
          </w:tcPr>
          <w:p>
            <w:pPr>
              <w:spacing w:after="40" w:before="0" w:line="259" w:lineRule="auto"/>
            </w:pPr>
            <w:r>
              <w:rPr>
                <w:rFonts w:ascii="Calibri" w:hAnsi="Calibri"/>
                <w:b w:val="0"/>
                <w:i w:val="0"/>
                <w:color w:val="212121"/>
                <w:sz w:val="16"/>
              </w:rPr>
              <w:t>All PD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Measure with gentle 90-degree traction from the glans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Erect deformity &amp; associated exam</w:t>
            </w:r>
          </w:p>
        </w:tc>
        <w:tc>
          <w:tcPr>
            <w:tcW w:type="dxa" w:w="979"/>
            <w:vAlign w:val="top"/>
          </w:tcPr>
          <w:p>
            <w:pPr>
              <w:spacing w:after="40" w:before="0" w:line="259" w:lineRule="auto"/>
            </w:pPr>
            <w:r>
              <w:rPr>
                <w:rFonts w:ascii="Calibri" w:hAnsi="Calibri"/>
                <w:b w:val="0"/>
                <w:i w:val="0"/>
                <w:color w:val="212121"/>
                <w:sz w:val="16"/>
              </w:rPr>
              <w:t>Curvature, hourglass/hinge, hands and feet</w:t>
            </w:r>
          </w:p>
        </w:tc>
        <w:tc>
          <w:tcPr>
            <w:tcW w:type="dxa" w:w="950"/>
            <w:vAlign w:val="top"/>
          </w:tcPr>
          <w:p>
            <w:pPr>
              <w:spacing w:after="40" w:before="0" w:line="259" w:lineRule="auto"/>
            </w:pPr>
            <w:r>
              <w:rPr>
                <w:rFonts w:ascii="Calibri" w:hAnsi="Calibri"/>
                <w:b w:val="0"/>
                <w:i w:val="0"/>
                <w:color w:val="212121"/>
                <w:sz w:val="16"/>
              </w:rPr>
              <w:t>Straight erection; no palmar/plantar nodules</w:t>
            </w:r>
          </w:p>
        </w:tc>
        <w:tc>
          <w:tcPr>
            <w:tcW w:type="dxa" w:w="950"/>
            <w:vAlign w:val="top"/>
          </w:tcPr>
          <w:p>
            <w:pPr>
              <w:spacing w:after="40" w:before="0" w:line="259" w:lineRule="auto"/>
            </w:pPr>
            <w:r>
              <w:rPr>
                <w:rFonts w:ascii="Calibri" w:hAnsi="Calibri"/>
                <w:b w:val="0"/>
                <w:i w:val="0"/>
                <w:color w:val="212121"/>
                <w:sz w:val="16"/>
              </w:rPr>
              <w:t>Objective curvature/complex deformity; Dupuytren/Ledderhose nodules</w:t>
            </w:r>
          </w:p>
        </w:tc>
        <w:tc>
          <w:tcPr>
            <w:tcW w:type="dxa" w:w="1036"/>
            <w:vAlign w:val="top"/>
          </w:tcPr>
          <w:p>
            <w:pPr>
              <w:spacing w:after="40" w:before="0" w:line="259" w:lineRule="auto"/>
            </w:pPr>
            <w:r>
              <w:rPr>
                <w:rFonts w:ascii="Calibri" w:hAnsi="Calibri"/>
                <w:b w:val="0"/>
                <w:i w:val="0"/>
                <w:color w:val="212121"/>
                <w:sz w:val="16"/>
              </w:rPr>
              <w:t>Grades deformity and detects the fibromatosis diathesis</w:t>
            </w:r>
          </w:p>
        </w:tc>
        <w:tc>
          <w:tcPr>
            <w:tcW w:type="dxa" w:w="1036"/>
            <w:vAlign w:val="top"/>
          </w:tcPr>
          <w:p>
            <w:pPr>
              <w:spacing w:after="40" w:before="0" w:line="259" w:lineRule="auto"/>
            </w:pPr>
            <w:r>
              <w:rPr>
                <w:rFonts w:ascii="Calibri" w:hAnsi="Calibri"/>
                <w:b w:val="0"/>
                <w:i w:val="0"/>
                <w:color w:val="212121"/>
                <w:sz w:val="16"/>
              </w:rPr>
              <w:t>PD patients being staged for treatment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operative planning</w:t>
            </w:r>
          </w:p>
        </w:tc>
        <w:tc>
          <w:tcPr>
            <w:tcW w:type="dxa" w:w="720"/>
            <w:vAlign w:val="top"/>
          </w:tcPr>
          <w:p>
            <w:pPr>
              <w:spacing w:after="40" w:before="0" w:line="259" w:lineRule="auto"/>
            </w:pPr>
            <w:r>
              <w:rPr>
                <w:rFonts w:ascii="Calibri" w:hAnsi="Calibri"/>
                <w:b w:val="0"/>
                <w:i w:val="0"/>
                <w:color w:val="212121"/>
                <w:sz w:val="16"/>
              </w:rPr>
              <w:t>Assess in erect state via ICI or standardized photograph</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Penile curvature/bending on erection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symptom; curvature is present in ~91% of cases and is most commonly dorsal.</w:t>
            </w:r>
          </w:p>
        </w:tc>
      </w:tr>
      <w:tr>
        <w:trPr>
          <w:cantSplit/>
        </w:trPr>
        <w:tc>
          <w:tcPr>
            <w:tcW w:type="dxa" w:w="2304"/>
            <w:vAlign w:val="top"/>
          </w:tcPr>
          <w:p>
            <w:pPr>
              <w:spacing w:after="40" w:before="0" w:line="259" w:lineRule="auto"/>
            </w:pPr>
            <w:r>
              <w:rPr>
                <w:rFonts w:ascii="Calibri" w:hAnsi="Calibri"/>
                <w:b/>
                <w:i w:val="0"/>
                <w:color w:val="212121"/>
                <w:sz w:val="19"/>
              </w:rPr>
              <w:t>Palpable penile lump, nodule or plaque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firm scar in the tunica albuginea, palpable in ~89% of patients, usually on the dorsal shaft.</w:t>
            </w:r>
          </w:p>
        </w:tc>
      </w:tr>
      <w:tr>
        <w:trPr>
          <w:cantSplit/>
        </w:trPr>
        <w:tc>
          <w:tcPr>
            <w:tcW w:type="dxa" w:w="2304"/>
            <w:vAlign w:val="top"/>
          </w:tcPr>
          <w:p>
            <w:pPr>
              <w:spacing w:after="40" w:before="0" w:line="259" w:lineRule="auto"/>
            </w:pPr>
            <w:r>
              <w:rPr>
                <w:rFonts w:ascii="Calibri" w:hAnsi="Calibri"/>
                <w:b/>
                <w:i w:val="0"/>
                <w:color w:val="212121"/>
                <w:sz w:val="19"/>
              </w:rPr>
              <w:t>Painful erections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Typical of the active/acute phase; reported by ~53% of patients and usually resolves as disease stabilises.</w:t>
            </w:r>
          </w:p>
        </w:tc>
      </w:tr>
      <w:tr>
        <w:trPr>
          <w:cantSplit/>
        </w:trPr>
        <w:tc>
          <w:tcPr>
            <w:tcW w:type="dxa" w:w="2304"/>
            <w:vAlign w:val="top"/>
          </w:tcPr>
          <w:p>
            <w:pPr>
              <w:spacing w:after="40" w:before="0" w:line="259" w:lineRule="auto"/>
            </w:pPr>
            <w:r>
              <w:rPr>
                <w:rFonts w:ascii="Calibri" w:hAnsi="Calibri"/>
                <w:b/>
                <w:i w:val="0"/>
                <w:color w:val="212121"/>
                <w:sz w:val="19"/>
              </w:rPr>
              <w:t>Penile shortening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erect length from tunical scarring; reported in up to ~88% of patients and a major source of distress.</w:t>
            </w:r>
          </w:p>
        </w:tc>
      </w:tr>
      <w:tr>
        <w:trPr>
          <w:cantSplit/>
        </w:trPr>
        <w:tc>
          <w:tcPr>
            <w:tcW w:type="dxa" w:w="2304"/>
            <w:vAlign w:val="top"/>
          </w:tcPr>
          <w:p>
            <w:pPr>
              <w:spacing w:after="40" w:before="0" w:line="259" w:lineRule="auto"/>
            </w:pPr>
            <w:r>
              <w:rPr>
                <w:rFonts w:ascii="Calibri" w:hAnsi="Calibri"/>
                <w:b/>
                <w:i w:val="0"/>
                <w:color w:val="212121"/>
                <w:sz w:val="19"/>
              </w:rPr>
              <w:t>Erectile dysfunction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achieving/maintaining rigidity, present in 40-60% of PD patients, especially over age 40.</w:t>
            </w:r>
          </w:p>
        </w:tc>
      </w:tr>
      <w:tr>
        <w:trPr>
          <w:cantSplit/>
        </w:trPr>
        <w:tc>
          <w:tcPr>
            <w:tcW w:type="dxa" w:w="2304"/>
            <w:vAlign w:val="top"/>
          </w:tcPr>
          <w:p>
            <w:pPr>
              <w:spacing w:after="40" w:before="0" w:line="259" w:lineRule="auto"/>
            </w:pPr>
            <w:r>
              <w:rPr>
                <w:rFonts w:ascii="Calibri" w:hAnsi="Calibri"/>
                <w:b/>
                <w:i w:val="0"/>
                <w:color w:val="212121"/>
                <w:sz w:val="19"/>
              </w:rPr>
              <w:t>Penile indentation / hourglass or bottleneck deformity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Circumferential narrowing at the plaque causing instability of the shaft during erection.</w:t>
            </w:r>
          </w:p>
        </w:tc>
      </w:tr>
      <w:tr>
        <w:trPr>
          <w:cantSplit/>
        </w:trPr>
        <w:tc>
          <w:tcPr>
            <w:tcW w:type="dxa" w:w="2304"/>
            <w:vAlign w:val="top"/>
          </w:tcPr>
          <w:p>
            <w:pPr>
              <w:spacing w:after="40" w:before="0" w:line="259" w:lineRule="auto"/>
            </w:pPr>
            <w:r>
              <w:rPr>
                <w:rFonts w:ascii="Calibri" w:hAnsi="Calibri"/>
                <w:b/>
                <w:i w:val="0"/>
                <w:color w:val="212121"/>
                <w:sz w:val="19"/>
              </w:rPr>
              <w:t>Hinge effect / buckling during intercourse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The shaft buckles at the plaque, impairing rigidity and penetration.</w:t>
            </w:r>
          </w:p>
        </w:tc>
      </w:tr>
      <w:tr>
        <w:trPr>
          <w:cantSplit/>
        </w:trPr>
        <w:tc>
          <w:tcPr>
            <w:tcW w:type="dxa" w:w="2304"/>
            <w:vAlign w:val="top"/>
          </w:tcPr>
          <w:p>
            <w:pPr>
              <w:spacing w:after="40" w:before="0" w:line="259" w:lineRule="auto"/>
            </w:pPr>
            <w:r>
              <w:rPr>
                <w:rFonts w:ascii="Calibri" w:hAnsi="Calibri"/>
                <w:b/>
                <w:i w:val="0"/>
                <w:color w:val="212121"/>
                <w:sz w:val="19"/>
              </w:rPr>
              <w:t>Difficulty or inability with vaginal penetration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Results from severe curvature (&gt;60 degrees) or destabilising deformity.</w:t>
            </w:r>
          </w:p>
        </w:tc>
      </w:tr>
      <w:tr>
        <w:trPr>
          <w:cantSplit/>
        </w:trPr>
        <w:tc>
          <w:tcPr>
            <w:tcW w:type="dxa" w:w="2304"/>
            <w:vAlign w:val="top"/>
          </w:tcPr>
          <w:p>
            <w:pPr>
              <w:spacing w:after="40" w:before="0" w:line="259" w:lineRule="auto"/>
            </w:pPr>
            <w:r>
              <w:rPr>
                <w:rFonts w:ascii="Calibri" w:hAnsi="Calibri"/>
                <w:b/>
                <w:i w:val="0"/>
                <w:color w:val="212121"/>
                <w:sz w:val="19"/>
              </w:rPr>
              <w:t>Psychological distress, anxiety and depressed mood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Significant anxiety (~88%) and depression (~58%) are frequent, with relationship strain.</w:t>
            </w:r>
          </w:p>
        </w:tc>
      </w:tr>
      <w:tr>
        <w:trPr>
          <w:cantSplit/>
        </w:trPr>
        <w:tc>
          <w:tcPr>
            <w:tcW w:type="dxa" w:w="2304"/>
            <w:vAlign w:val="top"/>
          </w:tcPr>
          <w:p>
            <w:pPr>
              <w:spacing w:after="40" w:before="0" w:line="259" w:lineRule="auto"/>
            </w:pPr>
            <w:r>
              <w:rPr>
                <w:rFonts w:ascii="Calibri" w:hAnsi="Calibri"/>
                <w:b/>
                <w:i w:val="0"/>
                <w:color w:val="212121"/>
                <w:sz w:val="19"/>
              </w:rPr>
              <w:t>Loss of penile girth or volume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Perceived or measured narrowing of the shaft accompanying the plaque.</w:t>
            </w:r>
          </w:p>
        </w:tc>
      </w:tr>
      <w:tr>
        <w:trPr>
          <w:cantSplit/>
        </w:trPr>
        <w:tc>
          <w:tcPr>
            <w:tcW w:type="dxa" w:w="2304"/>
            <w:vAlign w:val="top"/>
          </w:tcPr>
          <w:p>
            <w:pPr>
              <w:spacing w:after="40" w:before="0" w:line="259" w:lineRule="auto"/>
            </w:pPr>
            <w:r>
              <w:rPr>
                <w:rFonts w:ascii="Calibri" w:hAnsi="Calibri"/>
                <w:b/>
                <w:i w:val="0"/>
                <w:color w:val="212121"/>
                <w:sz w:val="19"/>
              </w:rPr>
              <w:t>Flaccid pain or plaque tenderness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Discomfort on palpation or at rest, chiefly in the active inflammatory phase.</w:t>
            </w:r>
          </w:p>
        </w:tc>
      </w:tr>
      <w:tr>
        <w:trPr>
          <w:cantSplit/>
        </w:trPr>
        <w:tc>
          <w:tcPr>
            <w:tcW w:type="dxa" w:w="2304"/>
            <w:vAlign w:val="top"/>
          </w:tcPr>
          <w:p>
            <w:pPr>
              <w:spacing w:after="40" w:before="0" w:line="259" w:lineRule="auto"/>
            </w:pPr>
            <w:r>
              <w:rPr>
                <w:rFonts w:ascii="Calibri" w:hAnsi="Calibri"/>
                <w:b/>
                <w:i w:val="0"/>
                <w:color w:val="212121"/>
                <w:sz w:val="19"/>
              </w:rPr>
              <w:t>Reduced penile sensation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Uncommon and usually related to associated neurovascular or post-surgical factors rather than the plaque itself.</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Palpable fibrous plaque/nodule in the tunica albuginea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Discrete firm scar, most often dorsal; the defining physical finding, palpable in ~89% of patients.</w:t>
            </w:r>
          </w:p>
        </w:tc>
      </w:tr>
      <w:tr>
        <w:trPr>
          <w:cantSplit/>
        </w:trPr>
        <w:tc>
          <w:tcPr>
            <w:tcW w:type="dxa" w:w="3456"/>
            <w:vAlign w:val="top"/>
          </w:tcPr>
          <w:p>
            <w:pPr>
              <w:spacing w:after="40" w:before="0" w:line="259" w:lineRule="auto"/>
            </w:pPr>
            <w:r>
              <w:rPr>
                <w:rFonts w:ascii="Calibri" w:hAnsi="Calibri"/>
                <w:b/>
                <w:i w:val="0"/>
                <w:color w:val="212121"/>
                <w:sz w:val="19"/>
              </w:rPr>
              <w:t>Objective penile curvature on erection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Reproducible angulation measured by goniometry after ICI; median curvature ~48 degrees.</w:t>
            </w:r>
          </w:p>
        </w:tc>
      </w:tr>
      <w:tr>
        <w:trPr>
          <w:cantSplit/>
        </w:trPr>
        <w:tc>
          <w:tcPr>
            <w:tcW w:type="dxa" w:w="3456"/>
            <w:vAlign w:val="top"/>
          </w:tcPr>
          <w:p>
            <w:pPr>
              <w:spacing w:after="40" w:before="0" w:line="259" w:lineRule="auto"/>
            </w:pPr>
            <w:r>
              <w:rPr>
                <w:rFonts w:ascii="Calibri" w:hAnsi="Calibri"/>
                <w:b/>
                <w:i w:val="0"/>
                <w:color w:val="212121"/>
                <w:sz w:val="19"/>
              </w:rPr>
              <w:t>Reduced stretched penile length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shortening from tunical contracture on measurement with gentle traction.</w:t>
            </w:r>
          </w:p>
        </w:tc>
      </w:tr>
      <w:tr>
        <w:trPr>
          <w:cantSplit/>
        </w:trPr>
        <w:tc>
          <w:tcPr>
            <w:tcW w:type="dxa" w:w="3456"/>
            <w:vAlign w:val="top"/>
          </w:tcPr>
          <w:p>
            <w:pPr>
              <w:spacing w:after="40" w:before="0" w:line="259" w:lineRule="auto"/>
            </w:pPr>
            <w:r>
              <w:rPr>
                <w:rFonts w:ascii="Calibri" w:hAnsi="Calibri"/>
                <w:b/>
                <w:i w:val="0"/>
                <w:color w:val="212121"/>
                <w:sz w:val="19"/>
              </w:rPr>
              <w:t>Plaque calcification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Hardening/calcification of the plaque, present in ~36% and a marker of chronic, stable disease.</w:t>
            </w:r>
          </w:p>
        </w:tc>
      </w:tr>
      <w:tr>
        <w:trPr>
          <w:cantSplit/>
        </w:trPr>
        <w:tc>
          <w:tcPr>
            <w:tcW w:type="dxa" w:w="3456"/>
            <w:vAlign w:val="top"/>
          </w:tcPr>
          <w:p>
            <w:pPr>
              <w:spacing w:after="40" w:before="0" w:line="259" w:lineRule="auto"/>
            </w:pPr>
            <w:r>
              <w:rPr>
                <w:rFonts w:ascii="Calibri" w:hAnsi="Calibri"/>
                <w:b/>
                <w:i w:val="0"/>
                <w:color w:val="212121"/>
                <w:sz w:val="19"/>
              </w:rPr>
              <w:t>Non-palpable plaque detected only on Doppler ultrasound</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About 11% of plaques are impalpable and found only on imaging.</w:t>
            </w:r>
          </w:p>
        </w:tc>
      </w:tr>
      <w:tr>
        <w:trPr>
          <w:cantSplit/>
        </w:trPr>
        <w:tc>
          <w:tcPr>
            <w:tcW w:type="dxa" w:w="3456"/>
            <w:vAlign w:val="top"/>
          </w:tcPr>
          <w:p>
            <w:pPr>
              <w:spacing w:after="40" w:before="0" w:line="259" w:lineRule="auto"/>
            </w:pPr>
            <w:r>
              <w:rPr>
                <w:rFonts w:ascii="Calibri" w:hAnsi="Calibri"/>
                <w:b/>
                <w:i w:val="0"/>
                <w:color w:val="212121"/>
                <w:sz w:val="19"/>
              </w:rPr>
              <w:t>Hourglass, bottleneck or indentation deformity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Circumferential narrowing seen on erection, indicating more complex disease.</w:t>
            </w:r>
          </w:p>
        </w:tc>
      </w:tr>
      <w:tr>
        <w:trPr>
          <w:cantSplit/>
        </w:trPr>
        <w:tc>
          <w:tcPr>
            <w:tcW w:type="dxa" w:w="3456"/>
            <w:vAlign w:val="top"/>
          </w:tcPr>
          <w:p>
            <w:pPr>
              <w:spacing w:after="40" w:before="0" w:line="259" w:lineRule="auto"/>
            </w:pPr>
            <w:r>
              <w:rPr>
                <w:rFonts w:ascii="Calibri" w:hAnsi="Calibri"/>
                <w:b/>
                <w:i w:val="0"/>
                <w:color w:val="212121"/>
                <w:sz w:val="19"/>
              </w:rPr>
              <w:t>Hinge effect / buckling on erection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Visible instability of the shaft at the plaque during induced erection.</w:t>
            </w:r>
          </w:p>
        </w:tc>
      </w:tr>
      <w:tr>
        <w:trPr>
          <w:cantSplit/>
        </w:trPr>
        <w:tc>
          <w:tcPr>
            <w:tcW w:type="dxa" w:w="3456"/>
            <w:vAlign w:val="top"/>
          </w:tcPr>
          <w:p>
            <w:pPr>
              <w:spacing w:after="40" w:before="0" w:line="259" w:lineRule="auto"/>
            </w:pPr>
            <w:r>
              <w:rPr>
                <w:rFonts w:ascii="Calibri" w:hAnsi="Calibri"/>
                <w:b/>
                <w:i w:val="0"/>
                <w:color w:val="212121"/>
                <w:sz w:val="19"/>
              </w:rPr>
              <w:t>Cavernosal arterial insufficiency or venous leak on duplex</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Abnormal peak-systolic or end-diastolic velocities indicating coexisting vasculogenic ED.</w:t>
            </w:r>
          </w:p>
        </w:tc>
      </w:tr>
      <w:tr>
        <w:trPr>
          <w:cantSplit/>
        </w:trPr>
        <w:tc>
          <w:tcPr>
            <w:tcW w:type="dxa" w:w="3456"/>
            <w:vAlign w:val="top"/>
          </w:tcPr>
          <w:p>
            <w:pPr>
              <w:spacing w:after="40" w:before="0" w:line="259" w:lineRule="auto"/>
            </w:pPr>
            <w:r>
              <w:rPr>
                <w:rFonts w:ascii="Calibri" w:hAnsi="Calibri"/>
                <w:b/>
                <w:i w:val="0"/>
                <w:color w:val="212121"/>
                <w:sz w:val="19"/>
              </w:rPr>
              <w:t>Dupuytren's palmar nodules or cords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Associated palmar fibromatosis found in ~22% of PD patients on hand examination.</w:t>
            </w:r>
          </w:p>
        </w:tc>
      </w:tr>
      <w:tr>
        <w:trPr>
          <w:cantSplit/>
        </w:trPr>
        <w:tc>
          <w:tcPr>
            <w:tcW w:type="dxa" w:w="3456"/>
            <w:vAlign w:val="top"/>
          </w:tcPr>
          <w:p>
            <w:pPr>
              <w:spacing w:after="40" w:before="0" w:line="259" w:lineRule="auto"/>
            </w:pPr>
            <w:r>
              <w:rPr>
                <w:rFonts w:ascii="Calibri" w:hAnsi="Calibri"/>
                <w:b/>
                <w:i w:val="0"/>
                <w:color w:val="212121"/>
                <w:sz w:val="19"/>
              </w:rPr>
              <w:t>Plantar (Ledderhose) nodules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Plantar fascial fibromatosis reflecting the shared systemic fibrosing diathesis.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Penile curvature and complex deformity (hourglass, hinge, indentation)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Painful erections in the active phase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Palpable, progressively fibrotic/calcifying plaque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Penile shortening and loss of girth</w:t>
            </w:r>
          </w:p>
        </w:tc>
        <w:tc>
          <w:tcPr>
            <w:tcW w:type="dxa" w:w="2980"/>
            <w:vAlign w:val="top"/>
          </w:tcPr>
          <w:p>
            <w:pPr>
              <w:spacing w:after="40" w:before="0" w:line="259" w:lineRule="auto"/>
            </w:pPr>
            <w:r>
              <w:rPr>
                <w:rFonts w:ascii="Calibri" w:hAnsi="Calibri"/>
                <w:b w:val="0"/>
                <w:i w:val="0"/>
                <w:color w:val="212121"/>
                <w:sz w:val="19"/>
              </w:rPr>
              <w:t>Direct structural consequences of the fibrotic tunical plaque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Erectile dysfunction (vasculogenic and/or psychogenic)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Inability to achieve penetration / coital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Shaft instability and buckling during intercourse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Plaque calcification and disease progression to a fixed deformity</w:t>
            </w:r>
          </w:p>
        </w:tc>
        <w:tc>
          <w:tcPr>
            <w:tcW w:type="dxa" w:w="2980"/>
            <w:vAlign w:val="top"/>
          </w:tcPr>
          <w:p>
            <w:pPr>
              <w:spacing w:after="40" w:before="0" w:line="259" w:lineRule="auto"/>
            </w:pPr>
            <w:r>
              <w:rPr>
                <w:rFonts w:ascii="Calibri" w:hAnsi="Calibri"/>
                <w:b w:val="0"/>
                <w:i w:val="0"/>
                <w:color w:val="212121"/>
                <w:sz w:val="19"/>
              </w:rPr>
              <w:t>Functional consequences arising from the deformity, coexisting vasculopathy and disease progression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depression, anxiety and loss of self-esteem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Relationship breakdown and intimacy avoidance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Difficulty conceiving through intercourse (couple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reconstructive surgery with possible residual shortening or 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Surgical/procedural complications (corporal rupture, graft failure, recurrence)</w:t>
            </w:r>
          </w:p>
        </w:tc>
        <w:tc>
          <w:tcPr>
            <w:tcW w:type="dxa" w:w="2980"/>
            <w:vAlign w:val="top"/>
          </w:tcPr>
          <w:p>
            <w:pPr>
              <w:spacing w:after="40" w:before="0" w:line="259" w:lineRule="auto"/>
            </w:pPr>
            <w:r>
              <w:rPr>
                <w:rFonts w:ascii="Calibri" w:hAnsi="Calibri"/>
                <w:b w:val="0"/>
                <w:i w:val="0"/>
                <w:color w:val="212121"/>
                <w:sz w:val="19"/>
              </w:rPr>
              <w:t>Irreversible or disabling psychosocial, reproductive and treatment-related outcomes of longstanding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Erectile dysfunction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Poor rigidity promotes tunical buckling/microtrauma while the plaque and deformity impair erections; the two share vasculogenic mechanisms and reinforce each other.</w:t>
            </w:r>
          </w:p>
          <w:p>
            <w:pPr>
              <w:spacing w:after="40" w:before="0" w:line="259" w:lineRule="auto"/>
            </w:pPr>
            <w:r>
              <w:rPr>
                <w:rFonts w:ascii="Calibri" w:hAnsi="Calibri"/>
                <w:b/>
                <w:i w:val="0"/>
                <w:color w:val="212121"/>
                <w:sz w:val="19"/>
              </w:rPr>
              <w:t>~40-60%</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Diabetic microangiopathy impairs tunical healing and causes ED, together raising PD risk 4-5 fold; glycaemic status also influences prognosis and treatment.</w:t>
            </w:r>
          </w:p>
          <w:p>
            <w:pPr>
              <w:spacing w:after="40" w:before="0" w:line="259" w:lineRule="auto"/>
            </w:pPr>
            <w:r>
              <w:rPr>
                <w:rFonts w:ascii="Calibri" w:hAnsi="Calibri"/>
                <w:b/>
                <w:i w:val="0"/>
                <w:color w:val="212121"/>
                <w:sz w:val="19"/>
              </w:rPr>
              <w:t>~40-43%</w:t>
            </w:r>
          </w:p>
        </w:tc>
      </w:tr>
      <w:tr>
        <w:trPr>
          <w:cantSplit/>
        </w:trPr>
        <w:tc>
          <w:tcPr>
            <w:tcW w:type="dxa" w:w="2232"/>
            <w:vAlign w:val="top"/>
          </w:tcPr>
          <w:p>
            <w:pPr>
              <w:spacing w:after="40" w:before="0" w:line="259" w:lineRule="auto"/>
            </w:pPr>
            <w:r>
              <w:rPr>
                <w:rFonts w:ascii="Calibri" w:hAnsi="Calibri"/>
                <w:b/>
                <w:i w:val="0"/>
                <w:color w:val="212121"/>
                <w:sz w:val="19"/>
              </w:rPr>
              <w:t>Dupuytren's contracture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Palmar fibromatosis sharing fibroblast dysregulation and TGF-beta-driven collagen deposition; each condition markedly raises the likelihood of the other.</w:t>
            </w:r>
          </w:p>
          <w:p>
            <w:pPr>
              <w:spacing w:after="40" w:before="0" w:line="259" w:lineRule="auto"/>
            </w:pPr>
            <w:r>
              <w:rPr>
                <w:rFonts w:ascii="Calibri" w:hAnsi="Calibri"/>
                <w:b/>
                <w:i w:val="0"/>
                <w:color w:val="212121"/>
                <w:sz w:val="19"/>
              </w:rPr>
              <w:t>Up to 22%</w:t>
            </w:r>
          </w:p>
        </w:tc>
      </w:tr>
      <w:tr>
        <w:trPr>
          <w:cantSplit/>
        </w:trPr>
        <w:tc>
          <w:tcPr>
            <w:tcW w:type="dxa" w:w="2232"/>
            <w:vAlign w:val="top"/>
          </w:tcPr>
          <w:p>
            <w:pPr>
              <w:spacing w:after="40" w:before="0" w:line="259" w:lineRule="auto"/>
            </w:pPr>
            <w:r>
              <w:rPr>
                <w:rFonts w:ascii="Calibri" w:hAnsi="Calibri"/>
                <w:b/>
                <w:i w:val="0"/>
                <w:color w:val="212121"/>
                <w:sz w:val="19"/>
              </w:rPr>
              <w:t>Hypogonadism (low testosterone)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Low testosterone is associated with PD and with greater curvature; correcting deficiency may aid erectile function and treatment tolerance.</w:t>
            </w:r>
          </w:p>
          <w:p>
            <w:pPr>
              <w:spacing w:after="40" w:before="0" w:line="259" w:lineRule="auto"/>
            </w:pPr>
            <w:r>
              <w:rPr>
                <w:rFonts w:ascii="Calibri" w:hAnsi="Calibri"/>
                <w:b/>
                <w:i w:val="0"/>
                <w:color w:val="212121"/>
                <w:sz w:val="19"/>
              </w:rPr>
              <w:t>Up to 74%</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deformity and sexual dysfunction cause major psychological morbidity that also lowers help-seeking and treatment adherence.</w:t>
            </w:r>
          </w:p>
          <w:p>
            <w:pPr>
              <w:spacing w:after="40" w:before="0" w:line="259" w:lineRule="auto"/>
            </w:pPr>
            <w:r>
              <w:rPr>
                <w:rFonts w:ascii="Calibri" w:hAnsi="Calibri"/>
                <w:b/>
                <w:i w:val="0"/>
                <w:color w:val="212121"/>
                <w:sz w:val="19"/>
              </w:rPr>
              <w:t>~58% depression; ~88% anxiety</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recognised PD risk factor sharing endothelial dysfunction and impaired microvascular healing; also a marker of broader cardiovascular risk.</w:t>
            </w:r>
          </w:p>
        </w:tc>
      </w:tr>
      <w:tr>
        <w:trPr>
          <w:cantSplit/>
        </w:trPr>
        <w:tc>
          <w:tcPr>
            <w:tcW w:type="dxa" w:w="2232"/>
            <w:vAlign w:val="top"/>
          </w:tcPr>
          <w:p>
            <w:pPr>
              <w:spacing w:after="40" w:before="0" w:line="259" w:lineRule="auto"/>
            </w:pPr>
            <w:r>
              <w:rPr>
                <w:rFonts w:ascii="Calibri" w:hAnsi="Calibri"/>
                <w:b/>
                <w:i w:val="0"/>
                <w:color w:val="212121"/>
                <w:sz w:val="19"/>
              </w:rPr>
              <w:t>Hyperlipidemia / dyslipidemia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Contributes to endothelial and microvascular dysfunction underlying both PD and its accompanying vasculogenic ED.</w:t>
            </w:r>
          </w:p>
        </w:tc>
      </w:tr>
      <w:tr>
        <w:trPr>
          <w:cantSplit/>
        </w:trPr>
        <w:tc>
          <w:tcPr>
            <w:tcW w:type="dxa" w:w="2232"/>
            <w:vAlign w:val="top"/>
          </w:tcPr>
          <w:p>
            <w:pPr>
              <w:spacing w:after="40" w:before="0" w:line="259" w:lineRule="auto"/>
            </w:pPr>
            <w:r>
              <w:rPr>
                <w:rFonts w:ascii="Calibri" w:hAnsi="Calibri"/>
                <w:b/>
                <w:i w:val="0"/>
                <w:color w:val="212121"/>
                <w:sz w:val="19"/>
              </w:rPr>
              <w:t>Ledderhose disease (plantar fibromatosis)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Plantar fascial fibromatosis reflecting the same systemic fibrosing diathesis as PD and Dupuytren's disease.</w:t>
            </w:r>
          </w:p>
        </w:tc>
      </w:tr>
      <w:tr>
        <w:trPr>
          <w:cantSplit/>
        </w:trPr>
        <w:tc>
          <w:tcPr>
            <w:tcW w:type="dxa" w:w="2232"/>
            <w:vAlign w:val="top"/>
          </w:tcPr>
          <w:p>
            <w:pPr>
              <w:spacing w:after="40" w:before="0" w:line="259" w:lineRule="auto"/>
            </w:pPr>
            <w:r>
              <w:rPr>
                <w:rFonts w:ascii="Calibri" w:hAnsi="Calibri"/>
                <w:b/>
                <w:i w:val="0"/>
                <w:color w:val="212121"/>
                <w:sz w:val="19"/>
              </w:rPr>
              <w:t>Post-radical-prostatectomy state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Pelvic surgery and post-operative erectile changes provoke tunical injury and buckling; PD develops in ~16% after radical prostatectomy.</w:t>
            </w:r>
          </w:p>
          <w:p>
            <w:pPr>
              <w:spacing w:after="40" w:before="0" w:line="259" w:lineRule="auto"/>
            </w:pPr>
            <w:r>
              <w:rPr>
                <w:rFonts w:ascii="Calibri" w:hAnsi="Calibri"/>
                <w:b/>
                <w:i w:val="0"/>
                <w:color w:val="212121"/>
                <w:sz w:val="19"/>
              </w:rPr>
              <w:t>~16%</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the endothelial-dysfunction and metabolic substrate of PD and vasculogenic ED; PD/ED can be an early marker of cardiovascular risk.</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 new, acquired penile curvature, lump, painful erection or shortening as a treatable medical condition and seek prompt urological/andrology assessment - do not delay out of embarrassment.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Peyronie's disease is a benign fibrosis, not a cancer or sexually transmitted infection, and that early (active-phase) treatment can limit progression.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forceful self-manipulation or attempts to 'straighten' the penis, which can worsen tunical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repetitive penile microtrauma - use adequate lubrication, avoid high-buckling sexual positions when rigidity is poor, and use a well-fitted padded saddle for prolonged cycling.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control diabetes, hypertension and dyslipidemia, which drive the microvascular disease behind Peyronie's disease and erectile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difference between the active phase (pain, changing curve) and the stable phase (fixed curve), as it determines which treatments apply.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diabetes /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erectile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Cyclists and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Post-pelvic-surgery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at least 150 minutes/week of moderate-vigorous activity to control diabetes, blood pressure and lipids.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and waist circumference (&lt; 90 cm for Indian men) to reduce metabolic and 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aerobic exercise to protect endothelial and erectile function, which underpins tunical integrity.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perineal pressure (correct cycle saddle, regular breaks) to limit repetitive microtrauma.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office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Cyclists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supervised penile traction therapy - the only conservative treatment with proven benefit on penile length and curvature - ideally started in the active/early phase.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Adhere to the prescribed daily traction protocol (commonly 30-90 minutes/day for &gt;=3 months) for meaningful gains and reassess with the treating urologist.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a vacuum erection device as an adjunct, which may down-regulate TGF-beta1 and help stabilise the deformity.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rehabilitation and traction as advised after surgery or injection therapy to preserve length.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Active-phase 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mild-moderate curvature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Post-treatment rehabilitation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low-glycaemic, fibre-rich diet (whole grains, millets, pulses, vegetables) to prevent and control the diabetes that multiplies PD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foods, fried items, bakery products and sugar-sweetened beverages that drive obesity and dyslipidemia.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antioxidant-rich foods (fruits, vegetables, nuts) given the role of oxidative stress in plaque formation.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healthy fats and control portion sizes to reduce central adiposity and cardiovascular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at metabolic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Prediabetic/diabetic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per night to support metabolic control, testosterone and erectile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in obese men, which worsens erectile and metabolic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sleep-wake timing to help control weight and mood.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 tobacco causes endothelial injury and impairs the microvascular healing implicated in plaque formation, and up to ~65% of PD patients are current/former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smokeless tobacco (khaini, gutkha) and second-hand smoke, common in India, given shared vascular harm.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pharmacotherapy (nicotine replacement, bupropion, varenicline) to sustain cessation.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cessation with control of diabetes and blood pressure to protect erectile and penile tissue.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ED or diabetes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no more than ~14 units/week and avoid binge drinking, which worsens erectile function and tissue repair.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heavy/chronic use is listed among Peyronie's risk factors and harms overall 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combining heavy alcohol use with smoking, which compounds endothelial damage.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metabolic syndrome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every PD patient for depression and anxiety (e.g. PHQ-9, GAD-7), which affect the majority of men with the condition.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psychosexual counselling and, where appropriate, cognitive behavioural therapy to address distress and avoidance.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the partner in counselling and treatment decisions to reduce relationship 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to peer support and set realistic expectations about curvature correction and length to protect mental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erectile dysfunction, as restoring function markedly improves mood and quality of life.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significant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Couples affected by 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ED</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the phase-based treatment pathway: medical therapy (e.g. oral pentoxifylline, daily low-dose PDE5 inhibitor, intralesional collagenase or interferon, traction) is directed at active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Reserve surgery (plication, plaque incision/grafting, or penile prosthesis with ED) for stable disease causing functional impairment, after at least 3 months of stability.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goals - the aim is a functionally straight penis (residual curve &lt; 20 degrees), and some shortening or numbness can follow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unproven oral 'cures' (e.g. vitamin E, para-aminobenzoate) that guidelines do not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follow-up with objective curvature and ultrasound reassessment to guide escalation.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Active-phase 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Stable-phase surgical candidates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severe deformity or ED</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dpi.com/2075-4418/14/11/1125" TargetMode="External"/><Relationship Id="rId10" Type="http://schemas.openxmlformats.org/officeDocument/2006/relationships/hyperlink" Target="https://tau.amegroups.org/article/view/10408/html" TargetMode="External"/><Relationship Id="rId11" Type="http://schemas.openxmlformats.org/officeDocument/2006/relationships/hyperlink" Target="https://www.ncbi.nlm.nih.gov/books/NBK560628/" TargetMode="External"/><Relationship Id="rId12" Type="http://schemas.openxmlformats.org/officeDocument/2006/relationships/hyperlink" Target="https://www.frontiersin.org/journals/reproductive-health/articles/10.3389/frph.2022.863844/full" TargetMode="External"/><Relationship Id="rId13" Type="http://schemas.openxmlformats.org/officeDocument/2006/relationships/hyperlink" Target="https://www.thelancet.com/journals/landia/article/PIIS2213-8587(23)00119-5/fulltext" TargetMode="External"/><Relationship Id="rId14" Type="http://schemas.openxmlformats.org/officeDocument/2006/relationships/hyperlink" Target="https://academic.oup.com/smoa/article/8/2/230/6956525" TargetMode="External"/><Relationship Id="rId15" Type="http://schemas.openxmlformats.org/officeDocument/2006/relationships/hyperlink" Target="https://www.ijsurgery.com/index.php/isj/article/view/41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