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Gynecomastia</w:t>
      </w:r>
    </w:p>
    <w:p>
      <w:pPr>
        <w:spacing w:before="0" w:after="160"/>
      </w:pPr>
      <w:r>
        <w:rPr>
          <w:rFonts w:ascii="Calibri" w:hAnsi="Calibri"/>
          <w:b/>
          <w:i w:val="0"/>
          <w:color w:val="212121"/>
          <w:sz w:val="22"/>
        </w:rPr>
        <w:t xml:space="preserve">AKA </w:t>
      </w:r>
      <w:r>
        <w:rPr>
          <w:rFonts w:ascii="Calibri" w:hAnsi="Calibri"/>
          <w:b w:val="0"/>
          <w:i w:val="0"/>
          <w:color w:val="212121"/>
          <w:sz w:val="22"/>
        </w:rPr>
        <w:t>i.e., Enlarged male breasts, Male breast enlargement, “Man boobs” (colloquial), Gynaecomastia (British spelling); to be distinguished from Pseudogynecomastia / Lipomastia (fatty, non-glandular enlargement)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Gynecomastia is a benign proliferation of the glandular (ductal and stromal) tissue of the male breast, arising from an imbalance between estrogenic (stimulatory) and androgenic (inhibitory) action on breast tissue. It typically presents as a firm, rubbery, often tender, concentric disc of tissue beneath the nipple-areolar complex and may be unilateral or bilateral. It must be distinguished from pseudogynecomastia (fatty enlargement without true glandular proliferation, seen in obesity) and from the far rarer male breast carcinoma.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Physiological gynecomastia is extremely common across the male lifespan: palpable breast tissue is present in up to 90% of newborns, in roughly one-half of pubertal boys (peak onset 13–14 years), and in up to about 65% of men aged 50–80 years. In India it is an increasingly visible clinical and cosmetic concern — male breast reduction is now reported to be among the country’s most common cosmetic surgeries — and anabolic-steroid-associated gynecomastia is an emerging driver among young gym-goers, accounting for a real prevalence of about 39% in one North-Indian surgical cohort (versus only ~4% disclosed pre-operatively).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Gynecomastia is primarily a clinical diagnosis — palpation of firm, concentric, mobile glandular tissue ≥ 0.5 cm beneath the areola — supported by a focused history and targeted laboratory/imaging tests to identify or exclude a pathological, and often reversible, underlying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Palpation of a firm/rubbery, concentric, mobile disc of tissue ≥ 0.5 cm radiating symmetrically from beneath the nipple-areolar complex, which distinguishes true glandular gynecomastia from the soft, diffuse fatty tissue of pseudogynecomastia (“pinch/doughnut”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red-flag features of male breast carcinoma — a hard, fixed, eccentric mass, unilaterality with skin dimpling or nipple retraction, bloody nipple discharge, or axillary lymphadenopathy — which warrant mammography/ultrasound ±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Hormonal panel: total and free testosterone, estradiol, LH, FSH and beta-hCG to localize the disturbance along the hypothalamic-pituitary-gonadal axis and to exclude hCG-secreting or estrogen-secreting tumors;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Systemic screen in all patients: serum creatinine (renal), hepatic transaminases (liver) and TSH (thyroid); DHEA-S / urinary 17-ketosteroids if an adrenal tumor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Testicular ultrasound for any palpable testicular mass or asymmetry, or unexplained markedly elevated estradiol or beta-hCG;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careful drug and substance history (prescription drugs, anabolic-androgenic steroids and gym supplements, cannabis, alcohol) — the single most common identifiable and reversible cause.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Gynecomastia is classified by etiology, by histological stage (which predicts response to treatment) and by clinical severity:</w:t>
      </w:r>
    </w:p>
    <w:p>
      <w:pPr>
        <w:spacing w:before="0" w:after="80"/>
      </w:pPr>
      <w:r>
        <w:rPr>
          <w:rFonts w:ascii="Calibri" w:hAnsi="Calibri"/>
          <w:b w:val="0"/>
          <w:i w:val="0"/>
          <w:color w:val="212121"/>
          <w:sz w:val="21"/>
        </w:rPr>
        <w:t>(1) Physiological gynecomastia — transient and usually self-limiting, occurring at three life stages: neonatal (from transplacental maternal estrogens, resolving within a few weeks), pubertal (a transient lag of testosterone behind estradiol at ages ~10–14, regressing within 1–2 years in most boys), and senile/ageing (declining testosterone with increased peripheral aromatization of androgens to estrogens, often compounded by obesity and polypharmacy);</w:t>
      </w:r>
    </w:p>
    <w:p>
      <w:pPr>
        <w:spacing w:before="0" w:after="80"/>
      </w:pPr>
      <w:r>
        <w:rPr>
          <w:rFonts w:ascii="Calibri" w:hAnsi="Calibri"/>
          <w:b w:val="0"/>
          <w:i w:val="0"/>
          <w:color w:val="212121"/>
          <w:sz w:val="21"/>
        </w:rPr>
        <w:t>(2) Pathological gynecomastia — due to an identifiable disorder: drug- or substance-induced (the commonest reversible cause), hypogonadism (primary, e.g. Klinefelter syndrome, or secondary/hypothalamic-pituitary), endocrine tumors (testicular Leydig/Sertoli/germ-cell, adrenal, or ectopic hCG-secreting), and systemic disease (cirrhosis, chronic kidney disease/dialysis, hyperthyroidism, and malnutrition with refeeding);</w:t>
      </w:r>
    </w:p>
    <w:p>
      <w:pPr>
        <w:spacing w:before="0" w:after="80"/>
      </w:pPr>
      <w:r>
        <w:rPr>
          <w:rFonts w:ascii="Calibri" w:hAnsi="Calibri"/>
          <w:b w:val="0"/>
          <w:i w:val="0"/>
          <w:color w:val="212121"/>
          <w:sz w:val="21"/>
        </w:rPr>
        <w:t>(3) Idiopathic gynecomastia — no cause identified despite full evaluation; this accounts for roughly a quarter to a half of adult cases;</w:t>
      </w:r>
    </w:p>
    <w:p>
      <w:pPr>
        <w:spacing w:before="0" w:after="80"/>
      </w:pPr>
      <w:r>
        <w:rPr>
          <w:rFonts w:ascii="Calibri" w:hAnsi="Calibri"/>
          <w:b w:val="0"/>
          <w:i w:val="0"/>
          <w:color w:val="212121"/>
          <w:sz w:val="21"/>
        </w:rPr>
        <w:t>(4) Histological stages — florid/active (&lt; 4–6 months: ductal proliferation with oedematous, vascular stroma, usually tender), an intermediate phase, and fibrous/inactive (&gt; 12 months: dense hyalinized stroma with few ducts, painless and poorly responsive to medical therapy);</w:t>
      </w:r>
    </w:p>
    <w:p>
      <w:pPr>
        <w:spacing w:before="0" w:after="80"/>
      </w:pPr>
      <w:r>
        <w:rPr>
          <w:rFonts w:ascii="Calibri" w:hAnsi="Calibri"/>
          <w:b w:val="0"/>
          <w:i w:val="0"/>
          <w:color w:val="212121"/>
          <w:sz w:val="21"/>
        </w:rPr>
        <w:t>Clinical severity is graded by the Simon classification (Grade I — small enlargement, no skin excess; Grade IIa/IIb — moderate enlargement without/with skin excess; Grade III — marked enlargement with significant skin redundancy resembling a female breast), which guides surgical planning; pseudogynecomastia (lipomastia) — fatty enlargement without true glandular tissue — is excluded on palpation and imaging.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Estrogen–androgen imbalance: The final common pathway — any absolute or relative increase in estrogen action, or decrease in androgen action, on the breast stimulates ductal and stromal proliferation.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Drugs and substances: Spironolactone, cimetidine, ketoconazole, 5-alpha-reductase inhibitors, anti-androgens, digoxin, calcium-channel blockers, antipsychotics, antiretrovirals, and recreational anabolic-androgenic steroids, cannabis and alcohol — collectively the commonest reversible cause.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Hypogonadism: Primary testicular failure (e.g. Klinefelter syndrome, mumps orchitis, trauma, chemotherapy) or secondary hypothalamic-pituitary failure lowers testosterone relative to estrogen.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Endocrine tumors: hCG-secreting germ-cell tumors and estrogen-secreting Leydig/Sertoli-cell or adrenal tumors raise estrogen or its precursors — gynecomastia may be the presenting sign.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Systemic illness: Cirrhosis (impaired estrogen clearance, raised SHBG, increased aromatization), chronic kidney disease/dialysis, and hyperthyroidism (raised SHBG and aromatization) shift the hormonal balance.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Obesity: Adipose-tissue aromatase converts androgens to estrogens, and excess fat adds an overlapping pseudogynecomastia component — a major and rising contributor in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Ageing: Progressive Leydig-cell decline together with increased peripheral aromatization tips the estrogen-to-androgen ratio toward estrogen dominance in older 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(newborn boys)</w:t>
            </w:r>
          </w:p>
        </w:tc>
        <w:tc>
          <w:tcPr>
            <w:tcW w:type="dxa" w:w="4276"/>
            <w:vAlign w:val="top"/>
          </w:tcPr>
          <w:p>
            <w:pPr>
              <w:spacing w:after="60" w:line="259" w:lineRule="auto"/>
            </w:pPr>
            <w:r>
              <w:rPr>
                <w:rFonts w:ascii="Calibri" w:hAnsi="Calibri"/>
                <w:b w:val="0"/>
                <w:i w:val="0"/>
                <w:color w:val="212121"/>
                <w:sz w:val="19"/>
              </w:rPr>
              <w:t>Transplacental transfer of maternal estrogens stimulates neonatal breast tissue. It is entirely benign and transient, regressing spontaneously as maternal hormones are cleared.</w:t>
            </w:r>
          </w:p>
          <w:p>
            <w:pPr>
              <w:spacing w:after="40" w:before="60" w:line="259" w:lineRule="auto"/>
            </w:pPr>
            <w:r>
              <w:rPr>
                <w:rFonts w:ascii="Calibri" w:hAnsi="Calibri"/>
                <w:b w:val="0"/>
                <w:i w:val="0"/>
                <w:color w:val="212121"/>
                <w:sz w:val="19"/>
              </w:rPr>
              <w:t>Palpable breast tissue is present in up to 90% of newborns and typically resolves within about 4 weeks.</w:t>
            </w:r>
          </w:p>
          <w:p>
            <w:pPr>
              <w:spacing w:after="40" w:line="252" w:lineRule="auto"/>
            </w:pPr>
            <w:hyperlink r:id="rId9">
              <w:r>
                <w:rPr>
                  <w:rFonts w:ascii="Calibri" w:hAnsi="Calibri" w:cs="Calibri"/>
                  <w:sz w:val="18"/>
                  <w:color w:val="1155CC"/>
                  <w:u w:val="single"/>
                </w:rPr>
                <w:t xml:space="preserve">aafp.org — gynecomastia (newborn prevalence)</w:t>
              </w:r>
            </w:hyperlink>
          </w:p>
          <w:p>
            <w:pPr>
              <w:spacing w:before="60" w:after="40"/>
            </w:pPr>
            <w:r>
              <w:rPr>
                <w:rFonts w:ascii="Calibri" w:hAnsi="Calibri"/>
                <w:b w:val="0"/>
                <w:i w:val="0"/>
                <w:color w:val="5A5A5A"/>
                <w:sz w:val="18"/>
              </w:rPr>
              <w:t>#neonatal  #maternalestrogen  #physiological  #transient  #benign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(pubertal, ~10–14 years)</w:t>
            </w:r>
          </w:p>
        </w:tc>
        <w:tc>
          <w:tcPr>
            <w:tcW w:type="dxa" w:w="4276"/>
            <w:vAlign w:val="top"/>
          </w:tcPr>
          <w:p>
            <w:pPr>
              <w:spacing w:after="60" w:line="259" w:lineRule="auto"/>
            </w:pPr>
            <w:r>
              <w:rPr>
                <w:rFonts w:ascii="Calibri" w:hAnsi="Calibri"/>
                <w:b w:val="0"/>
                <w:i w:val="0"/>
                <w:color w:val="212121"/>
                <w:sz w:val="19"/>
              </w:rPr>
              <w:t>During puberty estradiol rises faster than testosterone, transiently favouring estrogen action on the breast. It is physiological and usually regresses within 1–2 years, but can cause marked distress.</w:t>
            </w:r>
          </w:p>
          <w:p>
            <w:pPr>
              <w:spacing w:after="40" w:before="60" w:line="259" w:lineRule="auto"/>
            </w:pPr>
            <w:r>
              <w:rPr>
                <w:rFonts w:ascii="Calibri" w:hAnsi="Calibri"/>
                <w:b w:val="0"/>
                <w:i w:val="0"/>
                <w:color w:val="212121"/>
                <w:sz w:val="19"/>
              </w:rPr>
              <w:t>About one-half of adolescent males develop gynecomastia (onset 13–14 yrs); in a study of 596,184 boys, clinically significant pubertal gynecomastia peaked at age 13 (38.5% of cases; mean 13.3 yrs) and 70% occurred at BMI ≤ 25.</w:t>
            </w:r>
          </w:p>
          <w:p>
            <w:pPr>
              <w:spacing w:after="40" w:line="252" w:lineRule="auto"/>
            </w:pPr>
            <w:hyperlink r:id="rId10">
              <w:r>
                <w:rPr>
                  <w:rFonts w:ascii="Calibri" w:hAnsi="Calibri" w:cs="Calibri"/>
                  <w:sz w:val="18"/>
                  <w:color w:val="1155CC"/>
                  <w:u w:val="single"/>
                </w:rPr>
                <w:t xml:space="preserve">frontiersin.org — pubertal gynecomastia in 530,000 boys</w:t>
              </w:r>
            </w:hyperlink>
          </w:p>
          <w:p>
            <w:pPr>
              <w:spacing w:before="60" w:after="40"/>
            </w:pPr>
            <w:r>
              <w:rPr>
                <w:rFonts w:ascii="Calibri" w:hAnsi="Calibri"/>
                <w:b w:val="0"/>
                <w:i w:val="0"/>
                <w:color w:val="5A5A5A"/>
                <w:sz w:val="18"/>
              </w:rPr>
              <w:t>#pubertal  #adolescent  #estradiollag  #selflimiting  #tanner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men (50–80 years)</w:t>
            </w:r>
          </w:p>
        </w:tc>
        <w:tc>
          <w:tcPr>
            <w:tcW w:type="dxa" w:w="4276"/>
            <w:vAlign w:val="top"/>
          </w:tcPr>
          <w:p>
            <w:pPr>
              <w:spacing w:after="60" w:line="259" w:lineRule="auto"/>
            </w:pPr>
            <w:r>
              <w:rPr>
                <w:rFonts w:ascii="Calibri" w:hAnsi="Calibri"/>
                <w:b w:val="0"/>
                <w:i w:val="0"/>
                <w:color w:val="212121"/>
                <w:sz w:val="19"/>
              </w:rPr>
              <w:t>An age-related fall in testosterone with increased peripheral aromatization — amplified by adiposity and polypharmacy — shifts the estrogen-to-androgen ratio toward estrogen dominance.</w:t>
            </w:r>
          </w:p>
          <w:p>
            <w:pPr>
              <w:spacing w:after="40" w:before="60" w:line="259" w:lineRule="auto"/>
            </w:pPr>
            <w:r>
              <w:rPr>
                <w:rFonts w:ascii="Calibri" w:hAnsi="Calibri"/>
                <w:b w:val="0"/>
                <w:i w:val="0"/>
                <w:color w:val="212121"/>
                <w:sz w:val="19"/>
              </w:rPr>
              <w:t>Up to approximately 65% of men aged 50–80 years have some degree of gynecomastia.</w:t>
            </w:r>
          </w:p>
          <w:p>
            <w:pPr>
              <w:spacing w:after="40" w:line="252" w:lineRule="auto"/>
            </w:pPr>
            <w:hyperlink r:id="rId9">
              <w:r>
                <w:rPr>
                  <w:rFonts w:ascii="Calibri" w:hAnsi="Calibri" w:cs="Calibri"/>
                  <w:sz w:val="18"/>
                  <w:color w:val="1155CC"/>
                  <w:u w:val="single"/>
                </w:rPr>
                <w:t xml:space="preserve">aafp.org — gynecomastia (older-men prevalence)</w:t>
              </w:r>
            </w:hyperlink>
          </w:p>
          <w:p>
            <w:pPr>
              <w:spacing w:before="60" w:after="40"/>
            </w:pPr>
            <w:r>
              <w:rPr>
                <w:rFonts w:ascii="Calibri" w:hAnsi="Calibri"/>
                <w:b w:val="0"/>
                <w:i w:val="0"/>
                <w:color w:val="5A5A5A"/>
                <w:sz w:val="18"/>
              </w:rPr>
              <w:t>#ageing  #lowtestosterone  #aromatization  #polypharmacy  #senile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(condition is male-specific)</w:t>
            </w:r>
          </w:p>
        </w:tc>
        <w:tc>
          <w:tcPr>
            <w:tcW w:type="dxa" w:w="4276"/>
            <w:vAlign w:val="top"/>
          </w:tcPr>
          <w:p>
            <w:pPr>
              <w:spacing w:after="60" w:line="259" w:lineRule="auto"/>
            </w:pPr>
            <w:r>
              <w:rPr>
                <w:rFonts w:ascii="Calibri" w:hAnsi="Calibri"/>
                <w:b w:val="0"/>
                <w:i w:val="0"/>
                <w:color w:val="212121"/>
                <w:sz w:val="19"/>
              </w:rPr>
              <w:t>Gynecomastia occurs only in males; presentation for correction clusters in young adult men who seek treatment for cosmetic and psychological reasons rather than for physiological reasons.</w:t>
            </w:r>
          </w:p>
          <w:p>
            <w:pPr>
              <w:spacing w:after="40" w:before="60" w:line="259" w:lineRule="auto"/>
            </w:pPr>
            <w:r>
              <w:rPr>
                <w:rFonts w:ascii="Calibri" w:hAnsi="Calibri"/>
                <w:b w:val="0"/>
                <w:i w:val="0"/>
                <w:color w:val="212121"/>
                <w:sz w:val="19"/>
              </w:rPr>
              <w:t>In a South Indian surgical series the mean age was 22.6 years and 91.8% had bilateral disease.</w:t>
            </w:r>
          </w:p>
          <w:p>
            <w:pPr>
              <w:spacing w:after="40" w:line="252" w:lineRule="auto"/>
            </w:pPr>
            <w:hyperlink r:id="rId11">
              <w:r>
                <w:rPr>
                  <w:rFonts w:ascii="Calibri" w:hAnsi="Calibri" w:cs="Calibri"/>
                  <w:sz w:val="18"/>
                  <w:color w:val="1155CC"/>
                  <w:u w:val="single"/>
                </w:rPr>
                <w:t xml:space="preserve">pmc.ncbi.nlm.nih.gov/PMC9859683 — South Indian cohort</w:t>
              </w:r>
            </w:hyperlink>
          </w:p>
          <w:p>
            <w:pPr>
              <w:spacing w:before="60" w:after="40"/>
            </w:pPr>
            <w:r>
              <w:rPr>
                <w:rFonts w:ascii="Calibri" w:hAnsi="Calibri"/>
                <w:b w:val="0"/>
                <w:i w:val="0"/>
                <w:color w:val="5A5A5A"/>
                <w:sz w:val="18"/>
              </w:rPr>
              <w:t>#malespecific  #youngadults  #bilateral  #cosmetic  #psychosocial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young men</w:t>
            </w:r>
          </w:p>
        </w:tc>
        <w:tc>
          <w:tcPr>
            <w:tcW w:type="dxa" w:w="4276"/>
            <w:vAlign w:val="top"/>
          </w:tcPr>
          <w:p>
            <w:pPr>
              <w:spacing w:after="60" w:line="259" w:lineRule="auto"/>
            </w:pPr>
            <w:r>
              <w:rPr>
                <w:rFonts w:ascii="Calibri" w:hAnsi="Calibri"/>
                <w:b w:val="0"/>
                <w:i w:val="0"/>
                <w:color w:val="212121"/>
                <w:sz w:val="19"/>
              </w:rPr>
              <w:t>Rising disposable income, gym and supplement culture, anabolic-steroid access and greater cosmetic awareness increase both true gynecomastia and the demand for its surgical correction.</w:t>
            </w:r>
          </w:p>
          <w:p>
            <w:pPr>
              <w:spacing w:after="40" w:before="60" w:line="259" w:lineRule="auto"/>
            </w:pPr>
            <w:r>
              <w:rPr>
                <w:rFonts w:ascii="Calibri" w:hAnsi="Calibri"/>
                <w:b w:val="0"/>
                <w:i w:val="0"/>
                <w:color w:val="212121"/>
                <w:sz w:val="19"/>
              </w:rPr>
              <w:t>Male breast reduction is reported to be among India’s most common cosmetic surgeries (ranked ~5th).</w:t>
            </w:r>
          </w:p>
          <w:p>
            <w:pPr>
              <w:spacing w:after="40" w:line="252" w:lineRule="auto"/>
            </w:pPr>
            <w:hyperlink r:id="rId12">
              <w:r>
                <w:rPr>
                  <w:rFonts w:ascii="Calibri" w:hAnsi="Calibri" w:cs="Calibri"/>
                  <w:sz w:val="18"/>
                  <w:color w:val="1155CC"/>
                  <w:u w:val="single"/>
                </w:rPr>
                <w:t xml:space="preserve">thesouthfirst.com — male breast reduction in India</w:t>
              </w:r>
            </w:hyperlink>
          </w:p>
          <w:p>
            <w:pPr>
              <w:spacing w:before="60" w:after="40"/>
            </w:pPr>
            <w:r>
              <w:rPr>
                <w:rFonts w:ascii="Calibri" w:hAnsi="Calibri"/>
                <w:b w:val="0"/>
                <w:i w:val="0"/>
                <w:color w:val="5A5A5A"/>
                <w:sz w:val="18"/>
              </w:rPr>
              <w:t>#urban  #gymculture  #cosmeticsurgery  #supplements  #awareness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males</w:t>
            </w:r>
          </w:p>
        </w:tc>
        <w:tc>
          <w:tcPr>
            <w:tcW w:type="dxa" w:w="4276"/>
            <w:vAlign w:val="top"/>
          </w:tcPr>
          <w:p>
            <w:pPr>
              <w:spacing w:after="60" w:line="259" w:lineRule="auto"/>
            </w:pPr>
            <w:r>
              <w:rPr>
                <w:rFonts w:ascii="Calibri" w:hAnsi="Calibri"/>
                <w:b w:val="0"/>
                <w:i w:val="0"/>
                <w:color w:val="212121"/>
                <w:sz w:val="19"/>
              </w:rPr>
              <w:t>Surgical cohorts from South India are dominated by young men with bilateral disease that is either idiopathic or driven by a detectable hormonal derangement rather than by a gross structural cause.</w:t>
            </w:r>
          </w:p>
          <w:p>
            <w:pPr>
              <w:spacing w:after="40" w:before="60" w:line="259" w:lineRule="auto"/>
            </w:pPr>
            <w:r>
              <w:rPr>
                <w:rFonts w:ascii="Calibri" w:hAnsi="Calibri"/>
                <w:b w:val="0"/>
                <w:i w:val="0"/>
                <w:color w:val="212121"/>
                <w:sz w:val="19"/>
              </w:rPr>
              <w:t>In a South Indian cohort, 50.7% of cases were idiopathic and ~48% had a hormonal derangement (high estradiol 15.1%, low testosterone 13.7%).</w:t>
            </w:r>
          </w:p>
          <w:p>
            <w:pPr>
              <w:spacing w:after="40" w:line="252" w:lineRule="auto"/>
            </w:pPr>
            <w:hyperlink r:id="rId11">
              <w:r>
                <w:rPr>
                  <w:rFonts w:ascii="Calibri" w:hAnsi="Calibri" w:cs="Calibri"/>
                  <w:sz w:val="18"/>
                  <w:color w:val="1155CC"/>
                  <w:u w:val="single"/>
                </w:rPr>
                <w:t xml:space="preserve">pmc.ncbi.nlm.nih.gov/PMC9859683 — etiopathology, South India</w:t>
              </w:r>
            </w:hyperlink>
          </w:p>
          <w:p>
            <w:pPr>
              <w:spacing w:before="60" w:after="40"/>
            </w:pPr>
            <w:r>
              <w:rPr>
                <w:rFonts w:ascii="Calibri" w:hAnsi="Calibri"/>
                <w:b w:val="0"/>
                <w:i w:val="0"/>
                <w:color w:val="5A5A5A"/>
                <w:sz w:val="18"/>
              </w:rPr>
              <w:t>#southindia  #idiopathic  #estradiol  #hormonal  #bilateral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gym/fitness hubs</w:t>
            </w:r>
          </w:p>
        </w:tc>
        <w:tc>
          <w:tcPr>
            <w:tcW w:type="dxa" w:w="4276"/>
            <w:vAlign w:val="top"/>
          </w:tcPr>
          <w:p>
            <w:pPr>
              <w:spacing w:after="60" w:line="259" w:lineRule="auto"/>
            </w:pPr>
            <w:r>
              <w:rPr>
                <w:rFonts w:ascii="Calibri" w:hAnsi="Calibri"/>
                <w:b w:val="0"/>
                <w:i w:val="0"/>
                <w:color w:val="212121"/>
                <w:sz w:val="19"/>
              </w:rPr>
              <w:t>High and often concealed use of anabolic-androgenic steroids among gym-goers in northern India is a major, under-recognised driver of steroid-induced gynecomastia presenting for surgery.</w:t>
            </w:r>
          </w:p>
          <w:p>
            <w:pPr>
              <w:spacing w:after="40" w:before="60" w:line="259" w:lineRule="auto"/>
            </w:pPr>
            <w:r>
              <w:rPr>
                <w:rFonts w:ascii="Calibri" w:hAnsi="Calibri"/>
                <w:b w:val="0"/>
                <w:i w:val="0"/>
                <w:color w:val="212121"/>
                <w:sz w:val="19"/>
              </w:rPr>
              <w:t>In a North-Indian (Rohtak) surgical cohort the true prevalence of anabolic-steroid-associated gynecomastia was 39.2%, versus only 4.1% disclosed pre-operatively.</w:t>
            </w:r>
          </w:p>
          <w:p>
            <w:pPr>
              <w:spacing w:after="40" w:line="252" w:lineRule="auto"/>
            </w:pPr>
            <w:hyperlink r:id="rId13">
              <w:r>
                <w:rPr>
                  <w:rFonts w:ascii="Calibri" w:hAnsi="Calibri" w:cs="Calibri"/>
                  <w:sz w:val="18"/>
                  <w:color w:val="1155CC"/>
                  <w:u w:val="single"/>
                </w:rPr>
                <w:t xml:space="preserve">pubmed.ncbi.nlm.nih.gov/37705825 — AAS-induced gynecomastia, India</w:t>
              </w:r>
            </w:hyperlink>
          </w:p>
          <w:p>
            <w:pPr>
              <w:spacing w:before="60" w:after="40"/>
            </w:pPr>
            <w:r>
              <w:rPr>
                <w:rFonts w:ascii="Calibri" w:hAnsi="Calibri"/>
                <w:b w:val="0"/>
                <w:i w:val="0"/>
                <w:color w:val="5A5A5A"/>
                <w:sz w:val="18"/>
              </w:rPr>
              <w:t>#northindia  #anabolicsteroids  #underreported  #bodybuilders  #gyno</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Anabolic-steroid use</w:t>
            </w:r>
          </w:p>
        </w:tc>
        <w:tc>
          <w:tcPr>
            <w:tcW w:type="dxa" w:w="2160"/>
            <w:vAlign w:val="top"/>
          </w:tcPr>
          <w:p>
            <w:pPr>
              <w:spacing w:after="40" w:before="0" w:line="259" w:lineRule="auto"/>
            </w:pPr>
            <w:r>
              <w:rPr>
                <w:rFonts w:ascii="Calibri" w:hAnsi="Calibri"/>
                <w:b w:val="0"/>
                <w:i w:val="0"/>
                <w:color w:val="212121"/>
                <w:sz w:val="19"/>
              </w:rPr>
              <w:t>Bodybuilders, gym-goers</w:t>
            </w:r>
          </w:p>
        </w:tc>
        <w:tc>
          <w:tcPr>
            <w:tcW w:type="dxa" w:w="4276"/>
            <w:vAlign w:val="top"/>
          </w:tcPr>
          <w:p>
            <w:pPr>
              <w:spacing w:after="60" w:line="259" w:lineRule="auto"/>
            </w:pPr>
            <w:r>
              <w:rPr>
                <w:rFonts w:ascii="Calibri" w:hAnsi="Calibri"/>
                <w:b w:val="0"/>
                <w:i w:val="0"/>
                <w:color w:val="212121"/>
                <w:sz w:val="19"/>
              </w:rPr>
              <w:t>Exogenous androgens are aromatized to estradiol and simultaneously suppress endogenous testosterone; on withdrawal, the resulting estrogen dominance triggers glandular breast growth (“gyno”).</w:t>
            </w:r>
          </w:p>
          <w:p>
            <w:pPr>
              <w:spacing w:after="40" w:before="60" w:line="259" w:lineRule="auto"/>
            </w:pPr>
            <w:r>
              <w:rPr>
                <w:rFonts w:ascii="Calibri" w:hAnsi="Calibri"/>
                <w:b w:val="0"/>
                <w:i w:val="0"/>
                <w:color w:val="212121"/>
                <w:sz w:val="19"/>
              </w:rPr>
              <w:t>39.2% real prevalence of anabolic-steroid-associated gynecomastia in an Indian surgical series (versus 4.1% self-reported), with users having higher BMI and athletic build.</w:t>
            </w:r>
          </w:p>
          <w:p>
            <w:pPr>
              <w:spacing w:after="40" w:line="252" w:lineRule="auto"/>
            </w:pPr>
            <w:hyperlink r:id="rId13">
              <w:r>
                <w:rPr>
                  <w:rFonts w:ascii="Calibri" w:hAnsi="Calibri" w:cs="Calibri"/>
                  <w:sz w:val="18"/>
                  <w:color w:val="1155CC"/>
                  <w:u w:val="single"/>
                </w:rPr>
                <w:t xml:space="preserve">pubmed.ncbi.nlm.nih.gov/37705825 — AAS burden</w:t>
              </w:r>
            </w:hyperlink>
          </w:p>
          <w:p>
            <w:pPr>
              <w:spacing w:before="60" w:after="40"/>
            </w:pPr>
            <w:r>
              <w:rPr>
                <w:rFonts w:ascii="Calibri" w:hAnsi="Calibri"/>
                <w:b w:val="0"/>
                <w:i w:val="0"/>
                <w:color w:val="5A5A5A"/>
                <w:sz w:val="18"/>
              </w:rPr>
              <w:t>#anabolicsteroids  #aromatization  #testosteronesuppression  #fitness  #supplements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Overweight, physically inactive men</w:t>
            </w:r>
          </w:p>
        </w:tc>
        <w:tc>
          <w:tcPr>
            <w:tcW w:type="dxa" w:w="4276"/>
            <w:vAlign w:val="top"/>
          </w:tcPr>
          <w:p>
            <w:pPr>
              <w:spacing w:after="60" w:line="259" w:lineRule="auto"/>
            </w:pPr>
            <w:r>
              <w:rPr>
                <w:rFonts w:ascii="Calibri" w:hAnsi="Calibri"/>
                <w:b w:val="0"/>
                <w:i w:val="0"/>
                <w:color w:val="212121"/>
                <w:sz w:val="19"/>
              </w:rPr>
              <w:t>Adipose-tissue aromatase converts testosterone to estradiol, and excess fat adds a pseudogynecomastia component; central obesity is a major and rising modifiable driver in Indian men.</w:t>
            </w:r>
          </w:p>
          <w:p>
            <w:pPr>
              <w:spacing w:after="40" w:before="60" w:line="259" w:lineRule="auto"/>
            </w:pPr>
            <w:r>
              <w:rPr>
                <w:rFonts w:ascii="Calibri" w:hAnsi="Calibri"/>
                <w:b w:val="0"/>
                <w:i w:val="0"/>
                <w:color w:val="212121"/>
                <w:sz w:val="19"/>
              </w:rPr>
              <w:t>Overweight/obesity among Indian men rose from 37.7% (NFHS-4, 2015–16) to 44.0% (NFHS-5, 2019–21).</w:t>
            </w:r>
          </w:p>
          <w:p>
            <w:pPr>
              <w:spacing w:after="40" w:line="252" w:lineRule="auto"/>
            </w:pPr>
            <w:hyperlink r:id="rId14">
              <w:r>
                <w:rPr>
                  <w:rFonts w:ascii="Calibri" w:hAnsi="Calibri" w:cs="Calibri"/>
                  <w:sz w:val="18"/>
                  <w:color w:val="1155CC"/>
                  <w:u w:val="single"/>
                </w:rPr>
                <w:t xml:space="preserve">link.springer.com — overweight/obesity in Indian adults (NFHS)</w:t>
              </w:r>
            </w:hyperlink>
          </w:p>
          <w:p>
            <w:pPr>
              <w:spacing w:before="60" w:after="40"/>
            </w:pPr>
            <w:r>
              <w:rPr>
                <w:rFonts w:ascii="Calibri" w:hAnsi="Calibri"/>
                <w:b w:val="0"/>
                <w:i w:val="0"/>
                <w:color w:val="5A5A5A"/>
                <w:sz w:val="18"/>
              </w:rPr>
              <w:t>#obesity  #aromatase  #pseudogynecomastia  #centraladiposity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exerts direct testicular toxicity and, by causing cirrhosis, impairs hepatic estrogen clearance and raises SHBG — lowering free testosterone and increasing relative estrogen action.</w:t>
            </w:r>
          </w:p>
          <w:p>
            <w:pPr>
              <w:spacing w:after="40" w:before="60" w:line="259" w:lineRule="auto"/>
            </w:pPr>
            <w:r>
              <w:rPr>
                <w:rFonts w:ascii="Calibri" w:hAnsi="Calibri"/>
                <w:b w:val="0"/>
                <w:i w:val="0"/>
                <w:color w:val="212121"/>
                <w:sz w:val="19"/>
              </w:rPr>
              <w:t>Cirrhosis accounts for ~8% of gynecomastia; 11% of a South Indian surgical cohort reported alcohol use.</w:t>
            </w:r>
          </w:p>
          <w:p>
            <w:pPr>
              <w:spacing w:after="40" w:line="252" w:lineRule="auto"/>
            </w:pPr>
            <w:hyperlink r:id="rId9">
              <w:r>
                <w:rPr>
                  <w:rFonts w:ascii="Calibri" w:hAnsi="Calibri" w:cs="Calibri"/>
                  <w:sz w:val="18"/>
                  <w:color w:val="1155CC"/>
                  <w:u w:val="single"/>
                </w:rPr>
                <w:t xml:space="preserve">aafp.org — gynecomastia (cirrhosis proportion)</w:t>
              </w:r>
            </w:hyperlink>
          </w:p>
          <w:p>
            <w:pPr>
              <w:spacing w:before="60" w:after="40"/>
            </w:pPr>
            <w:r>
              <w:rPr>
                <w:rFonts w:ascii="Calibri" w:hAnsi="Calibri"/>
                <w:b w:val="0"/>
                <w:i w:val="0"/>
                <w:color w:val="5A5A5A"/>
                <w:sz w:val="18"/>
              </w:rPr>
              <w:t>#alcohol  #cirrhosis  #SHBG  #testiculartoxicity  #liver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w:t>
            </w:r>
          </w:p>
        </w:tc>
        <w:tc>
          <w:tcPr>
            <w:tcW w:type="dxa" w:w="2160"/>
            <w:vAlign w:val="top"/>
          </w:tcPr>
          <w:p>
            <w:pPr>
              <w:spacing w:after="40" w:before="0" w:line="259" w:lineRule="auto"/>
            </w:pPr>
            <w:r>
              <w:rPr>
                <w:rFonts w:ascii="Calibri" w:hAnsi="Calibri"/>
                <w:b w:val="0"/>
                <w:i w:val="0"/>
                <w:color w:val="212121"/>
                <w:sz w:val="19"/>
              </w:rPr>
              <w:t>Cannabis (ganja) users</w:t>
            </w:r>
          </w:p>
        </w:tc>
        <w:tc>
          <w:tcPr>
            <w:tcW w:type="dxa" w:w="4276"/>
            <w:vAlign w:val="top"/>
          </w:tcPr>
          <w:p>
            <w:pPr>
              <w:spacing w:after="60" w:line="259" w:lineRule="auto"/>
            </w:pPr>
            <w:r>
              <w:rPr>
                <w:rFonts w:ascii="Calibri" w:hAnsi="Calibri"/>
                <w:b w:val="0"/>
                <w:i w:val="0"/>
                <w:color w:val="212121"/>
                <w:sz w:val="19"/>
              </w:rPr>
              <w:t>Cannabinoids are thought to act as weak estrogens and to suppress testosterone secretion, making marijuana a recognised recreational cause of drug-induced gynecomastia.</w:t>
            </w:r>
          </w:p>
          <w:p>
            <w:pPr>
              <w:spacing w:after="40" w:before="60" w:line="259" w:lineRule="auto"/>
            </w:pPr>
            <w:r>
              <w:rPr>
                <w:rFonts w:ascii="Calibri" w:hAnsi="Calibri"/>
                <w:b w:val="0"/>
                <w:i w:val="0"/>
                <w:color w:val="212121"/>
                <w:sz w:val="19"/>
              </w:rPr>
              <w:t>Marijuana is listed among the recognised substance causes of drug-induced gynecomastia.</w:t>
            </w:r>
          </w:p>
          <w:p>
            <w:pPr>
              <w:spacing w:after="40" w:line="252" w:lineRule="auto"/>
            </w:pPr>
            <w:hyperlink r:id="rId15">
              <w:r>
                <w:rPr>
                  <w:rFonts w:ascii="Calibri" w:hAnsi="Calibri" w:cs="Calibri"/>
                  <w:sz w:val="18"/>
                  <w:color w:val="1155CC"/>
                  <w:u w:val="single"/>
                </w:rPr>
                <w:t xml:space="preserve">ncbi.nlm.nih.gov/NBK430812 — StatPearls, drug causes</w:t>
              </w:r>
            </w:hyperlink>
          </w:p>
          <w:p>
            <w:pPr>
              <w:spacing w:before="60" w:after="40"/>
            </w:pPr>
            <w:r>
              <w:rPr>
                <w:rFonts w:ascii="Calibri" w:hAnsi="Calibri"/>
                <w:b w:val="0"/>
                <w:i w:val="0"/>
                <w:color w:val="5A5A5A"/>
                <w:sz w:val="18"/>
              </w:rPr>
              <w:t>#cannabis  #recreationaldrugs  #phytoestrogen  #testosterone  #reversible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 / refeeding</w:t>
            </w:r>
          </w:p>
        </w:tc>
        <w:tc>
          <w:tcPr>
            <w:tcW w:type="dxa" w:w="2160"/>
            <w:vAlign w:val="top"/>
          </w:tcPr>
          <w:p>
            <w:pPr>
              <w:spacing w:after="40" w:before="0" w:line="259" w:lineRule="auto"/>
            </w:pPr>
            <w:r>
              <w:rPr>
                <w:rFonts w:ascii="Calibri" w:hAnsi="Calibri"/>
                <w:b w:val="0"/>
                <w:i w:val="0"/>
                <w:color w:val="212121"/>
                <w:sz w:val="19"/>
              </w:rPr>
              <w:t>Undernourished or recovering patients</w:t>
            </w:r>
          </w:p>
        </w:tc>
        <w:tc>
          <w:tcPr>
            <w:tcW w:type="dxa" w:w="4276"/>
            <w:vAlign w:val="top"/>
          </w:tcPr>
          <w:p>
            <w:pPr>
              <w:spacing w:after="60" w:line="259" w:lineRule="auto"/>
            </w:pPr>
            <w:r>
              <w:rPr>
                <w:rFonts w:ascii="Calibri" w:hAnsi="Calibri"/>
                <w:b w:val="0"/>
                <w:i w:val="0"/>
                <w:color w:val="212121"/>
                <w:sz w:val="19"/>
              </w:rPr>
              <w:t>Prolonged starvation suppresses gonadotropins; on refeeding, a surge of gonadotropins produces a “second puberty” that transiently reactivates breast glandular tissue.</w:t>
            </w:r>
          </w:p>
          <w:p>
            <w:pPr>
              <w:spacing w:after="40" w:before="60" w:line="259" w:lineRule="auto"/>
            </w:pPr>
            <w:r>
              <w:rPr>
                <w:rFonts w:ascii="Calibri" w:hAnsi="Calibri"/>
                <w:b w:val="0"/>
                <w:i w:val="0"/>
                <w:color w:val="212121"/>
                <w:sz w:val="19"/>
              </w:rPr>
              <w:t>Malnutrition and the refeeding state are established causes of transient gynecomastia.</w:t>
            </w:r>
          </w:p>
          <w:p>
            <w:pPr>
              <w:spacing w:after="40" w:line="252" w:lineRule="auto"/>
            </w:pPr>
            <w:hyperlink r:id="rId16">
              <w:r>
                <w:rPr>
                  <w:rFonts w:ascii="Calibri" w:hAnsi="Calibri" w:cs="Calibri"/>
                  <w:sz w:val="18"/>
                  <w:color w:val="1155CC"/>
                  <w:u w:val="single"/>
                </w:rPr>
                <w:t xml:space="preserve">ncbi.nlm.nih.gov/NBK279105 — Endotext, etiology</w:t>
              </w:r>
            </w:hyperlink>
          </w:p>
          <w:p>
            <w:pPr>
              <w:spacing w:before="60" w:after="40"/>
            </w:pPr>
            <w:r>
              <w:rPr>
                <w:rFonts w:ascii="Calibri" w:hAnsi="Calibri"/>
                <w:b w:val="0"/>
                <w:i w:val="0"/>
                <w:color w:val="5A5A5A"/>
                <w:sz w:val="18"/>
              </w:rPr>
              <w:t>#malnutrition  #refeeding  #secondpuberty  #gonadotropins  #transient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Klinefelter syndrome (47,XXY)</w:t>
            </w:r>
          </w:p>
        </w:tc>
        <w:tc>
          <w:tcPr>
            <w:tcW w:type="dxa" w:w="2160"/>
            <w:vAlign w:val="top"/>
          </w:tcPr>
          <w:p>
            <w:pPr>
              <w:spacing w:after="40" w:before="0" w:line="259" w:lineRule="auto"/>
            </w:pPr>
            <w:r>
              <w:rPr>
                <w:rFonts w:ascii="Calibri" w:hAnsi="Calibri"/>
                <w:b w:val="0"/>
                <w:i w:val="0"/>
                <w:color w:val="212121"/>
                <w:sz w:val="19"/>
              </w:rPr>
              <w:t>Men with Klinefelter syndrome</w:t>
            </w:r>
          </w:p>
        </w:tc>
        <w:tc>
          <w:tcPr>
            <w:tcW w:type="dxa" w:w="4276"/>
            <w:vAlign w:val="top"/>
          </w:tcPr>
          <w:p>
            <w:pPr>
              <w:spacing w:after="60" w:line="259" w:lineRule="auto"/>
            </w:pPr>
            <w:r>
              <w:rPr>
                <w:rFonts w:ascii="Calibri" w:hAnsi="Calibri"/>
                <w:b w:val="0"/>
                <w:i w:val="0"/>
                <w:color w:val="212121"/>
                <w:sz w:val="19"/>
              </w:rPr>
              <w:t>Klinefelter syndrome causes primary hypogonadism with low testosterone, high LH/FSH and increased aromatization; it is the commonest congenital cause and carries a markedly increased male breast cancer risk.</w:t>
            </w:r>
          </w:p>
          <w:p>
            <w:pPr>
              <w:spacing w:after="40" w:before="60" w:line="259" w:lineRule="auto"/>
            </w:pPr>
            <w:r>
              <w:rPr>
                <w:rFonts w:ascii="Calibri" w:hAnsi="Calibri"/>
                <w:b w:val="0"/>
                <w:i w:val="0"/>
                <w:color w:val="212121"/>
                <w:sz w:val="19"/>
              </w:rPr>
              <w:t>Klinefelter syndrome is associated with a substantially increased risk of male breast cancer relative to other men.</w:t>
            </w:r>
          </w:p>
          <w:p>
            <w:pPr>
              <w:spacing w:after="40" w:line="252" w:lineRule="auto"/>
            </w:pPr>
            <w:hyperlink r:id="rId17">
              <w:r>
                <w:rPr>
                  <w:rFonts w:ascii="Calibri" w:hAnsi="Calibri" w:cs="Calibri"/>
                  <w:sz w:val="18"/>
                  <w:color w:val="1155CC"/>
                  <w:u w:val="single"/>
                </w:rPr>
                <w:t xml:space="preserve">sciencedirect.com — male breast cancer in Klinefelter syndrome</w:t>
              </w:r>
            </w:hyperlink>
          </w:p>
          <w:p>
            <w:pPr>
              <w:spacing w:before="60" w:after="40"/>
            </w:pPr>
            <w:r>
              <w:rPr>
                <w:rFonts w:ascii="Calibri" w:hAnsi="Calibri"/>
                <w:b w:val="0"/>
                <w:i w:val="0"/>
                <w:color w:val="5A5A5A"/>
                <w:sz w:val="18"/>
              </w:rPr>
              <w:t>#klinefelter  #47XXY  #primaryhypogonadism  #breastcancer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gynecomastia / aromatase excess</w:t>
            </w:r>
          </w:p>
        </w:tc>
        <w:tc>
          <w:tcPr>
            <w:tcW w:type="dxa" w:w="4276"/>
            <w:vAlign w:val="top"/>
          </w:tcPr>
          <w:p>
            <w:pPr>
              <w:spacing w:after="60" w:line="259" w:lineRule="auto"/>
            </w:pPr>
            <w:r>
              <w:rPr>
                <w:rFonts w:ascii="Calibri" w:hAnsi="Calibri"/>
                <w:b w:val="0"/>
                <w:i w:val="0"/>
                <w:color w:val="212121"/>
                <w:sz w:val="19"/>
              </w:rPr>
              <w:t>Familial clustering, and rare heritable disorders such as aromatase-excess syndrome and partial androgen insensitivity, produce inherited estrogen dominance and early-onset gynecomastia.</w:t>
            </w:r>
          </w:p>
          <w:p>
            <w:pPr>
              <w:spacing w:after="40" w:before="60" w:line="259" w:lineRule="auto"/>
            </w:pPr>
            <w:r>
              <w:rPr>
                <w:rFonts w:ascii="Calibri" w:hAnsi="Calibri"/>
                <w:b w:val="0"/>
                <w:i w:val="0"/>
                <w:color w:val="212121"/>
                <w:sz w:val="19"/>
              </w:rPr>
              <w:t>15.1% of a South Indian surgical cohort reported a family history of gynecomastia.</w:t>
            </w:r>
          </w:p>
          <w:p>
            <w:pPr>
              <w:spacing w:after="40" w:line="252" w:lineRule="auto"/>
            </w:pPr>
            <w:hyperlink r:id="rId11">
              <w:r>
                <w:rPr>
                  <w:rFonts w:ascii="Calibri" w:hAnsi="Calibri" w:cs="Calibri"/>
                  <w:sz w:val="18"/>
                  <w:color w:val="1155CC"/>
                  <w:u w:val="single"/>
                </w:rPr>
                <w:t xml:space="preserve">pmc.ncbi.nlm.nih.gov/PMC9859683 — family history</w:t>
              </w:r>
            </w:hyperlink>
          </w:p>
          <w:p>
            <w:pPr>
              <w:spacing w:before="60" w:after="40"/>
            </w:pPr>
            <w:r>
              <w:rPr>
                <w:rFonts w:ascii="Calibri" w:hAnsi="Calibri"/>
                <w:b w:val="0"/>
                <w:i w:val="0"/>
                <w:color w:val="5A5A5A"/>
                <w:sz w:val="18"/>
              </w:rPr>
              <w:t>#familyhistory  #aromataseexcess  #androgeninsensitivity  #hereditary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Cirrhosis / chronic liver disease</w:t>
            </w:r>
          </w:p>
        </w:tc>
        <w:tc>
          <w:tcPr>
            <w:tcW w:type="dxa" w:w="2160"/>
            <w:vAlign w:val="top"/>
          </w:tcPr>
          <w:p>
            <w:pPr>
              <w:spacing w:after="40" w:before="0" w:line="259" w:lineRule="auto"/>
            </w:pPr>
            <w:r>
              <w:rPr>
                <w:rFonts w:ascii="Calibri" w:hAnsi="Calibri"/>
                <w:b w:val="0"/>
                <w:i w:val="0"/>
                <w:color w:val="212121"/>
                <w:sz w:val="19"/>
              </w:rPr>
              <w:t>Men with chronic liver disease</w:t>
            </w:r>
          </w:p>
        </w:tc>
        <w:tc>
          <w:tcPr>
            <w:tcW w:type="dxa" w:w="4276"/>
            <w:vAlign w:val="top"/>
          </w:tcPr>
          <w:p>
            <w:pPr>
              <w:spacing w:after="60" w:line="259" w:lineRule="auto"/>
            </w:pPr>
            <w:r>
              <w:rPr>
                <w:rFonts w:ascii="Calibri" w:hAnsi="Calibri"/>
                <w:b w:val="0"/>
                <w:i w:val="0"/>
                <w:color w:val="212121"/>
                <w:sz w:val="19"/>
              </w:rPr>
              <w:t>Cirrhosis impairs hepatic clearance of estrogens, raises sex-hormone-binding globulin (lowering free testosterone) and increases peripheral aromatization, all favouring estrogen action.</w:t>
            </w:r>
          </w:p>
          <w:p>
            <w:pPr>
              <w:spacing w:after="40" w:before="60" w:line="259" w:lineRule="auto"/>
            </w:pPr>
            <w:r>
              <w:rPr>
                <w:rFonts w:ascii="Calibri" w:hAnsi="Calibri"/>
                <w:b w:val="0"/>
                <w:i w:val="0"/>
                <w:color w:val="212121"/>
                <w:sz w:val="19"/>
              </w:rPr>
              <w:t>Cirrhosis underlies approximately 8% of gynecomastia cases.</w:t>
            </w:r>
          </w:p>
          <w:p>
            <w:pPr>
              <w:spacing w:after="40" w:line="252" w:lineRule="auto"/>
            </w:pPr>
            <w:hyperlink r:id="rId15">
              <w:r>
                <w:rPr>
                  <w:rFonts w:ascii="Calibri" w:hAnsi="Calibri" w:cs="Calibri"/>
                  <w:sz w:val="18"/>
                  <w:color w:val="1155CC"/>
                  <w:u w:val="single"/>
                </w:rPr>
                <w:t xml:space="preserve">ncbi.nlm.nih.gov/NBK430812 — StatPearls, causes</w:t>
              </w:r>
            </w:hyperlink>
          </w:p>
          <w:p>
            <w:pPr>
              <w:spacing w:before="60" w:after="40"/>
            </w:pPr>
            <w:r>
              <w:rPr>
                <w:rFonts w:ascii="Calibri" w:hAnsi="Calibri"/>
                <w:b w:val="0"/>
                <w:i w:val="0"/>
                <w:color w:val="5A5A5A"/>
                <w:sz w:val="18"/>
              </w:rPr>
              <w:t>#cirrhosis  #liverdisease  #SHBG  #estrogenclearance  #alcohol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Dialysis / CKD patients</w:t>
            </w:r>
          </w:p>
        </w:tc>
        <w:tc>
          <w:tcPr>
            <w:tcW w:type="dxa" w:w="4276"/>
            <w:vAlign w:val="top"/>
          </w:tcPr>
          <w:p>
            <w:pPr>
              <w:spacing w:after="60" w:line="259" w:lineRule="auto"/>
            </w:pPr>
            <w:r>
              <w:rPr>
                <w:rFonts w:ascii="Calibri" w:hAnsi="Calibri"/>
                <w:b w:val="0"/>
                <w:i w:val="0"/>
                <w:color w:val="212121"/>
                <w:sz w:val="19"/>
              </w:rPr>
              <w:t>Uremia suppresses testosterone and disturbs the hypothalamic-pituitary-gonadal axis; a refeeding-like effect after starting dialysis can further provoke breast tissue growth.</w:t>
            </w:r>
          </w:p>
          <w:p>
            <w:pPr>
              <w:spacing w:after="40" w:before="60" w:line="259" w:lineRule="auto"/>
            </w:pPr>
            <w:r>
              <w:rPr>
                <w:rFonts w:ascii="Calibri" w:hAnsi="Calibri"/>
                <w:b w:val="0"/>
                <w:i w:val="0"/>
                <w:color w:val="212121"/>
                <w:sz w:val="19"/>
              </w:rPr>
              <w:t>Chronic renal insufficiency accounts for roughly 1% of gynecomastia cases.</w:t>
            </w:r>
          </w:p>
          <w:p>
            <w:pPr>
              <w:spacing w:after="40" w:line="252" w:lineRule="auto"/>
            </w:pPr>
            <w:hyperlink r:id="rId15">
              <w:r>
                <w:rPr>
                  <w:rFonts w:ascii="Calibri" w:hAnsi="Calibri" w:cs="Calibri"/>
                  <w:sz w:val="18"/>
                  <w:color w:val="1155CC"/>
                  <w:u w:val="single"/>
                </w:rPr>
                <w:t xml:space="preserve">ncbi.nlm.nih.gov/NBK430812 — StatPearls, causes</w:t>
              </w:r>
            </w:hyperlink>
          </w:p>
          <w:p>
            <w:pPr>
              <w:spacing w:before="60" w:after="40"/>
            </w:pPr>
            <w:r>
              <w:rPr>
                <w:rFonts w:ascii="Calibri" w:hAnsi="Calibri"/>
                <w:b w:val="0"/>
                <w:i w:val="0"/>
                <w:color w:val="5A5A5A"/>
                <w:sz w:val="18"/>
              </w:rPr>
              <w:t>#CKD  #dialysis  #uremia  #hypogonadism  #refeeding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Hyperthyroidism</w:t>
            </w:r>
          </w:p>
        </w:tc>
        <w:tc>
          <w:tcPr>
            <w:tcW w:type="dxa" w:w="2160"/>
            <w:vAlign w:val="top"/>
          </w:tcPr>
          <w:p>
            <w:pPr>
              <w:spacing w:after="40" w:before="0" w:line="259" w:lineRule="auto"/>
            </w:pPr>
            <w:r>
              <w:rPr>
                <w:rFonts w:ascii="Calibri" w:hAnsi="Calibri"/>
                <w:b w:val="0"/>
                <w:i w:val="0"/>
                <w:color w:val="212121"/>
                <w:sz w:val="19"/>
              </w:rPr>
              <w:t>Men with thyrotoxicosis</w:t>
            </w:r>
          </w:p>
        </w:tc>
        <w:tc>
          <w:tcPr>
            <w:tcW w:type="dxa" w:w="4276"/>
            <w:vAlign w:val="top"/>
          </w:tcPr>
          <w:p>
            <w:pPr>
              <w:spacing w:after="60" w:line="259" w:lineRule="auto"/>
            </w:pPr>
            <w:r>
              <w:rPr>
                <w:rFonts w:ascii="Calibri" w:hAnsi="Calibri"/>
                <w:b w:val="0"/>
                <w:i w:val="0"/>
                <w:color w:val="212121"/>
                <w:sz w:val="19"/>
              </w:rPr>
              <w:t>Excess thyroid hormone raises sex-hormone-binding globulin and increases peripheral aromatization, tipping the estrogen-to-androgen ratio; gynecomastia resolves on restoring euthyroidism.</w:t>
            </w:r>
          </w:p>
          <w:p>
            <w:pPr>
              <w:spacing w:after="40" w:before="60" w:line="259" w:lineRule="auto"/>
            </w:pPr>
            <w:r>
              <w:rPr>
                <w:rFonts w:ascii="Calibri" w:hAnsi="Calibri"/>
                <w:b w:val="0"/>
                <w:i w:val="0"/>
                <w:color w:val="212121"/>
                <w:sz w:val="19"/>
              </w:rPr>
              <w:t>Gynecomastia occurs in ~10–40% of men with hyperthyroidism, which underlies about 2% of all cases.</w:t>
            </w:r>
          </w:p>
          <w:p>
            <w:pPr>
              <w:spacing w:after="40" w:line="252" w:lineRule="auto"/>
            </w:pPr>
            <w:hyperlink r:id="rId9">
              <w:r>
                <w:rPr>
                  <w:rFonts w:ascii="Calibri" w:hAnsi="Calibri" w:cs="Calibri"/>
                  <w:sz w:val="18"/>
                  <w:color w:val="1155CC"/>
                  <w:u w:val="single"/>
                </w:rPr>
                <w:t xml:space="preserve">aafp.org — gynecomastia (hyperthyroidism)</w:t>
              </w:r>
            </w:hyperlink>
          </w:p>
          <w:p>
            <w:pPr>
              <w:spacing w:before="60" w:after="40"/>
            </w:pPr>
            <w:r>
              <w:rPr>
                <w:rFonts w:ascii="Calibri" w:hAnsi="Calibri"/>
                <w:b w:val="0"/>
                <w:i w:val="0"/>
                <w:color w:val="5A5A5A"/>
                <w:sz w:val="18"/>
              </w:rPr>
              <w:t>#hyperthyroidism  #thyrotoxicosis  #SHBG  #aromatization  #reversible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Hypogonadism / testicular tumor</w:t>
            </w:r>
          </w:p>
        </w:tc>
        <w:tc>
          <w:tcPr>
            <w:tcW w:type="dxa" w:w="2160"/>
            <w:vAlign w:val="top"/>
          </w:tcPr>
          <w:p>
            <w:pPr>
              <w:spacing w:after="40" w:before="0" w:line="259" w:lineRule="auto"/>
            </w:pPr>
            <w:r>
              <w:rPr>
                <w:rFonts w:ascii="Calibri" w:hAnsi="Calibri"/>
                <w:b w:val="0"/>
                <w:i w:val="0"/>
                <w:color w:val="212121"/>
                <w:sz w:val="19"/>
              </w:rPr>
              <w:t>Men with hypogonadism or testicular tumors</w:t>
            </w:r>
          </w:p>
        </w:tc>
        <w:tc>
          <w:tcPr>
            <w:tcW w:type="dxa" w:w="4276"/>
            <w:vAlign w:val="top"/>
          </w:tcPr>
          <w:p>
            <w:pPr>
              <w:spacing w:after="60" w:line="259" w:lineRule="auto"/>
            </w:pPr>
            <w:r>
              <w:rPr>
                <w:rFonts w:ascii="Calibri" w:hAnsi="Calibri"/>
                <w:b w:val="0"/>
                <w:i w:val="0"/>
                <w:color w:val="212121"/>
                <w:sz w:val="19"/>
              </w:rPr>
              <w:t>Primary or secondary hypogonadism lowers testosterone, while estrogen- or hCG-secreting testicular, adrenal or ectopic tumors raise estrogen — gynecomastia can be the sole presenting sign.</w:t>
            </w:r>
          </w:p>
          <w:p>
            <w:pPr>
              <w:spacing w:after="40" w:before="60" w:line="259" w:lineRule="auto"/>
            </w:pPr>
            <w:r>
              <w:rPr>
                <w:rFonts w:ascii="Calibri" w:hAnsi="Calibri"/>
                <w:b w:val="0"/>
                <w:i w:val="0"/>
                <w:color w:val="212121"/>
                <w:sz w:val="19"/>
              </w:rPr>
              <w:t>Testicular tumors present with gynecomastia alone in about 10% of cases; tumors overall cause ~3% and primary hypogonadism ~8% of gynecomastia.</w:t>
            </w:r>
          </w:p>
          <w:p>
            <w:pPr>
              <w:spacing w:after="40" w:line="252" w:lineRule="auto"/>
            </w:pPr>
            <w:hyperlink r:id="rId15">
              <w:r>
                <w:rPr>
                  <w:rFonts w:ascii="Calibri" w:hAnsi="Calibri" w:cs="Calibri"/>
                  <w:sz w:val="18"/>
                  <w:color w:val="1155CC"/>
                  <w:u w:val="single"/>
                </w:rPr>
                <w:t xml:space="preserve">ncbi.nlm.nih.gov/NBK430812 — StatPearls, tumors &amp; hypogonadism</w:t>
              </w:r>
            </w:hyperlink>
          </w:p>
          <w:p>
            <w:pPr>
              <w:spacing w:before="60" w:after="40"/>
            </w:pPr>
            <w:r>
              <w:rPr>
                <w:rFonts w:ascii="Calibri" w:hAnsi="Calibri"/>
                <w:b w:val="0"/>
                <w:i w:val="0"/>
                <w:color w:val="5A5A5A"/>
                <w:sz w:val="18"/>
              </w:rPr>
              <w:t>#hypogonadism  #testiculartumor  #hCG  #Leydigcell  #redflag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Sedentary living and central obesity increase adipose aromatization of androgens to estrogens and add a fatty pseudogynecomastia component; aerobic and resistance training reduce fat-driven estrogen, though established glandular tissue is not reversed by exercise.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High-fat, calorie-dense obesogenic diets promote adiposity and aromatase-driven estrogen excess, while malnutrition followed by refeeding transiently provokes gynecomastia; direct dietary causation is otherwise modest.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lowers testosterone and disturbs the HPG axis, a biologically plausible but weakly-evidenced contributor to the estrogen-androgen imbalance.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tobacco alters sex-hormone levels in some studies but a clear causal link between smoking and gynecomastia is not established.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alcohol has direct testicular toxicity and, via cirrhosis, impairs estrogen clearance and raises SHBG; it is a well-recognised cause, and cirrhosis underlies ~8% of cases.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gynecomastia causes marked social-appearance anxiety and low self-esteem, while psychotropic drugs (prolactin-raising antipsychotics, some antidepressants) are themselves recognised causes.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Relevant mainly to inframammary intertrigo and skin maceration under large breasts and to post-operative wound care, rather than to causation of the condition.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triggers dominate the pathological group: anabolic-androgenic steroids, specific drugs (spironolactone, cimetidine, ketoconazole, anti-androgens, 5-ARIs, digoxin, antipsychotics), cannabis, and the physiological surge of puberty.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(raised); ≥ 25 (obese)</w:t>
            </w:r>
          </w:p>
        </w:tc>
        <w:tc>
          <w:tcPr>
            <w:tcW w:type="dxa" w:w="1468"/>
            <w:vAlign w:val="top"/>
          </w:tcPr>
          <w:p>
            <w:pPr>
              <w:spacing w:after="60" w:line="259" w:lineRule="auto"/>
            </w:pPr>
            <w:r>
              <w:rPr>
                <w:rFonts w:ascii="Calibri" w:hAnsi="Calibri"/>
                <w:b w:val="0"/>
                <w:i w:val="0"/>
                <w:color w:val="212121"/>
                <w:sz w:val="19"/>
              </w:rPr>
              <w:t>Higher BMI increases aromatization and adds pseudogynecomastia bulk</w:t>
            </w:r>
          </w:p>
          <w:p>
            <w:pPr>
              <w:spacing w:after="40" w:line="252" w:lineRule="auto"/>
            </w:pPr>
            <w:hyperlink r:id="rId14">
              <w:r>
                <w:rPr>
                  <w:rFonts w:ascii="Calibri" w:hAnsi="Calibri" w:cs="Calibri"/>
                  <w:sz w:val="18"/>
                  <w:color w:val="1155CC"/>
                  <w:u w:val="single"/>
                </w:rPr>
                <w:t xml:space="preserve">https://link.springer.com/article/10.1007/s12325-023-02670-3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&lt; 90 cm</w:t>
            </w:r>
          </w:p>
        </w:tc>
        <w:tc>
          <w:tcPr>
            <w:tcW w:type="dxa" w:w="1512"/>
            <w:vAlign w:val="top"/>
          </w:tcPr>
          <w:p>
            <w:pPr>
              <w:spacing w:after="40" w:before="0" w:line="259" w:lineRule="auto"/>
            </w:pPr>
            <w:r>
              <w:rPr>
                <w:rFonts w:ascii="Calibri" w:hAnsi="Calibri"/>
                <w:b w:val="0"/>
                <w:i w:val="0"/>
                <w:color w:val="212121"/>
                <w:sz w:val="19"/>
              </w:rPr>
              <w:t>≥ 90 cm</w:t>
            </w:r>
          </w:p>
        </w:tc>
        <w:tc>
          <w:tcPr>
            <w:tcW w:type="dxa" w:w="1468"/>
            <w:vAlign w:val="top"/>
          </w:tcPr>
          <w:p>
            <w:pPr>
              <w:spacing w:after="40" w:before="0" w:line="259" w:lineRule="auto"/>
            </w:pPr>
            <w:r>
              <w:rPr>
                <w:rFonts w:ascii="Calibri" w:hAnsi="Calibri"/>
                <w:b w:val="0"/>
                <w:i w:val="0"/>
                <w:color w:val="212121"/>
                <w:sz w:val="19"/>
              </w:rPr>
              <w:t>Central adiposity is the main modifiable estrogenic driver in Indian men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Reduces fatty breast bulk but not established glandular tissue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Chronic energy balance</w:t>
            </w:r>
          </w:p>
        </w:tc>
        <w:tc>
          <w:tcPr>
            <w:tcW w:type="dxa" w:w="1655"/>
            <w:vAlign w:val="top"/>
          </w:tcPr>
          <w:p>
            <w:pPr>
              <w:spacing w:after="40" w:before="0" w:line="259" w:lineRule="auto"/>
            </w:pPr>
            <w:r>
              <w:rPr>
                <w:rFonts w:ascii="Calibri" w:hAnsi="Calibri"/>
                <w:b w:val="0"/>
                <w:i w:val="0"/>
                <w:color w:val="212121"/>
                <w:sz w:val="19"/>
              </w:rPr>
              <w:t>Overweight men</w:t>
            </w:r>
          </w:p>
        </w:tc>
        <w:tc>
          <w:tcPr>
            <w:tcW w:type="dxa" w:w="1512"/>
            <w:vAlign w:val="top"/>
          </w:tcPr>
          <w:p>
            <w:pPr>
              <w:spacing w:after="40" w:before="0" w:line="259" w:lineRule="auto"/>
            </w:pPr>
            <w:r>
              <w:rPr>
                <w:rFonts w:ascii="Calibri" w:hAnsi="Calibri"/>
                <w:b w:val="0"/>
                <w:i w:val="0"/>
                <w:color w:val="212121"/>
                <w:sz w:val="19"/>
              </w:rPr>
              <w:t>Energy balance / modest deficit</w:t>
            </w:r>
          </w:p>
        </w:tc>
        <w:tc>
          <w:tcPr>
            <w:tcW w:type="dxa" w:w="1512"/>
            <w:vAlign w:val="top"/>
          </w:tcPr>
          <w:p>
            <w:pPr>
              <w:spacing w:after="40" w:before="0" w:line="259" w:lineRule="auto"/>
            </w:pPr>
            <w:r>
              <w:rPr>
                <w:rFonts w:ascii="Calibri" w:hAnsi="Calibri"/>
                <w:b w:val="0"/>
                <w:i w:val="0"/>
                <w:color w:val="212121"/>
                <w:sz w:val="19"/>
              </w:rPr>
              <w:t>Sustained calorie surplus</w:t>
            </w:r>
          </w:p>
        </w:tc>
        <w:tc>
          <w:tcPr>
            <w:tcW w:type="dxa" w:w="1468"/>
            <w:vAlign w:val="top"/>
          </w:tcPr>
          <w:p>
            <w:pPr>
              <w:spacing w:after="40" w:before="0" w:line="259" w:lineRule="auto"/>
            </w:pPr>
            <w:r>
              <w:rPr>
                <w:rFonts w:ascii="Calibri" w:hAnsi="Calibri"/>
                <w:b w:val="0"/>
                <w:i w:val="0"/>
                <w:color w:val="212121"/>
                <w:sz w:val="19"/>
              </w:rPr>
              <w:t>Fat gain fuels aromatase-mediated estrogen production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Short sleep lowers testosterone (weak, indirect link)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 light use</w:t>
            </w:r>
          </w:p>
        </w:tc>
        <w:tc>
          <w:tcPr>
            <w:tcW w:type="dxa" w:w="1512"/>
            <w:vAlign w:val="top"/>
          </w:tcPr>
          <w:p>
            <w:pPr>
              <w:spacing w:after="40" w:before="0" w:line="259" w:lineRule="auto"/>
            </w:pPr>
            <w:r>
              <w:rPr>
                <w:rFonts w:ascii="Calibri" w:hAnsi="Calibri"/>
                <w:b w:val="0"/>
                <w:i w:val="0"/>
                <w:color w:val="212121"/>
                <w:sz w:val="19"/>
              </w:rPr>
              <w:t>Heavy / daily intake</w:t>
            </w:r>
          </w:p>
        </w:tc>
        <w:tc>
          <w:tcPr>
            <w:tcW w:type="dxa" w:w="1468"/>
            <w:vAlign w:val="top"/>
          </w:tcPr>
          <w:p>
            <w:pPr>
              <w:spacing w:after="40" w:before="0" w:line="259" w:lineRule="auto"/>
            </w:pPr>
            <w:r>
              <w:rPr>
                <w:rFonts w:ascii="Calibri" w:hAnsi="Calibri"/>
                <w:b w:val="0"/>
                <w:i w:val="0"/>
                <w:color w:val="212121"/>
                <w:sz w:val="19"/>
              </w:rPr>
              <w:t>Testicular toxicity plus cirrhosis-related estrogen excess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Social-appearance anxiety (SAAS)</w:t>
            </w:r>
          </w:p>
        </w:tc>
        <w:tc>
          <w:tcPr>
            <w:tcW w:type="dxa" w:w="1655"/>
            <w:vAlign w:val="top"/>
          </w:tcPr>
          <w:p>
            <w:pPr>
              <w:spacing w:after="40" w:before="0" w:line="259" w:lineRule="auto"/>
            </w:pPr>
            <w:r>
              <w:rPr>
                <w:rFonts w:ascii="Calibri" w:hAnsi="Calibri"/>
                <w:b w:val="0"/>
                <w:i w:val="0"/>
                <w:color w:val="212121"/>
                <w:sz w:val="19"/>
              </w:rPr>
              <w:t>Adolescents / young men</w:t>
            </w:r>
          </w:p>
        </w:tc>
        <w:tc>
          <w:tcPr>
            <w:tcW w:type="dxa" w:w="1512"/>
            <w:vAlign w:val="top"/>
          </w:tcPr>
          <w:p>
            <w:pPr>
              <w:spacing w:after="40" w:before="0" w:line="259" w:lineRule="auto"/>
            </w:pPr>
            <w:r>
              <w:rPr>
                <w:rFonts w:ascii="Calibri" w:hAnsi="Calibri"/>
                <w:b w:val="0"/>
                <w:i w:val="0"/>
                <w:color w:val="212121"/>
                <w:sz w:val="19"/>
              </w:rPr>
              <w:t>Comparable to peers</w:t>
            </w:r>
          </w:p>
        </w:tc>
        <w:tc>
          <w:tcPr>
            <w:tcW w:type="dxa" w:w="1512"/>
            <w:vAlign w:val="top"/>
          </w:tcPr>
          <w:p>
            <w:pPr>
              <w:spacing w:after="40" w:before="0" w:line="259" w:lineRule="auto"/>
            </w:pPr>
            <w:r>
              <w:rPr>
                <w:rFonts w:ascii="Calibri" w:hAnsi="Calibri"/>
                <w:b w:val="0"/>
                <w:i w:val="0"/>
                <w:color w:val="212121"/>
                <w:sz w:val="19"/>
              </w:rPr>
              <w:t>Elevated vs controls</w:t>
            </w:r>
          </w:p>
        </w:tc>
        <w:tc>
          <w:tcPr>
            <w:tcW w:type="dxa" w:w="1468"/>
            <w:vAlign w:val="top"/>
          </w:tcPr>
          <w:p>
            <w:pPr>
              <w:spacing w:after="60" w:line="259" w:lineRule="auto"/>
            </w:pPr>
            <w:r>
              <w:rPr>
                <w:rFonts w:ascii="Calibri" w:hAnsi="Calibri"/>
                <w:b w:val="0"/>
                <w:i w:val="0"/>
                <w:color w:val="212121"/>
                <w:sz w:val="19"/>
              </w:rPr>
              <w:t>SAAS was higher than controls and correlated with severity (r = 0.479)</w:t>
            </w:r>
          </w:p>
          <w:p>
            <w:pPr>
              <w:spacing w:after="40" w:line="252" w:lineRule="auto"/>
            </w:pPr>
            <w:hyperlink r:id="rId18">
              <w:r>
                <w:rPr>
                  <w:rFonts w:ascii="Calibri" w:hAnsi="Calibri" w:cs="Calibri"/>
                  <w:sz w:val="18"/>
                  <w:color w:val="1155CC"/>
                  <w:u w:val="single"/>
                </w:rPr>
                <w:t xml:space="preserve">https://pubmed.ncbi.nlm.nih.gov/40531305/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Anabolic-steroid exposure</w:t>
            </w:r>
          </w:p>
        </w:tc>
        <w:tc>
          <w:tcPr>
            <w:tcW w:type="dxa" w:w="1655"/>
            <w:vAlign w:val="top"/>
          </w:tcPr>
          <w:p>
            <w:pPr>
              <w:spacing w:after="40" w:before="0" w:line="259" w:lineRule="auto"/>
            </w:pPr>
            <w:r>
              <w:rPr>
                <w:rFonts w:ascii="Calibri" w:hAnsi="Calibri"/>
                <w:b w:val="0"/>
                <w:i w:val="0"/>
                <w:color w:val="212121"/>
                <w:sz w:val="19"/>
              </w:rPr>
              <w:t>Gym-goers</w:t>
            </w:r>
          </w:p>
        </w:tc>
        <w:tc>
          <w:tcPr>
            <w:tcW w:type="dxa" w:w="1512"/>
            <w:vAlign w:val="top"/>
          </w:tcPr>
          <w:p>
            <w:pPr>
              <w:spacing w:after="40" w:before="0" w:line="259" w:lineRule="auto"/>
            </w:pPr>
            <w:r>
              <w:rPr>
                <w:rFonts w:ascii="Calibri" w:hAnsi="Calibri"/>
                <w:b w:val="0"/>
                <w:i w:val="0"/>
                <w:color w:val="212121"/>
                <w:sz w:val="19"/>
              </w:rPr>
              <w:t>No AAS use</w:t>
            </w:r>
          </w:p>
        </w:tc>
        <w:tc>
          <w:tcPr>
            <w:tcW w:type="dxa" w:w="1512"/>
            <w:vAlign w:val="top"/>
          </w:tcPr>
          <w:p>
            <w:pPr>
              <w:spacing w:after="40" w:before="0" w:line="259" w:lineRule="auto"/>
            </w:pPr>
            <w:r>
              <w:rPr>
                <w:rFonts w:ascii="Calibri" w:hAnsi="Calibri"/>
                <w:b w:val="0"/>
                <w:i w:val="0"/>
                <w:color w:val="212121"/>
                <w:sz w:val="19"/>
              </w:rPr>
              <w:t>Any AAS / prohormone cycle</w:t>
            </w:r>
          </w:p>
        </w:tc>
        <w:tc>
          <w:tcPr>
            <w:tcW w:type="dxa" w:w="1468"/>
            <w:vAlign w:val="top"/>
          </w:tcPr>
          <w:p>
            <w:pPr>
              <w:spacing w:after="60" w:line="259" w:lineRule="auto"/>
            </w:pPr>
            <w:r>
              <w:rPr>
                <w:rFonts w:ascii="Calibri" w:hAnsi="Calibri"/>
                <w:b w:val="0"/>
                <w:i w:val="0"/>
                <w:color w:val="212121"/>
                <w:sz w:val="19"/>
              </w:rPr>
              <w:t>Accounted for ~39% of gynecomastia in an Indian surgical cohort</w:t>
            </w:r>
          </w:p>
          <w:p>
            <w:pPr>
              <w:spacing w:after="40" w:line="252" w:lineRule="auto"/>
            </w:pPr>
            <w:hyperlink r:id="rId13">
              <w:r>
                <w:rPr>
                  <w:rFonts w:ascii="Calibri" w:hAnsi="Calibri" w:cs="Calibri"/>
                  <w:sz w:val="18"/>
                  <w:color w:val="1155CC"/>
                  <w:u w:val="single"/>
                </w:rPr>
                <w:t xml:space="preserve">https://pubmed.ncbi.nlm.nih.gov/37705825/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Subareolar glandular disc diameter</w:t>
            </w:r>
          </w:p>
        </w:tc>
        <w:tc>
          <w:tcPr>
            <w:tcW w:type="dxa" w:w="1655"/>
            <w:vAlign w:val="top"/>
          </w:tcPr>
          <w:p>
            <w:pPr>
              <w:spacing w:after="40" w:before="0" w:line="259" w:lineRule="auto"/>
            </w:pPr>
            <w:r>
              <w:rPr>
                <w:rFonts w:ascii="Calibri" w:hAnsi="Calibri"/>
                <w:b w:val="0"/>
                <w:i w:val="0"/>
                <w:color w:val="212121"/>
                <w:sz w:val="19"/>
              </w:rPr>
              <w:t>Any male</w:t>
            </w:r>
          </w:p>
        </w:tc>
        <w:tc>
          <w:tcPr>
            <w:tcW w:type="dxa" w:w="1512"/>
            <w:vAlign w:val="top"/>
          </w:tcPr>
          <w:p>
            <w:pPr>
              <w:spacing w:after="40" w:before="0" w:line="259" w:lineRule="auto"/>
            </w:pPr>
            <w:r>
              <w:rPr>
                <w:rFonts w:ascii="Calibri" w:hAnsi="Calibri"/>
                <w:b w:val="0"/>
                <w:i w:val="0"/>
                <w:color w:val="212121"/>
                <w:sz w:val="19"/>
              </w:rPr>
              <w:t>&lt; 0.5 cm</w:t>
            </w:r>
          </w:p>
        </w:tc>
        <w:tc>
          <w:tcPr>
            <w:tcW w:type="dxa" w:w="1512"/>
            <w:vAlign w:val="top"/>
          </w:tcPr>
          <w:p>
            <w:pPr>
              <w:spacing w:after="40" w:before="0" w:line="259" w:lineRule="auto"/>
            </w:pPr>
            <w:r>
              <w:rPr>
                <w:rFonts w:ascii="Calibri" w:hAnsi="Calibri"/>
                <w:b w:val="0"/>
                <w:i w:val="0"/>
                <w:color w:val="212121"/>
                <w:sz w:val="19"/>
              </w:rPr>
              <w:t>≥ 0.5 cm firm mobile disc</w:t>
            </w:r>
          </w:p>
        </w:tc>
        <w:tc>
          <w:tcPr>
            <w:tcW w:type="dxa" w:w="1468"/>
            <w:vAlign w:val="top"/>
          </w:tcPr>
          <w:p>
            <w:pPr>
              <w:spacing w:after="60" w:line="259" w:lineRule="auto"/>
            </w:pPr>
            <w:r>
              <w:rPr>
                <w:rFonts w:ascii="Calibri" w:hAnsi="Calibri"/>
                <w:b w:val="0"/>
                <w:i w:val="0"/>
                <w:color w:val="212121"/>
                <w:sz w:val="19"/>
              </w:rPr>
              <w:t>Threshold that defines true (glandular) gynecomastia</w:t>
            </w:r>
          </w:p>
          <w:p>
            <w:pPr>
              <w:spacing w:after="40" w:line="252" w:lineRule="auto"/>
            </w:pPr>
            <w:hyperlink r:id="rId9">
              <w:r>
                <w:rPr>
                  <w:rFonts w:ascii="Calibri" w:hAnsi="Calibri" w:cs="Calibri"/>
                  <w:sz w:val="18"/>
                  <w:color w:val="1155CC"/>
                  <w:u w:val="single"/>
                </w:rPr>
                <w:t xml:space="preserve">https://www.aafp.org/pubs/afp/issues/2012/0401/p716.html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Simon severity grade</w:t>
            </w:r>
          </w:p>
        </w:tc>
        <w:tc>
          <w:tcPr>
            <w:tcW w:type="dxa" w:w="1655"/>
            <w:vAlign w:val="top"/>
          </w:tcPr>
          <w:p>
            <w:pPr>
              <w:spacing w:after="40" w:before="0" w:line="259" w:lineRule="auto"/>
            </w:pPr>
            <w:r>
              <w:rPr>
                <w:rFonts w:ascii="Calibri" w:hAnsi="Calibri"/>
                <w:b w:val="0"/>
                <w:i w:val="0"/>
                <w:color w:val="212121"/>
                <w:sz w:val="19"/>
              </w:rPr>
              <w:t>Surgical candidates</w:t>
            </w:r>
          </w:p>
        </w:tc>
        <w:tc>
          <w:tcPr>
            <w:tcW w:type="dxa" w:w="1512"/>
            <w:vAlign w:val="top"/>
          </w:tcPr>
          <w:p>
            <w:pPr>
              <w:spacing w:after="40" w:before="0" w:line="259" w:lineRule="auto"/>
            </w:pPr>
            <w:r>
              <w:rPr>
                <w:rFonts w:ascii="Calibri" w:hAnsi="Calibri"/>
                <w:b w:val="0"/>
                <w:i w:val="0"/>
                <w:color w:val="212121"/>
                <w:sz w:val="19"/>
              </w:rPr>
              <w:t>Grade I</w:t>
            </w:r>
          </w:p>
        </w:tc>
        <w:tc>
          <w:tcPr>
            <w:tcW w:type="dxa" w:w="1512"/>
            <w:vAlign w:val="top"/>
          </w:tcPr>
          <w:p>
            <w:pPr>
              <w:spacing w:after="40" w:before="0" w:line="259" w:lineRule="auto"/>
            </w:pPr>
            <w:r>
              <w:rPr>
                <w:rFonts w:ascii="Calibri" w:hAnsi="Calibri"/>
                <w:b w:val="0"/>
                <w:i w:val="0"/>
                <w:color w:val="212121"/>
                <w:sz w:val="19"/>
              </w:rPr>
              <w:t>Grade IIb–III</w:t>
            </w:r>
          </w:p>
        </w:tc>
        <w:tc>
          <w:tcPr>
            <w:tcW w:type="dxa" w:w="1468"/>
            <w:vAlign w:val="top"/>
          </w:tcPr>
          <w:p>
            <w:pPr>
              <w:spacing w:after="60" w:line="259" w:lineRule="auto"/>
            </w:pPr>
            <w:r>
              <w:rPr>
                <w:rFonts w:ascii="Calibri" w:hAnsi="Calibri"/>
                <w:b w:val="0"/>
                <w:i w:val="0"/>
                <w:color w:val="212121"/>
                <w:sz w:val="19"/>
              </w:rPr>
              <w:t>Guides medical management versus surgical correction</w:t>
            </w:r>
          </w:p>
          <w:p>
            <w:pPr>
              <w:spacing w:after="40" w:line="252" w:lineRule="auto"/>
            </w:pPr>
            <w:hyperlink r:id="rId11">
              <w:r>
                <w:rPr>
                  <w:rFonts w:ascii="Calibri" w:hAnsi="Calibri" w:cs="Calibri"/>
                  <w:sz w:val="18"/>
                  <w:color w:val="1155CC"/>
                  <w:u w:val="single"/>
                </w:rPr>
                <w:t xml:space="preserve">https://pmc.ncbi.nlm.nih.gov/articles/PMC9859683/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(endocrine)</w:t>
            </w:r>
          </w:p>
        </w:tc>
        <w:tc>
          <w:tcPr>
            <w:tcW w:type="dxa" w:w="1036"/>
            <w:vAlign w:val="top"/>
          </w:tcPr>
          <w:p>
            <w:pPr>
              <w:spacing w:after="40" w:before="0" w:line="259" w:lineRule="auto"/>
            </w:pPr>
            <w:r>
              <w:rPr>
                <w:rFonts w:ascii="Calibri" w:hAnsi="Calibri"/>
                <w:b w:val="0"/>
                <w:i w:val="0"/>
                <w:color w:val="212121"/>
                <w:sz w:val="16"/>
              </w:rPr>
              <w:t>Total &amp; free Testosterone</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~300–1000 ng/dL (adult men)</w:t>
            </w:r>
          </w:p>
        </w:tc>
        <w:tc>
          <w:tcPr>
            <w:tcW w:type="dxa" w:w="950"/>
            <w:vAlign w:val="top"/>
          </w:tcPr>
          <w:p>
            <w:pPr>
              <w:spacing w:after="40" w:before="0" w:line="259" w:lineRule="auto"/>
            </w:pPr>
            <w:r>
              <w:rPr>
                <w:rFonts w:ascii="Calibri" w:hAnsi="Calibri"/>
                <w:b w:val="0"/>
                <w:i w:val="0"/>
                <w:color w:val="212121"/>
                <w:sz w:val="16"/>
              </w:rPr>
              <w:t>&lt; 300 ng/dL</w:t>
            </w:r>
          </w:p>
        </w:tc>
        <w:tc>
          <w:tcPr>
            <w:tcW w:type="dxa" w:w="1036"/>
            <w:vAlign w:val="top"/>
          </w:tcPr>
          <w:p>
            <w:pPr>
              <w:spacing w:after="40" w:before="0" w:line="259" w:lineRule="auto"/>
            </w:pPr>
            <w:r>
              <w:rPr>
                <w:rFonts w:ascii="Calibri" w:hAnsi="Calibri"/>
                <w:b w:val="0"/>
                <w:i w:val="0"/>
                <w:color w:val="212121"/>
                <w:sz w:val="16"/>
              </w:rPr>
              <w:t>Low testosterone indicates androgen deficiency/hypogonadism, favouring relative estrogen action on the breast</w:t>
            </w:r>
          </w:p>
        </w:tc>
        <w:tc>
          <w:tcPr>
            <w:tcW w:type="dxa" w:w="1036"/>
            <w:vAlign w:val="top"/>
          </w:tcPr>
          <w:p>
            <w:pPr>
              <w:spacing w:after="40" w:before="0" w:line="259" w:lineRule="auto"/>
            </w:pPr>
            <w:r>
              <w:rPr>
                <w:rFonts w:ascii="Calibri" w:hAnsi="Calibri"/>
                <w:b w:val="0"/>
                <w:i w:val="0"/>
                <w:color w:val="212121"/>
                <w:sz w:val="16"/>
              </w:rPr>
              <w:t>Adults with gynecomastia, hypogonadal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Draw a morning, fasting sample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(endocrine)</w:t>
            </w:r>
          </w:p>
        </w:tc>
        <w:tc>
          <w:tcPr>
            <w:tcW w:type="dxa" w:w="1036"/>
            <w:vAlign w:val="top"/>
          </w:tcPr>
          <w:p>
            <w:pPr>
              <w:spacing w:after="40" w:before="0" w:line="259" w:lineRule="auto"/>
            </w:pPr>
            <w:r>
              <w:rPr>
                <w:rFonts w:ascii="Calibri" w:hAnsi="Calibri"/>
                <w:b w:val="0"/>
                <w:i w:val="0"/>
                <w:color w:val="212121"/>
                <w:sz w:val="16"/>
              </w:rPr>
              <w:t>Estradiol (E2)</w:t>
            </w:r>
          </w:p>
        </w:tc>
        <w:tc>
          <w:tcPr>
            <w:tcW w:type="dxa" w:w="892"/>
            <w:vAlign w:val="top"/>
          </w:tcPr>
          <w:p>
            <w:pPr>
              <w:spacing w:after="40" w:before="0" w:line="259" w:lineRule="auto"/>
            </w:pPr>
            <w:r>
              <w:rPr>
                <w:rFonts w:ascii="Calibri" w:hAnsi="Calibri"/>
                <w:b w:val="0"/>
                <w:i w:val="0"/>
                <w:color w:val="212121"/>
                <w:sz w:val="16"/>
              </w:rPr>
              <w:t>Serum estradiol</w:t>
            </w:r>
          </w:p>
        </w:tc>
        <w:tc>
          <w:tcPr>
            <w:tcW w:type="dxa" w:w="950"/>
            <w:vAlign w:val="top"/>
          </w:tcPr>
          <w:p>
            <w:pPr>
              <w:spacing w:after="40" w:before="0" w:line="259" w:lineRule="auto"/>
            </w:pPr>
            <w:r>
              <w:rPr>
                <w:rFonts w:ascii="Calibri" w:hAnsi="Calibri"/>
                <w:b w:val="0"/>
                <w:i w:val="0"/>
                <w:color w:val="212121"/>
                <w:sz w:val="16"/>
              </w:rPr>
              <w:t>~10–40 pg/mL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High estradiol indicates estrogen excess (aromatization, exogenous estrogen, or an estrogen-secreting tumor)</w:t>
            </w:r>
          </w:p>
        </w:tc>
        <w:tc>
          <w:tcPr>
            <w:tcW w:type="dxa" w:w="1036"/>
            <w:vAlign w:val="top"/>
          </w:tcPr>
          <w:p>
            <w:pPr>
              <w:spacing w:after="40" w:before="0" w:line="259" w:lineRule="auto"/>
            </w:pPr>
            <w:r>
              <w:rPr>
                <w:rFonts w:ascii="Calibri" w:hAnsi="Calibri"/>
                <w:b w:val="0"/>
                <w:i w:val="0"/>
                <w:color w:val="212121"/>
                <w:sz w:val="16"/>
              </w:rPr>
              <w:t>Idiopathic and tumor-suspect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Markedly high E2 mandates a search for a tumor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(endocrine)</w:t>
            </w:r>
          </w:p>
        </w:tc>
        <w:tc>
          <w:tcPr>
            <w:tcW w:type="dxa" w:w="1036"/>
            <w:vAlign w:val="top"/>
          </w:tcPr>
          <w:p>
            <w:pPr>
              <w:spacing w:after="40" w:before="0" w:line="259" w:lineRule="auto"/>
            </w:pPr>
            <w:r>
              <w:rPr>
                <w:rFonts w:ascii="Calibri" w:hAnsi="Calibri"/>
                <w:b w:val="0"/>
                <w:i w:val="0"/>
                <w:color w:val="212121"/>
                <w:sz w:val="16"/>
              </w:rPr>
              <w:t>LH &amp; FSH</w:t>
            </w:r>
          </w:p>
        </w:tc>
        <w:tc>
          <w:tcPr>
            <w:tcW w:type="dxa" w:w="892"/>
            <w:vAlign w:val="top"/>
          </w:tcPr>
          <w:p>
            <w:pPr>
              <w:spacing w:after="40" w:before="0" w:line="259" w:lineRule="auto"/>
            </w:pPr>
            <w:r>
              <w:rPr>
                <w:rFonts w:ascii="Calibri" w:hAnsi="Calibri"/>
                <w:b w:val="0"/>
                <w:i w:val="0"/>
                <w:color w:val="212121"/>
                <w:sz w:val="16"/>
              </w:rPr>
              <w:t>Serum gonadotropins</w:t>
            </w:r>
          </w:p>
        </w:tc>
        <w:tc>
          <w:tcPr>
            <w:tcW w:type="dxa" w:w="950"/>
            <w:vAlign w:val="top"/>
          </w:tcPr>
          <w:p>
            <w:pPr>
              <w:spacing w:after="40" w:before="0" w:line="259" w:lineRule="auto"/>
            </w:pPr>
            <w:r>
              <w:rPr>
                <w:rFonts w:ascii="Calibri" w:hAnsi="Calibri"/>
                <w:b w:val="0"/>
                <w:i w:val="0"/>
                <w:color w:val="212121"/>
                <w:sz w:val="16"/>
              </w:rPr>
              <w:t>Adult reference range</w:t>
            </w:r>
          </w:p>
        </w:tc>
        <w:tc>
          <w:tcPr>
            <w:tcW w:type="dxa" w:w="950"/>
            <w:vAlign w:val="top"/>
          </w:tcPr>
          <w:p>
            <w:pPr>
              <w:spacing w:after="40" w:before="0" w:line="259" w:lineRule="auto"/>
            </w:pPr>
            <w:r>
              <w:rPr>
                <w:rFonts w:ascii="Calibri" w:hAnsi="Calibri"/>
                <w:b w:val="0"/>
                <w:i w:val="0"/>
                <w:color w:val="212121"/>
                <w:sz w:val="16"/>
              </w:rPr>
              <w:t>High or low</w:t>
            </w:r>
          </w:p>
        </w:tc>
        <w:tc>
          <w:tcPr>
            <w:tcW w:type="dxa" w:w="1036"/>
            <w:vAlign w:val="top"/>
          </w:tcPr>
          <w:p>
            <w:pPr>
              <w:spacing w:after="40" w:before="0" w:line="259" w:lineRule="auto"/>
            </w:pPr>
            <w:r>
              <w:rPr>
                <w:rFonts w:ascii="Calibri" w:hAnsi="Calibri"/>
                <w:b w:val="0"/>
                <w:i w:val="0"/>
                <w:color w:val="212121"/>
                <w:sz w:val="16"/>
              </w:rPr>
              <w:t>High LH/FSH → primary (testicular) failure e.g. Klinefelter; low → secondary/central hypogonadism</w:t>
            </w:r>
          </w:p>
        </w:tc>
        <w:tc>
          <w:tcPr>
            <w:tcW w:type="dxa" w:w="1036"/>
            <w:vAlign w:val="top"/>
          </w:tcPr>
          <w:p>
            <w:pPr>
              <w:spacing w:after="40" w:before="0" w:line="259" w:lineRule="auto"/>
            </w:pPr>
            <w:r>
              <w:rPr>
                <w:rFonts w:ascii="Calibri" w:hAnsi="Calibri"/>
                <w:b w:val="0"/>
                <w:i w:val="0"/>
                <w:color w:val="212121"/>
                <w:sz w:val="16"/>
              </w:rPr>
              <w:t>Hypogonadal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Localizing</w:t>
            </w:r>
          </w:p>
        </w:tc>
        <w:tc>
          <w:tcPr>
            <w:tcW w:type="dxa" w:w="720"/>
            <w:vAlign w:val="top"/>
          </w:tcPr>
          <w:p>
            <w:pPr>
              <w:spacing w:after="40" w:before="0" w:line="259" w:lineRule="auto"/>
            </w:pPr>
            <w:r>
              <w:rPr>
                <w:rFonts w:ascii="Calibri" w:hAnsi="Calibri"/>
                <w:b w:val="0"/>
                <w:i w:val="0"/>
                <w:color w:val="212121"/>
                <w:sz w:val="16"/>
              </w:rPr>
              <w:t>Always interpret together with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(tumor screen)</w:t>
            </w:r>
          </w:p>
        </w:tc>
        <w:tc>
          <w:tcPr>
            <w:tcW w:type="dxa" w:w="1036"/>
            <w:vAlign w:val="top"/>
          </w:tcPr>
          <w:p>
            <w:pPr>
              <w:spacing w:after="40" w:before="0" w:line="259" w:lineRule="auto"/>
            </w:pPr>
            <w:r>
              <w:rPr>
                <w:rFonts w:ascii="Calibri" w:hAnsi="Calibri"/>
                <w:b w:val="0"/>
                <w:i w:val="0"/>
                <w:color w:val="212121"/>
                <w:sz w:val="16"/>
              </w:rPr>
              <w:t>Beta-hCG</w:t>
            </w:r>
          </w:p>
        </w:tc>
        <w:tc>
          <w:tcPr>
            <w:tcW w:type="dxa" w:w="892"/>
            <w:vAlign w:val="top"/>
          </w:tcPr>
          <w:p>
            <w:pPr>
              <w:spacing w:after="40" w:before="0" w:line="259" w:lineRule="auto"/>
            </w:pPr>
            <w:r>
              <w:rPr>
                <w:rFonts w:ascii="Calibri" w:hAnsi="Calibri"/>
                <w:b w:val="0"/>
                <w:i w:val="0"/>
                <w:color w:val="212121"/>
                <w:sz w:val="16"/>
              </w:rPr>
              <w:t>Serum beta-hCG</w:t>
            </w:r>
          </w:p>
        </w:tc>
        <w:tc>
          <w:tcPr>
            <w:tcW w:type="dxa" w:w="950"/>
            <w:vAlign w:val="top"/>
          </w:tcPr>
          <w:p>
            <w:pPr>
              <w:spacing w:after="40" w:before="0" w:line="259" w:lineRule="auto"/>
            </w:pPr>
            <w:r>
              <w:rPr>
                <w:rFonts w:ascii="Calibri" w:hAnsi="Calibri"/>
                <w:b w:val="0"/>
                <w:i w:val="0"/>
                <w:color w:val="212121"/>
                <w:sz w:val="16"/>
              </w:rPr>
              <w:t>Undetectable (&lt; 5 mIU/mL)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Raised beta-hCG suggests an hCG-secreting germ-cell/testicular or ectopic tumor</w:t>
            </w:r>
          </w:p>
        </w:tc>
        <w:tc>
          <w:tcPr>
            <w:tcW w:type="dxa" w:w="1036"/>
            <w:vAlign w:val="top"/>
          </w:tcPr>
          <w:p>
            <w:pPr>
              <w:spacing w:after="40" w:before="0" w:line="259" w:lineRule="auto"/>
            </w:pPr>
            <w:r>
              <w:rPr>
                <w:rFonts w:ascii="Calibri" w:hAnsi="Calibri"/>
                <w:b w:val="0"/>
                <w:i w:val="0"/>
                <w:color w:val="212121"/>
                <w:sz w:val="16"/>
              </w:rPr>
              <w:t>Rapid, painful or unilateral disease in young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Prompts urgent testicular ultrasound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(endocrine)</w:t>
            </w:r>
          </w:p>
        </w:tc>
        <w:tc>
          <w:tcPr>
            <w:tcW w:type="dxa" w:w="1036"/>
            <w:vAlign w:val="top"/>
          </w:tcPr>
          <w:p>
            <w:pPr>
              <w:spacing w:after="40" w:before="0" w:line="259" w:lineRule="auto"/>
            </w:pPr>
            <w:r>
              <w:rPr>
                <w:rFonts w:ascii="Calibri" w:hAnsi="Calibri"/>
                <w:b w:val="0"/>
                <w:i w:val="0"/>
                <w:color w:val="212121"/>
                <w:sz w:val="16"/>
              </w:rPr>
              <w:t>Prolactin</w:t>
            </w:r>
          </w:p>
        </w:tc>
        <w:tc>
          <w:tcPr>
            <w:tcW w:type="dxa" w:w="892"/>
            <w:vAlign w:val="top"/>
          </w:tcPr>
          <w:p>
            <w:pPr>
              <w:spacing w:after="40" w:before="0" w:line="259" w:lineRule="auto"/>
            </w:pPr>
            <w:r>
              <w:rPr>
                <w:rFonts w:ascii="Calibri" w:hAnsi="Calibri"/>
                <w:b w:val="0"/>
                <w:i w:val="0"/>
                <w:color w:val="212121"/>
                <w:sz w:val="16"/>
              </w:rPr>
              <w:t>Serum prolactin</w:t>
            </w:r>
          </w:p>
        </w:tc>
        <w:tc>
          <w:tcPr>
            <w:tcW w:type="dxa" w:w="950"/>
            <w:vAlign w:val="top"/>
          </w:tcPr>
          <w:p>
            <w:pPr>
              <w:spacing w:after="40" w:before="0" w:line="259" w:lineRule="auto"/>
            </w:pPr>
            <w:r>
              <w:rPr>
                <w:rFonts w:ascii="Calibri" w:hAnsi="Calibri"/>
                <w:b w:val="0"/>
                <w:i w:val="0"/>
                <w:color w:val="212121"/>
                <w:sz w:val="16"/>
              </w:rPr>
              <w:t>~2–18 ng/mL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High prolactin suggests a prolactinoma or drug effect; hyperprolactinaemia is an uncommon primary cause of gynecomastia</w:t>
            </w:r>
          </w:p>
        </w:tc>
        <w:tc>
          <w:tcPr>
            <w:tcW w:type="dxa" w:w="1036"/>
            <w:vAlign w:val="top"/>
          </w:tcPr>
          <w:p>
            <w:pPr>
              <w:spacing w:after="40" w:before="0" w:line="259" w:lineRule="auto"/>
            </w:pPr>
            <w:r>
              <w:rPr>
                <w:rFonts w:ascii="Calibri" w:hAnsi="Calibri"/>
                <w:b w:val="0"/>
                <w:i w:val="0"/>
                <w:color w:val="212121"/>
                <w:sz w:val="16"/>
              </w:rPr>
              <w:t>Men on antipsychotics/antidepressants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routinely elevated in gynecomastia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(systemic screen)</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with high free T4</w:t>
            </w:r>
          </w:p>
        </w:tc>
        <w:tc>
          <w:tcPr>
            <w:tcW w:type="dxa" w:w="1036"/>
            <w:vAlign w:val="top"/>
          </w:tcPr>
          <w:p>
            <w:pPr>
              <w:spacing w:after="40" w:before="0" w:line="259" w:lineRule="auto"/>
            </w:pPr>
            <w:r>
              <w:rPr>
                <w:rFonts w:ascii="Calibri" w:hAnsi="Calibri"/>
                <w:b w:val="0"/>
                <w:i w:val="0"/>
                <w:color w:val="212121"/>
                <w:sz w:val="16"/>
              </w:rPr>
              <w:t>Hyperthyroidism raises SHBG and aromatization; gynecomastia resolves on restoring euthyroidism</w:t>
            </w:r>
          </w:p>
        </w:tc>
        <w:tc>
          <w:tcPr>
            <w:tcW w:type="dxa" w:w="1036"/>
            <w:vAlign w:val="top"/>
          </w:tcPr>
          <w:p>
            <w:pPr>
              <w:spacing w:after="40" w:before="0" w:line="259" w:lineRule="auto"/>
            </w:pPr>
            <w:r>
              <w:rPr>
                <w:rFonts w:ascii="Calibri" w:hAnsi="Calibri"/>
                <w:b w:val="0"/>
                <w:i w:val="0"/>
                <w:color w:val="212121"/>
                <w:sz w:val="16"/>
              </w:rPr>
              <w:t>Men with tremor, weight loss,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 all</w:t>
            </w:r>
          </w:p>
        </w:tc>
        <w:tc>
          <w:tcPr>
            <w:tcW w:type="dxa" w:w="720"/>
            <w:vAlign w:val="top"/>
          </w:tcPr>
          <w:p>
            <w:pPr>
              <w:spacing w:after="40" w:before="0" w:line="259" w:lineRule="auto"/>
            </w:pPr>
            <w:r>
              <w:rPr>
                <w:rFonts w:ascii="Calibri" w:hAnsi="Calibri"/>
                <w:b w:val="0"/>
                <w:i w:val="0"/>
                <w:color w:val="212121"/>
                <w:sz w:val="16"/>
              </w:rPr>
              <w:t>Gynecomastia in 10–40% of hyperthyroid 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(systemic screen)</w:t>
            </w:r>
          </w:p>
        </w:tc>
        <w:tc>
          <w:tcPr>
            <w:tcW w:type="dxa" w:w="1036"/>
            <w:vAlign w:val="top"/>
          </w:tcPr>
          <w:p>
            <w:pPr>
              <w:spacing w:after="40" w:before="0" w:line="259" w:lineRule="auto"/>
            </w:pPr>
            <w:r>
              <w:rPr>
                <w:rFonts w:ascii="Calibri" w:hAnsi="Calibri"/>
                <w:b w:val="0"/>
                <w:i w:val="0"/>
                <w:color w:val="212121"/>
                <w:sz w:val="16"/>
              </w:rPr>
              <w:t>Liver function (AST/ALT, bilirubin)</w:t>
            </w:r>
          </w:p>
        </w:tc>
        <w:tc>
          <w:tcPr>
            <w:tcW w:type="dxa" w:w="892"/>
            <w:vAlign w:val="top"/>
          </w:tcPr>
          <w:p>
            <w:pPr>
              <w:spacing w:after="40" w:before="0" w:line="259" w:lineRule="auto"/>
            </w:pPr>
            <w:r>
              <w:rPr>
                <w:rFonts w:ascii="Calibri" w:hAnsi="Calibri"/>
                <w:b w:val="0"/>
                <w:i w:val="0"/>
                <w:color w:val="212121"/>
                <w:sz w:val="16"/>
              </w:rPr>
              <w:t>Liver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transaminases/bilirubin</w:t>
            </w:r>
          </w:p>
        </w:tc>
        <w:tc>
          <w:tcPr>
            <w:tcW w:type="dxa" w:w="1036"/>
            <w:vAlign w:val="top"/>
          </w:tcPr>
          <w:p>
            <w:pPr>
              <w:spacing w:after="40" w:before="0" w:line="259" w:lineRule="auto"/>
            </w:pPr>
            <w:r>
              <w:rPr>
                <w:rFonts w:ascii="Calibri" w:hAnsi="Calibri"/>
                <w:b w:val="0"/>
                <w:i w:val="0"/>
                <w:color w:val="212121"/>
                <w:sz w:val="16"/>
              </w:rPr>
              <w:t>Cirrhosis impairs estrogen clearance and raises SHBG</w:t>
            </w:r>
          </w:p>
        </w:tc>
        <w:tc>
          <w:tcPr>
            <w:tcW w:type="dxa" w:w="1036"/>
            <w:vAlign w:val="top"/>
          </w:tcPr>
          <w:p>
            <w:pPr>
              <w:spacing w:after="40" w:before="0" w:line="259" w:lineRule="auto"/>
            </w:pPr>
            <w:r>
              <w:rPr>
                <w:rFonts w:ascii="Calibri" w:hAnsi="Calibri"/>
                <w:b w:val="0"/>
                <w:i w:val="0"/>
                <w:color w:val="212121"/>
                <w:sz w:val="16"/>
              </w:rPr>
              <w:t>Alcohol users, men with chronic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 all</w:t>
            </w:r>
          </w:p>
        </w:tc>
        <w:tc>
          <w:tcPr>
            <w:tcW w:type="dxa" w:w="720"/>
            <w:vAlign w:val="top"/>
          </w:tcPr>
          <w:p>
            <w:pPr>
              <w:spacing w:after="40" w:before="0" w:line="259" w:lineRule="auto"/>
            </w:pPr>
            <w:r>
              <w:rPr>
                <w:rFonts w:ascii="Calibri" w:hAnsi="Calibri"/>
                <w:b w:val="0"/>
                <w:i w:val="0"/>
                <w:color w:val="212121"/>
                <w:sz w:val="16"/>
              </w:rPr>
              <w:t>Cirrhosis underlies ~8% of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Testicular ultrasound</w:t>
            </w:r>
          </w:p>
        </w:tc>
        <w:tc>
          <w:tcPr>
            <w:tcW w:type="dxa" w:w="892"/>
            <w:vAlign w:val="top"/>
          </w:tcPr>
          <w:p>
            <w:pPr>
              <w:spacing w:after="40" w:before="0" w:line="259" w:lineRule="auto"/>
            </w:pPr>
            <w:r>
              <w:rPr>
                <w:rFonts w:ascii="Calibri" w:hAnsi="Calibri"/>
                <w:b w:val="0"/>
                <w:i w:val="0"/>
                <w:color w:val="212121"/>
                <w:sz w:val="16"/>
              </w:rPr>
              <w:t>Scrotal ultrasonography</w:t>
            </w:r>
          </w:p>
        </w:tc>
        <w:tc>
          <w:tcPr>
            <w:tcW w:type="dxa" w:w="950"/>
            <w:vAlign w:val="top"/>
          </w:tcPr>
          <w:p>
            <w:pPr>
              <w:spacing w:after="40" w:before="0" w:line="259" w:lineRule="auto"/>
            </w:pPr>
            <w:r>
              <w:rPr>
                <w:rFonts w:ascii="Calibri" w:hAnsi="Calibri"/>
                <w:b w:val="0"/>
                <w:i w:val="0"/>
                <w:color w:val="212121"/>
                <w:sz w:val="16"/>
              </w:rPr>
              <w:t>Normal, symmetrical testes</w:t>
            </w:r>
          </w:p>
        </w:tc>
        <w:tc>
          <w:tcPr>
            <w:tcW w:type="dxa" w:w="950"/>
            <w:vAlign w:val="top"/>
          </w:tcPr>
          <w:p>
            <w:pPr>
              <w:spacing w:after="40" w:before="0" w:line="259" w:lineRule="auto"/>
            </w:pPr>
            <w:r>
              <w:rPr>
                <w:rFonts w:ascii="Calibri" w:hAnsi="Calibri"/>
                <w:b w:val="0"/>
                <w:i w:val="0"/>
                <w:color w:val="212121"/>
                <w:sz w:val="16"/>
              </w:rPr>
              <w:t>Mass, nodule or marked asymmetry</w:t>
            </w:r>
          </w:p>
        </w:tc>
        <w:tc>
          <w:tcPr>
            <w:tcW w:type="dxa" w:w="1036"/>
            <w:vAlign w:val="top"/>
          </w:tcPr>
          <w:p>
            <w:pPr>
              <w:spacing w:after="40" w:before="0" w:line="259" w:lineRule="auto"/>
            </w:pPr>
            <w:r>
              <w:rPr>
                <w:rFonts w:ascii="Calibri" w:hAnsi="Calibri"/>
                <w:b w:val="0"/>
                <w:i w:val="0"/>
                <w:color w:val="212121"/>
                <w:sz w:val="16"/>
              </w:rPr>
              <w:t>Detects Leydig-cell or germ-cell tumors underlying estrogen/hCG excess</w:t>
            </w:r>
          </w:p>
        </w:tc>
        <w:tc>
          <w:tcPr>
            <w:tcW w:type="dxa" w:w="1036"/>
            <w:vAlign w:val="top"/>
          </w:tcPr>
          <w:p>
            <w:pPr>
              <w:spacing w:after="40" w:before="0" w:line="259" w:lineRule="auto"/>
            </w:pPr>
            <w:r>
              <w:rPr>
                <w:rFonts w:ascii="Calibri" w:hAnsi="Calibri"/>
                <w:b w:val="0"/>
                <w:i w:val="0"/>
                <w:color w:val="212121"/>
                <w:sz w:val="16"/>
              </w:rPr>
              <w:t>Palpable testicular mass, very high E2 or hCG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Mandatory for any testicular red flag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Breast ultrasound / mammography</w:t>
            </w:r>
          </w:p>
        </w:tc>
        <w:tc>
          <w:tcPr>
            <w:tcW w:type="dxa" w:w="892"/>
            <w:vAlign w:val="top"/>
          </w:tcPr>
          <w:p>
            <w:pPr>
              <w:spacing w:after="40" w:before="0" w:line="259" w:lineRule="auto"/>
            </w:pPr>
            <w:r>
              <w:rPr>
                <w:rFonts w:ascii="Calibri" w:hAnsi="Calibri"/>
                <w:b w:val="0"/>
                <w:i w:val="0"/>
                <w:color w:val="212121"/>
                <w:sz w:val="16"/>
              </w:rPr>
              <w:t>Breast imaging</w:t>
            </w:r>
          </w:p>
        </w:tc>
        <w:tc>
          <w:tcPr>
            <w:tcW w:type="dxa" w:w="950"/>
            <w:vAlign w:val="top"/>
          </w:tcPr>
          <w:p>
            <w:pPr>
              <w:spacing w:after="40" w:before="0" w:line="259" w:lineRule="auto"/>
            </w:pPr>
            <w:r>
              <w:rPr>
                <w:rFonts w:ascii="Calibri" w:hAnsi="Calibri"/>
                <w:b w:val="0"/>
                <w:i w:val="0"/>
                <w:color w:val="212121"/>
                <w:sz w:val="16"/>
              </w:rPr>
              <w:t>Benign glandular/branching pattern</w:t>
            </w:r>
          </w:p>
        </w:tc>
        <w:tc>
          <w:tcPr>
            <w:tcW w:type="dxa" w:w="950"/>
            <w:vAlign w:val="top"/>
          </w:tcPr>
          <w:p>
            <w:pPr>
              <w:spacing w:after="40" w:before="0" w:line="259" w:lineRule="auto"/>
            </w:pPr>
            <w:r>
              <w:rPr>
                <w:rFonts w:ascii="Calibri" w:hAnsi="Calibri"/>
                <w:b w:val="0"/>
                <w:i w:val="0"/>
                <w:color w:val="212121"/>
                <w:sz w:val="16"/>
              </w:rPr>
              <w:t>Spiculated, eccentric or suspicious mass</w:t>
            </w:r>
          </w:p>
        </w:tc>
        <w:tc>
          <w:tcPr>
            <w:tcW w:type="dxa" w:w="1036"/>
            <w:vAlign w:val="top"/>
          </w:tcPr>
          <w:p>
            <w:pPr>
              <w:spacing w:after="40" w:before="0" w:line="259" w:lineRule="auto"/>
            </w:pPr>
            <w:r>
              <w:rPr>
                <w:rFonts w:ascii="Calibri" w:hAnsi="Calibri"/>
                <w:b w:val="0"/>
                <w:i w:val="0"/>
                <w:color w:val="212121"/>
                <w:sz w:val="16"/>
              </w:rPr>
              <w:t>Distinguishes benign gynecomastia from male breast carcinoma</w:t>
            </w:r>
          </w:p>
        </w:tc>
        <w:tc>
          <w:tcPr>
            <w:tcW w:type="dxa" w:w="1036"/>
            <w:vAlign w:val="top"/>
          </w:tcPr>
          <w:p>
            <w:pPr>
              <w:spacing w:after="40" w:before="0" w:line="259" w:lineRule="auto"/>
            </w:pPr>
            <w:r>
              <w:rPr>
                <w:rFonts w:ascii="Calibri" w:hAnsi="Calibri"/>
                <w:b w:val="0"/>
                <w:i w:val="0"/>
                <w:color w:val="212121"/>
                <w:sz w:val="16"/>
              </w:rPr>
              <w:t>Hard, fixed, eccentric mass; bloody discharge; nodal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Proceed to core biopsy if suspicious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substance history</w:t>
            </w:r>
          </w:p>
        </w:tc>
        <w:tc>
          <w:tcPr>
            <w:tcW w:type="dxa" w:w="979"/>
            <w:vAlign w:val="top"/>
          </w:tcPr>
          <w:p>
            <w:pPr>
              <w:spacing w:after="40" w:before="0" w:line="259" w:lineRule="auto"/>
            </w:pPr>
            <w:r>
              <w:rPr>
                <w:rFonts w:ascii="Calibri" w:hAnsi="Calibri"/>
                <w:b w:val="0"/>
                <w:i w:val="0"/>
                <w:color w:val="212121"/>
                <w:sz w:val="16"/>
              </w:rPr>
              <w:t>Prescription drugs, anabolic steroids, cannabis, alcohol</w:t>
            </w:r>
          </w:p>
        </w:tc>
        <w:tc>
          <w:tcPr>
            <w:tcW w:type="dxa" w:w="950"/>
            <w:vAlign w:val="top"/>
          </w:tcPr>
          <w:p>
            <w:pPr>
              <w:spacing w:after="40" w:before="0" w:line="259" w:lineRule="auto"/>
            </w:pPr>
            <w:r>
              <w:rPr>
                <w:rFonts w:ascii="Calibri" w:hAnsi="Calibri"/>
                <w:b w:val="0"/>
                <w:i w:val="0"/>
                <w:color w:val="212121"/>
                <w:sz w:val="16"/>
              </w:rPr>
              <w:t>None implicated</w:t>
            </w:r>
          </w:p>
        </w:tc>
        <w:tc>
          <w:tcPr>
            <w:tcW w:type="dxa" w:w="950"/>
            <w:vAlign w:val="top"/>
          </w:tcPr>
          <w:p>
            <w:pPr>
              <w:spacing w:after="40" w:before="0" w:line="259" w:lineRule="auto"/>
            </w:pPr>
            <w:r>
              <w:rPr>
                <w:rFonts w:ascii="Calibri" w:hAnsi="Calibri"/>
                <w:b w:val="0"/>
                <w:i w:val="0"/>
                <w:color w:val="212121"/>
                <w:sz w:val="16"/>
              </w:rPr>
              <w:t>One or more positive</w:t>
            </w:r>
          </w:p>
        </w:tc>
        <w:tc>
          <w:tcPr>
            <w:tcW w:type="dxa" w:w="1036"/>
            <w:vAlign w:val="top"/>
          </w:tcPr>
          <w:p>
            <w:pPr>
              <w:spacing w:after="40" w:before="0" w:line="259" w:lineRule="auto"/>
            </w:pPr>
            <w:r>
              <w:rPr>
                <w:rFonts w:ascii="Calibri" w:hAnsi="Calibri"/>
                <w:b w:val="0"/>
                <w:i w:val="0"/>
                <w:color w:val="212121"/>
                <w:sz w:val="16"/>
              </w:rPr>
              <w:t>Identifies the commonest reversible cause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Ask specifically about gym supplements and steroid cycles — often concealed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duration &amp; tenderness</w:t>
            </w:r>
          </w:p>
        </w:tc>
        <w:tc>
          <w:tcPr>
            <w:tcW w:type="dxa" w:w="979"/>
            <w:vAlign w:val="top"/>
          </w:tcPr>
          <w:p>
            <w:pPr>
              <w:spacing w:after="40" w:before="0" w:line="259" w:lineRule="auto"/>
            </w:pPr>
            <w:r>
              <w:rPr>
                <w:rFonts w:ascii="Calibri" w:hAnsi="Calibri"/>
                <w:b w:val="0"/>
                <w:i w:val="0"/>
                <w:color w:val="212121"/>
                <w:sz w:val="16"/>
              </w:rPr>
              <w:t>Timeline and pain</w:t>
            </w:r>
          </w:p>
        </w:tc>
        <w:tc>
          <w:tcPr>
            <w:tcW w:type="dxa" w:w="950"/>
            <w:vAlign w:val="top"/>
          </w:tcPr>
          <w:p>
            <w:pPr>
              <w:spacing w:after="40" w:before="0" w:line="259" w:lineRule="auto"/>
            </w:pPr>
            <w:r>
              <w:rPr>
                <w:rFonts w:ascii="Calibri" w:hAnsi="Calibri"/>
                <w:b w:val="0"/>
                <w:i w:val="0"/>
                <w:color w:val="212121"/>
                <w:sz w:val="16"/>
              </w:rPr>
              <w:t>—</w:t>
            </w:r>
          </w:p>
        </w:tc>
        <w:tc>
          <w:tcPr>
            <w:tcW w:type="dxa" w:w="950"/>
            <w:vAlign w:val="top"/>
          </w:tcPr>
          <w:p>
            <w:pPr>
              <w:spacing w:after="40" w:before="0" w:line="259" w:lineRule="auto"/>
            </w:pPr>
            <w:r>
              <w:rPr>
                <w:rFonts w:ascii="Calibri" w:hAnsi="Calibri"/>
                <w:b w:val="0"/>
                <w:i w:val="0"/>
                <w:color w:val="212121"/>
                <w:sz w:val="16"/>
              </w:rPr>
              <w:t>Recent &amp; tender vs long-standing painless</w:t>
            </w:r>
          </w:p>
        </w:tc>
        <w:tc>
          <w:tcPr>
            <w:tcW w:type="dxa" w:w="1036"/>
            <w:vAlign w:val="top"/>
          </w:tcPr>
          <w:p>
            <w:pPr>
              <w:spacing w:after="40" w:before="0" w:line="259" w:lineRule="auto"/>
            </w:pPr>
            <w:r>
              <w:rPr>
                <w:rFonts w:ascii="Calibri" w:hAnsi="Calibri"/>
                <w:b w:val="0"/>
                <w:i w:val="0"/>
                <w:color w:val="212121"/>
                <w:sz w:val="16"/>
              </w:rPr>
              <w:t>Tender, recent disease is florid/active and may respond to medical therapy; painless disease &gt; 12 months is fibrotic</w:t>
            </w:r>
          </w:p>
        </w:tc>
        <w:tc>
          <w:tcPr>
            <w:tcW w:type="dxa" w:w="1036"/>
            <w:vAlign w:val="top"/>
          </w:tcPr>
          <w:p>
            <w:pPr>
              <w:spacing w:after="40" w:before="0" w:line="259" w:lineRule="auto"/>
            </w:pPr>
            <w:r>
              <w:rPr>
                <w:rFonts w:ascii="Calibri" w:hAnsi="Calibri"/>
                <w:b w:val="0"/>
                <w:i w:val="0"/>
                <w:color w:val="212121"/>
                <w:sz w:val="16"/>
              </w:rPr>
              <w:t>Adolescents, young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Determines medical versus surgical approach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Breast palpation</w:t>
            </w:r>
          </w:p>
        </w:tc>
        <w:tc>
          <w:tcPr>
            <w:tcW w:type="dxa" w:w="979"/>
            <w:vAlign w:val="top"/>
          </w:tcPr>
          <w:p>
            <w:pPr>
              <w:spacing w:after="40" w:before="0" w:line="259" w:lineRule="auto"/>
            </w:pPr>
            <w:r>
              <w:rPr>
                <w:rFonts w:ascii="Calibri" w:hAnsi="Calibri"/>
                <w:b w:val="0"/>
                <w:i w:val="0"/>
                <w:color w:val="212121"/>
                <w:sz w:val="16"/>
              </w:rPr>
              <w:t>Concentric subareolar disc — size &amp; consistency</w:t>
            </w:r>
          </w:p>
        </w:tc>
        <w:tc>
          <w:tcPr>
            <w:tcW w:type="dxa" w:w="950"/>
            <w:vAlign w:val="top"/>
          </w:tcPr>
          <w:p>
            <w:pPr>
              <w:spacing w:after="40" w:before="0" w:line="259" w:lineRule="auto"/>
            </w:pPr>
            <w:r>
              <w:rPr>
                <w:rFonts w:ascii="Calibri" w:hAnsi="Calibri"/>
                <w:b w:val="0"/>
                <w:i w:val="0"/>
                <w:color w:val="212121"/>
                <w:sz w:val="16"/>
              </w:rPr>
              <w:t>&lt; 0.5 cm / absent</w:t>
            </w:r>
          </w:p>
        </w:tc>
        <w:tc>
          <w:tcPr>
            <w:tcW w:type="dxa" w:w="950"/>
            <w:vAlign w:val="top"/>
          </w:tcPr>
          <w:p>
            <w:pPr>
              <w:spacing w:after="40" w:before="0" w:line="259" w:lineRule="auto"/>
            </w:pPr>
            <w:r>
              <w:rPr>
                <w:rFonts w:ascii="Calibri" w:hAnsi="Calibri"/>
                <w:b w:val="0"/>
                <w:i w:val="0"/>
                <w:color w:val="212121"/>
                <w:sz w:val="16"/>
              </w:rPr>
              <w:t>Firm, mobile disc ≥ 0.5 cm</w:t>
            </w:r>
          </w:p>
        </w:tc>
        <w:tc>
          <w:tcPr>
            <w:tcW w:type="dxa" w:w="1036"/>
            <w:vAlign w:val="top"/>
          </w:tcPr>
          <w:p>
            <w:pPr>
              <w:spacing w:after="40" w:before="0" w:line="259" w:lineRule="auto"/>
            </w:pPr>
            <w:r>
              <w:rPr>
                <w:rFonts w:ascii="Calibri" w:hAnsi="Calibri"/>
                <w:b w:val="0"/>
                <w:i w:val="0"/>
                <w:color w:val="212121"/>
                <w:sz w:val="16"/>
              </w:rPr>
              <w:t>Confirms true glandular gynecomastia and excludes soft fatty pseudogynecomastia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the pinch / “doughnut” technique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Malignancy red-flags</w:t>
            </w:r>
          </w:p>
        </w:tc>
        <w:tc>
          <w:tcPr>
            <w:tcW w:type="dxa" w:w="979"/>
            <w:vAlign w:val="top"/>
          </w:tcPr>
          <w:p>
            <w:pPr>
              <w:spacing w:after="40" w:before="0" w:line="259" w:lineRule="auto"/>
            </w:pPr>
            <w:r>
              <w:rPr>
                <w:rFonts w:ascii="Calibri" w:hAnsi="Calibri"/>
                <w:b w:val="0"/>
                <w:i w:val="0"/>
                <w:color w:val="212121"/>
                <w:sz w:val="16"/>
              </w:rPr>
              <w:t>Hardness, fixation, unilaterality, nipple discharge, nodes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Suspicious features mandate imaging ± biopsy for male breast carcinoma</w:t>
            </w:r>
          </w:p>
        </w:tc>
        <w:tc>
          <w:tcPr>
            <w:tcW w:type="dxa" w:w="1036"/>
            <w:vAlign w:val="top"/>
          </w:tcPr>
          <w:p>
            <w:pPr>
              <w:spacing w:after="40" w:before="0" w:line="259" w:lineRule="auto"/>
            </w:pPr>
            <w:r>
              <w:rPr>
                <w:rFonts w:ascii="Calibri" w:hAnsi="Calibri"/>
                <w:b w:val="0"/>
                <w:i w:val="0"/>
                <w:color w:val="212121"/>
                <w:sz w:val="16"/>
              </w:rPr>
              <w:t>Older men, unilateral eccentric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Male breast cancer is rare but must not be missed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Testicular examination</w:t>
            </w:r>
          </w:p>
        </w:tc>
        <w:tc>
          <w:tcPr>
            <w:tcW w:type="dxa" w:w="979"/>
            <w:vAlign w:val="top"/>
          </w:tcPr>
          <w:p>
            <w:pPr>
              <w:spacing w:after="40" w:before="0" w:line="259" w:lineRule="auto"/>
            </w:pPr>
            <w:r>
              <w:rPr>
                <w:rFonts w:ascii="Calibri" w:hAnsi="Calibri"/>
                <w:b w:val="0"/>
                <w:i w:val="0"/>
                <w:color w:val="212121"/>
                <w:sz w:val="16"/>
              </w:rPr>
              <w:t>Size, symmetry, mass</w:t>
            </w:r>
          </w:p>
        </w:tc>
        <w:tc>
          <w:tcPr>
            <w:tcW w:type="dxa" w:w="950"/>
            <w:vAlign w:val="top"/>
          </w:tcPr>
          <w:p>
            <w:pPr>
              <w:spacing w:after="40" w:before="0" w:line="259" w:lineRule="auto"/>
            </w:pPr>
            <w:r>
              <w:rPr>
                <w:rFonts w:ascii="Calibri" w:hAnsi="Calibri"/>
                <w:b w:val="0"/>
                <w:i w:val="0"/>
                <w:color w:val="212121"/>
                <w:sz w:val="16"/>
              </w:rPr>
              <w:t>Normal, equal, no mass</w:t>
            </w:r>
          </w:p>
        </w:tc>
        <w:tc>
          <w:tcPr>
            <w:tcW w:type="dxa" w:w="950"/>
            <w:vAlign w:val="top"/>
          </w:tcPr>
          <w:p>
            <w:pPr>
              <w:spacing w:after="40" w:before="0" w:line="259" w:lineRule="auto"/>
            </w:pPr>
            <w:r>
              <w:rPr>
                <w:rFonts w:ascii="Calibri" w:hAnsi="Calibri"/>
                <w:b w:val="0"/>
                <w:i w:val="0"/>
                <w:color w:val="212121"/>
                <w:sz w:val="16"/>
              </w:rPr>
              <w:t>Atrophy or a mass</w:t>
            </w:r>
          </w:p>
        </w:tc>
        <w:tc>
          <w:tcPr>
            <w:tcW w:type="dxa" w:w="1036"/>
            <w:vAlign w:val="top"/>
          </w:tcPr>
          <w:p>
            <w:pPr>
              <w:spacing w:after="40" w:before="0" w:line="259" w:lineRule="auto"/>
            </w:pPr>
            <w:r>
              <w:rPr>
                <w:rFonts w:ascii="Calibri" w:hAnsi="Calibri"/>
                <w:b w:val="0"/>
                <w:i w:val="0"/>
                <w:color w:val="212121"/>
                <w:sz w:val="16"/>
              </w:rPr>
              <w:t>Small firm testes suggest hypogonadism/Klinefelter; a mass suggests a hormone-secreting tumor</w:t>
            </w:r>
          </w:p>
        </w:tc>
        <w:tc>
          <w:tcPr>
            <w:tcW w:type="dxa" w:w="1036"/>
            <w:vAlign w:val="top"/>
          </w:tcPr>
          <w:p>
            <w:pPr>
              <w:spacing w:after="40" w:before="0" w:line="259" w:lineRule="auto"/>
            </w:pPr>
            <w:r>
              <w:rPr>
                <w:rFonts w:ascii="Calibri" w:hAnsi="Calibri"/>
                <w:b w:val="0"/>
                <w:i w:val="0"/>
                <w:color w:val="212121"/>
                <w:sz w:val="16"/>
              </w:rPr>
              <w:t>Hypogonadal or red-flag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Never omit the testicular exam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systemic disease</w:t>
            </w:r>
          </w:p>
        </w:tc>
        <w:tc>
          <w:tcPr>
            <w:tcW w:type="dxa" w:w="979"/>
            <w:vAlign w:val="top"/>
          </w:tcPr>
          <w:p>
            <w:pPr>
              <w:spacing w:after="40" w:before="0" w:line="259" w:lineRule="auto"/>
            </w:pPr>
            <w:r>
              <w:rPr>
                <w:rFonts w:ascii="Calibri" w:hAnsi="Calibri"/>
                <w:b w:val="0"/>
                <w:i w:val="0"/>
                <w:color w:val="212121"/>
                <w:sz w:val="16"/>
              </w:rPr>
              <w:t>Stigmata of cirrhosis, thyrotoxicosis, renal failure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an underlying systemic cause of the hormonal imbalance</w:t>
            </w:r>
          </w:p>
        </w:tc>
        <w:tc>
          <w:tcPr>
            <w:tcW w:type="dxa" w:w="1036"/>
            <w:vAlign w:val="top"/>
          </w:tcPr>
          <w:p>
            <w:pPr>
              <w:spacing w:after="40" w:before="0" w:line="259" w:lineRule="auto"/>
            </w:pPr>
            <w:r>
              <w:rPr>
                <w:rFonts w:ascii="Calibri" w:hAnsi="Calibri"/>
                <w:b w:val="0"/>
                <w:i w:val="0"/>
                <w:color w:val="212121"/>
                <w:sz w:val="16"/>
              </w:rPr>
              <w:t>Men with chronic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Contributory</w:t>
            </w:r>
          </w:p>
        </w:tc>
        <w:tc>
          <w:tcPr>
            <w:tcW w:type="dxa" w:w="720"/>
            <w:vAlign w:val="top"/>
          </w:tcPr>
          <w:p>
            <w:pPr>
              <w:spacing w:after="40" w:before="0" w:line="259" w:lineRule="auto"/>
            </w:pPr>
            <w:r>
              <w:rPr>
                <w:rFonts w:ascii="Calibri" w:hAnsi="Calibri"/>
                <w:b w:val="0"/>
                <w:i w:val="0"/>
                <w:color w:val="212121"/>
                <w:sz w:val="16"/>
              </w:rPr>
              <w:t>e.g. spider naevi, tremor, sallow uraemic appearance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&amp; family history</w:t>
            </w:r>
          </w:p>
        </w:tc>
        <w:tc>
          <w:tcPr>
            <w:tcW w:type="dxa" w:w="979"/>
            <w:vAlign w:val="top"/>
          </w:tcPr>
          <w:p>
            <w:pPr>
              <w:spacing w:after="40" w:before="0" w:line="259" w:lineRule="auto"/>
            </w:pPr>
            <w:r>
              <w:rPr>
                <w:rFonts w:ascii="Calibri" w:hAnsi="Calibri"/>
                <w:b w:val="0"/>
                <w:i w:val="0"/>
                <w:color w:val="212121"/>
                <w:sz w:val="16"/>
              </w:rPr>
              <w:t>Tanner stage, family gynecomastia, Klinefelter features</w:t>
            </w:r>
          </w:p>
        </w:tc>
        <w:tc>
          <w:tcPr>
            <w:tcW w:type="dxa" w:w="950"/>
            <w:vAlign w:val="top"/>
          </w:tcPr>
          <w:p>
            <w:pPr>
              <w:spacing w:after="40" w:before="0" w:line="259" w:lineRule="auto"/>
            </w:pPr>
            <w:r>
              <w:rPr>
                <w:rFonts w:ascii="Calibri" w:hAnsi="Calibri"/>
                <w:b w:val="0"/>
                <w:i w:val="0"/>
                <w:color w:val="212121"/>
                <w:sz w:val="16"/>
              </w:rPr>
              <w:t>Age-appropriate, none</w:t>
            </w:r>
          </w:p>
        </w:tc>
        <w:tc>
          <w:tcPr>
            <w:tcW w:type="dxa" w:w="950"/>
            <w:vAlign w:val="top"/>
          </w:tcPr>
          <w:p>
            <w:pPr>
              <w:spacing w:after="40" w:before="0" w:line="259" w:lineRule="auto"/>
            </w:pPr>
            <w:r>
              <w:rPr>
                <w:rFonts w:ascii="Calibri" w:hAnsi="Calibri"/>
                <w:b w:val="0"/>
                <w:i w:val="0"/>
                <w:color w:val="212121"/>
                <w:sz w:val="16"/>
              </w:rPr>
              <w:t>Delayed puberty, tall eunuchoid habitus, positive family history</w:t>
            </w:r>
          </w:p>
        </w:tc>
        <w:tc>
          <w:tcPr>
            <w:tcW w:type="dxa" w:w="1036"/>
            <w:vAlign w:val="top"/>
          </w:tcPr>
          <w:p>
            <w:pPr>
              <w:spacing w:after="40" w:before="0" w:line="259" w:lineRule="auto"/>
            </w:pPr>
            <w:r>
              <w:rPr>
                <w:rFonts w:ascii="Calibri" w:hAnsi="Calibri"/>
                <w:b w:val="0"/>
                <w:i w:val="0"/>
                <w:color w:val="212121"/>
                <w:sz w:val="16"/>
              </w:rPr>
              <w:t>Distinguishes physiological pubertal from genetic causes</w:t>
            </w:r>
          </w:p>
        </w:tc>
        <w:tc>
          <w:tcPr>
            <w:tcW w:type="dxa" w:w="1036"/>
            <w:vAlign w:val="top"/>
          </w:tcPr>
          <w:p>
            <w:pPr>
              <w:spacing w:after="40" w:before="0" w:line="259" w:lineRule="auto"/>
            </w:pPr>
            <w:r>
              <w:rPr>
                <w:rFonts w:ascii="Calibri" w:hAnsi="Calibri"/>
                <w:b w:val="0"/>
                <w:i w:val="0"/>
                <w:color w:val="212121"/>
                <w:sz w:val="16"/>
              </w:rPr>
              <w:t>Adolescents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Contextual</w:t>
            </w:r>
          </w:p>
        </w:tc>
        <w:tc>
          <w:tcPr>
            <w:tcW w:type="dxa" w:w="720"/>
            <w:vAlign w:val="top"/>
          </w:tcPr>
          <w:p>
            <w:pPr>
              <w:spacing w:after="40" w:before="0" w:line="259" w:lineRule="auto"/>
            </w:pPr>
            <w:r>
              <w:rPr>
                <w:rFonts w:ascii="Calibri" w:hAnsi="Calibri"/>
                <w:b w:val="0"/>
                <w:i w:val="0"/>
                <w:color w:val="212121"/>
                <w:sz w:val="16"/>
              </w:rPr>
              <w:t>Family history in ~15% of an Indian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impact screen</w:t>
            </w:r>
          </w:p>
        </w:tc>
        <w:tc>
          <w:tcPr>
            <w:tcW w:type="dxa" w:w="979"/>
            <w:vAlign w:val="top"/>
          </w:tcPr>
          <w:p>
            <w:pPr>
              <w:spacing w:after="40" w:before="0" w:line="259" w:lineRule="auto"/>
            </w:pPr>
            <w:r>
              <w:rPr>
                <w:rFonts w:ascii="Calibri" w:hAnsi="Calibri"/>
                <w:b w:val="0"/>
                <w:i w:val="0"/>
                <w:color w:val="212121"/>
                <w:sz w:val="16"/>
              </w:rPr>
              <w:t>Appearance anxiety, avoidance, mood, bullying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Significant distress or bullying</w:t>
            </w:r>
          </w:p>
        </w:tc>
        <w:tc>
          <w:tcPr>
            <w:tcW w:type="dxa" w:w="1036"/>
            <w:vAlign w:val="top"/>
          </w:tcPr>
          <w:p>
            <w:pPr>
              <w:spacing w:after="40" w:before="0" w:line="259" w:lineRule="auto"/>
            </w:pPr>
            <w:r>
              <w:rPr>
                <w:rFonts w:ascii="Calibri" w:hAnsi="Calibri"/>
                <w:b w:val="0"/>
                <w:i w:val="0"/>
                <w:color w:val="212121"/>
                <w:sz w:val="16"/>
              </w:rPr>
              <w:t>High appearance-anxiety, itself an indication for treatment, correlates with severity</w:t>
            </w:r>
          </w:p>
        </w:tc>
        <w:tc>
          <w:tcPr>
            <w:tcW w:type="dxa" w:w="1036"/>
            <w:vAlign w:val="top"/>
          </w:tcPr>
          <w:p>
            <w:pPr>
              <w:spacing w:after="40" w:before="0" w:line="259" w:lineRule="auto"/>
            </w:pPr>
            <w:r>
              <w:rPr>
                <w:rFonts w:ascii="Calibri" w:hAnsi="Calibri"/>
                <w:b w:val="0"/>
                <w:i w:val="0"/>
                <w:color w:val="212121"/>
                <w:sz w:val="16"/>
              </w:rPr>
              <w:t>Adolescents, young men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Holistic</w:t>
            </w:r>
          </w:p>
        </w:tc>
        <w:tc>
          <w:tcPr>
            <w:tcW w:type="dxa" w:w="720"/>
            <w:vAlign w:val="top"/>
          </w:tcPr>
          <w:p>
            <w:pPr>
              <w:spacing w:after="40" w:before="0" w:line="259" w:lineRule="auto"/>
            </w:pPr>
            <w:r>
              <w:rPr>
                <w:rFonts w:ascii="Calibri" w:hAnsi="Calibri"/>
                <w:b w:val="0"/>
                <w:i w:val="0"/>
                <w:color w:val="212121"/>
                <w:sz w:val="16"/>
              </w:rPr>
              <w:t>SAAS and fear-of-negative-evaluation higher than controls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Breast enlargement (uni- or bilateral)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Firm, rubbery, concentric enlargement of tissue beneath the areola; most commonly bilateral.</w:t>
            </w:r>
          </w:p>
        </w:tc>
      </w:tr>
      <w:tr>
        <w:trPr>
          <w:cantSplit/>
        </w:trPr>
        <w:tc>
          <w:tcPr>
            <w:tcW w:type="dxa" w:w="2304"/>
            <w:vAlign w:val="top"/>
          </w:tcPr>
          <w:p>
            <w:pPr>
              <w:spacing w:after="40" w:before="0" w:line="259" w:lineRule="auto"/>
            </w:pPr>
            <w:r>
              <w:rPr>
                <w:rFonts w:ascii="Calibri" w:hAnsi="Calibri"/>
                <w:b/>
                <w:i w:val="0"/>
                <w:color w:val="212121"/>
                <w:sz w:val="19"/>
              </w:rPr>
              <w:t>Breast tenderness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Particularly in the early, active (florid) phase and in pubertal cases.</w:t>
            </w:r>
          </w:p>
        </w:tc>
      </w:tr>
      <w:tr>
        <w:trPr>
          <w:cantSplit/>
        </w:trPr>
        <w:tc>
          <w:tcPr>
            <w:tcW w:type="dxa" w:w="2304"/>
            <w:vAlign w:val="top"/>
          </w:tcPr>
          <w:p>
            <w:pPr>
              <w:spacing w:after="40" w:before="0" w:line="259" w:lineRule="auto"/>
            </w:pPr>
            <w:r>
              <w:rPr>
                <w:rFonts w:ascii="Calibri" w:hAnsi="Calibri"/>
                <w:b/>
                <w:i w:val="0"/>
                <w:color w:val="212121"/>
                <w:sz w:val="19"/>
              </w:rPr>
              <w:t>Nipple / areolar sensitivity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or soreness with friction from clothing.</w:t>
            </w:r>
          </w:p>
        </w:tc>
      </w:tr>
      <w:tr>
        <w:trPr>
          <w:cantSplit/>
        </w:trPr>
        <w:tc>
          <w:tcPr>
            <w:tcW w:type="dxa" w:w="2304"/>
            <w:vAlign w:val="top"/>
          </w:tcPr>
          <w:p>
            <w:pPr>
              <w:spacing w:after="40" w:before="0" w:line="259" w:lineRule="auto"/>
            </w:pPr>
            <w:r>
              <w:rPr>
                <w:rFonts w:ascii="Calibri" w:hAnsi="Calibri"/>
                <w:b/>
                <w:i w:val="0"/>
                <w:color w:val="212121"/>
                <w:sz w:val="19"/>
              </w:rPr>
              <w:t>Palpable firm subareolar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discrete mobile disc of glandular tissue felt directly under the nipple.</w:t>
            </w:r>
          </w:p>
        </w:tc>
      </w:tr>
      <w:tr>
        <w:trPr>
          <w:cantSplit/>
        </w:trPr>
        <w:tc>
          <w:tcPr>
            <w:tcW w:type="dxa" w:w="2304"/>
            <w:vAlign w:val="top"/>
          </w:tcPr>
          <w:p>
            <w:pPr>
              <w:spacing w:after="40" w:before="0" w:line="259" w:lineRule="auto"/>
            </w:pPr>
            <w:r>
              <w:rPr>
                <w:rFonts w:ascii="Calibri" w:hAnsi="Calibri"/>
                <w:b/>
                <w:i w:val="0"/>
                <w:color w:val="212121"/>
                <w:sz w:val="19"/>
              </w:rPr>
              <w:t>Appearance-related anxiety / embarrassment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Avoidance of swimming or removing the shirt; a major driver to seek care, especially in adolescents.</w:t>
            </w:r>
          </w:p>
        </w:tc>
      </w:tr>
      <w:tr>
        <w:trPr>
          <w:cantSplit/>
        </w:trPr>
        <w:tc>
          <w:tcPr>
            <w:tcW w:type="dxa" w:w="2304"/>
            <w:vAlign w:val="top"/>
          </w:tcPr>
          <w:p>
            <w:pPr>
              <w:spacing w:after="40" w:before="0" w:line="259" w:lineRule="auto"/>
            </w:pPr>
            <w:r>
              <w:rPr>
                <w:rFonts w:ascii="Calibri" w:hAnsi="Calibri"/>
                <w:b/>
                <w:i w:val="0"/>
                <w:color w:val="212121"/>
                <w:sz w:val="19"/>
              </w:rPr>
              <w:t>Bilateral involvement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About 92% of cases were bilateral in a South Indian cohort.</w:t>
            </w:r>
          </w:p>
        </w:tc>
      </w:tr>
      <w:tr>
        <w:trPr>
          <w:cantSplit/>
        </w:trPr>
        <w:tc>
          <w:tcPr>
            <w:tcW w:type="dxa" w:w="2304"/>
            <w:vAlign w:val="top"/>
          </w:tcPr>
          <w:p>
            <w:pPr>
              <w:spacing w:after="40" w:before="0" w:line="259" w:lineRule="auto"/>
            </w:pPr>
            <w:r>
              <w:rPr>
                <w:rFonts w:ascii="Calibri" w:hAnsi="Calibri"/>
                <w:b/>
                <w:i w:val="0"/>
                <w:color w:val="212121"/>
                <w:sz w:val="19"/>
              </w:rPr>
              <w:t>Areolar widening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Areolar diameter may increase with higher Simon grades.</w:t>
            </w:r>
          </w:p>
        </w:tc>
      </w:tr>
      <w:tr>
        <w:trPr>
          <w:cantSplit/>
        </w:trPr>
        <w:tc>
          <w:tcPr>
            <w:tcW w:type="dxa" w:w="2304"/>
            <w:vAlign w:val="top"/>
          </w:tcPr>
          <w:p>
            <w:pPr>
              <w:spacing w:after="40" w:before="0" w:line="259" w:lineRule="auto"/>
            </w:pPr>
            <w:r>
              <w:rPr>
                <w:rFonts w:ascii="Calibri" w:hAnsi="Calibri"/>
                <w:b/>
                <w:i w:val="0"/>
                <w:color w:val="212121"/>
                <w:sz w:val="19"/>
              </w:rPr>
              <w:t>Asymmetry between breasts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One side may be larger even when disease is bilateral.</w:t>
            </w:r>
          </w:p>
        </w:tc>
      </w:tr>
      <w:tr>
        <w:trPr>
          <w:cantSplit/>
        </w:trPr>
        <w:tc>
          <w:tcPr>
            <w:tcW w:type="dxa" w:w="2304"/>
            <w:vAlign w:val="top"/>
          </w:tcPr>
          <w:p>
            <w:pPr>
              <w:spacing w:after="40" w:before="0" w:line="259" w:lineRule="auto"/>
            </w:pPr>
            <w:r>
              <w:rPr>
                <w:rFonts w:ascii="Calibri" w:hAnsi="Calibri"/>
                <w:b/>
                <w:i w:val="0"/>
                <w:color w:val="212121"/>
                <w:sz w:val="19"/>
              </w:rPr>
              <w:t>Unilateral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About 8% are unilateral; unilateral disease warrants exclusion of malignancy.</w:t>
            </w:r>
          </w:p>
        </w:tc>
      </w:tr>
      <w:tr>
        <w:trPr>
          <w:cantSplit/>
        </w:trPr>
        <w:tc>
          <w:tcPr>
            <w:tcW w:type="dxa" w:w="2304"/>
            <w:vAlign w:val="top"/>
          </w:tcPr>
          <w:p>
            <w:pPr>
              <w:spacing w:after="40" w:before="0" w:line="259" w:lineRule="auto"/>
            </w:pPr>
            <w:r>
              <w:rPr>
                <w:rFonts w:ascii="Calibri" w:hAnsi="Calibri"/>
                <w:b/>
                <w:i w:val="0"/>
                <w:color w:val="212121"/>
                <w:sz w:val="19"/>
              </w:rPr>
              <w:t>Symptoms of an underlying cause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e.g. low libido/erectile dysfunction (hypogonadism) or heat intolerance and tremor (hyperthyroidism).</w:t>
            </w:r>
          </w:p>
        </w:tc>
      </w:tr>
      <w:tr>
        <w:trPr>
          <w:cantSplit/>
        </w:trPr>
        <w:tc>
          <w:tcPr>
            <w:tcW w:type="dxa" w:w="2304"/>
            <w:vAlign w:val="top"/>
          </w:tcPr>
          <w:p>
            <w:pPr>
              <w:spacing w:after="40" w:before="0" w:line="259" w:lineRule="auto"/>
            </w:pPr>
            <w:r>
              <w:rPr>
                <w:rFonts w:ascii="Calibri" w:hAnsi="Calibri"/>
                <w:b/>
                <w:i w:val="0"/>
                <w:color w:val="212121"/>
                <w:sz w:val="19"/>
              </w:rPr>
              <w:t>Nipple discharge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Bloody or serous discharge is a red flag for carcinoma, not typical of benign gynecomastia.</w:t>
            </w:r>
          </w:p>
        </w:tc>
      </w:tr>
      <w:tr>
        <w:trPr>
          <w:cantSplit/>
        </w:trPr>
        <w:tc>
          <w:tcPr>
            <w:tcW w:type="dxa" w:w="2304"/>
            <w:vAlign w:val="top"/>
          </w:tcPr>
          <w:p>
            <w:pPr>
              <w:spacing w:after="40" w:before="0" w:line="259" w:lineRule="auto"/>
            </w:pPr>
            <w:r>
              <w:rPr>
                <w:rFonts w:ascii="Calibri" w:hAnsi="Calibri"/>
                <w:b/>
                <w:i w:val="0"/>
                <w:color w:val="212121"/>
                <w:sz w:val="19"/>
              </w:rPr>
              <w:t>Rapidly enlarging / hard fixed mass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breast tumor or a hormone-secreting neoplasm requiring urgent evaluation.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concentric glandular disc (≥ 0.5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mobile, rubbery tissue radiating symmetrically from beneath the nipple — the hallmark distinguishing it from fat.</w:t>
            </w:r>
          </w:p>
        </w:tc>
      </w:tr>
      <w:tr>
        <w:trPr>
          <w:cantSplit/>
        </w:trPr>
        <w:tc>
          <w:tcPr>
            <w:tcW w:type="dxa" w:w="3456"/>
            <w:vAlign w:val="top"/>
          </w:tcPr>
          <w:p>
            <w:pPr>
              <w:spacing w:after="40" w:before="0" w:line="259" w:lineRule="auto"/>
            </w:pPr>
            <w:r>
              <w:rPr>
                <w:rFonts w:ascii="Calibri" w:hAnsi="Calibri"/>
                <w:b/>
                <w:i w:val="0"/>
                <w:color w:val="212121"/>
                <w:sz w:val="19"/>
              </w:rPr>
              <w:t>Positive pinch / “doughnut”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ridge of firm tissue is felt as the examining fingers approach the areola, unlike uniformly soft fatty tissue.</w:t>
            </w:r>
          </w:p>
        </w:tc>
      </w:tr>
      <w:tr>
        <w:trPr>
          <w:cantSplit/>
        </w:trPr>
        <w:tc>
          <w:tcPr>
            <w:tcW w:type="dxa" w:w="3456"/>
            <w:vAlign w:val="top"/>
          </w:tcPr>
          <w:p>
            <w:pPr>
              <w:spacing w:after="40" w:before="0" w:line="259" w:lineRule="auto"/>
            </w:pPr>
            <w:r>
              <w:rPr>
                <w:rFonts w:ascii="Calibri" w:hAnsi="Calibri"/>
                <w:b/>
                <w:i w:val="0"/>
                <w:color w:val="212121"/>
                <w:sz w:val="19"/>
              </w:rPr>
              <w:t>Bilateral, roughly symmetrical enlargement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cases are bilateral, though often mildly asymmetric.</w:t>
            </w:r>
          </w:p>
        </w:tc>
      </w:tr>
      <w:tr>
        <w:trPr>
          <w:cantSplit/>
        </w:trPr>
        <w:tc>
          <w:tcPr>
            <w:tcW w:type="dxa" w:w="3456"/>
            <w:vAlign w:val="top"/>
          </w:tcPr>
          <w:p>
            <w:pPr>
              <w:spacing w:after="40" w:before="0" w:line="259" w:lineRule="auto"/>
            </w:pPr>
            <w:r>
              <w:rPr>
                <w:rFonts w:ascii="Calibri" w:hAnsi="Calibri"/>
                <w:b/>
                <w:i w:val="0"/>
                <w:color w:val="212121"/>
                <w:sz w:val="19"/>
              </w:rPr>
              <w:t>Tenderness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the active/florid phase.</w:t>
            </w:r>
          </w:p>
        </w:tc>
      </w:tr>
      <w:tr>
        <w:trPr>
          <w:cantSplit/>
        </w:trPr>
        <w:tc>
          <w:tcPr>
            <w:tcW w:type="dxa" w:w="3456"/>
            <w:vAlign w:val="top"/>
          </w:tcPr>
          <w:p>
            <w:pPr>
              <w:spacing w:after="40" w:before="0" w:line="259" w:lineRule="auto"/>
            </w:pPr>
            <w:r>
              <w:rPr>
                <w:rFonts w:ascii="Calibri" w:hAnsi="Calibri"/>
                <w:b/>
                <w:i w:val="0"/>
                <w:color w:val="212121"/>
                <w:sz w:val="19"/>
              </w:rPr>
              <w:t>Simon grade II–III breast contour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female-like breast contour, with skin excess at higher grades.</w:t>
            </w:r>
          </w:p>
        </w:tc>
      </w:tr>
      <w:tr>
        <w:trPr>
          <w:cantSplit/>
        </w:trPr>
        <w:tc>
          <w:tcPr>
            <w:tcW w:type="dxa" w:w="3456"/>
            <w:vAlign w:val="top"/>
          </w:tcPr>
          <w:p>
            <w:pPr>
              <w:spacing w:after="40" w:before="0" w:line="259" w:lineRule="auto"/>
            </w:pPr>
            <w:r>
              <w:rPr>
                <w:rFonts w:ascii="Calibri" w:hAnsi="Calibri"/>
                <w:b/>
                <w:i w:val="0"/>
                <w:color w:val="212121"/>
                <w:sz w:val="19"/>
              </w:rPr>
              <w:t>Small, firm or atrophic testes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primary hypogonadism such as Klinefelter syndrome.</w:t>
            </w:r>
          </w:p>
        </w:tc>
      </w:tr>
      <w:tr>
        <w:trPr>
          <w:cantSplit/>
        </w:trPr>
        <w:tc>
          <w:tcPr>
            <w:tcW w:type="dxa" w:w="3456"/>
            <w:vAlign w:val="top"/>
          </w:tcPr>
          <w:p>
            <w:pPr>
              <w:spacing w:after="40" w:before="0" w:line="259" w:lineRule="auto"/>
            </w:pPr>
            <w:r>
              <w:rPr>
                <w:rFonts w:ascii="Calibri" w:hAnsi="Calibri"/>
                <w:b/>
                <w:i w:val="0"/>
                <w:color w:val="212121"/>
                <w:sz w:val="19"/>
              </w:rPr>
              <w:t>Stigmata of chronic liver disease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Spider naevi, palmar erythema, ascites or jaundice in cirrhosis-related cases.</w:t>
            </w:r>
          </w:p>
        </w:tc>
      </w:tr>
      <w:tr>
        <w:trPr>
          <w:cantSplit/>
        </w:trPr>
        <w:tc>
          <w:tcPr>
            <w:tcW w:type="dxa" w:w="3456"/>
            <w:vAlign w:val="top"/>
          </w:tcPr>
          <w:p>
            <w:pPr>
              <w:spacing w:after="40" w:before="0" w:line="259" w:lineRule="auto"/>
            </w:pPr>
            <w:r>
              <w:rPr>
                <w:rFonts w:ascii="Calibri" w:hAnsi="Calibri"/>
                <w:b/>
                <w:i w:val="0"/>
                <w:color w:val="212121"/>
                <w:sz w:val="19"/>
              </w:rPr>
              <w:t>Signs of thyrotoxicosis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Fine tremor, tachycardia, warm moist skin, goitre or lid lag.</w:t>
            </w:r>
          </w:p>
        </w:tc>
      </w:tr>
      <w:tr>
        <w:trPr>
          <w:cantSplit/>
        </w:trPr>
        <w:tc>
          <w:tcPr>
            <w:tcW w:type="dxa" w:w="3456"/>
            <w:vAlign w:val="top"/>
          </w:tcPr>
          <w:p>
            <w:pPr>
              <w:spacing w:after="40" w:before="0" w:line="259" w:lineRule="auto"/>
            </w:pPr>
            <w:r>
              <w:rPr>
                <w:rFonts w:ascii="Calibri" w:hAnsi="Calibri"/>
                <w:b/>
                <w:i w:val="0"/>
                <w:color w:val="212121"/>
                <w:sz w:val="19"/>
              </w:rPr>
              <w:t>Eunuchoid body proportions / sparse body hair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toward hypogonadism or Klinefelter syndrome.</w:t>
            </w:r>
          </w:p>
        </w:tc>
      </w:tr>
      <w:tr>
        <w:trPr>
          <w:cantSplit/>
        </w:trPr>
        <w:tc>
          <w:tcPr>
            <w:tcW w:type="dxa" w:w="3456"/>
            <w:vAlign w:val="top"/>
          </w:tcPr>
          <w:p>
            <w:pPr>
              <w:spacing w:after="40" w:before="0" w:line="259" w:lineRule="auto"/>
            </w:pPr>
            <w:r>
              <w:rPr>
                <w:rFonts w:ascii="Calibri" w:hAnsi="Calibri"/>
                <w:b/>
                <w:i w:val="0"/>
                <w:color w:val="212121"/>
                <w:sz w:val="19"/>
              </w:rPr>
              <w:t>Testicular mass or marked asymmetry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Raises suspicion of a hormone-secreting testicular tumor.</w:t>
            </w:r>
          </w:p>
        </w:tc>
      </w:tr>
      <w:tr>
        <w:trPr>
          <w:cantSplit/>
        </w:trPr>
        <w:tc>
          <w:tcPr>
            <w:tcW w:type="dxa" w:w="3456"/>
            <w:vAlign w:val="top"/>
          </w:tcPr>
          <w:p>
            <w:pPr>
              <w:spacing w:after="40" w:before="0" w:line="259" w:lineRule="auto"/>
            </w:pPr>
            <w:r>
              <w:rPr>
                <w:rFonts w:ascii="Calibri" w:hAnsi="Calibri"/>
                <w:b/>
                <w:i w:val="0"/>
                <w:color w:val="212121"/>
                <w:sz w:val="19"/>
              </w:rPr>
              <w:t>Hard, fixed, eccentric mass with skin dimpling or nipple retraction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Red-flag physical sign of male breast carcinoma.</w:t>
            </w:r>
          </w:p>
        </w:tc>
      </w:tr>
      <w:tr>
        <w:trPr>
          <w:cantSplit/>
        </w:trPr>
        <w:tc>
          <w:tcPr>
            <w:tcW w:type="dxa" w:w="3456"/>
            <w:vAlign w:val="top"/>
          </w:tcPr>
          <w:p>
            <w:pPr>
              <w:spacing w:after="40" w:before="0" w:line="259" w:lineRule="auto"/>
            </w:pPr>
            <w:r>
              <w:rPr>
                <w:rFonts w:ascii="Calibri" w:hAnsi="Calibri"/>
                <w:b/>
                <w:i w:val="0"/>
                <w:color w:val="212121"/>
                <w:sz w:val="19"/>
              </w:rPr>
              <w:t>Axillary lymphadenopathy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Raises concern for underlying breast malignancy.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fibrotic glandular tissue that no longer regresses after ~12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breast pain and tenderness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Cosmetically significant enlargement (Simon II–III) with skin redundancy</w:t>
            </w:r>
          </w:p>
        </w:tc>
        <w:tc>
          <w:tcPr>
            <w:tcW w:type="dxa" w:w="2980"/>
            <w:vAlign w:val="top"/>
          </w:tcPr>
          <w:p>
            <w:pPr>
              <w:spacing w:after="40" w:before="0" w:line="259" w:lineRule="auto"/>
            </w:pPr>
            <w:r>
              <w:rPr>
                <w:rFonts w:ascii="Calibri" w:hAnsi="Calibri"/>
                <w:b w:val="0"/>
                <w:i w:val="0"/>
                <w:color w:val="212121"/>
                <w:sz w:val="19"/>
              </w:rPr>
              <w:t>Direct local consequences of established glandular proliferation.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psychological morbidity — social-appearance anxiety, low self-esteem, depression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Avoidance of sports/swimming and peer bullying, particularly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 missed underlying pathology (testicular tumor, hyperthyroidism, cirrhosis, Klinefelter syndrome) if not evaluated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Inframammary intertrigo and skin maceration under large breasts</w:t>
            </w:r>
          </w:p>
        </w:tc>
        <w:tc>
          <w:tcPr>
            <w:tcW w:type="dxa" w:w="2980"/>
            <w:vAlign w:val="top"/>
          </w:tcPr>
          <w:p>
            <w:pPr>
              <w:spacing w:after="40" w:before="0" w:line="259" w:lineRule="auto"/>
            </w:pPr>
            <w:r>
              <w:rPr>
                <w:rFonts w:ascii="Calibri" w:hAnsi="Calibri"/>
                <w:b w:val="0"/>
                <w:i w:val="0"/>
                <w:color w:val="212121"/>
                <w:sz w:val="19"/>
              </w:rPr>
              <w:t>Consequences of the psychosocial burden and of failing to identify a pathological cause.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surgical correction (subcutaneous mastectomy ± liposuction) with attendant risks — haematoma, contour irregularity, nipple necrosis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increased male breast cancer risk in Klinefelter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Morbidity of the untreated underlying disease itself (e.g. metastatic testicular tumor, decompensated cirrhosis)</w:t>
            </w:r>
          </w:p>
        </w:tc>
        <w:tc>
          <w:tcPr>
            <w:tcW w:type="dxa" w:w="2980"/>
            <w:vAlign w:val="top"/>
          </w:tcPr>
          <w:p>
            <w:pPr>
              <w:spacing w:after="40" w:before="0" w:line="259" w:lineRule="auto"/>
            </w:pPr>
            <w:r>
              <w:rPr>
                <w:rFonts w:ascii="Calibri" w:hAnsi="Calibri"/>
                <w:b w:val="0"/>
                <w:i w:val="0"/>
                <w:color w:val="212121"/>
                <w:sz w:val="19"/>
              </w:rPr>
              <w:t>Long-term, irreversible or disease- and treatment-related outcomes.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Adipose aromatase raises estrogen and adds a fatty (pseudogynecomastia) component; a major, rising contributor in India.</w:t>
            </w:r>
          </w:p>
        </w:tc>
      </w:tr>
      <w:tr>
        <w:trPr>
          <w:cantSplit/>
        </w:trPr>
        <w:tc>
          <w:tcPr>
            <w:tcW w:type="dxa" w:w="2232"/>
            <w:vAlign w:val="top"/>
          </w:tcPr>
          <w:p>
            <w:pPr>
              <w:spacing w:after="40" w:before="0" w:line="259" w:lineRule="auto"/>
            </w:pPr>
            <w:r>
              <w:rPr>
                <w:rFonts w:ascii="Calibri" w:hAnsi="Calibri"/>
                <w:b/>
                <w:i w:val="0"/>
                <w:color w:val="212121"/>
                <w:sz w:val="19"/>
              </w:rPr>
              <w:t>Anabolic-androgenic steroid 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Aromatization to estradiol with suppression of endogenous testosterone; frequently concealed.</w:t>
            </w:r>
          </w:p>
          <w:p>
            <w:pPr>
              <w:spacing w:after="40" w:before="0" w:line="259" w:lineRule="auto"/>
            </w:pPr>
            <w:r>
              <w:rPr>
                <w:rFonts w:ascii="Calibri" w:hAnsi="Calibri"/>
                <w:b/>
                <w:i w:val="0"/>
                <w:color w:val="212121"/>
                <w:sz w:val="19"/>
              </w:rPr>
              <w:t>Up to ~39% (Indian surgical cohort)</w:t>
            </w:r>
          </w:p>
        </w:tc>
      </w:tr>
      <w:tr>
        <w:trPr>
          <w:cantSplit/>
        </w:trPr>
        <w:tc>
          <w:tcPr>
            <w:tcW w:type="dxa" w:w="2232"/>
            <w:vAlign w:val="top"/>
          </w:tcPr>
          <w:p>
            <w:pPr>
              <w:spacing w:after="40" w:before="0" w:line="259" w:lineRule="auto"/>
            </w:pPr>
            <w:r>
              <w:rPr>
                <w:rFonts w:ascii="Calibri" w:hAnsi="Calibri"/>
                <w:b/>
                <w:i w:val="0"/>
                <w:color w:val="212121"/>
                <w:sz w:val="19"/>
              </w:rPr>
              <w:t>Cirrhosis / chronic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estrogen clearance and raised SHBG lower free testosterone.</w:t>
            </w:r>
          </w:p>
          <w:p>
            <w:pPr>
              <w:spacing w:after="40" w:before="0" w:line="259" w:lineRule="auto"/>
            </w:pPr>
            <w:r>
              <w:rPr>
                <w:rFonts w:ascii="Calibri" w:hAnsi="Calibri"/>
                <w:b/>
                <w:i w:val="0"/>
                <w:color w:val="212121"/>
                <w:sz w:val="19"/>
              </w:rPr>
              <w:t>~8%</w:t>
            </w:r>
          </w:p>
        </w:tc>
      </w:tr>
      <w:tr>
        <w:trPr>
          <w:cantSplit/>
        </w:trPr>
        <w:tc>
          <w:tcPr>
            <w:tcW w:type="dxa" w:w="2232"/>
            <w:vAlign w:val="top"/>
          </w:tcPr>
          <w:p>
            <w:pPr>
              <w:spacing w:after="40" w:before="0" w:line="259" w:lineRule="auto"/>
            </w:pPr>
            <w:r>
              <w:rPr>
                <w:rFonts w:ascii="Calibri" w:hAnsi="Calibri"/>
                <w:b/>
                <w:i w:val="0"/>
                <w:color w:val="212121"/>
                <w:sz w:val="19"/>
              </w:rPr>
              <w:t>Primary &amp; secondary hypogonadism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testosterone (incl. Klinefelter syndrome) unopposes estrogen action.</w:t>
            </w:r>
          </w:p>
          <w:p>
            <w:pPr>
              <w:spacing w:after="40" w:before="0" w:line="259" w:lineRule="auto"/>
            </w:pPr>
            <w:r>
              <w:rPr>
                <w:rFonts w:ascii="Calibri" w:hAnsi="Calibri"/>
                <w:b/>
                <w:i w:val="0"/>
                <w:color w:val="212121"/>
                <w:sz w:val="19"/>
              </w:rPr>
              <w:t>~8% (primary) + ~2% (secondary)</w:t>
            </w:r>
          </w:p>
        </w:tc>
      </w:tr>
      <w:tr>
        <w:trPr>
          <w:cantSplit/>
        </w:trPr>
        <w:tc>
          <w:tcPr>
            <w:tcW w:type="dxa" w:w="2232"/>
            <w:vAlign w:val="top"/>
          </w:tcPr>
          <w:p>
            <w:pPr>
              <w:spacing w:after="40" w:before="0" w:line="259" w:lineRule="auto"/>
            </w:pPr>
            <w:r>
              <w:rPr>
                <w:rFonts w:ascii="Calibri" w:hAnsi="Calibri"/>
                <w:b/>
                <w:i w:val="0"/>
                <w:color w:val="212121"/>
                <w:sz w:val="19"/>
              </w:rPr>
              <w:t>Testicular &amp; other hormone-secreting tumors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Estrogen- or hCG-secreting testicular, adrenal or ectopic tumors.</w:t>
            </w:r>
          </w:p>
          <w:p>
            <w:pPr>
              <w:spacing w:after="40" w:before="0" w:line="259" w:lineRule="auto"/>
            </w:pPr>
            <w:r>
              <w:rPr>
                <w:rFonts w:ascii="Calibri" w:hAnsi="Calibri"/>
                <w:b/>
                <w:i w:val="0"/>
                <w:color w:val="212121"/>
                <w:sz w:val="19"/>
              </w:rPr>
              <w:t>~3%</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Raised SHBG and aromatization; reversible with euthyroidism.</w:t>
            </w:r>
          </w:p>
          <w:p>
            <w:pPr>
              <w:spacing w:after="40" w:before="0" w:line="259" w:lineRule="auto"/>
            </w:pPr>
            <w:r>
              <w:rPr>
                <w:rFonts w:ascii="Calibri" w:hAnsi="Calibri"/>
                <w:b/>
                <w:i w:val="0"/>
                <w:color w:val="212121"/>
                <w:sz w:val="19"/>
              </w:rPr>
              <w:t>~2% of cases; 10–40% of hyperthyroid men</w:t>
            </w:r>
          </w:p>
        </w:tc>
      </w:tr>
      <w:tr>
        <w:trPr>
          <w:cantSplit/>
        </w:trPr>
        <w:tc>
          <w:tcPr>
            <w:tcW w:type="dxa" w:w="2232"/>
            <w:vAlign w:val="top"/>
          </w:tcPr>
          <w:p>
            <w:pPr>
              <w:spacing w:after="40" w:before="0" w:line="259" w:lineRule="auto"/>
            </w:pPr>
            <w:r>
              <w:rPr>
                <w:rFonts w:ascii="Calibri" w:hAnsi="Calibri"/>
                <w:b/>
                <w:i w:val="0"/>
                <w:color w:val="212121"/>
                <w:sz w:val="19"/>
              </w:rPr>
              <w:t>Chronic kidney disease / 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Uremic suppression of testosterone and HPG-axis disturbance.</w:t>
            </w:r>
          </w:p>
          <w:p>
            <w:pPr>
              <w:spacing w:after="40" w:before="0" w:line="259" w:lineRule="auto"/>
            </w:pPr>
            <w:r>
              <w:rPr>
                <w:rFonts w:ascii="Calibri" w:hAnsi="Calibri"/>
                <w:b/>
                <w:i w:val="0"/>
                <w:color w:val="212121"/>
                <w:sz w:val="19"/>
              </w:rPr>
              <w:t>~1%</w:t>
            </w:r>
          </w:p>
        </w:tc>
      </w:tr>
      <w:tr>
        <w:trPr>
          <w:cantSplit/>
        </w:trPr>
        <w:tc>
          <w:tcPr>
            <w:tcW w:type="dxa" w:w="2232"/>
            <w:vAlign w:val="top"/>
          </w:tcPr>
          <w:p>
            <w:pPr>
              <w:spacing w:after="40" w:before="0" w:line="259" w:lineRule="auto"/>
            </w:pPr>
            <w:r>
              <w:rPr>
                <w:rFonts w:ascii="Calibri" w:hAnsi="Calibri"/>
                <w:b/>
                <w:i w:val="0"/>
                <w:color w:val="212121"/>
                <w:sz w:val="19"/>
              </w:rPr>
              <w:t>Depression &amp; social-appearance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psychosocial burden, marked in adolescents and young men.</w:t>
            </w:r>
          </w:p>
        </w:tc>
      </w:tr>
      <w:tr>
        <w:trPr>
          <w:cantSplit/>
        </w:trPr>
        <w:tc>
          <w:tcPr>
            <w:tcW w:type="dxa" w:w="2232"/>
            <w:vAlign w:val="top"/>
          </w:tcPr>
          <w:p>
            <w:pPr>
              <w:spacing w:after="40" w:before="0" w:line="259" w:lineRule="auto"/>
            </w:pPr>
            <w:r>
              <w:rPr>
                <w:rFonts w:ascii="Calibri" w:hAnsi="Calibri"/>
                <w:b/>
                <w:i w:val="0"/>
                <w:color w:val="212121"/>
                <w:sz w:val="19"/>
              </w:rPr>
              <w:t>HIV on antiretroviral therapy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Efavirenz and lipodystrophy-related fat redistribution are recognised associations.</w:t>
            </w:r>
          </w:p>
        </w:tc>
      </w:tr>
      <w:tr>
        <w:trPr>
          <w:cantSplit/>
        </w:trPr>
        <w:tc>
          <w:tcPr>
            <w:tcW w:type="dxa" w:w="2232"/>
            <w:vAlign w:val="top"/>
          </w:tcPr>
          <w:p>
            <w:pPr>
              <w:spacing w:after="40" w:before="0" w:line="259" w:lineRule="auto"/>
            </w:pPr>
            <w:r>
              <w:rPr>
                <w:rFonts w:ascii="Calibri" w:hAnsi="Calibri"/>
                <w:b/>
                <w:i w:val="0"/>
                <w:color w:val="212121"/>
                <w:sz w:val="19"/>
              </w:rPr>
              <w:t>Hyperprolactinaemia / prolactinoma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Acts indirectly via secondary hypogonadism; an uncommon primary cause.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pubertal gynecomastia is usually benign and self-limiting, regressing within 1–2 years — reassurance and observation are the appropriate first step.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evaluation for breast enlargement that is painful, rapidly growing, unilateral or hard, or that is associated with a testicular lump.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all medicines, gym/protein supplements, anabolic steroids, cannabis and alcohol to the clinician — these are the commonest reversible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long-standing (&gt; 1 year, fibrotic) gynecomastia responds poorly to drugs or lifestyle change and may require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distinguish true glandular gynecomastia from fatty (pseudo) enlargement, which improves with weight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chronic medication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Pursue gradual weight loss with ≥ 150 minutes/week of aerobic activity plus resistance training to cut fat-driven aromatization and the pseudogynecomastia component.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central obesity (waist &lt; 90 cm), the main modifiable driver in Indian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exercise reduces fatty breast bulk but will not resolve established glandular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Strictly avoid anabolic-steroid and prohormone “cutting” cycles marketed in gyms — a leading cause of true gynecomastia.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energy balance with a fibre-rich, whole-grain, vegetable- and pulse-based diet to prevent central adiposity.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fried foods, bakery items, sugar-sweetened beverages and alcohol, which drive fat gain and liver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unregulated protein powders and “muscle-gain” supplements that may be adulterated with hormones or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adequate lean protein and micronutrients to avoid the malnutrition–refeeding trigger.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recovering from illness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7–9 hours of good-quality sleep to support a healthy testosterone rhythm.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especially for shift workers.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although not a proven direct cause, it worsens overall endocrine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to smokers with other risk factors.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to prevent direct testicular toxicity and cirrhosis-related estrogen excess.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abstinence for men with any existing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heavy drinkers for chronic liver disease as an underlying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early psychological support and counselling for appearance anxiety, low self-esteem and bullying, especially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actively for social withdrawal, depression and school/work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reassurance about the benign nature of the condition and the availability of effective medical and surgical treatments.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severe, persistent psychological distress is itself a valid indication for definitive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fp.org/pubs/afp/issues/2012/0401/p716.html" TargetMode="External"/><Relationship Id="rId10" Type="http://schemas.openxmlformats.org/officeDocument/2006/relationships/hyperlink" Target="https://www.frontiersin.org/journals/pediatrics/articles/10.3389/fped.2024.1367550/full" TargetMode="External"/><Relationship Id="rId11" Type="http://schemas.openxmlformats.org/officeDocument/2006/relationships/hyperlink" Target="https://pmc.ncbi.nlm.nih.gov/articles/PMC9859683/" TargetMode="External"/><Relationship Id="rId12" Type="http://schemas.openxmlformats.org/officeDocument/2006/relationships/hyperlink" Target="https://thesouthfirst.com/health/shedding-stigma-male-breast-reduction-is-indias-fifth-most-common-cosmetic-surgery/" TargetMode="External"/><Relationship Id="rId13" Type="http://schemas.openxmlformats.org/officeDocument/2006/relationships/hyperlink" Target="https://pubmed.ncbi.nlm.nih.gov/37705825/" TargetMode="External"/><Relationship Id="rId14" Type="http://schemas.openxmlformats.org/officeDocument/2006/relationships/hyperlink" Target="https://link.springer.com/article/10.1007/s12325-023-02670-3" TargetMode="External"/><Relationship Id="rId15" Type="http://schemas.openxmlformats.org/officeDocument/2006/relationships/hyperlink" Target="https://www.ncbi.nlm.nih.gov/books/NBK430812/" TargetMode="External"/><Relationship Id="rId16" Type="http://schemas.openxmlformats.org/officeDocument/2006/relationships/hyperlink" Target="https://www.ncbi.nlm.nih.gov/books/NBK279105/" TargetMode="External"/><Relationship Id="rId17" Type="http://schemas.openxmlformats.org/officeDocument/2006/relationships/hyperlink" Target="https://www.sciencedirect.com/science/article/pii/S0960977624001589" TargetMode="External"/><Relationship Id="rId18" Type="http://schemas.openxmlformats.org/officeDocument/2006/relationships/hyperlink" Target="https://pubmed.ncbi.nlm.nih.gov/40531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