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Osteoarthritis</w:t>
      </w:r>
    </w:p>
    <w:p>
      <w:pPr>
        <w:spacing w:before="0" w:after="160"/>
      </w:pPr>
      <w:r>
        <w:rPr>
          <w:rFonts w:ascii="Calibri" w:hAnsi="Calibri"/>
          <w:b/>
          <w:i w:val="0"/>
          <w:color w:val="212121"/>
          <w:sz w:val="22"/>
        </w:rPr>
        <w:t xml:space="preserve">AKA </w:t>
      </w:r>
      <w:r>
        <w:rPr>
          <w:rFonts w:ascii="Calibri" w:hAnsi="Calibri"/>
          <w:b w:val="0"/>
          <w:i w:val="0"/>
          <w:color w:val="212121"/>
          <w:sz w:val="22"/>
        </w:rPr>
        <w:t>i.e., Degenerative joint disease (DJD); degenerative arthritis; osteoarthrosis; 'wear-and-tear' arthritis; 'jodon ka ghisna / ghis-ghisa gathiya' (Hindi, lay); knee OA / gonarthrosis; hip OA / coxarthrosis; nodal hand OA; spondylosis (spinal OA)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Osteoarthritis (OA) is the most common form of arthritis and a chronic, progressive disorder of the whole synovial joint characterised by focal loss of articular (hyaline) cartilage, subchondral bone remodelling and sclerosis, marginal osteophyte (bone spur) formation and variable low-grade synovial inflammation. Clinically it produces activity-related joint pain, short-lived stiffness, crepitus, bony enlargement and progressive functional limitation. Once dismissed as simple 'wear and tear', OA is now understood as an active, multifactorial disease driven by the interplay of mechanical overload, joint injury, ageing, obesity, metabolic and inflammatory factors and genetic susceptibility. It most often affects the knees, hips, hands (distal and proximal interphalangeal and first carpometacarpal joints) and spine, with knee OA being by far the dominant and most disabling form in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Osteoarthritis is the leading cause of chronic joint pain and mobility-related disability in India, and knee OA overwhelmingly dominates the disease burden. A systematic review and meta-analysis of Indian community studies pooled knee-OA prevalence at about 20% (roughly 20.24%), and prevalence was higher in rural (about 21%) than urban (about 15%) populations, reflecting heavy manual and agricultural work, deep squatting and floor-based living. Large field surveys report an overall knee-OA prevalence as high as 28.7%, with a clear female excess (about 31.6% in women versus men) and a steep rise after age 40; age, obesity and sedentary/occupational load are consistently significant. Globally, an estimated 528 million people were living with OA in 2019 (a 113% rise since 1990), the knee being the most commonly affected joint; about 73% of those affected are older than 55 years and around 60% are women (WHO).</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Osteoarthritis is primarily a clinical diagnosis supported, where needed, by weight-bearing radiographs; investigations are used mainly to grade severity and to exclude inflammatory or crystal arthritis rather than to make the diagnosis. A standard assessment includes: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characteristic history — mechanical, activity-related joint pain that worsens with use and towards the end of the day and is relieved by rest, with short-lived (≤ 30 minutes) early-morning stiffness and 'gelling' (stiffening) after inactivity;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American College of Rheumatology (ACR) clinical criteria — typically persistent joint pain with several of: age over 45–50 years, morning stiffness lasting less than 30 minutes, bony crepitus on movement, bony joint enlargement/tenderness, limitation of range of motion and the absence of palpable warmth;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Physical examination — crepitus, bony (osteophytic) enlargement, restricted and painful range of motion, joint-line tenderness, a cool (non-inflammatory) effusion, malalignment (genu varum/valgum) and, in hand OA, Heberden's nodes (distal interphalangeal), Bouchard's nodes (proximal interphalangeal) and first-carpometacarpal 'squaring';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Weight-bearing radiographs graded by the Kellgren–Lawrence (KL) system (grade 0 normal to grade 4 severe) showing the cardinal features — joint-space narrowing, marginal osteophytes, subchondral sclerosis and cysts; radiographic severity often correlates poorly with symptoms;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inflammatory and crystal arthritis — normal or only mildly raised ESR/CRP, negative rheumatoid factor and anti-CCP (to exclude rheumatoid arthritis) and normal serum urate; prolonged morning stiffness, warmth, marked swelling or systemic features point away from OA;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Synovial fluid analysis when an effusion is aspirated — non-inflammatory fluid (clear, viscous, white-cell count &lt; 2000/mm³, no crystals) supports OA and excludes septic or crystal arthritis;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MRI or other advanced imaging only in selected cases (early/atypical disease, suspected internal derangement such as meniscal or ligament injury, or pre-surgical planning) — it is not required for routine diagnosis; validated function/pain scores (e.g. WOMAC) help quantify severity and monitor response.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Osteoarthritis is classified by cause (primary versus secondary), by the joint(s) involved and by radiographic severity:</w:t>
      </w:r>
    </w:p>
    <w:p>
      <w:pPr>
        <w:spacing w:before="0" w:after="80"/>
      </w:pPr>
      <w:r>
        <w:rPr>
          <w:rFonts w:ascii="Calibri" w:hAnsi="Calibri"/>
          <w:b w:val="0"/>
          <w:i w:val="0"/>
          <w:color w:val="212121"/>
          <w:sz w:val="21"/>
        </w:rPr>
        <w:t>(1) Primary (idiopathic) OA — occurs without an identifiable predisposing injury or disease and is associated with ageing, female sex, obesity, muscle weakness and genetic factors; it may be localised (knee, hip, hand or spine) or generalised (nodal generalised OA affecting multiple hand joints, knees and spine, typically in middle-aged women);</w:t>
      </w:r>
    </w:p>
    <w:p>
      <w:pPr>
        <w:spacing w:before="0" w:after="80"/>
      </w:pPr>
      <w:r>
        <w:rPr>
          <w:rFonts w:ascii="Calibri" w:hAnsi="Calibri"/>
          <w:b w:val="0"/>
          <w:i w:val="0"/>
          <w:color w:val="212121"/>
          <w:sz w:val="21"/>
        </w:rPr>
        <w:t>(2) Secondary OA — develops from an identifiable cause such as previous trauma (post-traumatic OA after meniscal, cruciate or intra-articular fracture injury), developmental/congenital disorders (developmental hip dysplasia, Perthes disease, slipped capital femoral epiphysis), inflammatory arthritis (rheumatoid arthritis, gout and other crystal arthropathies), metabolic/endocrine disease (haemochromatosis, ochronosis, acromegaly), avascular necrosis or neuropathic (Charcot) joints;</w:t>
      </w:r>
    </w:p>
    <w:p>
      <w:pPr>
        <w:spacing w:before="0" w:after="80"/>
      </w:pPr>
      <w:r>
        <w:rPr>
          <w:rFonts w:ascii="Calibri" w:hAnsi="Calibri"/>
          <w:b w:val="0"/>
          <w:i w:val="0"/>
          <w:color w:val="212121"/>
          <w:sz w:val="21"/>
        </w:rPr>
        <w:t>(3) Joint-based classification — knee OA (gonarthrosis; medial-compartment predominant and dominant in India), hip OA (coxarthrosis), hand OA (Heberden's distal interphalangeal, Bouchard's proximal interphalangeal and first-carpometacarpal thumb-base disease) and spinal OA (spondylosis, facet-joint OA);</w:t>
      </w:r>
    </w:p>
    <w:p>
      <w:pPr>
        <w:spacing w:before="0" w:after="80"/>
      </w:pPr>
      <w:r>
        <w:rPr>
          <w:rFonts w:ascii="Calibri" w:hAnsi="Calibri"/>
          <w:b w:val="0"/>
          <w:i w:val="0"/>
          <w:color w:val="212121"/>
          <w:sz w:val="21"/>
        </w:rPr>
        <w:t>(4) Radiographic severity by the Kellgren–Lawrence grade — grade 0 (no features), grade 1 (doubtful joint-space narrowing, possible osteophyte), grade 2 (definite osteophyte, possible narrowing — 'minimal' disease), grade 3 (multiple osteophytes, definite narrowing, sclerosis, possible deformity — 'moderate') and grade 4 (large osteophytes, marked narrowing, severe sclerosis and bony deformity — 'severe');</w:t>
      </w:r>
    </w:p>
    <w:p>
      <w:pPr>
        <w:spacing w:before="0" w:after="80"/>
      </w:pPr>
      <w:r>
        <w:rPr>
          <w:rFonts w:ascii="Calibri" w:hAnsi="Calibri"/>
          <w:b w:val="0"/>
          <w:i w:val="0"/>
          <w:color w:val="212121"/>
          <w:sz w:val="21"/>
        </w:rPr>
        <w:t>A distinct erosive (inflammatory) hand OA subtype exists, with painful inflammatory flares, central erosions and a 'gull-wing' radiographic appearance of the interphalangeal joints.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Ageing and cartilage senescence: Advancing age is the strongest non-modifiable risk factor — chondrocyte senescence, reduced cartilage repair capacity and cumulative mechanical stress progressively erode articular cartilage.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Obesity and mechanical overload: Excess body weight is the strongest modifiable risk factor for knee and hip OA, increasing joint load and, through adipokines (leptin) and systemic low-grade inflammation, also driving a 'metabolic' component beyond pure loading.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Joint injury and malalignment: Previous meniscal, cruciate-ligament or intra-articular fractures and abnormal alignment (varus/valgus) concentrate load and cause post-traumatic secondary OA; prior injury roughly triples the 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Female sex and hormonal factors: OA, particularly of the knee and hand, is more common and more severe in women, especially after menopause when the protective effect of oestrogen on cartilage and bone declines.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predisposition: OA is substantially heritable (estimated heritability about 40% for knee, 60% for hip and 65% for hand OA), with many susceptibility genes (e.g. GDF5) contributing modest individual risk.</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Occupational and repetitive mechanical loading: Prolonged or frequent kneeling, deep squatting, stair-climbing and heavy lifting — common in Indian farming, construction and domestic work and in floor-based living — markedly increase knee and hip OA risk.</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Metabolic factors: Type 2 diabetes, metabolic syndrome and dyslipidaemia are linked to a metabolic OA phenotype through chronic low-grade inflammation and altered subchondral bone and cartilage metabolism.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 years and above)</w:t>
            </w:r>
          </w:p>
        </w:tc>
        <w:tc>
          <w:tcPr>
            <w:tcW w:type="dxa" w:w="4276"/>
            <w:vAlign w:val="top"/>
          </w:tcPr>
          <w:p>
            <w:pPr>
              <w:spacing w:after="60" w:line="259" w:lineRule="auto"/>
            </w:pPr>
            <w:r>
              <w:rPr>
                <w:rFonts w:ascii="Calibri" w:hAnsi="Calibri"/>
                <w:b w:val="0"/>
                <w:i w:val="0"/>
                <w:color w:val="212121"/>
                <w:sz w:val="19"/>
              </w:rPr>
              <w:t>Knee OA prevalence rises steeply after the age of 40 as decades of cumulative mechanical loading combine with age-related decline in cartilage repair; this is the age band in which most Indians first develop symptomatic knee OA.</w:t>
            </w:r>
          </w:p>
          <w:p>
            <w:pPr>
              <w:spacing w:after="40" w:before="60" w:line="259" w:lineRule="auto"/>
            </w:pPr>
            <w:r>
              <w:rPr>
                <w:rFonts w:ascii="Calibri" w:hAnsi="Calibri"/>
                <w:b w:val="0"/>
                <w:i w:val="0"/>
                <w:color w:val="212121"/>
                <w:sz w:val="19"/>
              </w:rPr>
              <w:t>In Indian community studies advancing age is a strongly significant risk factor for knee OA (P = 0.001), with pooled knee-OA prevalence of about 20% rising sharply from the fifth decade.</w:t>
            </w:r>
          </w:p>
          <w:p>
            <w:pPr>
              <w:spacing w:after="40" w:line="252" w:lineRule="auto"/>
            </w:pPr>
            <w:hyperlink r:id="rId9">
              <w:r>
                <w:rPr>
                  <w:rFonts w:ascii="Calibri" w:hAnsi="Calibri" w:cs="Calibri"/>
                  <w:sz w:val="18"/>
                  <w:color w:val="1155CC"/>
                  <w:u w:val="single"/>
                </w:rPr>
                <w:t xml:space="preserve">pubmed.ncbi.nlm.nih.gov/27746495 — Epidemiology of knee OA in India</w:t>
              </w:r>
            </w:hyperlink>
          </w:p>
          <w:p>
            <w:pPr>
              <w:spacing w:before="60" w:after="40"/>
            </w:pPr>
            <w:r>
              <w:rPr>
                <w:rFonts w:ascii="Calibri" w:hAnsi="Calibri"/>
                <w:b w:val="0"/>
                <w:i w:val="0"/>
                <w:color w:val="5A5A5A"/>
                <w:sz w:val="18"/>
              </w:rPr>
              <w:t>#osteoarthritis  #kneeOA  #ageing  #middleage  #Indiafirst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 and above)</w:t>
            </w:r>
          </w:p>
        </w:tc>
        <w:tc>
          <w:tcPr>
            <w:tcW w:type="dxa" w:w="4276"/>
            <w:vAlign w:val="top"/>
          </w:tcPr>
          <w:p>
            <w:pPr>
              <w:spacing w:after="60" w:line="259" w:lineRule="auto"/>
            </w:pPr>
            <w:r>
              <w:rPr>
                <w:rFonts w:ascii="Calibri" w:hAnsi="Calibri"/>
                <w:b w:val="0"/>
                <w:i w:val="0"/>
                <w:color w:val="212121"/>
                <w:sz w:val="19"/>
              </w:rPr>
              <w:t>OA is most prevalent and most disabling in the elderly, in whom long-standing cartilage loss, osteophytes, muscle weakness and malalignment combine to impair mobility, independence and balance.</w:t>
            </w:r>
          </w:p>
          <w:p>
            <w:pPr>
              <w:spacing w:after="40" w:before="60" w:line="259" w:lineRule="auto"/>
            </w:pPr>
            <w:r>
              <w:rPr>
                <w:rFonts w:ascii="Calibri" w:hAnsi="Calibri"/>
                <w:b w:val="0"/>
                <w:i w:val="0"/>
                <w:color w:val="212121"/>
                <w:sz w:val="19"/>
              </w:rPr>
              <w:t>Globally about 73% of people living with osteoarthritis are older than 55 years, and pooled Indian estimates in the elderly are substantially higher than in the general adult population.</w:t>
            </w:r>
          </w:p>
          <w:p>
            <w:pPr>
              <w:spacing w:after="40" w:line="252" w:lineRule="auto"/>
            </w:pPr>
            <w:hyperlink r:id="rId10">
              <w:r>
                <w:rPr>
                  <w:rFonts w:ascii="Calibri" w:hAnsi="Calibri" w:cs="Calibri"/>
                  <w:sz w:val="18"/>
                  <w:color w:val="1155CC"/>
                  <w:u w:val="single"/>
                </w:rPr>
                <w:t xml:space="preserve">who.int — Osteoarthritis (WHO fact sheet)</w:t>
              </w:r>
            </w:hyperlink>
          </w:p>
          <w:p>
            <w:pPr>
              <w:spacing w:before="60" w:after="40"/>
            </w:pPr>
            <w:r>
              <w:rPr>
                <w:rFonts w:ascii="Calibri" w:hAnsi="Calibri"/>
                <w:b w:val="0"/>
                <w:i w:val="0"/>
                <w:color w:val="5A5A5A"/>
                <w:sz w:val="18"/>
              </w:rPr>
              <w:t>#elderly  #disability  #mobility  #falls  #ageing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(especially postmenopausal)</w:t>
            </w:r>
          </w:p>
        </w:tc>
        <w:tc>
          <w:tcPr>
            <w:tcW w:type="dxa" w:w="4276"/>
            <w:vAlign w:val="top"/>
          </w:tcPr>
          <w:p>
            <w:pPr>
              <w:spacing w:after="60" w:line="259" w:lineRule="auto"/>
            </w:pPr>
            <w:r>
              <w:rPr>
                <w:rFonts w:ascii="Calibri" w:hAnsi="Calibri"/>
                <w:b w:val="0"/>
                <w:i w:val="0"/>
                <w:color w:val="212121"/>
                <w:sz w:val="19"/>
              </w:rPr>
              <w:t>Women have a higher prevalence and greater severity of knee and hand OA, partly due to loss of the protective effect of oestrogen on cartilage and bone after menopause and to differences in joint biomechanics; nodal generalised hand OA is characteristically a disease of middle-aged women.</w:t>
            </w:r>
          </w:p>
          <w:p>
            <w:pPr>
              <w:spacing w:after="40" w:before="60" w:line="259" w:lineRule="auto"/>
            </w:pPr>
            <w:r>
              <w:rPr>
                <w:rFonts w:ascii="Calibri" w:hAnsi="Calibri"/>
                <w:b w:val="0"/>
                <w:i w:val="0"/>
                <w:color w:val="212121"/>
                <w:sz w:val="19"/>
              </w:rPr>
              <w:t>In a large Indian survey knee-OA prevalence was significantly higher in women (about 31.6%) than in men (P = 0.007); globally around 60% of people with OA are women.</w:t>
            </w:r>
          </w:p>
          <w:p>
            <w:pPr>
              <w:spacing w:after="40" w:line="252" w:lineRule="auto"/>
            </w:pPr>
            <w:hyperlink r:id="rId9">
              <w:r>
                <w:rPr>
                  <w:rFonts w:ascii="Calibri" w:hAnsi="Calibri" w:cs="Calibri"/>
                  <w:sz w:val="18"/>
                  <w:color w:val="1155CC"/>
                  <w:u w:val="single"/>
                </w:rPr>
                <w:t xml:space="preserve">pubmed.ncbi.nlm.nih.gov/27746495 — Epidemiology of knee OA in India</w:t>
              </w:r>
            </w:hyperlink>
          </w:p>
          <w:p>
            <w:pPr>
              <w:spacing w:before="60" w:after="40"/>
            </w:pPr>
            <w:r>
              <w:rPr>
                <w:rFonts w:ascii="Calibri" w:hAnsi="Calibri"/>
                <w:b w:val="0"/>
                <w:i w:val="0"/>
                <w:color w:val="5A5A5A"/>
                <w:sz w:val="18"/>
              </w:rPr>
              <w:t>#female  #postmenopausal  #oestrogen  #handOA  #nodalOA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labourers &amp; low-income groups</w:t>
            </w:r>
          </w:p>
        </w:tc>
        <w:tc>
          <w:tcPr>
            <w:tcW w:type="dxa" w:w="4276"/>
            <w:vAlign w:val="top"/>
          </w:tcPr>
          <w:p>
            <w:pPr>
              <w:spacing w:after="60" w:line="259" w:lineRule="auto"/>
            </w:pPr>
            <w:r>
              <w:rPr>
                <w:rFonts w:ascii="Calibri" w:hAnsi="Calibri"/>
                <w:b w:val="0"/>
                <w:i w:val="0"/>
                <w:color w:val="212121"/>
                <w:sz w:val="19"/>
              </w:rPr>
              <w:t>Lower-income Indians are more likely to perform physically demanding, weight-bearing manual work (farming, construction, load-carrying, domestic labour) and to live in floor-based settings, while also having less access to weight management, physiotherapy and timely joint care — increasing both incidence and disability.</w:t>
            </w:r>
          </w:p>
          <w:p>
            <w:pPr>
              <w:spacing w:after="40" w:before="60" w:line="259" w:lineRule="auto"/>
            </w:pPr>
            <w:r>
              <w:rPr>
                <w:rFonts w:ascii="Calibri" w:hAnsi="Calibri"/>
                <w:b w:val="0"/>
                <w:i w:val="0"/>
                <w:color w:val="212121"/>
                <w:sz w:val="19"/>
              </w:rPr>
              <w:t>Sedentary and physically demanding occupational load is a significant associated factor for knee OA in Indian studies (P = 0.001).</w:t>
            </w:r>
          </w:p>
          <w:p>
            <w:pPr>
              <w:spacing w:after="40" w:line="252" w:lineRule="auto"/>
            </w:pPr>
            <w:hyperlink r:id="rId9">
              <w:r>
                <w:rPr>
                  <w:rFonts w:ascii="Calibri" w:hAnsi="Calibri" w:cs="Calibri"/>
                  <w:sz w:val="18"/>
                  <w:color w:val="1155CC"/>
                  <w:u w:val="single"/>
                </w:rPr>
                <w:t xml:space="preserve">pubmed.ncbi.nlm.nih.gov/27746495 — Epidemiology of knee OA in India</w:t>
              </w:r>
            </w:hyperlink>
          </w:p>
          <w:p>
            <w:pPr>
              <w:spacing w:before="60" w:after="40"/>
            </w:pPr>
            <w:r>
              <w:rPr>
                <w:rFonts w:ascii="Calibri" w:hAnsi="Calibri"/>
                <w:b w:val="0"/>
                <w:i w:val="0"/>
                <w:color w:val="5A5A5A"/>
                <w:sz w:val="18"/>
              </w:rPr>
              <w:t>#manuallabour  #socioeconomic  #access  #disability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&amp; lifestyle</w:t>
            </w:r>
          </w:p>
        </w:tc>
        <w:tc>
          <w:tcPr>
            <w:tcW w:type="dxa" w:w="2160"/>
            <w:vAlign w:val="top"/>
          </w:tcPr>
          <w:p>
            <w:pPr>
              <w:spacing w:after="40" w:before="0" w:line="259" w:lineRule="auto"/>
            </w:pPr>
            <w:r>
              <w:rPr>
                <w:rFonts w:ascii="Calibri" w:hAnsi="Calibri"/>
                <w:b w:val="0"/>
                <w:i w:val="0"/>
                <w:color w:val="212121"/>
                <w:sz w:val="19"/>
              </w:rPr>
              <w:t>South Asian floor-sitting / squatting culture</w:t>
            </w:r>
          </w:p>
        </w:tc>
        <w:tc>
          <w:tcPr>
            <w:tcW w:type="dxa" w:w="4276"/>
            <w:vAlign w:val="top"/>
          </w:tcPr>
          <w:p>
            <w:pPr>
              <w:spacing w:after="60" w:line="259" w:lineRule="auto"/>
            </w:pPr>
            <w:r>
              <w:rPr>
                <w:rFonts w:ascii="Calibri" w:hAnsi="Calibri"/>
                <w:b w:val="0"/>
                <w:i w:val="0"/>
                <w:color w:val="212121"/>
                <w:sz w:val="19"/>
              </w:rPr>
              <w:t>Habitual deep squatting, cross-legged floor sitting, sitting on the haunches for cooking and chores, and use of Indian-style (squat) toilets impose very high flexion loads on the patellofemoral and tibiofemoral joints, a culturally embedded driver of knee OA across the Indian subcontinent.</w:t>
            </w:r>
          </w:p>
          <w:p>
            <w:pPr>
              <w:spacing w:after="40" w:before="60" w:line="259" w:lineRule="auto"/>
            </w:pPr>
            <w:r>
              <w:rPr>
                <w:rFonts w:ascii="Calibri" w:hAnsi="Calibri"/>
                <w:b w:val="0"/>
                <w:i w:val="0"/>
                <w:color w:val="212121"/>
                <w:sz w:val="19"/>
              </w:rPr>
              <w:t>Squatting for more than about one hour a day is associated with roughly a two- to seven-fold increase in the odds of developing knee OA.</w:t>
            </w:r>
          </w:p>
          <w:p>
            <w:pPr>
              <w:spacing w:after="40" w:line="252" w:lineRule="auto"/>
            </w:pPr>
            <w:hyperlink r:id="rId11">
              <w:r>
                <w:rPr>
                  <w:rFonts w:ascii="Calibri" w:hAnsi="Calibri" w:cs="Calibri"/>
                  <w:sz w:val="18"/>
                  <w:color w:val="1155CC"/>
                  <w:u w:val="single"/>
                </w:rPr>
                <w:t xml:space="preserve">academic.oup.com/joh — Occupational risk for lower-limb OA</w:t>
              </w:r>
            </w:hyperlink>
          </w:p>
          <w:p>
            <w:pPr>
              <w:spacing w:before="60" w:after="40"/>
            </w:pPr>
            <w:r>
              <w:rPr>
                <w:rFonts w:ascii="Calibri" w:hAnsi="Calibri"/>
                <w:b w:val="0"/>
                <w:i w:val="0"/>
                <w:color w:val="5A5A5A"/>
                <w:sz w:val="18"/>
              </w:rPr>
              <w:t>#squatting  #floorsitting  #kneeloading  #SouthAsia  #patellofemoral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agricultural population</w:t>
            </w:r>
          </w:p>
        </w:tc>
        <w:tc>
          <w:tcPr>
            <w:tcW w:type="dxa" w:w="4276"/>
            <w:vAlign w:val="top"/>
          </w:tcPr>
          <w:p>
            <w:pPr>
              <w:spacing w:after="60" w:line="259" w:lineRule="auto"/>
            </w:pPr>
            <w:r>
              <w:rPr>
                <w:rFonts w:ascii="Calibri" w:hAnsi="Calibri"/>
                <w:b w:val="0"/>
                <w:i w:val="0"/>
                <w:color w:val="212121"/>
                <w:sz w:val="19"/>
              </w:rPr>
              <w:t>Rural Indians engaged in agriculture and heavy physical work, with frequent kneeling, squatting and load-carrying, show a higher knee-OA prevalence than urban populations despite generally lower obesity rates.</w:t>
            </w:r>
          </w:p>
          <w:p>
            <w:pPr>
              <w:spacing w:after="40" w:before="60" w:line="259" w:lineRule="auto"/>
            </w:pPr>
            <w:r>
              <w:rPr>
                <w:rFonts w:ascii="Calibri" w:hAnsi="Calibri"/>
                <w:b w:val="0"/>
                <w:i w:val="0"/>
                <w:color w:val="212121"/>
                <w:sz w:val="19"/>
              </w:rPr>
              <w:t>A meta-analysis of Indian studies found knee-OA prevalence higher in rural (about 21.3%) than urban (about 15.4%) populations.</w:t>
            </w:r>
          </w:p>
          <w:p>
            <w:pPr>
              <w:spacing w:after="40" w:line="252" w:lineRule="auto"/>
            </w:pPr>
            <w:hyperlink r:id="rId12">
              <w:r>
                <w:rPr>
                  <w:rFonts w:ascii="Calibri" w:hAnsi="Calibri" w:cs="Calibri"/>
                  <w:sz w:val="18"/>
                  <w:color w:val="1155CC"/>
                  <w:u w:val="single"/>
                </w:rPr>
                <w:t xml:space="preserve">link.springer.com — Prevalence of knee OA in India (meta-analysis)</w:t>
              </w:r>
            </w:hyperlink>
          </w:p>
          <w:p>
            <w:pPr>
              <w:spacing w:before="60" w:after="40"/>
            </w:pPr>
            <w:r>
              <w:rPr>
                <w:rFonts w:ascii="Calibri" w:hAnsi="Calibri"/>
                <w:b w:val="0"/>
                <w:i w:val="0"/>
                <w:color w:val="5A5A5A"/>
                <w:sz w:val="18"/>
              </w:rPr>
              <w:t>#rural  #agriculture  #manuallabour  #kneeOA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 repetitive loading</w:t>
            </w:r>
          </w:p>
        </w:tc>
        <w:tc>
          <w:tcPr>
            <w:tcW w:type="dxa" w:w="2160"/>
            <w:vAlign w:val="top"/>
          </w:tcPr>
          <w:p>
            <w:pPr>
              <w:spacing w:after="40" w:before="0" w:line="259" w:lineRule="auto"/>
            </w:pPr>
            <w:r>
              <w:rPr>
                <w:rFonts w:ascii="Calibri" w:hAnsi="Calibri"/>
                <w:b w:val="0"/>
                <w:i w:val="0"/>
                <w:color w:val="212121"/>
                <w:sz w:val="19"/>
              </w:rPr>
              <w:t>Farmers, construction &amp; domestic workers, athletes</w:t>
            </w:r>
          </w:p>
        </w:tc>
        <w:tc>
          <w:tcPr>
            <w:tcW w:type="dxa" w:w="4276"/>
            <w:vAlign w:val="top"/>
          </w:tcPr>
          <w:p>
            <w:pPr>
              <w:spacing w:after="60" w:line="259" w:lineRule="auto"/>
            </w:pPr>
            <w:r>
              <w:rPr>
                <w:rFonts w:ascii="Calibri" w:hAnsi="Calibri"/>
                <w:b w:val="0"/>
                <w:i w:val="0"/>
                <w:color w:val="212121"/>
                <w:sz w:val="19"/>
              </w:rPr>
              <w:t>Occupations and sports involving repetitive kneeling, deep squatting, stair/ladder climbing, heavy lifting and pivoting concentrate mechanical stress on the knees and hips and are a leading cause of secondary and early OA.</w:t>
            </w:r>
          </w:p>
          <w:p>
            <w:pPr>
              <w:spacing w:after="40" w:before="60" w:line="259" w:lineRule="auto"/>
            </w:pPr>
            <w:r>
              <w:rPr>
                <w:rFonts w:ascii="Calibri" w:hAnsi="Calibri"/>
                <w:b w:val="0"/>
                <w:i w:val="0"/>
                <w:color w:val="212121"/>
                <w:sz w:val="19"/>
              </w:rPr>
              <w:t>Heavy occupational lifting can raise knee-OA risk by up to about 61%, and combined kneeling/squatting with lifting carries some of the highest odds ratios (up to seven-fold).</w:t>
            </w:r>
          </w:p>
          <w:p>
            <w:pPr>
              <w:spacing w:after="40" w:line="252" w:lineRule="auto"/>
            </w:pPr>
            <w:hyperlink r:id="rId11">
              <w:r>
                <w:rPr>
                  <w:rFonts w:ascii="Calibri" w:hAnsi="Calibri" w:cs="Calibri"/>
                  <w:sz w:val="18"/>
                  <w:color w:val="1155CC"/>
                  <w:u w:val="single"/>
                </w:rPr>
                <w:t xml:space="preserve">academic.oup.com/joh — Occupational risk for lower-limb OA</w:t>
              </w:r>
            </w:hyperlink>
          </w:p>
          <w:p>
            <w:pPr>
              <w:spacing w:before="60" w:after="40"/>
            </w:pPr>
            <w:r>
              <w:rPr>
                <w:rFonts w:ascii="Calibri" w:hAnsi="Calibri"/>
                <w:b w:val="0"/>
                <w:i w:val="0"/>
                <w:color w:val="5A5A5A"/>
                <w:sz w:val="18"/>
              </w:rPr>
              <w:t>#occupational  #kneeling  #heavylifting  #farmers  #athletes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&amp; muscle weakness</w:t>
            </w:r>
          </w:p>
        </w:tc>
        <w:tc>
          <w:tcPr>
            <w:tcW w:type="dxa" w:w="2160"/>
            <w:vAlign w:val="top"/>
          </w:tcPr>
          <w:p>
            <w:pPr>
              <w:spacing w:after="40" w:before="0" w:line="259" w:lineRule="auto"/>
            </w:pPr>
            <w:r>
              <w:rPr>
                <w:rFonts w:ascii="Calibri" w:hAnsi="Calibri"/>
                <w:b w:val="0"/>
                <w:i w:val="0"/>
                <w:color w:val="212121"/>
                <w:sz w:val="19"/>
              </w:rPr>
              <w:t>Inactive office workers &amp; deconditioned elderly</w:t>
            </w:r>
          </w:p>
        </w:tc>
        <w:tc>
          <w:tcPr>
            <w:tcW w:type="dxa" w:w="4276"/>
            <w:vAlign w:val="top"/>
          </w:tcPr>
          <w:p>
            <w:pPr>
              <w:spacing w:after="60" w:line="259" w:lineRule="auto"/>
            </w:pPr>
            <w:r>
              <w:rPr>
                <w:rFonts w:ascii="Calibri" w:hAnsi="Calibri"/>
                <w:b w:val="0"/>
                <w:i w:val="0"/>
                <w:color w:val="212121"/>
                <w:sz w:val="19"/>
              </w:rPr>
              <w:t>Physical inactivity leads to quadriceps and hip-muscle weakness and deconditioning, which reduce dynamic joint protection and shock absorption, while also promoting weight gain — accelerating knee OA and its progression.</w:t>
            </w:r>
          </w:p>
          <w:p>
            <w:pPr>
              <w:spacing w:after="40" w:before="60" w:line="259" w:lineRule="auto"/>
            </w:pPr>
            <w:r>
              <w:rPr>
                <w:rFonts w:ascii="Calibri" w:hAnsi="Calibri"/>
                <w:b w:val="0"/>
                <w:i w:val="0"/>
                <w:color w:val="212121"/>
                <w:sz w:val="19"/>
              </w:rPr>
              <w:t>Sedentary work is a significant associated factor for knee OA in Indian studies (P = 0.001); quadriceps weakness is a recognised predictor of knee-OA onset and progression.</w:t>
            </w:r>
          </w:p>
          <w:p>
            <w:pPr>
              <w:spacing w:after="40" w:line="252" w:lineRule="auto"/>
            </w:pPr>
            <w:hyperlink r:id="rId9">
              <w:r>
                <w:rPr>
                  <w:rFonts w:ascii="Calibri" w:hAnsi="Calibri" w:cs="Calibri"/>
                  <w:sz w:val="18"/>
                  <w:color w:val="1155CC"/>
                  <w:u w:val="single"/>
                </w:rPr>
                <w:t xml:space="preserve">pubmed.ncbi.nlm.nih.gov/27746495 — Epidemiology of knee OA in India</w:t>
              </w:r>
            </w:hyperlink>
          </w:p>
          <w:p>
            <w:pPr>
              <w:spacing w:before="60" w:after="40"/>
            </w:pPr>
            <w:r>
              <w:rPr>
                <w:rFonts w:ascii="Calibri" w:hAnsi="Calibri"/>
                <w:b w:val="0"/>
                <w:i w:val="0"/>
                <w:color w:val="5A5A5A"/>
                <w:sz w:val="18"/>
              </w:rPr>
              <w:t>#sedentary  #quadriceps  #musclewasting  #deconditioning  #weightgain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The relationship between smoking and OA is weak and inconsistent — some studies report a paradoxical inverse association that is largely confounded by body weight — but smoking impairs bone quality, tissue healing and surgical outcomes and is never protective in practice.</w:t>
            </w:r>
          </w:p>
          <w:p>
            <w:pPr>
              <w:spacing w:after="40" w:before="60" w:line="259" w:lineRule="auto"/>
            </w:pPr>
            <w:r>
              <w:rPr>
                <w:rFonts w:ascii="Calibri" w:hAnsi="Calibri"/>
                <w:b w:val="0"/>
                <w:i w:val="0"/>
                <w:color w:val="212121"/>
                <w:sz w:val="19"/>
              </w:rPr>
              <w:t>Evidence for smoking as an independent risk factor for OA is inconsistent, and any apparent inverse association is confounded (notably by lower body weight in smokers).</w:t>
            </w:r>
          </w:p>
          <w:p>
            <w:pPr>
              <w:spacing w:before="60" w:after="40"/>
            </w:pPr>
            <w:r>
              <w:rPr>
                <w:rFonts w:ascii="Calibri" w:hAnsi="Calibri"/>
                <w:b w:val="0"/>
                <w:i w:val="0"/>
                <w:color w:val="5A5A5A"/>
                <w:sz w:val="18"/>
              </w:rPr>
              <w:t>#smoking  #confounding  #bonehealth  #weakassociation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Adults with BMI ≥ 30 kg/m²</w:t>
            </w:r>
          </w:p>
        </w:tc>
        <w:tc>
          <w:tcPr>
            <w:tcW w:type="dxa" w:w="4276"/>
            <w:vAlign w:val="top"/>
          </w:tcPr>
          <w:p>
            <w:pPr>
              <w:spacing w:after="60" w:line="259" w:lineRule="auto"/>
            </w:pPr>
            <w:r>
              <w:rPr>
                <w:rFonts w:ascii="Calibri" w:hAnsi="Calibri"/>
                <w:b w:val="0"/>
                <w:i w:val="0"/>
                <w:color w:val="212121"/>
                <w:sz w:val="19"/>
              </w:rPr>
              <w:t>Obesity is the strongest modifiable risk factor for knee and hip OA, acting both mechanically (every extra kilogram multiplies load across weight-bearing joints) and metabolically (adipose-derived leptin and inflammatory cytokines promote cartilage breakdown), and it also affects non-weight-bearing hand joints.</w:t>
            </w:r>
          </w:p>
          <w:p>
            <w:pPr>
              <w:spacing w:after="40" w:before="60" w:line="259" w:lineRule="auto"/>
            </w:pPr>
            <w:r>
              <w:rPr>
                <w:rFonts w:ascii="Calibri" w:hAnsi="Calibri"/>
                <w:b w:val="0"/>
                <w:i w:val="0"/>
                <w:color w:val="212121"/>
                <w:sz w:val="19"/>
              </w:rPr>
              <w:t>Obesity (BMI &gt; 25–30) is associated with knee-OA odds ratios of about 2.1–2.7, and obesity is a significant risk factor for knee OA in Indian studies (P = 0.04).</w:t>
            </w:r>
          </w:p>
          <w:p>
            <w:pPr>
              <w:spacing w:after="40" w:line="252" w:lineRule="auto"/>
            </w:pPr>
            <w:hyperlink r:id="rId11">
              <w:r>
                <w:rPr>
                  <w:rFonts w:ascii="Calibri" w:hAnsi="Calibri" w:cs="Calibri"/>
                  <w:sz w:val="18"/>
                  <w:color w:val="1155CC"/>
                  <w:u w:val="single"/>
                </w:rPr>
                <w:t xml:space="preserve">academic.oup.com/joh — Occupational &amp; metabolic risk for OA</w:t>
              </w:r>
            </w:hyperlink>
          </w:p>
          <w:p>
            <w:pPr>
              <w:spacing w:before="60" w:after="40"/>
            </w:pPr>
            <w:r>
              <w:rPr>
                <w:rFonts w:ascii="Calibri" w:hAnsi="Calibri"/>
                <w:b w:val="0"/>
                <w:i w:val="0"/>
                <w:color w:val="5A5A5A"/>
                <w:sz w:val="18"/>
              </w:rPr>
              <w:t>#obesity  #BMI  #leptin  #mechanicalload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Adults with BMI 25–29.9 kg/m²</w:t>
            </w:r>
          </w:p>
        </w:tc>
        <w:tc>
          <w:tcPr>
            <w:tcW w:type="dxa" w:w="4276"/>
            <w:vAlign w:val="top"/>
          </w:tcPr>
          <w:p>
            <w:pPr>
              <w:spacing w:after="60" w:line="259" w:lineRule="auto"/>
            </w:pPr>
            <w:r>
              <w:rPr>
                <w:rFonts w:ascii="Calibri" w:hAnsi="Calibri"/>
                <w:b w:val="0"/>
                <w:i w:val="0"/>
                <w:color w:val="212121"/>
                <w:sz w:val="19"/>
              </w:rPr>
              <w:t>Being overweight carries an intermediate but graded risk — knee-OA risk rises with each unit of BMI — and modest excess weight is highly prevalent among urban Indians, making it an important and reversible target.</w:t>
            </w:r>
          </w:p>
          <w:p>
            <w:pPr>
              <w:spacing w:after="40" w:before="60" w:line="259" w:lineRule="auto"/>
            </w:pPr>
            <w:r>
              <w:rPr>
                <w:rFonts w:ascii="Calibri" w:hAnsi="Calibri"/>
                <w:b w:val="0"/>
                <w:i w:val="0"/>
                <w:color w:val="212121"/>
                <w:sz w:val="19"/>
              </w:rPr>
              <w:t>Overweight and obesity are established risk factors for knee and hip OA; risk increases progressively with rising BMI (WHO).</w:t>
            </w:r>
          </w:p>
          <w:p>
            <w:pPr>
              <w:spacing w:after="40" w:line="252" w:lineRule="auto"/>
            </w:pPr>
            <w:hyperlink r:id="rId10">
              <w:r>
                <w:rPr>
                  <w:rFonts w:ascii="Calibri" w:hAnsi="Calibri" w:cs="Calibri"/>
                  <w:sz w:val="18"/>
                  <w:color w:val="1155CC"/>
                  <w:u w:val="single"/>
                </w:rPr>
                <w:t xml:space="preserve">who.int — Osteoarthritis (WHO fact sheet)</w:t>
              </w:r>
            </w:hyperlink>
          </w:p>
          <w:p>
            <w:pPr>
              <w:spacing w:before="60" w:after="40"/>
            </w:pPr>
            <w:r>
              <w:rPr>
                <w:rFonts w:ascii="Calibri" w:hAnsi="Calibri"/>
                <w:b w:val="0"/>
                <w:i w:val="0"/>
                <w:color w:val="5A5A5A"/>
                <w:sz w:val="18"/>
              </w:rPr>
              <w:t>#overweight  #BMI  #urbanIndia  #reversible  #weightcontrol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Low vitamin D &amp; calcium intake</w:t>
            </w:r>
          </w:p>
        </w:tc>
        <w:tc>
          <w:tcPr>
            <w:tcW w:type="dxa" w:w="4276"/>
            <w:vAlign w:val="top"/>
          </w:tcPr>
          <w:p>
            <w:pPr>
              <w:spacing w:after="60" w:line="259" w:lineRule="auto"/>
            </w:pPr>
            <w:r>
              <w:rPr>
                <w:rFonts w:ascii="Calibri" w:hAnsi="Calibri"/>
                <w:b w:val="0"/>
                <w:i w:val="0"/>
                <w:color w:val="212121"/>
                <w:sz w:val="19"/>
              </w:rPr>
              <w:t>Vitamin D deficiency — very common across India despite abundant sunshine — impairs subchondral bone and cartilage health and is associated with knee OA and its severity; low dietary calcium compounds coexisting bone fragility in the elderly.</w:t>
            </w:r>
          </w:p>
          <w:p>
            <w:pPr>
              <w:spacing w:after="40" w:before="60" w:line="259" w:lineRule="auto"/>
            </w:pPr>
            <w:r>
              <w:rPr>
                <w:rFonts w:ascii="Calibri" w:hAnsi="Calibri"/>
                <w:b w:val="0"/>
                <w:i w:val="0"/>
                <w:color w:val="212121"/>
                <w:sz w:val="19"/>
              </w:rPr>
              <w:t>A systematic review and meta-analysis in the Indian population found vitamin D deficiency to be associated with knee osteoarthritis and its severity.</w:t>
            </w:r>
          </w:p>
          <w:p>
            <w:pPr>
              <w:spacing w:after="40" w:line="252" w:lineRule="auto"/>
            </w:pPr>
            <w:hyperlink r:id="rId13">
              <w:r>
                <w:rPr>
                  <w:rFonts w:ascii="Calibri" w:hAnsi="Calibri" w:cs="Calibri"/>
                  <w:sz w:val="18"/>
                  <w:color w:val="1155CC"/>
                  <w:u w:val="single"/>
                </w:rPr>
                <w:t xml:space="preserve">pubmed.ncbi.nlm.nih.gov/38059053 — Vitamin D &amp; knee OA in India (meta-analysis)</w:t>
              </w:r>
            </w:hyperlink>
          </w:p>
          <w:p>
            <w:pPr>
              <w:spacing w:before="60" w:after="40"/>
            </w:pPr>
            <w:r>
              <w:rPr>
                <w:rFonts w:ascii="Calibri" w:hAnsi="Calibri"/>
                <w:b w:val="0"/>
                <w:i w:val="0"/>
                <w:color w:val="5A5A5A"/>
                <w:sz w:val="18"/>
              </w:rPr>
              <w:t>#vitaminD  #calcium  #subchondralbone  #India  #deficiency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OA</w:t>
            </w:r>
          </w:p>
        </w:tc>
        <w:tc>
          <w:tcPr>
            <w:tcW w:type="dxa" w:w="4276"/>
            <w:vAlign w:val="top"/>
          </w:tcPr>
          <w:p>
            <w:pPr>
              <w:spacing w:after="60" w:line="259" w:lineRule="auto"/>
            </w:pPr>
            <w:r>
              <w:rPr>
                <w:rFonts w:ascii="Calibri" w:hAnsi="Calibri"/>
                <w:b w:val="0"/>
                <w:i w:val="0"/>
                <w:color w:val="212121"/>
                <w:sz w:val="19"/>
              </w:rPr>
              <w:t>OA has a strong hereditary component; a family history, particularly of hand and hip OA, substantially increases risk through inherited differences in cartilage, bone shape and joint biomechanics.</w:t>
            </w:r>
          </w:p>
          <w:p>
            <w:pPr>
              <w:spacing w:after="40" w:before="60" w:line="259" w:lineRule="auto"/>
            </w:pPr>
            <w:r>
              <w:rPr>
                <w:rFonts w:ascii="Calibri" w:hAnsi="Calibri"/>
                <w:b w:val="0"/>
                <w:i w:val="0"/>
                <w:color w:val="212121"/>
                <w:sz w:val="19"/>
              </w:rPr>
              <w:t>The estimated heritability of OA is about 40% for the knee, 60% for the hip and 65% for the hand.</w:t>
            </w:r>
          </w:p>
          <w:p>
            <w:pPr>
              <w:spacing w:after="40" w:line="252" w:lineRule="auto"/>
            </w:pPr>
            <w:hyperlink r:id="rId14">
              <w:r>
                <w:rPr>
                  <w:rFonts w:ascii="Calibri" w:hAnsi="Calibri" w:cs="Calibri"/>
                  <w:sz w:val="18"/>
                  <w:color w:val="1155CC"/>
                  <w:u w:val="single"/>
                </w:rPr>
                <w:t xml:space="preserve">pmc.ncbi.nlm.nih.gov/PMC4562436 — Genetic risk factors for OA</w:t>
              </w:r>
            </w:hyperlink>
          </w:p>
          <w:p>
            <w:pPr>
              <w:spacing w:before="60" w:after="40"/>
            </w:pPr>
            <w:r>
              <w:rPr>
                <w:rFonts w:ascii="Calibri" w:hAnsi="Calibri"/>
                <w:b w:val="0"/>
                <w:i w:val="0"/>
                <w:color w:val="5A5A5A"/>
                <w:sz w:val="18"/>
              </w:rPr>
              <w:t>#familyhistory  #heritability  #genetics  #GDF5  #jointshape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Nodal generalised OA</w:t>
            </w:r>
          </w:p>
        </w:tc>
        <w:tc>
          <w:tcPr>
            <w:tcW w:type="dxa" w:w="2160"/>
            <w:vAlign w:val="top"/>
          </w:tcPr>
          <w:p>
            <w:pPr>
              <w:spacing w:after="40" w:before="0" w:line="259" w:lineRule="auto"/>
            </w:pPr>
            <w:r>
              <w:rPr>
                <w:rFonts w:ascii="Calibri" w:hAnsi="Calibri"/>
                <w:b w:val="0"/>
                <w:i w:val="0"/>
                <w:color w:val="212121"/>
                <w:sz w:val="19"/>
              </w:rPr>
              <w:t>Middle-aged women with multiple affected joints</w:t>
            </w:r>
          </w:p>
        </w:tc>
        <w:tc>
          <w:tcPr>
            <w:tcW w:type="dxa" w:w="4276"/>
            <w:vAlign w:val="top"/>
          </w:tcPr>
          <w:p>
            <w:pPr>
              <w:spacing w:after="60" w:line="259" w:lineRule="auto"/>
            </w:pPr>
            <w:r>
              <w:rPr>
                <w:rFonts w:ascii="Calibri" w:hAnsi="Calibri"/>
                <w:b w:val="0"/>
                <w:i w:val="0"/>
                <w:color w:val="212121"/>
                <w:sz w:val="19"/>
              </w:rPr>
              <w:t>Nodal generalised OA — Heberden's and Bouchard's nodes with involvement of several hand joints, knees and spine — clusters strongly in families and predominantly affects middle-aged women, reflecting a heritable predisposition.</w:t>
            </w:r>
          </w:p>
          <w:p>
            <w:pPr>
              <w:spacing w:after="40" w:before="60" w:line="259" w:lineRule="auto"/>
            </w:pPr>
            <w:r>
              <w:rPr>
                <w:rFonts w:ascii="Calibri" w:hAnsi="Calibri"/>
                <w:b w:val="0"/>
                <w:i w:val="0"/>
                <w:color w:val="212121"/>
                <w:sz w:val="19"/>
              </w:rPr>
              <w:t>Hand OA is the most heritable common site (heritability about 65%), and nodal generalised OA shows marked familial clustering, especially maternal.</w:t>
            </w:r>
          </w:p>
          <w:p>
            <w:pPr>
              <w:spacing w:after="40" w:line="252" w:lineRule="auto"/>
            </w:pPr>
            <w:hyperlink r:id="rId14">
              <w:r>
                <w:rPr>
                  <w:rFonts w:ascii="Calibri" w:hAnsi="Calibri" w:cs="Calibri"/>
                  <w:sz w:val="18"/>
                  <w:color w:val="1155CC"/>
                  <w:u w:val="single"/>
                </w:rPr>
                <w:t xml:space="preserve">pmc.ncbi.nlm.nih.gov/PMC4562436 — Genetic risk factors for OA</w:t>
              </w:r>
            </w:hyperlink>
          </w:p>
          <w:p>
            <w:pPr>
              <w:spacing w:before="60" w:after="40"/>
            </w:pPr>
            <w:r>
              <w:rPr>
                <w:rFonts w:ascii="Calibri" w:hAnsi="Calibri"/>
                <w:b w:val="0"/>
                <w:i w:val="0"/>
                <w:color w:val="5A5A5A"/>
                <w:sz w:val="18"/>
              </w:rPr>
              <w:t>#nodalOA  #Heberden  #Bouchard  #familial  #women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Prior joint injury</w:t>
            </w:r>
          </w:p>
        </w:tc>
        <w:tc>
          <w:tcPr>
            <w:tcW w:type="dxa" w:w="2160"/>
            <w:vAlign w:val="top"/>
          </w:tcPr>
          <w:p>
            <w:pPr>
              <w:spacing w:after="40" w:before="0" w:line="259" w:lineRule="auto"/>
            </w:pPr>
            <w:r>
              <w:rPr>
                <w:rFonts w:ascii="Calibri" w:hAnsi="Calibri"/>
                <w:b w:val="0"/>
                <w:i w:val="0"/>
                <w:color w:val="212121"/>
                <w:sz w:val="19"/>
              </w:rPr>
              <w:t>Post-traumatic OA (ACL, meniscal, intra-articular fracture)</w:t>
            </w:r>
          </w:p>
        </w:tc>
        <w:tc>
          <w:tcPr>
            <w:tcW w:type="dxa" w:w="4276"/>
            <w:vAlign w:val="top"/>
          </w:tcPr>
          <w:p>
            <w:pPr>
              <w:spacing w:after="60" w:line="259" w:lineRule="auto"/>
            </w:pPr>
            <w:r>
              <w:rPr>
                <w:rFonts w:ascii="Calibri" w:hAnsi="Calibri"/>
                <w:b w:val="0"/>
                <w:i w:val="0"/>
                <w:color w:val="212121"/>
                <w:sz w:val="19"/>
              </w:rPr>
              <w:t>A previous significant joint injury — anterior cruciate ligament or meniscal tear or an intra-articular fracture — disrupts joint mechanics and cartilage, causing accelerated, often early-onset secondary (post-traumatic) OA years later.</w:t>
            </w:r>
          </w:p>
          <w:p>
            <w:pPr>
              <w:spacing w:after="40" w:before="60" w:line="259" w:lineRule="auto"/>
            </w:pPr>
            <w:r>
              <w:rPr>
                <w:rFonts w:ascii="Calibri" w:hAnsi="Calibri"/>
                <w:b w:val="0"/>
                <w:i w:val="0"/>
                <w:color w:val="212121"/>
                <w:sz w:val="19"/>
              </w:rPr>
              <w:t>Previous joint injury carries a pooled odds ratio of about 2.83 for OA, and the combination of high BMI with prior injury raises knee-OA risk five- to fifteen-fold.</w:t>
            </w:r>
          </w:p>
          <w:p>
            <w:pPr>
              <w:spacing w:after="40" w:line="252" w:lineRule="auto"/>
            </w:pPr>
            <w:hyperlink r:id="rId11">
              <w:r>
                <w:rPr>
                  <w:rFonts w:ascii="Calibri" w:hAnsi="Calibri" w:cs="Calibri"/>
                  <w:sz w:val="18"/>
                  <w:color w:val="1155CC"/>
                  <w:u w:val="single"/>
                </w:rPr>
                <w:t xml:space="preserve">academic.oup.com/joh — Injury &amp; occupational risk for OA</w:t>
              </w:r>
            </w:hyperlink>
          </w:p>
          <w:p>
            <w:pPr>
              <w:spacing w:before="60" w:after="40"/>
            </w:pPr>
            <w:r>
              <w:rPr>
                <w:rFonts w:ascii="Calibri" w:hAnsi="Calibri"/>
                <w:b w:val="0"/>
                <w:i w:val="0"/>
                <w:color w:val="5A5A5A"/>
                <w:sz w:val="18"/>
              </w:rPr>
              <w:t>#posttraumatic  #ACL  #meniscus  #secondaryOA  #sportsinjury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 &amp; type 2 diabetes</w:t>
            </w:r>
          </w:p>
        </w:tc>
        <w:tc>
          <w:tcPr>
            <w:tcW w:type="dxa" w:w="2160"/>
            <w:vAlign w:val="top"/>
          </w:tcPr>
          <w:p>
            <w:pPr>
              <w:spacing w:after="40" w:before="0" w:line="259" w:lineRule="auto"/>
            </w:pPr>
            <w:r>
              <w:rPr>
                <w:rFonts w:ascii="Calibri" w:hAnsi="Calibri"/>
                <w:b w:val="0"/>
                <w:i w:val="0"/>
                <w:color w:val="212121"/>
                <w:sz w:val="19"/>
              </w:rPr>
              <w:t>Patients with diabetes, obesity &amp; dyslipidaemia</w:t>
            </w:r>
          </w:p>
        </w:tc>
        <w:tc>
          <w:tcPr>
            <w:tcW w:type="dxa" w:w="4276"/>
            <w:vAlign w:val="top"/>
          </w:tcPr>
          <w:p>
            <w:pPr>
              <w:spacing w:after="60" w:line="259" w:lineRule="auto"/>
            </w:pPr>
            <w:r>
              <w:rPr>
                <w:rFonts w:ascii="Calibri" w:hAnsi="Calibri"/>
                <w:b w:val="0"/>
                <w:i w:val="0"/>
                <w:color w:val="212121"/>
                <w:sz w:val="19"/>
              </w:rPr>
              <w:t>Metabolic syndrome, type 2 diabetes and dyslipidaemia are linked to a 'metabolic' OA phenotype in which chronic low-grade inflammation, advanced glycation and altered bone metabolism damage cartilage independently of joint loading.</w:t>
            </w:r>
          </w:p>
          <w:p>
            <w:pPr>
              <w:spacing w:after="40" w:before="60" w:line="259" w:lineRule="auto"/>
            </w:pPr>
            <w:r>
              <w:rPr>
                <w:rFonts w:ascii="Calibri" w:hAnsi="Calibri"/>
                <w:b w:val="0"/>
                <w:i w:val="0"/>
                <w:color w:val="212121"/>
                <w:sz w:val="19"/>
              </w:rPr>
              <w:t>In OA patients hypertension is present in about 50%, dyslipidaemia in about 48% and diabetes in about 11%, and metabolic syndrome is significantly more common (prevalence ratio about 1.94).</w:t>
            </w:r>
          </w:p>
          <w:p>
            <w:pPr>
              <w:spacing w:after="40" w:line="252" w:lineRule="auto"/>
            </w:pPr>
            <w:hyperlink r:id="rId15">
              <w:r>
                <w:rPr>
                  <w:rFonts w:ascii="Calibri" w:hAnsi="Calibri" w:cs="Calibri"/>
                  <w:sz w:val="18"/>
                  <w:color w:val="1155CC"/>
                  <w:u w:val="single"/>
                </w:rPr>
                <w:t xml:space="preserve">Swain et al. 2020 — Comorbidities in OA (meta-analysis)</w:t>
              </w:r>
            </w:hyperlink>
          </w:p>
          <w:p>
            <w:pPr>
              <w:spacing w:before="60" w:after="40"/>
            </w:pPr>
            <w:r>
              <w:rPr>
                <w:rFonts w:ascii="Calibri" w:hAnsi="Calibri"/>
                <w:b w:val="0"/>
                <w:i w:val="0"/>
                <w:color w:val="5A5A5A"/>
                <w:sz w:val="18"/>
              </w:rPr>
              <w:t>#metabolicsyndrome  #diabetes  #dyslipidaemia  #inflammation  #metabolicOA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Inflammatory &amp; crystal arthritis</w:t>
            </w:r>
          </w:p>
        </w:tc>
        <w:tc>
          <w:tcPr>
            <w:tcW w:type="dxa" w:w="2160"/>
            <w:vAlign w:val="top"/>
          </w:tcPr>
          <w:p>
            <w:pPr>
              <w:spacing w:after="40" w:before="0" w:line="259" w:lineRule="auto"/>
            </w:pPr>
            <w:r>
              <w:rPr>
                <w:rFonts w:ascii="Calibri" w:hAnsi="Calibri"/>
                <w:b w:val="0"/>
                <w:i w:val="0"/>
                <w:color w:val="212121"/>
                <w:sz w:val="19"/>
              </w:rPr>
              <w:t>Rheumatoid arthritis &amp; gout</w:t>
            </w:r>
          </w:p>
        </w:tc>
        <w:tc>
          <w:tcPr>
            <w:tcW w:type="dxa" w:w="4276"/>
            <w:vAlign w:val="top"/>
          </w:tcPr>
          <w:p>
            <w:pPr>
              <w:spacing w:after="60" w:line="259" w:lineRule="auto"/>
            </w:pPr>
            <w:r>
              <w:rPr>
                <w:rFonts w:ascii="Calibri" w:hAnsi="Calibri"/>
                <w:b w:val="0"/>
                <w:i w:val="0"/>
                <w:color w:val="212121"/>
                <w:sz w:val="19"/>
              </w:rPr>
              <w:t>Pre-existing inflammatory joint disease (rheumatoid arthritis) and crystal arthropathy (gout, calcium pyrophosphate deposition) damage cartilage and joint architecture and are important causes of secondary OA.</w:t>
            </w:r>
          </w:p>
          <w:p>
            <w:pPr>
              <w:spacing w:after="40" w:before="60" w:line="259" w:lineRule="auto"/>
            </w:pPr>
            <w:r>
              <w:rPr>
                <w:rFonts w:ascii="Calibri" w:hAnsi="Calibri"/>
                <w:b w:val="0"/>
                <w:i w:val="0"/>
                <w:color w:val="212121"/>
                <w:sz w:val="19"/>
              </w:rPr>
              <w:t>Rheumatoid arthritis, gout and other crystal arthropathies are recognised causes of secondary osteoarthritis.</w:t>
            </w:r>
          </w:p>
          <w:p>
            <w:pPr>
              <w:spacing w:after="40" w:line="252" w:lineRule="auto"/>
            </w:pPr>
            <w:hyperlink r:id="rId16">
              <w:r>
                <w:rPr>
                  <w:rFonts w:ascii="Calibri" w:hAnsi="Calibri" w:cs="Calibri"/>
                  <w:sz w:val="18"/>
                  <w:color w:val="1155CC"/>
                  <w:u w:val="single"/>
                </w:rPr>
                <w:t xml:space="preserve">ncbi.nlm.nih.gov/books/NBK482326 — Osteoarthritis (StatPearls)</w:t>
              </w:r>
            </w:hyperlink>
          </w:p>
          <w:p>
            <w:pPr>
              <w:spacing w:before="60" w:after="40"/>
            </w:pPr>
            <w:r>
              <w:rPr>
                <w:rFonts w:ascii="Calibri" w:hAnsi="Calibri"/>
                <w:b w:val="0"/>
                <w:i w:val="0"/>
                <w:color w:val="5A5A5A"/>
                <w:sz w:val="18"/>
              </w:rPr>
              <w:t>#rheumatoidarthritis  #gout  #CPPD  #secondaryOA  #inflammatory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Developmental &amp; malalignment disorders</w:t>
            </w:r>
          </w:p>
        </w:tc>
        <w:tc>
          <w:tcPr>
            <w:tcW w:type="dxa" w:w="2160"/>
            <w:vAlign w:val="top"/>
          </w:tcPr>
          <w:p>
            <w:pPr>
              <w:spacing w:after="40" w:before="0" w:line="259" w:lineRule="auto"/>
            </w:pPr>
            <w:r>
              <w:rPr>
                <w:rFonts w:ascii="Calibri" w:hAnsi="Calibri"/>
                <w:b w:val="0"/>
                <w:i w:val="0"/>
                <w:color w:val="212121"/>
                <w:sz w:val="19"/>
              </w:rPr>
              <w:t>DDH, Perthes, SCFE &amp; varus/valgus deformity</w:t>
            </w:r>
          </w:p>
        </w:tc>
        <w:tc>
          <w:tcPr>
            <w:tcW w:type="dxa" w:w="4276"/>
            <w:vAlign w:val="top"/>
          </w:tcPr>
          <w:p>
            <w:pPr>
              <w:spacing w:after="60" w:line="259" w:lineRule="auto"/>
            </w:pPr>
            <w:r>
              <w:rPr>
                <w:rFonts w:ascii="Calibri" w:hAnsi="Calibri"/>
                <w:b w:val="0"/>
                <w:i w:val="0"/>
                <w:color w:val="212121"/>
                <w:sz w:val="19"/>
              </w:rPr>
              <w:t>Congenital or developmental joint abnormalities (developmental hip dysplasia, Perthes disease, slipped capital femoral epiphysis) and limb malalignment (genu varum/valgum) cause abnormal load distribution and predispose to early secondary OA.</w:t>
            </w:r>
          </w:p>
          <w:p>
            <w:pPr>
              <w:spacing w:after="40" w:before="60" w:line="259" w:lineRule="auto"/>
            </w:pPr>
            <w:r>
              <w:rPr>
                <w:rFonts w:ascii="Calibri" w:hAnsi="Calibri"/>
                <w:b w:val="0"/>
                <w:i w:val="0"/>
                <w:color w:val="212121"/>
                <w:sz w:val="19"/>
              </w:rPr>
              <w:t>Developmental disorders and joint malalignment are established causes of secondary OA by producing abnormal, focally concentrated joint loading.</w:t>
            </w:r>
          </w:p>
          <w:p>
            <w:pPr>
              <w:spacing w:after="40" w:line="252" w:lineRule="auto"/>
            </w:pPr>
            <w:hyperlink r:id="rId16">
              <w:r>
                <w:rPr>
                  <w:rFonts w:ascii="Calibri" w:hAnsi="Calibri" w:cs="Calibri"/>
                  <w:sz w:val="18"/>
                  <w:color w:val="1155CC"/>
                  <w:u w:val="single"/>
                </w:rPr>
                <w:t xml:space="preserve">ncbi.nlm.nih.gov/books/NBK482326 — Osteoarthritis (StatPearls)</w:t>
              </w:r>
            </w:hyperlink>
          </w:p>
          <w:p>
            <w:pPr>
              <w:spacing w:before="60" w:after="40"/>
            </w:pPr>
            <w:r>
              <w:rPr>
                <w:rFonts w:ascii="Calibri" w:hAnsi="Calibri"/>
                <w:b w:val="0"/>
                <w:i w:val="0"/>
                <w:color w:val="5A5A5A"/>
                <w:sz w:val="18"/>
              </w:rPr>
              <w:t>#dysplasia  #malalignment  #varus  #valgus  #developmental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activity has a dual role — excessive high-impact or repetitive loading (heavy lifting, deep squatting, kneeling) and physical inactivity leading to muscle weakness and obesity both increase OA risk, whereas regular moderate low-impact exercise strengthens periarticular muscle and reduces pain and disability (Cochrane: pain up to ~13 points better than no treatment).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influences OA chiefly through body weight — obesity is the strongest modifiable risk factor for knee and hip OA — and through micronutrients such as vitamin D and calcium; weight loss and an anti-inflammatory, calorie-appropriate diet reduce load and symptoms.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OA pain and sleep are bidirectionally linked — chronic joint pain disrupts sleep, and poor or insufficient sleep lowers the pain threshold and worsens fatigue, mood and central sensitisation.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 association between smoking and OA is weak and inconsistent and any apparent inverse link is confounded by body weight; smoking nonetheless impairs bone, healing and surgical recovery and is never protective.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established direct causal role in OA; heavy intake can contribute to obesity, gout and poorer general health, and interacts adversely with NSAID and paracetamol analgesia.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anxiety are common in OA (depression in about 17% of patients) and have a bidirectional relationship with pain and disability, amplifying symptom severity and reducing engagement with exercise and self-management.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joint and cartilage health but has no proven direct role in preventing or modifying OA; the evidence is weak and indirect.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consistent evidence that caffeine intake causes or protects against OA; associations reported in some studies are weak and confounded.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hygiene has little direct bearing on OA itself, but meticulous skin and peri-operative hygiene is important around joint injections and joint-replacement surgery to prevent septic complications.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Well-defined provokers precipitate or accelerate OA and its flares — joint injury, overuse, obesity, malalignment, occupational kneeling/squatting/lifting, and unaccustomed activity; cold, damp weather commonly aggravates symptoms.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Joint alignment and habitual posture strongly influence load distribution — varus/valgus malalignment, deep squatting, cross-legged and floor sitting and poor lifting technique concentrate stress on cartilage and drive progression, particularly of knee OA.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elderly, knee/hip OA</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60" w:line="259" w:lineRule="auto"/>
            </w:pPr>
            <w:r>
              <w:rPr>
                <w:rFonts w:ascii="Calibri" w:hAnsi="Calibri"/>
                <w:b w:val="0"/>
                <w:i w:val="0"/>
                <w:color w:val="212121"/>
                <w:sz w:val="19"/>
              </w:rPr>
              <w:t>Obesity is the strongest modifiable risk factor; each unit of BMI increases knee-OA risk.</w:t>
            </w:r>
          </w:p>
          <w:p>
            <w:pPr>
              <w:spacing w:after="40" w:line="252" w:lineRule="auto"/>
            </w:pPr>
            <w:hyperlink r:id="rId10">
              <w:r>
                <w:rPr>
                  <w:rFonts w:ascii="Calibri" w:hAnsi="Calibri" w:cs="Calibri"/>
                  <w:sz w:val="18"/>
                  <w:color w:val="1155CC"/>
                  <w:u w:val="single"/>
                </w:rPr>
                <w:t xml:space="preserve">https://www.who.int/news-room/fact-sheets/detail/osteoarthritis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physical activity (min/week)</w:t>
            </w:r>
          </w:p>
        </w:tc>
        <w:tc>
          <w:tcPr>
            <w:tcW w:type="dxa" w:w="1655"/>
            <w:vAlign w:val="top"/>
          </w:tcPr>
          <w:p>
            <w:pPr>
              <w:spacing w:after="40" w:before="0" w:line="259" w:lineRule="auto"/>
            </w:pPr>
            <w:r>
              <w:rPr>
                <w:rFonts w:ascii="Calibri" w:hAnsi="Calibri"/>
                <w:b w:val="0"/>
                <w:i w:val="0"/>
                <w:color w:val="212121"/>
                <w:sz w:val="19"/>
              </w:rPr>
              <w:t>OA patients, sedentary adults</w:t>
            </w:r>
          </w:p>
        </w:tc>
        <w:tc>
          <w:tcPr>
            <w:tcW w:type="dxa" w:w="1512"/>
            <w:vAlign w:val="top"/>
          </w:tcPr>
          <w:p>
            <w:pPr>
              <w:spacing w:after="40" w:before="0" w:line="259" w:lineRule="auto"/>
            </w:pPr>
            <w:r>
              <w:rPr>
                <w:rFonts w:ascii="Calibri" w:hAnsi="Calibri"/>
                <w:b w:val="0"/>
                <w:i w:val="0"/>
                <w:color w:val="212121"/>
                <w:sz w:val="19"/>
              </w:rPr>
              <w:t>≥ 150 min/week of low-impact activity</w:t>
            </w:r>
          </w:p>
        </w:tc>
        <w:tc>
          <w:tcPr>
            <w:tcW w:type="dxa" w:w="1512"/>
            <w:vAlign w:val="top"/>
          </w:tcPr>
          <w:p>
            <w:pPr>
              <w:spacing w:after="40" w:before="0" w:line="259" w:lineRule="auto"/>
            </w:pPr>
            <w:r>
              <w:rPr>
                <w:rFonts w:ascii="Calibri" w:hAnsi="Calibri"/>
                <w:b w:val="0"/>
                <w:i w:val="0"/>
                <w:color w:val="212121"/>
                <w:sz w:val="19"/>
              </w:rPr>
              <w:t>&lt; 150 min/week or repetitive high-impact overload</w:t>
            </w:r>
          </w:p>
        </w:tc>
        <w:tc>
          <w:tcPr>
            <w:tcW w:type="dxa" w:w="1468"/>
            <w:vAlign w:val="top"/>
          </w:tcPr>
          <w:p>
            <w:pPr>
              <w:spacing w:after="60" w:line="259" w:lineRule="auto"/>
            </w:pPr>
            <w:r>
              <w:rPr>
                <w:rFonts w:ascii="Calibri" w:hAnsi="Calibri"/>
                <w:b w:val="0"/>
                <w:i w:val="0"/>
                <w:color w:val="212121"/>
                <w:sz w:val="19"/>
              </w:rPr>
              <w:t>Regular low-impact exercise reduces OA pain and improves function (Cochrane).</w:t>
            </w:r>
          </w:p>
          <w:p>
            <w:pPr>
              <w:spacing w:after="40" w:line="252" w:lineRule="auto"/>
            </w:pPr>
            <w:hyperlink r:id="rId17">
              <w:r>
                <w:rPr>
                  <w:rFonts w:ascii="Calibri" w:hAnsi="Calibri" w:cs="Calibri"/>
                  <w:sz w:val="18"/>
                  <w:color w:val="1155CC"/>
                  <w:u w:val="single"/>
                </w:rPr>
                <w:t xml:space="preserve">https://www.cochrane.org/evidence/CD004376_exercise-effective-therapy-treat-knee-osteoarthritis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Quadriceps / periarticular muscle strength</w:t>
            </w:r>
          </w:p>
        </w:tc>
        <w:tc>
          <w:tcPr>
            <w:tcW w:type="dxa" w:w="1655"/>
            <w:vAlign w:val="top"/>
          </w:tcPr>
          <w:p>
            <w:pPr>
              <w:spacing w:after="40" w:before="0" w:line="259" w:lineRule="auto"/>
            </w:pPr>
            <w:r>
              <w:rPr>
                <w:rFonts w:ascii="Calibri" w:hAnsi="Calibri"/>
                <w:b w:val="0"/>
                <w:i w:val="0"/>
                <w:color w:val="212121"/>
                <w:sz w:val="19"/>
              </w:rPr>
              <w:t>Knee-OA patients, elderly</w:t>
            </w:r>
          </w:p>
        </w:tc>
        <w:tc>
          <w:tcPr>
            <w:tcW w:type="dxa" w:w="1512"/>
            <w:vAlign w:val="top"/>
          </w:tcPr>
          <w:p>
            <w:pPr>
              <w:spacing w:after="40" w:before="0" w:line="259" w:lineRule="auto"/>
            </w:pPr>
            <w:r>
              <w:rPr>
                <w:rFonts w:ascii="Calibri" w:hAnsi="Calibri"/>
                <w:b w:val="0"/>
                <w:i w:val="0"/>
                <w:color w:val="212121"/>
                <w:sz w:val="19"/>
              </w:rPr>
              <w:t>Good strength for age and sex</w:t>
            </w:r>
          </w:p>
        </w:tc>
        <w:tc>
          <w:tcPr>
            <w:tcW w:type="dxa" w:w="1512"/>
            <w:vAlign w:val="top"/>
          </w:tcPr>
          <w:p>
            <w:pPr>
              <w:spacing w:after="40" w:before="0" w:line="259" w:lineRule="auto"/>
            </w:pPr>
            <w:r>
              <w:rPr>
                <w:rFonts w:ascii="Calibri" w:hAnsi="Calibri"/>
                <w:b w:val="0"/>
                <w:i w:val="0"/>
                <w:color w:val="212121"/>
                <w:sz w:val="19"/>
              </w:rPr>
              <w:t>Quadriceps weakness / wasting</w:t>
            </w:r>
          </w:p>
        </w:tc>
        <w:tc>
          <w:tcPr>
            <w:tcW w:type="dxa" w:w="1468"/>
            <w:vAlign w:val="top"/>
          </w:tcPr>
          <w:p>
            <w:pPr>
              <w:spacing w:after="40" w:before="0" w:line="259" w:lineRule="auto"/>
            </w:pPr>
            <w:r>
              <w:rPr>
                <w:rFonts w:ascii="Calibri" w:hAnsi="Calibri"/>
                <w:b w:val="0"/>
                <w:i w:val="0"/>
                <w:color w:val="212121"/>
                <w:sz w:val="19"/>
              </w:rPr>
              <w:t>Muscle weakness predicts knee-OA onset and progression and reduces dynamic joint protection.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Weight-loss target (overweight/obese)</w:t>
            </w:r>
          </w:p>
        </w:tc>
        <w:tc>
          <w:tcPr>
            <w:tcW w:type="dxa" w:w="1655"/>
            <w:vAlign w:val="top"/>
          </w:tcPr>
          <w:p>
            <w:pPr>
              <w:spacing w:after="40" w:before="0" w:line="259" w:lineRule="auto"/>
            </w:pPr>
            <w:r>
              <w:rPr>
                <w:rFonts w:ascii="Calibri" w:hAnsi="Calibri"/>
                <w:b w:val="0"/>
                <w:i w:val="0"/>
                <w:color w:val="212121"/>
                <w:sz w:val="19"/>
              </w:rPr>
              <w:t>Overweight &amp; obese OA patients</w:t>
            </w:r>
          </w:p>
        </w:tc>
        <w:tc>
          <w:tcPr>
            <w:tcW w:type="dxa" w:w="1512"/>
            <w:vAlign w:val="top"/>
          </w:tcPr>
          <w:p>
            <w:pPr>
              <w:spacing w:after="40" w:before="0" w:line="259" w:lineRule="auto"/>
            </w:pPr>
            <w:r>
              <w:rPr>
                <w:rFonts w:ascii="Calibri" w:hAnsi="Calibri"/>
                <w:b w:val="0"/>
                <w:i w:val="0"/>
                <w:color w:val="212121"/>
                <w:sz w:val="19"/>
              </w:rPr>
              <w:t>≥ 5–10% body-weight reduction</w:t>
            </w:r>
          </w:p>
        </w:tc>
        <w:tc>
          <w:tcPr>
            <w:tcW w:type="dxa" w:w="1512"/>
            <w:vAlign w:val="top"/>
          </w:tcPr>
          <w:p>
            <w:pPr>
              <w:spacing w:after="40" w:before="0" w:line="259" w:lineRule="auto"/>
            </w:pPr>
            <w:r>
              <w:rPr>
                <w:rFonts w:ascii="Calibri" w:hAnsi="Calibri"/>
                <w:b w:val="0"/>
                <w:i w:val="0"/>
                <w:color w:val="212121"/>
                <w:sz w:val="19"/>
              </w:rPr>
              <w:t>Ongoing weight gain</w:t>
            </w:r>
          </w:p>
        </w:tc>
        <w:tc>
          <w:tcPr>
            <w:tcW w:type="dxa" w:w="1468"/>
            <w:vAlign w:val="top"/>
          </w:tcPr>
          <w:p>
            <w:pPr>
              <w:spacing w:after="60" w:line="259" w:lineRule="auto"/>
            </w:pPr>
            <w:r>
              <w:rPr>
                <w:rFonts w:ascii="Calibri" w:hAnsi="Calibri"/>
                <w:b w:val="0"/>
                <w:i w:val="0"/>
                <w:color w:val="212121"/>
                <w:sz w:val="19"/>
              </w:rPr>
              <w:t>Even modest weight loss lowers joint load and reduces pain and disability.</w:t>
            </w:r>
          </w:p>
          <w:p>
            <w:pPr>
              <w:spacing w:after="40" w:line="252" w:lineRule="auto"/>
            </w:pPr>
            <w:hyperlink r:id="rId18">
              <w:r>
                <w:rPr>
                  <w:rFonts w:ascii="Calibri" w:hAnsi="Calibri" w:cs="Calibri"/>
                  <w:sz w:val="18"/>
                  <w:color w:val="1155CC"/>
                  <w:u w:val="single"/>
                </w:rPr>
                <w:t xml:space="preserve">https://www.jospt.org/doi/10.2519/jospt.2020.9041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 vitamin D</w:t>
            </w:r>
          </w:p>
        </w:tc>
        <w:tc>
          <w:tcPr>
            <w:tcW w:type="dxa" w:w="1655"/>
            <w:vAlign w:val="top"/>
          </w:tcPr>
          <w:p>
            <w:pPr>
              <w:spacing w:after="40" w:before="0" w:line="259" w:lineRule="auto"/>
            </w:pPr>
            <w:r>
              <w:rPr>
                <w:rFonts w:ascii="Calibri" w:hAnsi="Calibri"/>
                <w:b w:val="0"/>
                <w:i w:val="0"/>
                <w:color w:val="212121"/>
                <w:sz w:val="19"/>
              </w:rPr>
              <w:t>Elderly, indoor lifestyles, Indian population</w:t>
            </w:r>
          </w:p>
        </w:tc>
        <w:tc>
          <w:tcPr>
            <w:tcW w:type="dxa" w:w="1512"/>
            <w:vAlign w:val="top"/>
          </w:tcPr>
          <w:p>
            <w:pPr>
              <w:spacing w:after="40" w:before="0" w:line="259" w:lineRule="auto"/>
            </w:pPr>
            <w:r>
              <w:rPr>
                <w:rFonts w:ascii="Calibri" w:hAnsi="Calibri"/>
                <w:b w:val="0"/>
                <w:i w:val="0"/>
                <w:color w:val="212121"/>
                <w:sz w:val="19"/>
              </w:rPr>
              <w:t>≥ 30 ng/mL (sufficiency)</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Vitamin D deficiency is common in India and associated with knee OA and its severity.</w:t>
            </w:r>
          </w:p>
          <w:p>
            <w:pPr>
              <w:spacing w:after="40" w:line="252" w:lineRule="auto"/>
            </w:pPr>
            <w:hyperlink r:id="rId13">
              <w:r>
                <w:rPr>
                  <w:rFonts w:ascii="Calibri" w:hAnsi="Calibri" w:cs="Calibri"/>
                  <w:sz w:val="18"/>
                  <w:color w:val="1155CC"/>
                  <w:u w:val="single"/>
                </w:rPr>
                <w:t xml:space="preserve">https://pubmed.ncbi.nlm.nih.gov/38059053/</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OA patients with chronic pain</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fragmented sleep</w:t>
            </w:r>
          </w:p>
        </w:tc>
        <w:tc>
          <w:tcPr>
            <w:tcW w:type="dxa" w:w="1468"/>
            <w:vAlign w:val="top"/>
          </w:tcPr>
          <w:p>
            <w:pPr>
              <w:spacing w:after="40" w:before="0" w:line="259" w:lineRule="auto"/>
            </w:pPr>
            <w:r>
              <w:rPr>
                <w:rFonts w:ascii="Calibri" w:hAnsi="Calibri"/>
                <w:b w:val="0"/>
                <w:i w:val="0"/>
                <w:color w:val="212121"/>
                <w:sz w:val="19"/>
              </w:rPr>
              <w:t>Poor sleep lowers pain threshold and worsens the pain–mood–disability cycle.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(e.g. PHQ-9)</w:t>
            </w:r>
          </w:p>
        </w:tc>
        <w:tc>
          <w:tcPr>
            <w:tcW w:type="dxa" w:w="1655"/>
            <w:vAlign w:val="top"/>
          </w:tcPr>
          <w:p>
            <w:pPr>
              <w:spacing w:after="40" w:before="0" w:line="259" w:lineRule="auto"/>
            </w:pPr>
            <w:r>
              <w:rPr>
                <w:rFonts w:ascii="Calibri" w:hAnsi="Calibri"/>
                <w:b w:val="0"/>
                <w:i w:val="0"/>
                <w:color w:val="212121"/>
                <w:sz w:val="19"/>
              </w:rPr>
              <w:t>Chronic/disabling OA</w:t>
            </w:r>
          </w:p>
        </w:tc>
        <w:tc>
          <w:tcPr>
            <w:tcW w:type="dxa" w:w="1512"/>
            <w:vAlign w:val="top"/>
          </w:tcPr>
          <w:p>
            <w:pPr>
              <w:spacing w:after="40" w:before="0" w:line="259" w:lineRule="auto"/>
            </w:pPr>
            <w:r>
              <w:rPr>
                <w:rFonts w:ascii="Calibri" w:hAnsi="Calibri"/>
                <w:b w:val="0"/>
                <w:i w:val="0"/>
                <w:color w:val="212121"/>
                <w:sz w:val="19"/>
              </w:rPr>
              <w:t>No significant depressive symptoms</w:t>
            </w:r>
          </w:p>
        </w:tc>
        <w:tc>
          <w:tcPr>
            <w:tcW w:type="dxa" w:w="1512"/>
            <w:vAlign w:val="top"/>
          </w:tcPr>
          <w:p>
            <w:pPr>
              <w:spacing w:after="40" w:before="0" w:line="259" w:lineRule="auto"/>
            </w:pPr>
            <w:r>
              <w:rPr>
                <w:rFonts w:ascii="Calibri" w:hAnsi="Calibri"/>
                <w:b w:val="0"/>
                <w:i w:val="0"/>
                <w:color w:val="212121"/>
                <w:sz w:val="19"/>
              </w:rPr>
              <w:t>Positive depression screen</w:t>
            </w:r>
          </w:p>
        </w:tc>
        <w:tc>
          <w:tcPr>
            <w:tcW w:type="dxa" w:w="1468"/>
            <w:vAlign w:val="top"/>
          </w:tcPr>
          <w:p>
            <w:pPr>
              <w:spacing w:after="60" w:line="259" w:lineRule="auto"/>
            </w:pPr>
            <w:r>
              <w:rPr>
                <w:rFonts w:ascii="Calibri" w:hAnsi="Calibri"/>
                <w:b w:val="0"/>
                <w:i w:val="0"/>
                <w:color w:val="212121"/>
                <w:sz w:val="19"/>
              </w:rPr>
              <w:t>Depression affects about 17% of OA patients and amplifies pain and disability.</w:t>
            </w:r>
          </w:p>
          <w:p>
            <w:pPr>
              <w:spacing w:after="40" w:line="252" w:lineRule="auto"/>
            </w:pPr>
            <w:hyperlink r:id="rId15">
              <w:r>
                <w:rPr>
                  <w:rFonts w:ascii="Calibri" w:hAnsi="Calibri" w:cs="Calibri"/>
                  <w:sz w:val="18"/>
                  <w:color w:val="1155CC"/>
                  <w:u w:val="single"/>
                </w:rPr>
                <w:t xml:space="preserve">https://research-information.bris.ac.uk/ws/files/209010511/2019_Swain_et_al_2019_Comorbidities_meta_analysis_Arthritis_Care_Research.pdf</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Occupational kneeling/squatting (hours/day)</w:t>
            </w:r>
          </w:p>
        </w:tc>
        <w:tc>
          <w:tcPr>
            <w:tcW w:type="dxa" w:w="1655"/>
            <w:vAlign w:val="top"/>
          </w:tcPr>
          <w:p>
            <w:pPr>
              <w:spacing w:after="40" w:before="0" w:line="259" w:lineRule="auto"/>
            </w:pPr>
            <w:r>
              <w:rPr>
                <w:rFonts w:ascii="Calibri" w:hAnsi="Calibri"/>
                <w:b w:val="0"/>
                <w:i w:val="0"/>
                <w:color w:val="212121"/>
                <w:sz w:val="19"/>
              </w:rPr>
              <w:t>Farmers, labourers, floor-sitters</w:t>
            </w:r>
          </w:p>
        </w:tc>
        <w:tc>
          <w:tcPr>
            <w:tcW w:type="dxa" w:w="1512"/>
            <w:vAlign w:val="top"/>
          </w:tcPr>
          <w:p>
            <w:pPr>
              <w:spacing w:after="40" w:before="0" w:line="259" w:lineRule="auto"/>
            </w:pPr>
            <w:r>
              <w:rPr>
                <w:rFonts w:ascii="Calibri" w:hAnsi="Calibri"/>
                <w:b w:val="0"/>
                <w:i w:val="0"/>
                <w:color w:val="212121"/>
                <w:sz w:val="19"/>
              </w:rPr>
              <w:t>Minimal sustained kneeling/squatting</w:t>
            </w:r>
          </w:p>
        </w:tc>
        <w:tc>
          <w:tcPr>
            <w:tcW w:type="dxa" w:w="1512"/>
            <w:vAlign w:val="top"/>
          </w:tcPr>
          <w:p>
            <w:pPr>
              <w:spacing w:after="40" w:before="0" w:line="259" w:lineRule="auto"/>
            </w:pPr>
            <w:r>
              <w:rPr>
                <w:rFonts w:ascii="Calibri" w:hAnsi="Calibri"/>
                <w:b w:val="0"/>
                <w:i w:val="0"/>
                <w:color w:val="212121"/>
                <w:sz w:val="19"/>
              </w:rPr>
              <w:t>&gt; 1 hour/day of squatting/kneeling</w:t>
            </w:r>
          </w:p>
        </w:tc>
        <w:tc>
          <w:tcPr>
            <w:tcW w:type="dxa" w:w="1468"/>
            <w:vAlign w:val="top"/>
          </w:tcPr>
          <w:p>
            <w:pPr>
              <w:spacing w:after="60" w:line="259" w:lineRule="auto"/>
            </w:pPr>
            <w:r>
              <w:rPr>
                <w:rFonts w:ascii="Calibri" w:hAnsi="Calibri"/>
                <w:b w:val="0"/>
                <w:i w:val="0"/>
                <w:color w:val="212121"/>
                <w:sz w:val="19"/>
              </w:rPr>
              <w:t>Prolonged squatting/kneeling raises knee-OA odds roughly two- to seven-fold.</w:t>
            </w:r>
          </w:p>
          <w:p>
            <w:pPr>
              <w:spacing w:after="40" w:line="252" w:lineRule="auto"/>
            </w:pPr>
            <w:hyperlink r:id="rId11">
              <w:r>
                <w:rPr>
                  <w:rFonts w:ascii="Calibri" w:hAnsi="Calibri" w:cs="Calibri"/>
                  <w:sz w:val="18"/>
                  <w:color w:val="1155CC"/>
                  <w:u w:val="single"/>
                </w:rPr>
                <w:t xml:space="preserve">https://academic.oup.com/joh/article/62/1/e12103/7250011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Prior joint injury history</w:t>
            </w:r>
          </w:p>
        </w:tc>
        <w:tc>
          <w:tcPr>
            <w:tcW w:type="dxa" w:w="1655"/>
            <w:vAlign w:val="top"/>
          </w:tcPr>
          <w:p>
            <w:pPr>
              <w:spacing w:after="40" w:before="0" w:line="259" w:lineRule="auto"/>
            </w:pPr>
            <w:r>
              <w:rPr>
                <w:rFonts w:ascii="Calibri" w:hAnsi="Calibri"/>
                <w:b w:val="0"/>
                <w:i w:val="0"/>
                <w:color w:val="212121"/>
                <w:sz w:val="19"/>
              </w:rPr>
              <w:t>Athletes, post-trauma, manual workers</w:t>
            </w:r>
          </w:p>
        </w:tc>
        <w:tc>
          <w:tcPr>
            <w:tcW w:type="dxa" w:w="1512"/>
            <w:vAlign w:val="top"/>
          </w:tcPr>
          <w:p>
            <w:pPr>
              <w:spacing w:after="40" w:before="0" w:line="259" w:lineRule="auto"/>
            </w:pPr>
            <w:r>
              <w:rPr>
                <w:rFonts w:ascii="Calibri" w:hAnsi="Calibri"/>
                <w:b w:val="0"/>
                <w:i w:val="0"/>
                <w:color w:val="212121"/>
                <w:sz w:val="19"/>
              </w:rPr>
              <w:t>No significant joint injury</w:t>
            </w:r>
          </w:p>
        </w:tc>
        <w:tc>
          <w:tcPr>
            <w:tcW w:type="dxa" w:w="1512"/>
            <w:vAlign w:val="top"/>
          </w:tcPr>
          <w:p>
            <w:pPr>
              <w:spacing w:after="40" w:before="0" w:line="259" w:lineRule="auto"/>
            </w:pPr>
            <w:r>
              <w:rPr>
                <w:rFonts w:ascii="Calibri" w:hAnsi="Calibri"/>
                <w:b w:val="0"/>
                <w:i w:val="0"/>
                <w:color w:val="212121"/>
                <w:sz w:val="19"/>
              </w:rPr>
              <w:t>Previous ACL/meniscal tear or intra-articular fracture</w:t>
            </w:r>
          </w:p>
        </w:tc>
        <w:tc>
          <w:tcPr>
            <w:tcW w:type="dxa" w:w="1468"/>
            <w:vAlign w:val="top"/>
          </w:tcPr>
          <w:p>
            <w:pPr>
              <w:spacing w:after="60" w:line="259" w:lineRule="auto"/>
            </w:pPr>
            <w:r>
              <w:rPr>
                <w:rFonts w:ascii="Calibri" w:hAnsi="Calibri"/>
                <w:b w:val="0"/>
                <w:i w:val="0"/>
                <w:color w:val="212121"/>
                <w:sz w:val="19"/>
              </w:rPr>
              <w:t>Prior injury roughly triples OA risk (OR ~2.83) and causes early post-traumatic OA.</w:t>
            </w:r>
          </w:p>
          <w:p>
            <w:pPr>
              <w:spacing w:after="40" w:line="252" w:lineRule="auto"/>
            </w:pPr>
            <w:hyperlink r:id="rId11">
              <w:r>
                <w:rPr>
                  <w:rFonts w:ascii="Calibri" w:hAnsi="Calibri" w:cs="Calibri"/>
                  <w:sz w:val="18"/>
                  <w:color w:val="1155CC"/>
                  <w:u w:val="single"/>
                </w:rPr>
                <w:t xml:space="preserve">https://academic.oup.com/joh/article/62/1/e12103/7250011</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Knee alignment (mechanical axis)</w:t>
            </w:r>
          </w:p>
        </w:tc>
        <w:tc>
          <w:tcPr>
            <w:tcW w:type="dxa" w:w="1655"/>
            <w:vAlign w:val="top"/>
          </w:tcPr>
          <w:p>
            <w:pPr>
              <w:spacing w:after="40" w:before="0" w:line="259" w:lineRule="auto"/>
            </w:pPr>
            <w:r>
              <w:rPr>
                <w:rFonts w:ascii="Calibri" w:hAnsi="Calibri"/>
                <w:b w:val="0"/>
                <w:i w:val="0"/>
                <w:color w:val="212121"/>
                <w:sz w:val="19"/>
              </w:rPr>
              <w:t>Knee-OA patients</w:t>
            </w:r>
          </w:p>
        </w:tc>
        <w:tc>
          <w:tcPr>
            <w:tcW w:type="dxa" w:w="1512"/>
            <w:vAlign w:val="top"/>
          </w:tcPr>
          <w:p>
            <w:pPr>
              <w:spacing w:after="40" w:before="0" w:line="259" w:lineRule="auto"/>
            </w:pPr>
            <w:r>
              <w:rPr>
                <w:rFonts w:ascii="Calibri" w:hAnsi="Calibri"/>
                <w:b w:val="0"/>
                <w:i w:val="0"/>
                <w:color w:val="212121"/>
                <w:sz w:val="19"/>
              </w:rPr>
              <w:t>Neutral alignment</w:t>
            </w:r>
          </w:p>
        </w:tc>
        <w:tc>
          <w:tcPr>
            <w:tcW w:type="dxa" w:w="1512"/>
            <w:vAlign w:val="top"/>
          </w:tcPr>
          <w:p>
            <w:pPr>
              <w:spacing w:after="40" w:before="0" w:line="259" w:lineRule="auto"/>
            </w:pPr>
            <w:r>
              <w:rPr>
                <w:rFonts w:ascii="Calibri" w:hAnsi="Calibri"/>
                <w:b w:val="0"/>
                <w:i w:val="0"/>
                <w:color w:val="212121"/>
                <w:sz w:val="19"/>
              </w:rPr>
              <w:t>Varus (bow-leg) or valgus (knock-knee) malalignment</w:t>
            </w:r>
          </w:p>
        </w:tc>
        <w:tc>
          <w:tcPr>
            <w:tcW w:type="dxa" w:w="1468"/>
            <w:vAlign w:val="top"/>
          </w:tcPr>
          <w:p>
            <w:pPr>
              <w:spacing w:after="40" w:before="0" w:line="259" w:lineRule="auto"/>
            </w:pPr>
            <w:r>
              <w:rPr>
                <w:rFonts w:ascii="Calibri" w:hAnsi="Calibri"/>
                <w:b w:val="0"/>
                <w:i w:val="0"/>
                <w:color w:val="212121"/>
                <w:sz w:val="19"/>
              </w:rPr>
              <w:t>Malalignment concentrates compartmental load and accelerates knee-OA progression.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Weight-bearing knee/hip radiograph (Kellgren–Lawrence grade)</w:t>
            </w:r>
          </w:p>
        </w:tc>
        <w:tc>
          <w:tcPr>
            <w:tcW w:type="dxa" w:w="892"/>
            <w:vAlign w:val="top"/>
          </w:tcPr>
          <w:p>
            <w:pPr>
              <w:spacing w:after="40" w:before="0" w:line="259" w:lineRule="auto"/>
            </w:pPr>
            <w:r>
              <w:rPr>
                <w:rFonts w:ascii="Calibri" w:hAnsi="Calibri"/>
                <w:b w:val="0"/>
                <w:i w:val="0"/>
                <w:color w:val="212121"/>
                <w:sz w:val="16"/>
              </w:rPr>
              <w:t>Plain X-ray</w:t>
            </w:r>
          </w:p>
        </w:tc>
        <w:tc>
          <w:tcPr>
            <w:tcW w:type="dxa" w:w="950"/>
            <w:vAlign w:val="top"/>
          </w:tcPr>
          <w:p>
            <w:pPr>
              <w:spacing w:after="40" w:before="0" w:line="259" w:lineRule="auto"/>
            </w:pPr>
            <w:r>
              <w:rPr>
                <w:rFonts w:ascii="Calibri" w:hAnsi="Calibri"/>
                <w:b w:val="0"/>
                <w:i w:val="0"/>
                <w:color w:val="212121"/>
                <w:sz w:val="16"/>
              </w:rPr>
              <w:t>KL grade 0 (no features)</w:t>
            </w:r>
          </w:p>
        </w:tc>
        <w:tc>
          <w:tcPr>
            <w:tcW w:type="dxa" w:w="950"/>
            <w:vAlign w:val="top"/>
          </w:tcPr>
          <w:p>
            <w:pPr>
              <w:spacing w:after="40" w:before="0" w:line="259" w:lineRule="auto"/>
            </w:pPr>
            <w:r>
              <w:rPr>
                <w:rFonts w:ascii="Calibri" w:hAnsi="Calibri"/>
                <w:b w:val="0"/>
                <w:i w:val="0"/>
                <w:color w:val="212121"/>
                <w:sz w:val="16"/>
              </w:rPr>
              <w:t>KL grade ≥ 2 (definite osteophyte + joint-space narrowing)</w:t>
            </w:r>
          </w:p>
        </w:tc>
        <w:tc>
          <w:tcPr>
            <w:tcW w:type="dxa" w:w="1036"/>
            <w:vAlign w:val="top"/>
          </w:tcPr>
          <w:p>
            <w:pPr>
              <w:spacing w:after="40" w:before="0" w:line="259" w:lineRule="auto"/>
            </w:pPr>
            <w:r>
              <w:rPr>
                <w:rFonts w:ascii="Calibri" w:hAnsi="Calibri"/>
                <w:b w:val="0"/>
                <w:i w:val="0"/>
                <w:color w:val="212121"/>
                <w:sz w:val="16"/>
              </w:rPr>
              <w:t>Confirms and grades OA — joint-space narrowing, osteophytes, subchondral sclerosis and cysts; severity may correlate poorly with symptoms</w:t>
            </w:r>
          </w:p>
        </w:tc>
        <w:tc>
          <w:tcPr>
            <w:tcW w:type="dxa" w:w="1036"/>
            <w:vAlign w:val="top"/>
          </w:tcPr>
          <w:p>
            <w:pPr>
              <w:spacing w:after="40" w:before="0" w:line="259" w:lineRule="auto"/>
            </w:pPr>
            <w:r>
              <w:rPr>
                <w:rFonts w:ascii="Calibri" w:hAnsi="Calibri"/>
                <w:b w:val="0"/>
                <w:i w:val="0"/>
                <w:color w:val="212121"/>
                <w:sz w:val="16"/>
              </w:rPr>
              <w:t>Adults/elderly with mechanical joint pain, suspected knee/hip OA</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First-line / grading</w:t>
            </w:r>
          </w:p>
        </w:tc>
        <w:tc>
          <w:tcPr>
            <w:tcW w:type="dxa" w:w="720"/>
            <w:vAlign w:val="top"/>
          </w:tcPr>
          <w:p>
            <w:pPr>
              <w:spacing w:after="40" w:before="0" w:line="259" w:lineRule="auto"/>
            </w:pPr>
            <w:r>
              <w:rPr>
                <w:rFonts w:ascii="Calibri" w:hAnsi="Calibri"/>
                <w:b w:val="0"/>
                <w:i w:val="0"/>
                <w:color w:val="212121"/>
                <w:sz w:val="16"/>
              </w:rPr>
              <w:t>Use weight-bearing views for knees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ESR &amp; C-reactive protein (CRP)</w:t>
            </w:r>
          </w:p>
        </w:tc>
        <w:tc>
          <w:tcPr>
            <w:tcW w:type="dxa" w:w="892"/>
            <w:vAlign w:val="top"/>
          </w:tcPr>
          <w:p>
            <w:pPr>
              <w:spacing w:after="40" w:before="0" w:line="259" w:lineRule="auto"/>
            </w:pPr>
            <w:r>
              <w:rPr>
                <w:rFonts w:ascii="Calibri" w:hAnsi="Calibri"/>
                <w:b w:val="0"/>
                <w:i w:val="0"/>
                <w:color w:val="212121"/>
                <w:sz w:val="16"/>
              </w:rPr>
              <w:t>Acute-phase reactants</w:t>
            </w:r>
          </w:p>
        </w:tc>
        <w:tc>
          <w:tcPr>
            <w:tcW w:type="dxa" w:w="950"/>
            <w:vAlign w:val="top"/>
          </w:tcPr>
          <w:p>
            <w:pPr>
              <w:spacing w:after="40" w:before="0" w:line="259" w:lineRule="auto"/>
            </w:pPr>
            <w:r>
              <w:rPr>
                <w:rFonts w:ascii="Calibri" w:hAnsi="Calibri"/>
                <w:b w:val="0"/>
                <w:i w:val="0"/>
                <w:color w:val="212121"/>
                <w:sz w:val="16"/>
              </w:rPr>
              <w:t>Normal or only mildly raised</w:t>
            </w:r>
          </w:p>
        </w:tc>
        <w:tc>
          <w:tcPr>
            <w:tcW w:type="dxa" w:w="950"/>
            <w:vAlign w:val="top"/>
          </w:tcPr>
          <w:p>
            <w:pPr>
              <w:spacing w:after="40" w:before="0" w:line="259" w:lineRule="auto"/>
            </w:pPr>
            <w:r>
              <w:rPr>
                <w:rFonts w:ascii="Calibri" w:hAnsi="Calibri"/>
                <w:b w:val="0"/>
                <w:i w:val="0"/>
                <w:color w:val="212121"/>
                <w:sz w:val="16"/>
              </w:rPr>
              <w:t>Markedly elevated</w:t>
            </w:r>
          </w:p>
        </w:tc>
        <w:tc>
          <w:tcPr>
            <w:tcW w:type="dxa" w:w="1036"/>
            <w:vAlign w:val="top"/>
          </w:tcPr>
          <w:p>
            <w:pPr>
              <w:spacing w:after="40" w:before="0" w:line="259" w:lineRule="auto"/>
            </w:pPr>
            <w:r>
              <w:rPr>
                <w:rFonts w:ascii="Calibri" w:hAnsi="Calibri"/>
                <w:b w:val="0"/>
                <w:i w:val="0"/>
                <w:color w:val="212121"/>
                <w:sz w:val="16"/>
              </w:rPr>
              <w:t>Normal/near-normal supports OA; marked elevation suggests inflammatory arthritis, infection or another cause</w:t>
            </w:r>
          </w:p>
        </w:tc>
        <w:tc>
          <w:tcPr>
            <w:tcW w:type="dxa" w:w="1036"/>
            <w:vAlign w:val="top"/>
          </w:tcPr>
          <w:p>
            <w:pPr>
              <w:spacing w:after="40" w:before="0" w:line="259" w:lineRule="auto"/>
            </w:pPr>
            <w:r>
              <w:rPr>
                <w:rFonts w:ascii="Calibri" w:hAnsi="Calibri"/>
                <w:b w:val="0"/>
                <w:i w:val="0"/>
                <w:color w:val="212121"/>
                <w:sz w:val="16"/>
              </w:rPr>
              <w:t>Patients where inflammatory arthritis must be excluded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OA is a non-inflammatory arthropathy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Rheumatoid factor &amp; anti-CCP antibody</w:t>
            </w:r>
          </w:p>
        </w:tc>
        <w:tc>
          <w:tcPr>
            <w:tcW w:type="dxa" w:w="892"/>
            <w:vAlign w:val="top"/>
          </w:tcPr>
          <w:p>
            <w:pPr>
              <w:spacing w:after="40" w:before="0" w:line="259" w:lineRule="auto"/>
            </w:pPr>
            <w:r>
              <w:rPr>
                <w:rFonts w:ascii="Calibri" w:hAnsi="Calibri"/>
                <w:b w:val="0"/>
                <w:i w:val="0"/>
                <w:color w:val="212121"/>
                <w:sz w:val="16"/>
              </w:rPr>
              <w:t>RA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Positive results point to rheumatoid arthritis rather than primary OA</w:t>
            </w:r>
          </w:p>
        </w:tc>
        <w:tc>
          <w:tcPr>
            <w:tcW w:type="dxa" w:w="1036"/>
            <w:vAlign w:val="top"/>
          </w:tcPr>
          <w:p>
            <w:pPr>
              <w:spacing w:after="40" w:before="0" w:line="259" w:lineRule="auto"/>
            </w:pPr>
            <w:r>
              <w:rPr>
                <w:rFonts w:ascii="Calibri" w:hAnsi="Calibri"/>
                <w:b w:val="0"/>
                <w:i w:val="0"/>
                <w:color w:val="212121"/>
                <w:sz w:val="16"/>
              </w:rPr>
              <w:t>Polyarticular or inflammatory-pattern joint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Helps distinguish OA from RA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uric acid</w:t>
            </w:r>
          </w:p>
        </w:tc>
        <w:tc>
          <w:tcPr>
            <w:tcW w:type="dxa" w:w="892"/>
            <w:vAlign w:val="top"/>
          </w:tcPr>
          <w:p>
            <w:pPr>
              <w:spacing w:after="40" w:before="0" w:line="259" w:lineRule="auto"/>
            </w:pPr>
            <w:r>
              <w:rPr>
                <w:rFonts w:ascii="Calibri" w:hAnsi="Calibri"/>
                <w:b w:val="0"/>
                <w:i w:val="0"/>
                <w:color w:val="212121"/>
                <w:sz w:val="16"/>
              </w:rPr>
              <w:t>Urate level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 (hyperuricaemia)</w:t>
            </w:r>
          </w:p>
        </w:tc>
        <w:tc>
          <w:tcPr>
            <w:tcW w:type="dxa" w:w="1036"/>
            <w:vAlign w:val="top"/>
          </w:tcPr>
          <w:p>
            <w:pPr>
              <w:spacing w:after="40" w:before="0" w:line="259" w:lineRule="auto"/>
            </w:pPr>
            <w:r>
              <w:rPr>
                <w:rFonts w:ascii="Calibri" w:hAnsi="Calibri"/>
                <w:b w:val="0"/>
                <w:i w:val="0"/>
                <w:color w:val="212121"/>
                <w:sz w:val="16"/>
              </w:rPr>
              <w:t>Excludes gout/crystal arthropathy as a cause of joint pain or secondary OA</w:t>
            </w:r>
          </w:p>
        </w:tc>
        <w:tc>
          <w:tcPr>
            <w:tcW w:type="dxa" w:w="1036"/>
            <w:vAlign w:val="top"/>
          </w:tcPr>
          <w:p>
            <w:pPr>
              <w:spacing w:after="40" w:before="0" w:line="259" w:lineRule="auto"/>
            </w:pPr>
            <w:r>
              <w:rPr>
                <w:rFonts w:ascii="Calibri" w:hAnsi="Calibri"/>
                <w:b w:val="0"/>
                <w:i w:val="0"/>
                <w:color w:val="212121"/>
                <w:sz w:val="16"/>
              </w:rPr>
              <w:t>Acute monoarthritis, suspected gout</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Interpret with clinical picture; may be normal in acute gout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Synovial fluid analysis</w:t>
            </w:r>
          </w:p>
        </w:tc>
        <w:tc>
          <w:tcPr>
            <w:tcW w:type="dxa" w:w="1036"/>
            <w:vAlign w:val="top"/>
          </w:tcPr>
          <w:p>
            <w:pPr>
              <w:spacing w:after="40" w:before="0" w:line="259" w:lineRule="auto"/>
            </w:pPr>
            <w:r>
              <w:rPr>
                <w:rFonts w:ascii="Calibri" w:hAnsi="Calibri"/>
                <w:b w:val="0"/>
                <w:i w:val="0"/>
                <w:color w:val="212121"/>
                <w:sz w:val="16"/>
              </w:rPr>
              <w:t>Joint aspirate (cell count, crystals, culture)</w:t>
            </w:r>
          </w:p>
        </w:tc>
        <w:tc>
          <w:tcPr>
            <w:tcW w:type="dxa" w:w="892"/>
            <w:vAlign w:val="top"/>
          </w:tcPr>
          <w:p>
            <w:pPr>
              <w:spacing w:after="40" w:before="0" w:line="259" w:lineRule="auto"/>
            </w:pPr>
            <w:r>
              <w:rPr>
                <w:rFonts w:ascii="Calibri" w:hAnsi="Calibri"/>
                <w:b w:val="0"/>
                <w:i w:val="0"/>
                <w:color w:val="212121"/>
                <w:sz w:val="16"/>
              </w:rPr>
              <w:t>Arthrocentesis</w:t>
            </w:r>
          </w:p>
        </w:tc>
        <w:tc>
          <w:tcPr>
            <w:tcW w:type="dxa" w:w="950"/>
            <w:vAlign w:val="top"/>
          </w:tcPr>
          <w:p>
            <w:pPr>
              <w:spacing w:after="40" w:before="0" w:line="259" w:lineRule="auto"/>
            </w:pPr>
            <w:r>
              <w:rPr>
                <w:rFonts w:ascii="Calibri" w:hAnsi="Calibri"/>
                <w:b w:val="0"/>
                <w:i w:val="0"/>
                <w:color w:val="212121"/>
                <w:sz w:val="16"/>
              </w:rPr>
              <w:t>Clear, viscous, WBC &lt; 2000/mm³, no crystals</w:t>
            </w:r>
          </w:p>
        </w:tc>
        <w:tc>
          <w:tcPr>
            <w:tcW w:type="dxa" w:w="950"/>
            <w:vAlign w:val="top"/>
          </w:tcPr>
          <w:p>
            <w:pPr>
              <w:spacing w:after="40" w:before="0" w:line="259" w:lineRule="auto"/>
            </w:pPr>
            <w:r>
              <w:rPr>
                <w:rFonts w:ascii="Calibri" w:hAnsi="Calibri"/>
                <w:b w:val="0"/>
                <w:i w:val="0"/>
                <w:color w:val="212121"/>
                <w:sz w:val="16"/>
              </w:rPr>
              <w:t>WBC &gt; 2000/mm³, crystals or positive culture</w:t>
            </w:r>
          </w:p>
        </w:tc>
        <w:tc>
          <w:tcPr>
            <w:tcW w:type="dxa" w:w="1036"/>
            <w:vAlign w:val="top"/>
          </w:tcPr>
          <w:p>
            <w:pPr>
              <w:spacing w:after="40" w:before="0" w:line="259" w:lineRule="auto"/>
            </w:pPr>
            <w:r>
              <w:rPr>
                <w:rFonts w:ascii="Calibri" w:hAnsi="Calibri"/>
                <w:b w:val="0"/>
                <w:i w:val="0"/>
                <w:color w:val="212121"/>
                <w:sz w:val="16"/>
              </w:rPr>
              <w:t>Non-inflammatory fluid supports OA; inflammatory/septic/crystal fluid indicates another diagnosis</w:t>
            </w:r>
          </w:p>
        </w:tc>
        <w:tc>
          <w:tcPr>
            <w:tcW w:type="dxa" w:w="1036"/>
            <w:vAlign w:val="top"/>
          </w:tcPr>
          <w:p>
            <w:pPr>
              <w:spacing w:after="40" w:before="0" w:line="259" w:lineRule="auto"/>
            </w:pPr>
            <w:r>
              <w:rPr>
                <w:rFonts w:ascii="Calibri" w:hAnsi="Calibri"/>
                <w:b w:val="0"/>
                <w:i w:val="0"/>
                <w:color w:val="212121"/>
                <w:sz w:val="16"/>
              </w:rPr>
              <w:t>Patients with a significant or tense effusion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 (selected)</w:t>
            </w:r>
          </w:p>
        </w:tc>
        <w:tc>
          <w:tcPr>
            <w:tcW w:type="dxa" w:w="720"/>
            <w:vAlign w:val="top"/>
          </w:tcPr>
          <w:p>
            <w:pPr>
              <w:spacing w:after="40" w:before="0" w:line="259" w:lineRule="auto"/>
            </w:pPr>
            <w:r>
              <w:rPr>
                <w:rFonts w:ascii="Calibri" w:hAnsi="Calibri"/>
                <w:b w:val="0"/>
                <w:i w:val="0"/>
                <w:color w:val="212121"/>
                <w:sz w:val="16"/>
              </w:rPr>
              <w:t>Aseptic technique essential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 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 (deficiency)</w:t>
            </w:r>
          </w:p>
        </w:tc>
        <w:tc>
          <w:tcPr>
            <w:tcW w:type="dxa" w:w="1036"/>
            <w:vAlign w:val="top"/>
          </w:tcPr>
          <w:p>
            <w:pPr>
              <w:spacing w:after="40" w:before="0" w:line="259" w:lineRule="auto"/>
            </w:pPr>
            <w:r>
              <w:rPr>
                <w:rFonts w:ascii="Calibri" w:hAnsi="Calibri"/>
                <w:b w:val="0"/>
                <w:i w:val="0"/>
                <w:color w:val="212121"/>
                <w:sz w:val="16"/>
              </w:rPr>
              <w:t>Deficiency is common in India and associated with knee OA and its severity; correct if low</w:t>
            </w:r>
          </w:p>
        </w:tc>
        <w:tc>
          <w:tcPr>
            <w:tcW w:type="dxa" w:w="1036"/>
            <w:vAlign w:val="top"/>
          </w:tcPr>
          <w:p>
            <w:pPr>
              <w:spacing w:after="40" w:before="0" w:line="259" w:lineRule="auto"/>
            </w:pPr>
            <w:r>
              <w:rPr>
                <w:rFonts w:ascii="Calibri" w:hAnsi="Calibri"/>
                <w:b w:val="0"/>
                <w:i w:val="0"/>
                <w:color w:val="212121"/>
                <w:sz w:val="16"/>
              </w:rPr>
              <w:t>Elderly, indoor lifestyles, deficient diets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Supports bone and periarticular health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Advanced imaging</w:t>
            </w:r>
          </w:p>
        </w:tc>
        <w:tc>
          <w:tcPr>
            <w:tcW w:type="dxa" w:w="1036"/>
            <w:vAlign w:val="top"/>
          </w:tcPr>
          <w:p>
            <w:pPr>
              <w:spacing w:after="40" w:before="0" w:line="259" w:lineRule="auto"/>
            </w:pPr>
            <w:r>
              <w:rPr>
                <w:rFonts w:ascii="Calibri" w:hAnsi="Calibri"/>
                <w:b w:val="0"/>
                <w:i w:val="0"/>
                <w:color w:val="212121"/>
                <w:sz w:val="16"/>
              </w:rPr>
              <w:t>MRI of the joint</w:t>
            </w:r>
          </w:p>
        </w:tc>
        <w:tc>
          <w:tcPr>
            <w:tcW w:type="dxa" w:w="892"/>
            <w:vAlign w:val="top"/>
          </w:tcPr>
          <w:p>
            <w:pPr>
              <w:spacing w:after="40" w:before="0" w:line="259" w:lineRule="auto"/>
            </w:pPr>
            <w:r>
              <w:rPr>
                <w:rFonts w:ascii="Calibri" w:hAnsi="Calibri"/>
                <w:b w:val="0"/>
                <w:i w:val="0"/>
                <w:color w:val="212121"/>
                <w:sz w:val="16"/>
              </w:rPr>
              <w:t>MRI</w:t>
            </w:r>
          </w:p>
        </w:tc>
        <w:tc>
          <w:tcPr>
            <w:tcW w:type="dxa" w:w="950"/>
            <w:vAlign w:val="top"/>
          </w:tcPr>
          <w:p>
            <w:pPr>
              <w:spacing w:after="40" w:before="0" w:line="259" w:lineRule="auto"/>
            </w:pPr>
            <w:r>
              <w:rPr>
                <w:rFonts w:ascii="Calibri" w:hAnsi="Calibri"/>
                <w:b w:val="0"/>
                <w:i w:val="0"/>
                <w:color w:val="212121"/>
                <w:sz w:val="16"/>
              </w:rPr>
              <w:t>Intact cartilage, menisci and ligaments</w:t>
            </w:r>
          </w:p>
        </w:tc>
        <w:tc>
          <w:tcPr>
            <w:tcW w:type="dxa" w:w="950"/>
            <w:vAlign w:val="top"/>
          </w:tcPr>
          <w:p>
            <w:pPr>
              <w:spacing w:after="40" w:before="0" w:line="259" w:lineRule="auto"/>
            </w:pPr>
            <w:r>
              <w:rPr>
                <w:rFonts w:ascii="Calibri" w:hAnsi="Calibri"/>
                <w:b w:val="0"/>
                <w:i w:val="0"/>
                <w:color w:val="212121"/>
                <w:sz w:val="16"/>
              </w:rPr>
              <w:t>Cartilage loss, meniscal/ligament tears, bone-marrow lesions, effusion</w:t>
            </w:r>
          </w:p>
        </w:tc>
        <w:tc>
          <w:tcPr>
            <w:tcW w:type="dxa" w:w="1036"/>
            <w:vAlign w:val="top"/>
          </w:tcPr>
          <w:p>
            <w:pPr>
              <w:spacing w:after="40" w:before="0" w:line="259" w:lineRule="auto"/>
            </w:pPr>
            <w:r>
              <w:rPr>
                <w:rFonts w:ascii="Calibri" w:hAnsi="Calibri"/>
                <w:b w:val="0"/>
                <w:i w:val="0"/>
                <w:color w:val="212121"/>
                <w:sz w:val="16"/>
              </w:rPr>
              <w:t>Reserved for early/atypical disease, suspected internal derangement or pre-surgical planning — not routine</w:t>
            </w:r>
          </w:p>
        </w:tc>
        <w:tc>
          <w:tcPr>
            <w:tcW w:type="dxa" w:w="1036"/>
            <w:vAlign w:val="top"/>
          </w:tcPr>
          <w:p>
            <w:pPr>
              <w:spacing w:after="40" w:before="0" w:line="259" w:lineRule="auto"/>
            </w:pPr>
            <w:r>
              <w:rPr>
                <w:rFonts w:ascii="Calibri" w:hAnsi="Calibri"/>
                <w:b w:val="0"/>
                <w:i w:val="0"/>
                <w:color w:val="212121"/>
                <w:sz w:val="16"/>
              </w:rPr>
              <w:t>Young/atypical patients, suspected meniscal or ligament injury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required for routine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 panel</w:t>
            </w:r>
          </w:p>
        </w:tc>
        <w:tc>
          <w:tcPr>
            <w:tcW w:type="dxa" w:w="1036"/>
            <w:vAlign w:val="top"/>
          </w:tcPr>
          <w:p>
            <w:pPr>
              <w:spacing w:after="40" w:before="0" w:line="259" w:lineRule="auto"/>
            </w:pPr>
            <w:r>
              <w:rPr>
                <w:rFonts w:ascii="Calibri" w:hAnsi="Calibri"/>
                <w:b w:val="0"/>
                <w:i w:val="0"/>
                <w:color w:val="212121"/>
                <w:sz w:val="16"/>
              </w:rPr>
              <w:t>Fasting glucose &amp; lipid profile</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Hyperglycaemia / dyslipidaemia</w:t>
            </w:r>
          </w:p>
        </w:tc>
        <w:tc>
          <w:tcPr>
            <w:tcW w:type="dxa" w:w="1036"/>
            <w:vAlign w:val="top"/>
          </w:tcPr>
          <w:p>
            <w:pPr>
              <w:spacing w:after="40" w:before="0" w:line="259" w:lineRule="auto"/>
            </w:pPr>
            <w:r>
              <w:rPr>
                <w:rFonts w:ascii="Calibri" w:hAnsi="Calibri"/>
                <w:b w:val="0"/>
                <w:i w:val="0"/>
                <w:color w:val="212121"/>
                <w:sz w:val="16"/>
              </w:rPr>
              <w:t>Screens for the metabolic comorbidities (diabetes, dyslipidaemia, metabolic syndrome) frequently associated with OA</w:t>
            </w:r>
          </w:p>
        </w:tc>
        <w:tc>
          <w:tcPr>
            <w:tcW w:type="dxa" w:w="1036"/>
            <w:vAlign w:val="top"/>
          </w:tcPr>
          <w:p>
            <w:pPr>
              <w:spacing w:after="40" w:before="0" w:line="259" w:lineRule="auto"/>
            </w:pPr>
            <w:r>
              <w:rPr>
                <w:rFonts w:ascii="Calibri" w:hAnsi="Calibri"/>
                <w:b w:val="0"/>
                <w:i w:val="0"/>
                <w:color w:val="212121"/>
                <w:sz w:val="16"/>
              </w:rPr>
              <w:t>Obese/metabolic-phenotype OA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Guides holistic risk-factor management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Pain characteristics</w:t>
            </w:r>
          </w:p>
        </w:tc>
        <w:tc>
          <w:tcPr>
            <w:tcW w:type="dxa" w:w="979"/>
            <w:vAlign w:val="top"/>
          </w:tcPr>
          <w:p>
            <w:pPr>
              <w:spacing w:after="40" w:before="0" w:line="259" w:lineRule="auto"/>
            </w:pPr>
            <w:r>
              <w:rPr>
                <w:rFonts w:ascii="Calibri" w:hAnsi="Calibri"/>
                <w:b w:val="0"/>
                <w:i w:val="0"/>
                <w:color w:val="212121"/>
                <w:sz w:val="16"/>
              </w:rPr>
              <w:t>Mechanical, activity-related pain, worse with use and at day's end, relieved by rest</w:t>
            </w:r>
          </w:p>
        </w:tc>
        <w:tc>
          <w:tcPr>
            <w:tcW w:type="dxa" w:w="950"/>
            <w:vAlign w:val="top"/>
          </w:tcPr>
          <w:p>
            <w:pPr>
              <w:spacing w:after="40" w:before="0" w:line="259" w:lineRule="auto"/>
            </w:pPr>
            <w:r>
              <w:rPr>
                <w:rFonts w:ascii="Calibri" w:hAnsi="Calibri"/>
                <w:b w:val="0"/>
                <w:i w:val="0"/>
                <w:color w:val="212121"/>
                <w:sz w:val="16"/>
              </w:rPr>
              <w:t>No joint pain</w:t>
            </w:r>
          </w:p>
        </w:tc>
        <w:tc>
          <w:tcPr>
            <w:tcW w:type="dxa" w:w="950"/>
            <w:vAlign w:val="top"/>
          </w:tcPr>
          <w:p>
            <w:pPr>
              <w:spacing w:after="40" w:before="0" w:line="259" w:lineRule="auto"/>
            </w:pPr>
            <w:r>
              <w:rPr>
                <w:rFonts w:ascii="Calibri" w:hAnsi="Calibri"/>
                <w:b w:val="0"/>
                <w:i w:val="0"/>
                <w:color w:val="212121"/>
                <w:sz w:val="16"/>
              </w:rPr>
              <w:t>Typical mechanical OA pain pattern</w:t>
            </w:r>
          </w:p>
        </w:tc>
        <w:tc>
          <w:tcPr>
            <w:tcW w:type="dxa" w:w="1036"/>
            <w:vAlign w:val="top"/>
          </w:tcPr>
          <w:p>
            <w:pPr>
              <w:spacing w:after="40" w:before="0" w:line="259" w:lineRule="auto"/>
            </w:pPr>
            <w:r>
              <w:rPr>
                <w:rFonts w:ascii="Calibri" w:hAnsi="Calibri"/>
                <w:b w:val="0"/>
                <w:i w:val="0"/>
                <w:color w:val="212121"/>
                <w:sz w:val="16"/>
              </w:rPr>
              <w:t>Establishes the characteristic mechanical pain of OA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Night/rest pain suggests advanced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Morning stiffness &amp; gelling</w:t>
            </w:r>
          </w:p>
        </w:tc>
        <w:tc>
          <w:tcPr>
            <w:tcW w:type="dxa" w:w="979"/>
            <w:vAlign w:val="top"/>
          </w:tcPr>
          <w:p>
            <w:pPr>
              <w:spacing w:after="40" w:before="0" w:line="259" w:lineRule="auto"/>
            </w:pPr>
            <w:r>
              <w:rPr>
                <w:rFonts w:ascii="Calibri" w:hAnsi="Calibri"/>
                <w:b w:val="0"/>
                <w:i w:val="0"/>
                <w:color w:val="212121"/>
                <w:sz w:val="16"/>
              </w:rPr>
              <w:t>Duration of early-morning stiffness and stiffening after inactivity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Stiffness ≤ 30 minutes / gelling after rest</w:t>
            </w:r>
          </w:p>
        </w:tc>
        <w:tc>
          <w:tcPr>
            <w:tcW w:type="dxa" w:w="1036"/>
            <w:vAlign w:val="top"/>
          </w:tcPr>
          <w:p>
            <w:pPr>
              <w:spacing w:after="40" w:before="0" w:line="259" w:lineRule="auto"/>
            </w:pPr>
            <w:r>
              <w:rPr>
                <w:rFonts w:ascii="Calibri" w:hAnsi="Calibri"/>
                <w:b w:val="0"/>
                <w:i w:val="0"/>
                <w:color w:val="212121"/>
                <w:sz w:val="16"/>
              </w:rPr>
              <w:t>Short-lived stiffness (&lt; 30 min) supports OA; prolonged stiffness suggests inflammatory arthritis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ACR criterion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injury &amp; functional history</w:t>
            </w:r>
          </w:p>
        </w:tc>
        <w:tc>
          <w:tcPr>
            <w:tcW w:type="dxa" w:w="979"/>
            <w:vAlign w:val="top"/>
          </w:tcPr>
          <w:p>
            <w:pPr>
              <w:spacing w:after="40" w:before="0" w:line="259" w:lineRule="auto"/>
            </w:pPr>
            <w:r>
              <w:rPr>
                <w:rFonts w:ascii="Calibri" w:hAnsi="Calibri"/>
                <w:b w:val="0"/>
                <w:i w:val="0"/>
                <w:color w:val="212121"/>
                <w:sz w:val="16"/>
              </w:rPr>
              <w:t>Kneeling/squatting/lifting exposure, prior joint injury, walking distance, stairs, squatting ability</w:t>
            </w:r>
          </w:p>
        </w:tc>
        <w:tc>
          <w:tcPr>
            <w:tcW w:type="dxa" w:w="950"/>
            <w:vAlign w:val="top"/>
          </w:tcPr>
          <w:p>
            <w:pPr>
              <w:spacing w:after="40" w:before="0" w:line="259" w:lineRule="auto"/>
            </w:pPr>
            <w:r>
              <w:rPr>
                <w:rFonts w:ascii="Calibri" w:hAnsi="Calibri"/>
                <w:b w:val="0"/>
                <w:i w:val="0"/>
                <w:color w:val="212121"/>
                <w:sz w:val="16"/>
              </w:rPr>
              <w:t>No mechanical risk or functional limitation</w:t>
            </w:r>
          </w:p>
        </w:tc>
        <w:tc>
          <w:tcPr>
            <w:tcW w:type="dxa" w:w="950"/>
            <w:vAlign w:val="top"/>
          </w:tcPr>
          <w:p>
            <w:pPr>
              <w:spacing w:after="40" w:before="0" w:line="259" w:lineRule="auto"/>
            </w:pPr>
            <w:r>
              <w:rPr>
                <w:rFonts w:ascii="Calibri" w:hAnsi="Calibri"/>
                <w:b w:val="0"/>
                <w:i w:val="0"/>
                <w:color w:val="212121"/>
                <w:sz w:val="16"/>
              </w:rPr>
              <w:t>Heavy loading exposure, prior injury, functional loss</w:t>
            </w:r>
          </w:p>
        </w:tc>
        <w:tc>
          <w:tcPr>
            <w:tcW w:type="dxa" w:w="1036"/>
            <w:vAlign w:val="top"/>
          </w:tcPr>
          <w:p>
            <w:pPr>
              <w:spacing w:after="40" w:before="0" w:line="259" w:lineRule="auto"/>
            </w:pPr>
            <w:r>
              <w:rPr>
                <w:rFonts w:ascii="Calibri" w:hAnsi="Calibri"/>
                <w:b w:val="0"/>
                <w:i w:val="0"/>
                <w:color w:val="212121"/>
                <w:sz w:val="16"/>
              </w:rPr>
              <w:t>Identifies mechanical drivers and quantifies disability (e.g. WOMAC)</w:t>
            </w:r>
          </w:p>
        </w:tc>
        <w:tc>
          <w:tcPr>
            <w:tcW w:type="dxa" w:w="1036"/>
            <w:vAlign w:val="top"/>
          </w:tcPr>
          <w:p>
            <w:pPr>
              <w:spacing w:after="40" w:before="0" w:line="259" w:lineRule="auto"/>
            </w:pPr>
            <w:r>
              <w:rPr>
                <w:rFonts w:ascii="Calibri" w:hAnsi="Calibri"/>
                <w:b w:val="0"/>
                <w:i w:val="0"/>
                <w:color w:val="212121"/>
                <w:sz w:val="16"/>
              </w:rPr>
              <w:t>Manual workers, athletes, elderly</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Management-defining</w:t>
            </w:r>
          </w:p>
        </w:tc>
        <w:tc>
          <w:tcPr>
            <w:tcW w:type="dxa" w:w="720"/>
            <w:vAlign w:val="top"/>
          </w:tcPr>
          <w:p>
            <w:pPr>
              <w:spacing w:after="40" w:before="0" w:line="259" w:lineRule="auto"/>
            </w:pPr>
            <w:r>
              <w:rPr>
                <w:rFonts w:ascii="Calibri" w:hAnsi="Calibri"/>
                <w:b w:val="0"/>
                <w:i w:val="0"/>
                <w:color w:val="212121"/>
                <w:sz w:val="16"/>
              </w:rPr>
              <w:t>Guides load modification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Joint inspection &amp; palpation</w:t>
            </w:r>
          </w:p>
        </w:tc>
        <w:tc>
          <w:tcPr>
            <w:tcW w:type="dxa" w:w="979"/>
            <w:vAlign w:val="top"/>
          </w:tcPr>
          <w:p>
            <w:pPr>
              <w:spacing w:after="40" w:before="0" w:line="259" w:lineRule="auto"/>
            </w:pPr>
            <w:r>
              <w:rPr>
                <w:rFonts w:ascii="Calibri" w:hAnsi="Calibri"/>
                <w:b w:val="0"/>
                <w:i w:val="0"/>
                <w:color w:val="212121"/>
                <w:sz w:val="16"/>
              </w:rPr>
              <w:t>Bony enlargement, crepitus, cool effusion, joint-line tenderness, warmth</w:t>
            </w:r>
          </w:p>
        </w:tc>
        <w:tc>
          <w:tcPr>
            <w:tcW w:type="dxa" w:w="950"/>
            <w:vAlign w:val="top"/>
          </w:tcPr>
          <w:p>
            <w:pPr>
              <w:spacing w:after="40" w:before="0" w:line="259" w:lineRule="auto"/>
            </w:pPr>
            <w:r>
              <w:rPr>
                <w:rFonts w:ascii="Calibri" w:hAnsi="Calibri"/>
                <w:b w:val="0"/>
                <w:i w:val="0"/>
                <w:color w:val="212121"/>
                <w:sz w:val="16"/>
              </w:rPr>
              <w:t>Normal joint</w:t>
            </w:r>
          </w:p>
        </w:tc>
        <w:tc>
          <w:tcPr>
            <w:tcW w:type="dxa" w:w="950"/>
            <w:vAlign w:val="top"/>
          </w:tcPr>
          <w:p>
            <w:pPr>
              <w:spacing w:after="40" w:before="0" w:line="259" w:lineRule="auto"/>
            </w:pPr>
            <w:r>
              <w:rPr>
                <w:rFonts w:ascii="Calibri" w:hAnsi="Calibri"/>
                <w:b w:val="0"/>
                <w:i w:val="0"/>
                <w:color w:val="212121"/>
                <w:sz w:val="16"/>
              </w:rPr>
              <w:t>Bony enlargement, crepitus, non-warm effusion, tenderness</w:t>
            </w:r>
          </w:p>
        </w:tc>
        <w:tc>
          <w:tcPr>
            <w:tcW w:type="dxa" w:w="1036"/>
            <w:vAlign w:val="top"/>
          </w:tcPr>
          <w:p>
            <w:pPr>
              <w:spacing w:after="40" w:before="0" w:line="259" w:lineRule="auto"/>
            </w:pPr>
            <w:r>
              <w:rPr>
                <w:rFonts w:ascii="Calibri" w:hAnsi="Calibri"/>
                <w:b w:val="0"/>
                <w:i w:val="0"/>
                <w:color w:val="212121"/>
                <w:sz w:val="16"/>
              </w:rPr>
              <w:t>Detects the hallmark non-inflammatory signs of OA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Palpable warmth suggests inflammatory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Range of motion &amp; deformity</w:t>
            </w:r>
          </w:p>
        </w:tc>
        <w:tc>
          <w:tcPr>
            <w:tcW w:type="dxa" w:w="979"/>
            <w:vAlign w:val="top"/>
          </w:tcPr>
          <w:p>
            <w:pPr>
              <w:spacing w:after="40" w:before="0" w:line="259" w:lineRule="auto"/>
            </w:pPr>
            <w:r>
              <w:rPr>
                <w:rFonts w:ascii="Calibri" w:hAnsi="Calibri"/>
                <w:b w:val="0"/>
                <w:i w:val="0"/>
                <w:color w:val="212121"/>
                <w:sz w:val="16"/>
              </w:rPr>
              <w:t>Active/passive ROM, fixed flexion, varus/valgus alignment</w:t>
            </w:r>
          </w:p>
        </w:tc>
        <w:tc>
          <w:tcPr>
            <w:tcW w:type="dxa" w:w="950"/>
            <w:vAlign w:val="top"/>
          </w:tcPr>
          <w:p>
            <w:pPr>
              <w:spacing w:after="40" w:before="0" w:line="259" w:lineRule="auto"/>
            </w:pPr>
            <w:r>
              <w:rPr>
                <w:rFonts w:ascii="Calibri" w:hAnsi="Calibri"/>
                <w:b w:val="0"/>
                <w:i w:val="0"/>
                <w:color w:val="212121"/>
                <w:sz w:val="16"/>
              </w:rPr>
              <w:t>Full, painless ROM; neutral alignment</w:t>
            </w:r>
          </w:p>
        </w:tc>
        <w:tc>
          <w:tcPr>
            <w:tcW w:type="dxa" w:w="950"/>
            <w:vAlign w:val="top"/>
          </w:tcPr>
          <w:p>
            <w:pPr>
              <w:spacing w:after="40" w:before="0" w:line="259" w:lineRule="auto"/>
            </w:pPr>
            <w:r>
              <w:rPr>
                <w:rFonts w:ascii="Calibri" w:hAnsi="Calibri"/>
                <w:b w:val="0"/>
                <w:i w:val="0"/>
                <w:color w:val="212121"/>
                <w:sz w:val="16"/>
              </w:rPr>
              <w:t>Restricted/painful ROM, fixed flexion, malalignment</w:t>
            </w:r>
          </w:p>
        </w:tc>
        <w:tc>
          <w:tcPr>
            <w:tcW w:type="dxa" w:w="1036"/>
            <w:vAlign w:val="top"/>
          </w:tcPr>
          <w:p>
            <w:pPr>
              <w:spacing w:after="40" w:before="0" w:line="259" w:lineRule="auto"/>
            </w:pPr>
            <w:r>
              <w:rPr>
                <w:rFonts w:ascii="Calibri" w:hAnsi="Calibri"/>
                <w:b w:val="0"/>
                <w:i w:val="0"/>
                <w:color w:val="212121"/>
                <w:sz w:val="16"/>
              </w:rPr>
              <w:t>Grades severity and identifies malalignment driving progression</w:t>
            </w:r>
          </w:p>
        </w:tc>
        <w:tc>
          <w:tcPr>
            <w:tcW w:type="dxa" w:w="1036"/>
            <w:vAlign w:val="top"/>
          </w:tcPr>
          <w:p>
            <w:pPr>
              <w:spacing w:after="40" w:before="0" w:line="259" w:lineRule="auto"/>
            </w:pPr>
            <w:r>
              <w:rPr>
                <w:rFonts w:ascii="Calibri" w:hAnsi="Calibri"/>
                <w:b w:val="0"/>
                <w:i w:val="0"/>
                <w:color w:val="212121"/>
                <w:sz w:val="16"/>
              </w:rPr>
              <w:t>Knee/hip-OA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Malalignment predicts compartmental progression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Gait assessment</w:t>
            </w:r>
          </w:p>
        </w:tc>
        <w:tc>
          <w:tcPr>
            <w:tcW w:type="dxa" w:w="979"/>
            <w:vAlign w:val="top"/>
          </w:tcPr>
          <w:p>
            <w:pPr>
              <w:spacing w:after="40" w:before="0" w:line="259" w:lineRule="auto"/>
            </w:pPr>
            <w:r>
              <w:rPr>
                <w:rFonts w:ascii="Calibri" w:hAnsi="Calibri"/>
                <w:b w:val="0"/>
                <w:i w:val="0"/>
                <w:color w:val="212121"/>
                <w:sz w:val="16"/>
              </w:rPr>
              <w:t>Antalgic gait, limp, use of walking aid, balance</w:t>
            </w:r>
          </w:p>
        </w:tc>
        <w:tc>
          <w:tcPr>
            <w:tcW w:type="dxa" w:w="950"/>
            <w:vAlign w:val="top"/>
          </w:tcPr>
          <w:p>
            <w:pPr>
              <w:spacing w:after="40" w:before="0" w:line="259" w:lineRule="auto"/>
            </w:pPr>
            <w:r>
              <w:rPr>
                <w:rFonts w:ascii="Calibri" w:hAnsi="Calibri"/>
                <w:b w:val="0"/>
                <w:i w:val="0"/>
                <w:color w:val="212121"/>
                <w:sz w:val="16"/>
              </w:rPr>
              <w:t>Normal gait</w:t>
            </w:r>
          </w:p>
        </w:tc>
        <w:tc>
          <w:tcPr>
            <w:tcW w:type="dxa" w:w="950"/>
            <w:vAlign w:val="top"/>
          </w:tcPr>
          <w:p>
            <w:pPr>
              <w:spacing w:after="40" w:before="0" w:line="259" w:lineRule="auto"/>
            </w:pPr>
            <w:r>
              <w:rPr>
                <w:rFonts w:ascii="Calibri" w:hAnsi="Calibri"/>
                <w:b w:val="0"/>
                <w:i w:val="0"/>
                <w:color w:val="212121"/>
                <w:sz w:val="16"/>
              </w:rPr>
              <w:t>Antalgic gait, instability, aid-dependence</w:t>
            </w:r>
          </w:p>
        </w:tc>
        <w:tc>
          <w:tcPr>
            <w:tcW w:type="dxa" w:w="1036"/>
            <w:vAlign w:val="top"/>
          </w:tcPr>
          <w:p>
            <w:pPr>
              <w:spacing w:after="40" w:before="0" w:line="259" w:lineRule="auto"/>
            </w:pPr>
            <w:r>
              <w:rPr>
                <w:rFonts w:ascii="Calibri" w:hAnsi="Calibri"/>
                <w:b w:val="0"/>
                <w:i w:val="0"/>
                <w:color w:val="212121"/>
                <w:sz w:val="16"/>
              </w:rPr>
              <w:t>Assesses functional impact and falls risk</w:t>
            </w:r>
          </w:p>
        </w:tc>
        <w:tc>
          <w:tcPr>
            <w:tcW w:type="dxa" w:w="1036"/>
            <w:vAlign w:val="top"/>
          </w:tcPr>
          <w:p>
            <w:pPr>
              <w:spacing w:after="40" w:before="0" w:line="259" w:lineRule="auto"/>
            </w:pPr>
            <w:r>
              <w:rPr>
                <w:rFonts w:ascii="Calibri" w:hAnsi="Calibri"/>
                <w:b w:val="0"/>
                <w:i w:val="0"/>
                <w:color w:val="212121"/>
                <w:sz w:val="16"/>
              </w:rPr>
              <w:t>Elderly, knee/hip-OA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Functional</w:t>
            </w:r>
          </w:p>
        </w:tc>
        <w:tc>
          <w:tcPr>
            <w:tcW w:type="dxa" w:w="720"/>
            <w:vAlign w:val="top"/>
          </w:tcPr>
          <w:p>
            <w:pPr>
              <w:spacing w:after="40" w:before="0" w:line="259" w:lineRule="auto"/>
            </w:pPr>
            <w:r>
              <w:rPr>
                <w:rFonts w:ascii="Calibri" w:hAnsi="Calibri"/>
                <w:b w:val="0"/>
                <w:i w:val="0"/>
                <w:color w:val="212121"/>
                <w:sz w:val="16"/>
              </w:rPr>
              <w:t>Instability raises falls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Hand examination</w:t>
            </w:r>
          </w:p>
        </w:tc>
        <w:tc>
          <w:tcPr>
            <w:tcW w:type="dxa" w:w="979"/>
            <w:vAlign w:val="top"/>
          </w:tcPr>
          <w:p>
            <w:pPr>
              <w:spacing w:after="40" w:before="0" w:line="259" w:lineRule="auto"/>
            </w:pPr>
            <w:r>
              <w:rPr>
                <w:rFonts w:ascii="Calibri" w:hAnsi="Calibri"/>
                <w:b w:val="0"/>
                <w:i w:val="0"/>
                <w:color w:val="212121"/>
                <w:sz w:val="16"/>
              </w:rPr>
              <w:t>Heberden's (DIP) and Bouchard's (PIP) nodes, first-CMC squaring</w:t>
            </w:r>
          </w:p>
        </w:tc>
        <w:tc>
          <w:tcPr>
            <w:tcW w:type="dxa" w:w="950"/>
            <w:vAlign w:val="top"/>
          </w:tcPr>
          <w:p>
            <w:pPr>
              <w:spacing w:after="40" w:before="0" w:line="259" w:lineRule="auto"/>
            </w:pPr>
            <w:r>
              <w:rPr>
                <w:rFonts w:ascii="Calibri" w:hAnsi="Calibri"/>
                <w:b w:val="0"/>
                <w:i w:val="0"/>
                <w:color w:val="212121"/>
                <w:sz w:val="16"/>
              </w:rPr>
              <w:t>No nodes or deformity</w:t>
            </w:r>
          </w:p>
        </w:tc>
        <w:tc>
          <w:tcPr>
            <w:tcW w:type="dxa" w:w="950"/>
            <w:vAlign w:val="top"/>
          </w:tcPr>
          <w:p>
            <w:pPr>
              <w:spacing w:after="40" w:before="0" w:line="259" w:lineRule="auto"/>
            </w:pPr>
            <w:r>
              <w:rPr>
                <w:rFonts w:ascii="Calibri" w:hAnsi="Calibri"/>
                <w:b w:val="0"/>
                <w:i w:val="0"/>
                <w:color w:val="212121"/>
                <w:sz w:val="16"/>
              </w:rPr>
              <w:t>Bony nodes and thumb-base squaring</w:t>
            </w:r>
          </w:p>
        </w:tc>
        <w:tc>
          <w:tcPr>
            <w:tcW w:type="dxa" w:w="1036"/>
            <w:vAlign w:val="top"/>
          </w:tcPr>
          <w:p>
            <w:pPr>
              <w:spacing w:after="40" w:before="0" w:line="259" w:lineRule="auto"/>
            </w:pPr>
            <w:r>
              <w:rPr>
                <w:rFonts w:ascii="Calibri" w:hAnsi="Calibri"/>
                <w:b w:val="0"/>
                <w:i w:val="0"/>
                <w:color w:val="212121"/>
                <w:sz w:val="16"/>
              </w:rPr>
              <w:t>Confirms nodal hand OA and supports a generalised OA phenotype</w:t>
            </w:r>
          </w:p>
        </w:tc>
        <w:tc>
          <w:tcPr>
            <w:tcW w:type="dxa" w:w="1036"/>
            <w:vAlign w:val="top"/>
          </w:tcPr>
          <w:p>
            <w:pPr>
              <w:spacing w:after="40" w:before="0" w:line="259" w:lineRule="auto"/>
            </w:pPr>
            <w:r>
              <w:rPr>
                <w:rFonts w:ascii="Calibri" w:hAnsi="Calibri"/>
                <w:b w:val="0"/>
                <w:i w:val="0"/>
                <w:color w:val="212121"/>
                <w:sz w:val="16"/>
              </w:rPr>
              <w:t>Middle-aged/older women, hand-OA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Marker of generalised/nodal OA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950"/>
            <w:vAlign w:val="top"/>
          </w:tcPr>
          <w:p>
            <w:pPr>
              <w:spacing w:after="40" w:before="0" w:line="259" w:lineRule="auto"/>
            </w:pPr>
            <w:r>
              <w:rPr>
                <w:rFonts w:ascii="Calibri" w:hAnsi="Calibri"/>
                <w:b w:val="0"/>
                <w:i w:val="0"/>
                <w:color w:val="212121"/>
                <w:sz w:val="16"/>
              </w:rPr>
              <w:t>Body weight &amp; BMI</w:t>
            </w:r>
          </w:p>
        </w:tc>
        <w:tc>
          <w:tcPr>
            <w:tcW w:type="dxa" w:w="979"/>
            <w:vAlign w:val="top"/>
          </w:tcPr>
          <w:p>
            <w:pPr>
              <w:spacing w:after="40" w:before="0" w:line="259" w:lineRule="auto"/>
            </w:pPr>
            <w:r>
              <w:rPr>
                <w:rFonts w:ascii="Calibri" w:hAnsi="Calibri"/>
                <w:b w:val="0"/>
                <w:i w:val="0"/>
                <w:color w:val="212121"/>
                <w:sz w:val="16"/>
              </w:rPr>
              <w:t>BMI and waist circumference</w:t>
            </w:r>
          </w:p>
        </w:tc>
        <w:tc>
          <w:tcPr>
            <w:tcW w:type="dxa" w:w="950"/>
            <w:vAlign w:val="top"/>
          </w:tcPr>
          <w:p>
            <w:pPr>
              <w:spacing w:after="40" w:before="0" w:line="259" w:lineRule="auto"/>
            </w:pPr>
            <w:r>
              <w:rPr>
                <w:rFonts w:ascii="Calibri" w:hAnsi="Calibri"/>
                <w:b w:val="0"/>
                <w:i w:val="0"/>
                <w:color w:val="212121"/>
                <w:sz w:val="16"/>
              </w:rPr>
              <w:t>BMI 18.5–24.9 kg/m²</w:t>
            </w:r>
          </w:p>
        </w:tc>
        <w:tc>
          <w:tcPr>
            <w:tcW w:type="dxa" w:w="950"/>
            <w:vAlign w:val="top"/>
          </w:tcPr>
          <w:p>
            <w:pPr>
              <w:spacing w:after="40" w:before="0" w:line="259" w:lineRule="auto"/>
            </w:pPr>
            <w:r>
              <w:rPr>
                <w:rFonts w:ascii="Calibri" w:hAnsi="Calibri"/>
                <w:b w:val="0"/>
                <w:i w:val="0"/>
                <w:color w:val="212121"/>
                <w:sz w:val="16"/>
              </w:rPr>
              <w:t>BMI ≥ 25 (overweight/obese)</w:t>
            </w:r>
          </w:p>
        </w:tc>
        <w:tc>
          <w:tcPr>
            <w:tcW w:type="dxa" w:w="1036"/>
            <w:vAlign w:val="top"/>
          </w:tcPr>
          <w:p>
            <w:pPr>
              <w:spacing w:after="40" w:before="0" w:line="259" w:lineRule="auto"/>
            </w:pPr>
            <w:r>
              <w:rPr>
                <w:rFonts w:ascii="Calibri" w:hAnsi="Calibri"/>
                <w:b w:val="0"/>
                <w:i w:val="0"/>
                <w:color w:val="212121"/>
                <w:sz w:val="16"/>
              </w:rPr>
              <w:t>Identifies the leading modifiable risk factor for knee and hip OA</w:t>
            </w:r>
          </w:p>
        </w:tc>
        <w:tc>
          <w:tcPr>
            <w:tcW w:type="dxa" w:w="1036"/>
            <w:vAlign w:val="top"/>
          </w:tcPr>
          <w:p>
            <w:pPr>
              <w:spacing w:after="40" w:before="0" w:line="259" w:lineRule="auto"/>
            </w:pPr>
            <w:r>
              <w:rPr>
                <w:rFonts w:ascii="Calibri" w:hAnsi="Calibri"/>
                <w:b w:val="0"/>
                <w:i w:val="0"/>
                <w:color w:val="212121"/>
                <w:sz w:val="16"/>
              </w:rPr>
              <w:t>All patients, especially knee/hip OA</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Management-defining</w:t>
            </w:r>
          </w:p>
        </w:tc>
        <w:tc>
          <w:tcPr>
            <w:tcW w:type="dxa" w:w="720"/>
            <w:vAlign w:val="top"/>
          </w:tcPr>
          <w:p>
            <w:pPr>
              <w:spacing w:after="40" w:before="0" w:line="259" w:lineRule="auto"/>
            </w:pPr>
            <w:r>
              <w:rPr>
                <w:rFonts w:ascii="Calibri" w:hAnsi="Calibri"/>
                <w:b w:val="0"/>
                <w:i w:val="0"/>
                <w:color w:val="212121"/>
                <w:sz w:val="16"/>
              </w:rPr>
              <w:t>Weight loss is core therapy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Activity-related joint pain (worse with use, better with rest)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 mechanical pain that increases with weight-bearing and activity and eases with rest.</w:t>
            </w:r>
          </w:p>
        </w:tc>
      </w:tr>
      <w:tr>
        <w:trPr>
          <w:cantSplit/>
        </w:trPr>
        <w:tc>
          <w:tcPr>
            <w:tcW w:type="dxa" w:w="2304"/>
            <w:vAlign w:val="top"/>
          </w:tcPr>
          <w:p>
            <w:pPr>
              <w:spacing w:after="40" w:before="0" w:line="259" w:lineRule="auto"/>
            </w:pPr>
            <w:r>
              <w:rPr>
                <w:rFonts w:ascii="Calibri" w:hAnsi="Calibri"/>
                <w:b/>
                <w:i w:val="0"/>
                <w:color w:val="212121"/>
                <w:sz w:val="19"/>
              </w:rPr>
              <w:t>Short-lived morning stiffness (≤ 30 minutes)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Early-morning stiffness that resolves quickly, unlike the prolonged stiffness of inflammatory arthritis.</w:t>
            </w:r>
          </w:p>
        </w:tc>
      </w:tr>
      <w:tr>
        <w:trPr>
          <w:cantSplit/>
        </w:trPr>
        <w:tc>
          <w:tcPr>
            <w:tcW w:type="dxa" w:w="2304"/>
            <w:vAlign w:val="top"/>
          </w:tcPr>
          <w:p>
            <w:pPr>
              <w:spacing w:after="40" w:before="0" w:line="259" w:lineRule="auto"/>
            </w:pPr>
            <w:r>
              <w:rPr>
                <w:rFonts w:ascii="Calibri" w:hAnsi="Calibri"/>
                <w:b/>
                <w:i w:val="0"/>
                <w:color w:val="212121"/>
                <w:sz w:val="19"/>
              </w:rPr>
              <w:t>'Gelling' — stiffness after periods of inactivity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Joints stiffen after sitting still and loosen with a few movements.</w:t>
            </w:r>
          </w:p>
        </w:tc>
      </w:tr>
      <w:tr>
        <w:trPr>
          <w:cantSplit/>
        </w:trPr>
        <w:tc>
          <w:tcPr>
            <w:tcW w:type="dxa" w:w="2304"/>
            <w:vAlign w:val="top"/>
          </w:tcPr>
          <w:p>
            <w:pPr>
              <w:spacing w:after="40" w:before="0" w:line="259" w:lineRule="auto"/>
            </w:pPr>
            <w:r>
              <w:rPr>
                <w:rFonts w:ascii="Calibri" w:hAnsi="Calibri"/>
                <w:b/>
                <w:i w:val="0"/>
                <w:color w:val="212121"/>
                <w:sz w:val="19"/>
              </w:rPr>
              <w:t>Crepitus — grinding or crackling on movement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grating sensation as roughened cartilage and bone surfaces move against each other.</w:t>
            </w:r>
          </w:p>
        </w:tc>
      </w:tr>
      <w:tr>
        <w:trPr>
          <w:cantSplit/>
        </w:trPr>
        <w:tc>
          <w:tcPr>
            <w:tcW w:type="dxa" w:w="2304"/>
            <w:vAlign w:val="top"/>
          </w:tcPr>
          <w:p>
            <w:pPr>
              <w:spacing w:after="40" w:before="0" w:line="259" w:lineRule="auto"/>
            </w:pPr>
            <w:r>
              <w:rPr>
                <w:rFonts w:ascii="Calibri" w:hAnsi="Calibri"/>
                <w:b/>
                <w:i w:val="0"/>
                <w:color w:val="212121"/>
                <w:sz w:val="19"/>
              </w:rPr>
              <w:t>Reduced range of motion and joint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loss of full bending/straightening due to cartilage loss, osteophytes and capsular thickening.</w:t>
            </w:r>
          </w:p>
        </w:tc>
      </w:tr>
      <w:tr>
        <w:trPr>
          <w:cantSplit/>
        </w:trPr>
        <w:tc>
          <w:tcPr>
            <w:tcW w:type="dxa" w:w="2304"/>
            <w:vAlign w:val="top"/>
          </w:tcPr>
          <w:p>
            <w:pPr>
              <w:spacing w:after="40" w:before="0" w:line="259" w:lineRule="auto"/>
            </w:pPr>
            <w:r>
              <w:rPr>
                <w:rFonts w:ascii="Calibri" w:hAnsi="Calibri"/>
                <w:b/>
                <w:i w:val="0"/>
                <w:color w:val="212121"/>
                <w:sz w:val="19"/>
              </w:rPr>
              <w:t>Difficulty with stairs, squatting and rising from the floor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disabling in India where squatting and floor-sitting are part of daily life.</w:t>
            </w:r>
          </w:p>
        </w:tc>
      </w:tr>
      <w:tr>
        <w:trPr>
          <w:cantSplit/>
        </w:trPr>
        <w:tc>
          <w:tcPr>
            <w:tcW w:type="dxa" w:w="2304"/>
            <w:vAlign w:val="top"/>
          </w:tcPr>
          <w:p>
            <w:pPr>
              <w:spacing w:after="40" w:before="0" w:line="259" w:lineRule="auto"/>
            </w:pPr>
            <w:r>
              <w:rPr>
                <w:rFonts w:ascii="Calibri" w:hAnsi="Calibri"/>
                <w:b/>
                <w:i w:val="0"/>
                <w:color w:val="212121"/>
                <w:sz w:val="19"/>
              </w:rPr>
              <w:t>Bony swelling/enlargement of the joint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Hard, bony enlargement from osteophytes, e.g. Heberden's/Bouchard's nodes in the hands.</w:t>
            </w:r>
          </w:p>
        </w:tc>
      </w:tr>
      <w:tr>
        <w:trPr>
          <w:cantSplit/>
        </w:trPr>
        <w:tc>
          <w:tcPr>
            <w:tcW w:type="dxa" w:w="2304"/>
            <w:vAlign w:val="top"/>
          </w:tcPr>
          <w:p>
            <w:pPr>
              <w:spacing w:after="40" w:before="0" w:line="259" w:lineRule="auto"/>
            </w:pPr>
            <w:r>
              <w:rPr>
                <w:rFonts w:ascii="Calibri" w:hAnsi="Calibri"/>
                <w:b/>
                <w:i w:val="0"/>
                <w:color w:val="212121"/>
                <w:sz w:val="19"/>
              </w:rPr>
              <w:t>Sensation of the knee 'giving way' or instability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Buckling due to pain, muscle weakness and reduced dynamic joint control, increasing falls risk.</w:t>
            </w:r>
          </w:p>
        </w:tc>
      </w:tr>
      <w:tr>
        <w:trPr>
          <w:cantSplit/>
        </w:trPr>
        <w:tc>
          <w:tcPr>
            <w:tcW w:type="dxa" w:w="2304"/>
            <w:vAlign w:val="top"/>
          </w:tcPr>
          <w:p>
            <w:pPr>
              <w:spacing w:after="40" w:before="0" w:line="259" w:lineRule="auto"/>
            </w:pPr>
            <w:r>
              <w:rPr>
                <w:rFonts w:ascii="Calibri" w:hAnsi="Calibri"/>
                <w:b/>
                <w:i w:val="0"/>
                <w:color w:val="212121"/>
                <w:sz w:val="19"/>
              </w:rPr>
              <w:t>Joint swelling/effusion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cool, non-inflammatory effusion, often after overuse.</w:t>
            </w:r>
          </w:p>
        </w:tc>
      </w:tr>
      <w:tr>
        <w:trPr>
          <w:cantSplit/>
        </w:trPr>
        <w:tc>
          <w:tcPr>
            <w:tcW w:type="dxa" w:w="2304"/>
            <w:vAlign w:val="top"/>
          </w:tcPr>
          <w:p>
            <w:pPr>
              <w:spacing w:after="40" w:before="0" w:line="259" w:lineRule="auto"/>
            </w:pPr>
            <w:r>
              <w:rPr>
                <w:rFonts w:ascii="Calibri" w:hAnsi="Calibri"/>
                <w:b/>
                <w:i w:val="0"/>
                <w:color w:val="212121"/>
                <w:sz w:val="19"/>
              </w:rPr>
              <w:t>Night pain and rest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at rest or disturbing sleep typically indicates more advanced disease.</w:t>
            </w:r>
          </w:p>
        </w:tc>
      </w:tr>
      <w:tr>
        <w:trPr>
          <w:cantSplit/>
        </w:trPr>
        <w:tc>
          <w:tcPr>
            <w:tcW w:type="dxa" w:w="2304"/>
            <w:vAlign w:val="top"/>
          </w:tcPr>
          <w:p>
            <w:pPr>
              <w:spacing w:after="40" w:before="0" w:line="259" w:lineRule="auto"/>
            </w:pPr>
            <w:r>
              <w:rPr>
                <w:rFonts w:ascii="Calibri" w:hAnsi="Calibri"/>
                <w:b/>
                <w:i w:val="0"/>
                <w:color w:val="212121"/>
                <w:sz w:val="19"/>
              </w:rPr>
              <w:t>Muscle weakness and wasting around the joint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Disuse and pain-related inhibition cause quadriceps and periarticular muscle wasting.</w:t>
            </w:r>
          </w:p>
        </w:tc>
      </w:tr>
      <w:tr>
        <w:trPr>
          <w:cantSplit/>
        </w:trPr>
        <w:tc>
          <w:tcPr>
            <w:tcW w:type="dxa" w:w="2304"/>
            <w:vAlign w:val="top"/>
          </w:tcPr>
          <w:p>
            <w:pPr>
              <w:spacing w:after="40" w:before="0" w:line="259" w:lineRule="auto"/>
            </w:pPr>
            <w:r>
              <w:rPr>
                <w:rFonts w:ascii="Calibri" w:hAnsi="Calibri"/>
                <w:b/>
                <w:i w:val="0"/>
                <w:color w:val="212121"/>
                <w:sz w:val="19"/>
              </w:rPr>
              <w:t>Joint locking or catching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 loose body or meniscal tear within the osteoarthritic joint.</w:t>
            </w:r>
          </w:p>
        </w:tc>
      </w:tr>
      <w:tr>
        <w:trPr>
          <w:cantSplit/>
        </w:trPr>
        <w:tc>
          <w:tcPr>
            <w:tcW w:type="dxa" w:w="2304"/>
            <w:vAlign w:val="top"/>
          </w:tcPr>
          <w:p>
            <w:pPr>
              <w:spacing w:after="40" w:before="0" w:line="259" w:lineRule="auto"/>
            </w:pPr>
            <w:r>
              <w:rPr>
                <w:rFonts w:ascii="Calibri" w:hAnsi="Calibri"/>
                <w:b/>
                <w:i w:val="0"/>
                <w:color w:val="212121"/>
                <w:sz w:val="19"/>
              </w:rPr>
              <w:t>Visible joint deformity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Marked varus/valgus or fixed flexion deformity in severe, long-standing OA.</w:t>
            </w:r>
          </w:p>
        </w:tc>
      </w:tr>
      <w:tr>
        <w:trPr>
          <w:cantSplit/>
        </w:trPr>
        <w:tc>
          <w:tcPr>
            <w:tcW w:type="dxa" w:w="2304"/>
            <w:vAlign w:val="top"/>
          </w:tcPr>
          <w:p>
            <w:pPr>
              <w:spacing w:after="40" w:before="0" w:line="259" w:lineRule="auto"/>
            </w:pPr>
            <w:r>
              <w:rPr>
                <w:rFonts w:ascii="Calibri" w:hAnsi="Calibri"/>
                <w:b/>
                <w:i w:val="0"/>
                <w:color w:val="212121"/>
                <w:sz w:val="19"/>
              </w:rPr>
              <w:t>Inflammatory flares with hand joint pain and redness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Feature of erosive (inflammatory) hand OA of the interphalangeal joints.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Crepitus on joint movement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Palpable/audible grating over the joint during active or passive motion.</w:t>
            </w:r>
          </w:p>
        </w:tc>
      </w:tr>
      <w:tr>
        <w:trPr>
          <w:cantSplit/>
        </w:trPr>
        <w:tc>
          <w:tcPr>
            <w:tcW w:type="dxa" w:w="3456"/>
            <w:vAlign w:val="top"/>
          </w:tcPr>
          <w:p>
            <w:pPr>
              <w:spacing w:after="40" w:before="0" w:line="259" w:lineRule="auto"/>
            </w:pPr>
            <w:r>
              <w:rPr>
                <w:rFonts w:ascii="Calibri" w:hAnsi="Calibri"/>
                <w:b/>
                <w:i w:val="0"/>
                <w:color w:val="212121"/>
                <w:sz w:val="19"/>
              </w:rPr>
              <w:t>Bony (osteophytic) enlargement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Hard bony swelling at the joint margins — the structural hallmark of OA.</w:t>
            </w:r>
          </w:p>
        </w:tc>
      </w:tr>
      <w:tr>
        <w:trPr>
          <w:cantSplit/>
        </w:trPr>
        <w:tc>
          <w:tcPr>
            <w:tcW w:type="dxa" w:w="3456"/>
            <w:vAlign w:val="top"/>
          </w:tcPr>
          <w:p>
            <w:pPr>
              <w:spacing w:after="40" w:before="0" w:line="259" w:lineRule="auto"/>
            </w:pPr>
            <w:r>
              <w:rPr>
                <w:rFonts w:ascii="Calibri" w:hAnsi="Calibri"/>
                <w:b/>
                <w:i w:val="0"/>
                <w:color w:val="212121"/>
                <w:sz w:val="19"/>
              </w:rPr>
              <w:t>Restricted and painful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active and passive movement with pain at the extremes.</w:t>
            </w:r>
          </w:p>
        </w:tc>
      </w:tr>
      <w:tr>
        <w:trPr>
          <w:cantSplit/>
        </w:trPr>
        <w:tc>
          <w:tcPr>
            <w:tcW w:type="dxa" w:w="3456"/>
            <w:vAlign w:val="top"/>
          </w:tcPr>
          <w:p>
            <w:pPr>
              <w:spacing w:after="40" w:before="0" w:line="259" w:lineRule="auto"/>
            </w:pPr>
            <w:r>
              <w:rPr>
                <w:rFonts w:ascii="Calibri" w:hAnsi="Calibri"/>
                <w:b/>
                <w:i w:val="0"/>
                <w:color w:val="212121"/>
                <w:sz w:val="19"/>
              </w:rPr>
              <w:t>Joint-line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tenderness on palpation of the affected joint line.</w:t>
            </w:r>
          </w:p>
        </w:tc>
      </w:tr>
      <w:tr>
        <w:trPr>
          <w:cantSplit/>
        </w:trPr>
        <w:tc>
          <w:tcPr>
            <w:tcW w:type="dxa" w:w="3456"/>
            <w:vAlign w:val="top"/>
          </w:tcPr>
          <w:p>
            <w:pPr>
              <w:spacing w:after="40" w:before="0" w:line="259" w:lineRule="auto"/>
            </w:pPr>
            <w:r>
              <w:rPr>
                <w:rFonts w:ascii="Calibri" w:hAnsi="Calibri"/>
                <w:b/>
                <w:i w:val="0"/>
                <w:color w:val="212121"/>
                <w:sz w:val="19"/>
              </w:rPr>
              <w:t>Heberden's nodes (distal interphalangeal)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Bony swellings of the DIP joints — characteristic of nodal hand OA.</w:t>
            </w:r>
          </w:p>
        </w:tc>
      </w:tr>
      <w:tr>
        <w:trPr>
          <w:cantSplit/>
        </w:trPr>
        <w:tc>
          <w:tcPr>
            <w:tcW w:type="dxa" w:w="3456"/>
            <w:vAlign w:val="top"/>
          </w:tcPr>
          <w:p>
            <w:pPr>
              <w:spacing w:after="40" w:before="0" w:line="259" w:lineRule="auto"/>
            </w:pPr>
            <w:r>
              <w:rPr>
                <w:rFonts w:ascii="Calibri" w:hAnsi="Calibri"/>
                <w:b/>
                <w:i w:val="0"/>
                <w:color w:val="212121"/>
                <w:sz w:val="19"/>
              </w:rPr>
              <w:t>Bouchard's nodes (proximal interphalangeal)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Bony swellings of the PIP joints in hand OA.</w:t>
            </w:r>
          </w:p>
        </w:tc>
      </w:tr>
      <w:tr>
        <w:trPr>
          <w:cantSplit/>
        </w:trPr>
        <w:tc>
          <w:tcPr>
            <w:tcW w:type="dxa" w:w="3456"/>
            <w:vAlign w:val="top"/>
          </w:tcPr>
          <w:p>
            <w:pPr>
              <w:spacing w:after="40" w:before="0" w:line="259" w:lineRule="auto"/>
            </w:pPr>
            <w:r>
              <w:rPr>
                <w:rFonts w:ascii="Calibri" w:hAnsi="Calibri"/>
                <w:b/>
                <w:i w:val="0"/>
                <w:color w:val="212121"/>
                <w:sz w:val="19"/>
              </w:rPr>
              <w:t>First-carpometacarpal 'squaring' of the thumb base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Squared appearance of the thumb base from first-CMC OA.</w:t>
            </w:r>
          </w:p>
        </w:tc>
      </w:tr>
      <w:tr>
        <w:trPr>
          <w:cantSplit/>
        </w:trPr>
        <w:tc>
          <w:tcPr>
            <w:tcW w:type="dxa" w:w="3456"/>
            <w:vAlign w:val="top"/>
          </w:tcPr>
          <w:p>
            <w:pPr>
              <w:spacing w:after="40" w:before="0" w:line="259" w:lineRule="auto"/>
            </w:pPr>
            <w:r>
              <w:rPr>
                <w:rFonts w:ascii="Calibri" w:hAnsi="Calibri"/>
                <w:b/>
                <w:i w:val="0"/>
                <w:color w:val="212121"/>
                <w:sz w:val="19"/>
              </w:rPr>
              <w:t>Malalignment (genu varum / valgum)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Bow-leg or knock-knee deformity reflecting compartmental cartilage loss in knee OA.</w:t>
            </w:r>
          </w:p>
        </w:tc>
      </w:tr>
      <w:tr>
        <w:trPr>
          <w:cantSplit/>
        </w:trPr>
        <w:tc>
          <w:tcPr>
            <w:tcW w:type="dxa" w:w="3456"/>
            <w:vAlign w:val="top"/>
          </w:tcPr>
          <w:p>
            <w:pPr>
              <w:spacing w:after="40" w:before="0" w:line="259" w:lineRule="auto"/>
            </w:pPr>
            <w:r>
              <w:rPr>
                <w:rFonts w:ascii="Calibri" w:hAnsi="Calibri"/>
                <w:b/>
                <w:i w:val="0"/>
                <w:color w:val="212121"/>
                <w:sz w:val="19"/>
              </w:rPr>
              <w:t>Quadriceps / periarticular muscle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muscle atrophy around a chronically painful joint.</w:t>
            </w:r>
          </w:p>
        </w:tc>
      </w:tr>
      <w:tr>
        <w:trPr>
          <w:cantSplit/>
        </w:trPr>
        <w:tc>
          <w:tcPr>
            <w:tcW w:type="dxa" w:w="3456"/>
            <w:vAlign w:val="top"/>
          </w:tcPr>
          <w:p>
            <w:pPr>
              <w:spacing w:after="40" w:before="0" w:line="259" w:lineRule="auto"/>
            </w:pPr>
            <w:r>
              <w:rPr>
                <w:rFonts w:ascii="Calibri" w:hAnsi="Calibri"/>
                <w:b/>
                <w:i w:val="0"/>
                <w:color w:val="212121"/>
                <w:sz w:val="19"/>
              </w:rPr>
              <w:t>Cool (non-inflammatory) joint effusion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cool, modest effusion without the warmth of inflammatory arthritis.</w:t>
            </w:r>
          </w:p>
        </w:tc>
      </w:tr>
      <w:tr>
        <w:trPr>
          <w:cantSplit/>
        </w:trPr>
        <w:tc>
          <w:tcPr>
            <w:tcW w:type="dxa" w:w="3456"/>
            <w:vAlign w:val="top"/>
          </w:tcPr>
          <w:p>
            <w:pPr>
              <w:spacing w:after="40" w:before="0" w:line="259" w:lineRule="auto"/>
            </w:pPr>
            <w:r>
              <w:rPr>
                <w:rFonts w:ascii="Calibri" w:hAnsi="Calibri"/>
                <w:b/>
                <w:i w:val="0"/>
                <w:color w:val="212121"/>
                <w:sz w:val="19"/>
              </w:rPr>
              <w:t>Antalgic gait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limp that shortens time spent weight-bearing on the painful limb.</w:t>
            </w:r>
          </w:p>
        </w:tc>
      </w:tr>
      <w:tr>
        <w:trPr>
          <w:cantSplit/>
        </w:trPr>
        <w:tc>
          <w:tcPr>
            <w:tcW w:type="dxa" w:w="3456"/>
            <w:vAlign w:val="top"/>
          </w:tcPr>
          <w:p>
            <w:pPr>
              <w:spacing w:after="40" w:before="0" w:line="259" w:lineRule="auto"/>
            </w:pPr>
            <w:r>
              <w:rPr>
                <w:rFonts w:ascii="Calibri" w:hAnsi="Calibri"/>
                <w:b/>
                <w:i w:val="0"/>
                <w:color w:val="212121"/>
                <w:sz w:val="19"/>
              </w:rPr>
              <w:t>Fixed flexion deformity / joint instability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Inability to fully straighten the joint or demonstrable laxity in advanced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mechanical joint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Short-lived stiffness and 'gelling'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Crepitus and bony enlargement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loss of range of motion and joint function</w:t>
            </w:r>
          </w:p>
        </w:tc>
        <w:tc>
          <w:tcPr>
            <w:tcW w:type="dxa" w:w="2980"/>
            <w:vAlign w:val="top"/>
          </w:tcPr>
          <w:p>
            <w:pPr>
              <w:spacing w:after="40" w:before="0" w:line="259" w:lineRule="auto"/>
            </w:pPr>
            <w:r>
              <w:rPr>
                <w:rFonts w:ascii="Calibri" w:hAnsi="Calibri"/>
                <w:b w:val="0"/>
                <w:i w:val="0"/>
                <w:color w:val="212121"/>
                <w:sz w:val="19"/>
              </w:rPr>
              <w:t>Direct consequences of cartilage loss, osteophyte formation and subchondral bone remodelling.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Periarticular muscle weakness and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Joint malalignment and deformity (varus/valgus, fixed flexion)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mobility, falls and reduced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from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anxiety from chronic pain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Weight gain from reduced activity (a self-perpetuating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capacity and loss of livelihood, especially in manual workers</w:t>
            </w:r>
          </w:p>
        </w:tc>
        <w:tc>
          <w:tcPr>
            <w:tcW w:type="dxa" w:w="2980"/>
            <w:vAlign w:val="top"/>
          </w:tcPr>
          <w:p>
            <w:pPr>
              <w:spacing w:after="40" w:before="0" w:line="259" w:lineRule="auto"/>
            </w:pPr>
            <w:r>
              <w:rPr>
                <w:rFonts w:ascii="Calibri" w:hAnsi="Calibri"/>
                <w:b w:val="0"/>
                <w:i w:val="0"/>
                <w:color w:val="212121"/>
                <w:sz w:val="19"/>
              </w:rPr>
              <w:t>Result from progressive pain, deformity, deconditioning and the pain–inactivity–weight-gain cycle.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disability and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joint-replacement surgery (arthroplasty) of knee or hip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Complications of long-term analgesia — NSAID-related gastrointestinal bleeding, renal impairment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Fragility and falls-related fractures in the frail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Markedly reduced quality of life</w:t>
            </w:r>
          </w:p>
        </w:tc>
        <w:tc>
          <w:tcPr>
            <w:tcW w:type="dxa" w:w="2980"/>
            <w:vAlign w:val="top"/>
          </w:tcPr>
          <w:p>
            <w:pPr>
              <w:spacing w:after="40" w:before="0" w:line="259" w:lineRule="auto"/>
            </w:pPr>
            <w:r>
              <w:rPr>
                <w:rFonts w:ascii="Calibri" w:hAnsi="Calibri"/>
                <w:b w:val="0"/>
                <w:i w:val="0"/>
                <w:color w:val="212121"/>
                <w:sz w:val="19"/>
              </w:rPr>
              <w:t>Irreversible, disabling and treatment-related outcomes of long-standing, severe or inadequately managed OA.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The strongest modifiable risk factor and a common comorbidity; drives both mechanical overload and metabolic cartilage damage.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most frequent cardiovascular comorbidity in OA, sharing metabolic and inflammatory pathways and complicating NSAID use.</w:t>
            </w:r>
          </w:p>
          <w:p>
            <w:pPr>
              <w:spacing w:after="40" w:before="0" w:line="259" w:lineRule="auto"/>
            </w:pPr>
            <w:r>
              <w:rPr>
                <w:rFonts w:ascii="Calibri" w:hAnsi="Calibri"/>
                <w:b/>
                <w:i w:val="0"/>
                <w:color w:val="212121"/>
                <w:sz w:val="19"/>
              </w:rPr>
              <w:t>~50%</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Commonly coexists as part of the metabolic OA phenotype.</w:t>
            </w:r>
          </w:p>
          <w:p>
            <w:pPr>
              <w:spacing w:after="40" w:before="0" w:line="259" w:lineRule="auto"/>
            </w:pPr>
            <w:r>
              <w:rPr>
                <w:rFonts w:ascii="Calibri" w:hAnsi="Calibri"/>
                <w:b/>
                <w:i w:val="0"/>
                <w:color w:val="212121"/>
                <w:sz w:val="19"/>
              </w:rPr>
              <w:t>~48%</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OA patients have a significantly higher burden of cardiovascular disease (prevalence ratio ~1.56), compounded by reduced activity and NSAID use.</w:t>
            </w:r>
          </w:p>
          <w:p>
            <w:pPr>
              <w:spacing w:after="40" w:before="0" w:line="259" w:lineRule="auto"/>
            </w:pPr>
            <w:r>
              <w:rPr>
                <w:rFonts w:ascii="Calibri" w:hAnsi="Calibri"/>
                <w:b/>
                <w:i w:val="0"/>
                <w:color w:val="212121"/>
                <w:sz w:val="19"/>
              </w:rPr>
              <w:t>~35%</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relationship with chronic pain and disability, worsening symptom severity and self-management.</w:t>
            </w:r>
          </w:p>
          <w:p>
            <w:pPr>
              <w:spacing w:after="40" w:before="0" w:line="259" w:lineRule="auto"/>
            </w:pPr>
            <w:r>
              <w:rPr>
                <w:rFonts w:ascii="Calibri" w:hAnsi="Calibri"/>
                <w:b/>
                <w:i w:val="0"/>
                <w:color w:val="212121"/>
                <w:sz w:val="19"/>
              </w:rPr>
              <w:t>~17%</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Associated through obesity and low-grade inflammation; part of the metabolic OA phenotype.</w:t>
            </w:r>
          </w:p>
          <w:p>
            <w:pPr>
              <w:spacing w:after="40" w:before="0" w:line="259" w:lineRule="auto"/>
            </w:pPr>
            <w:r>
              <w:rPr>
                <w:rFonts w:ascii="Calibri" w:hAnsi="Calibri"/>
                <w:b/>
                <w:i w:val="0"/>
                <w:color w:val="212121"/>
                <w:sz w:val="19"/>
              </w:rPr>
              <w:t>~11%</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Significantly more common in OA (prevalence ratio ~1.94) and linked to a metabolic disease mechanism.</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in India and associated with knee OA and its severity.</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in elderly women, compounding fracture and mobility risk.</w:t>
            </w:r>
          </w:p>
        </w:tc>
      </w:tr>
      <w:tr>
        <w:trPr>
          <w:cantSplit/>
        </w:trPr>
        <w:tc>
          <w:tcPr>
            <w:tcW w:type="dxa" w:w="2232"/>
            <w:vAlign w:val="top"/>
          </w:tcPr>
          <w:p>
            <w:pPr>
              <w:spacing w:after="40" w:before="0" w:line="259" w:lineRule="auto"/>
            </w:pPr>
            <w:r>
              <w:rPr>
                <w:rFonts w:ascii="Calibri" w:hAnsi="Calibri"/>
                <w:b/>
                <w:i w:val="0"/>
                <w:color w:val="212121"/>
                <w:sz w:val="19"/>
              </w:rPr>
              <w:t>Sarcopenia / muscle weakness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Age- and disuse-related muscle loss reduces joint protection and worsens OA progression and falls risk.</w:t>
            </w:r>
          </w:p>
        </w:tc>
      </w:tr>
      <w:tr>
        <w:trPr>
          <w:cantSplit/>
        </w:trPr>
        <w:tc>
          <w:tcPr>
            <w:tcW w:type="dxa" w:w="2232"/>
            <w:vAlign w:val="top"/>
          </w:tcPr>
          <w:p>
            <w:pPr>
              <w:spacing w:after="40" w:before="0" w:line="259" w:lineRule="auto"/>
            </w:pPr>
            <w:r>
              <w:rPr>
                <w:rFonts w:ascii="Calibri" w:hAnsi="Calibri"/>
                <w:b/>
                <w:i w:val="0"/>
                <w:color w:val="212121"/>
                <w:sz w:val="19"/>
              </w:rPr>
              <w:t>Falls &amp; fragility fractures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Result from pain, instability, weakness and reduced mobility, especially in the frail elderly.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osteoarthritis is manageable — it is an active joint disease, not simply unavoidable 'wear and tear' — and that staying active and controlling weight can slow it and reduce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body weight, since obesity is the single strongest modifiable risk factor for knee and hip OA.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joints during daily life and work — reduce prolonged deep squatting, kneeling and heavy lifting, use correct lifting technique, and prefer chairs and Western-style toilets where floor-sitting and squatting are painful.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muscles around the joints strong with regular low-impact exercise (walking, cycling, swimming) and quadriceps-strengthening.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activity-related joint pain, short morning stiffness, crepitus and difficulty with stairs or squatting — and seek timely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and promptly rehabilitate joint injuries (especially knee ligament and meniscal injuries) to reduce later post-traumatic OA.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 &amp;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OA</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structured, individualised management plan combining exercise, weight loss and education as the first-line, core treatment for OA.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simple aids and joint protection — a walking stick (held in the opposite hand), appropriate cushioned footwear, and assistive devices — to offload painful joints and reduce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analgesia judiciously under medical advice — topical NSAIDs and paracetamol first, short courses of oral NSAIDs at the lowest effective dose (with attention to gastrointestinal, renal and cardiovascular risk), and consider intra-articular corticosteroid injections for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physiotherapy for tailored strengthening, range-of-motion and gait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joint-replacement surgery (knee or hip arthroplasty) when pain and disability are severe and unresponsive to optimised non-surgical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coexisting conditions — hypertension, diabetes, dyslipidaemia, depression and vitamin D deficiency — as part of holistic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OA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Moderate–severe knee/hip OA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low-impact aerobic exercise (brisk walking, stationary cycling, swimming or aqua-aerobics) — aim towards 150 minutes per week, built up gradually.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targeted muscle-strengthening, especially quadriceps and hip strengthening for knee and hip OA, on most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range-of-motion and flexibility exercises to maintain joint mobility and reduce 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joint-friendly activities and avoid high-impact, repetitive deep-squatting or heavy-loading activities that flare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weight loss in overweight/obese patients for the greatest reduction in pain and disability.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Knee &amp; hip OA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OA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calorie-appropriate diet to prevent overweight and obesity — the leading modifiable driver of knee and hip OA.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largely plant-forward diet rich in fruit, vegetables, whole grains and pulses, with adequate lean protein to preserve muscle.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calcium (safe sun exposure, fortified foods or supplements where deficient), given widespread vitamin D deficiency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foods, refined carbohydrates, excess sugar and saturated fat that promote weight gain and inflammation.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risk of OA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modest, sustained weight loss of at least 5–10% in overweight/obese patients, which measurably reduces joint load, pain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an anti-inflammatory, Mediterranean-style eating pattern with adequate protein to protect periarticular muscle during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documented vitamin D deficiency and ensure adequate dietary calcium to support bone and joint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cautious with unproven supplements — discuss glucosamine/chondroitin and similar products with a clinician rather than relying on them.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OA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OA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as poor sleep lowers the pain threshold and worsens OA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 regular sleep–wake times, a comfortable supportive mattress and a cool, dark 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simple positioning aids (a pillow between or under the knees) to reduce night-time joint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OA patients with pain-related sleep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 while its direct effect on OA is uncertain, smoking harms bone quality, tissue healing and the outcomes of any joint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tobacco and areca-nut products, which damage overall and musculoskeletal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if help is needed to quit.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Surgical/arthroplasty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as heavy intake promotes weight gain and gout and worsens general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alcohol with NSAIDs or paracetamol used for OA pain, which increases gastrointestinal and liver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OA patients on regular analgesia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gout</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affect a substantial minority of OA patients and amplify pain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pain self-management and cognitive behavioural strategies to improve coping and reduce the impact of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social engagement and graded activity to break the pain–inactivity–low-mood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realistic goal-setting to sustain adherence to exercise and weight 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OA patients with low mood/anxiety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Disabled or isolated elderly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7746495/" TargetMode="External"/><Relationship Id="rId10" Type="http://schemas.openxmlformats.org/officeDocument/2006/relationships/hyperlink" Target="https://www.who.int/news-room/fact-sheets/detail/osteoarthritis" TargetMode="External"/><Relationship Id="rId11" Type="http://schemas.openxmlformats.org/officeDocument/2006/relationships/hyperlink" Target="https://academic.oup.com/joh/article/62/1/e12103/7250011" TargetMode="External"/><Relationship Id="rId12" Type="http://schemas.openxmlformats.org/officeDocument/2006/relationships/hyperlink" Target="https://link.springer.com/article/10.1007/s43465-025-01520-4" TargetMode="External"/><Relationship Id="rId13" Type="http://schemas.openxmlformats.org/officeDocument/2006/relationships/hyperlink" Target="https://pubmed.ncbi.nlm.nih.gov/38059053/" TargetMode="External"/><Relationship Id="rId14" Type="http://schemas.openxmlformats.org/officeDocument/2006/relationships/hyperlink" Target="https://pmc.ncbi.nlm.nih.gov/articles/PMC4562436/" TargetMode="External"/><Relationship Id="rId15" Type="http://schemas.openxmlformats.org/officeDocument/2006/relationships/hyperlink" Target="https://research-information.bris.ac.uk/ws/files/209010511/2019_Swain_et_al_2019_Comorbidities_meta_analysis_Arthritis_Care_Research.pdf" TargetMode="External"/><Relationship Id="rId16" Type="http://schemas.openxmlformats.org/officeDocument/2006/relationships/hyperlink" Target="https://www.ncbi.nlm.nih.gov/books/NBK482326/" TargetMode="External"/><Relationship Id="rId17" Type="http://schemas.openxmlformats.org/officeDocument/2006/relationships/hyperlink" Target="https://www.cochrane.org/evidence/CD004376_exercise-effective-therapy-treat-knee-osteoarthritis" TargetMode="External"/><Relationship Id="rId18" Type="http://schemas.openxmlformats.org/officeDocument/2006/relationships/hyperlink" Target="https://www.jospt.org/doi/10.2519/jospt.2020.9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