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Gout</w:t>
      </w:r>
    </w:p>
    <w:p>
      <w:pPr>
        <w:spacing w:before="0" w:after="160"/>
      </w:pPr>
      <w:r>
        <w:rPr>
          <w:rFonts w:ascii="Calibri" w:hAnsi="Calibri"/>
          <w:b/>
          <w:i w:val="0"/>
          <w:color w:val="212121"/>
          <w:sz w:val="22"/>
        </w:rPr>
        <w:t xml:space="preserve">AKA </w:t>
      </w:r>
      <w:r>
        <w:rPr>
          <w:rFonts w:ascii="Calibri" w:hAnsi="Calibri"/>
          <w:b w:val="0"/>
          <w:i w:val="0"/>
          <w:color w:val="212121"/>
          <w:sz w:val="22"/>
        </w:rPr>
        <w:t>i.e., Gouty arthritis, Metabolic arthritis, Urate crystal arthropathy, Podagra (big-toe gout), “Rich man’s disease”; “Vata rakta” in Ayurveda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Gout is the most common inflammatory arthritis in adults and is caused by the deposition of monosodium urate (MSU) monohydrate crystals in joints and periarticular soft tissues, occurring on a background of chronic hyperuricemia (serum urate above the saturation threshold of ~6.8 mg/dL). It classically presents as recurrent, self-limiting acute flares of intense monoarticular pain, redness and swelling — most often at the first metatarsophalangeal joint (“podagra”) — and, if hyperuricemia is left untreated, progresses over years to chronic tophaceous disease with visible urate deposits, joint damage and deformity.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Gout affects roughly 1–6.8% of adults worldwide and about 3% in Indian estimates, with a strong male predominance (male:female ≈ 3–4:1). India carried an estimated 5.32 million prevalent cases of gout in the Global Burden of Disease 2021 analysis — the second-highest absolute burden among the BRICS nations after China — and the burden is rising with urbanisation, richer diets and obesity. Its precursor, asymptomatic hyperuricemia, is far more common: community surveys in India report hyperuricemia in up to ~30% of adults, and it is especially frequent among Indians with hypertension, type 2 diabetes and chronic kidney disease.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Gout is diagnosed clinically and confirmed against the 2015 ACR/EULAR classification criteria (entry criterion: at least one episode of swelling, pain or tenderness in a peripheral joint or bursa; a score ≥ 8 classifies gout, sensitivity 92% / specificity 89%).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monosodium urate (MSU) crystals — needle-shaped and negatively birefringent under compensated polarized-light microscopy — in synovial fluid or in aspirate from a tophus. This is the definitive (“sufficient”) criterion and gold standard.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Serum urate elevation, ideally measured when the patient is not in an acute flare; the criteria award the most points at ≥ 10 mg/dL. Note serum urate can be normal or low during an acute attack, so a normal level does not exclude gout.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typical clinical episode: rapid onset of monoarticular pain peaking within 12–24 hours, marked erythema and difficulty bearing weight, involving the first metatarsophalangeal joint, midfoot or ankle, with complete resolution within about two weeks.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Presence of a tophus — a draining or chalk-like subcutaneous nodule, often over joints, the olecranon bursa, finger pads or the helix of the ear.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imaging: the ultrasound “double-contour sign” (urate over cartilage; sensitivity ~83%, specificity ~76%), dual-energy CT urate deposition (sensitivity ~87%, specificity ~84%), or “punched-out” gouty erosions with overhanging edges on plain radiographs.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Gout is best understood as a continuum of four clinical stages of MSU-crystal disease, and can additionally be classified by underlying cause:</w:t>
      </w:r>
    </w:p>
    <w:p>
      <w:pPr>
        <w:spacing w:before="0" w:after="80"/>
      </w:pPr>
      <w:r>
        <w:rPr>
          <w:rFonts w:ascii="Calibri" w:hAnsi="Calibri"/>
          <w:b w:val="0"/>
          <w:i w:val="0"/>
          <w:color w:val="212121"/>
          <w:sz w:val="21"/>
        </w:rPr>
        <w:t>(1) Asymptomatic hyperuricemia — serum urate above the saturation point (~6.8 mg/dL) with tissue crystal formation but no clinical symptoms; only a minority ever progress to clinical gout.</w:t>
      </w:r>
    </w:p>
    <w:p>
      <w:pPr>
        <w:spacing w:before="0" w:after="80"/>
      </w:pPr>
      <w:r>
        <w:rPr>
          <w:rFonts w:ascii="Calibri" w:hAnsi="Calibri"/>
          <w:b w:val="0"/>
          <w:i w:val="0"/>
          <w:color w:val="212121"/>
          <w:sz w:val="21"/>
        </w:rPr>
        <w:t>(2) Acute gout flare — sudden, intensely painful monoarticular (occasionally oligo/polyarticular) inflammation that peaks within 24 hours and typically self-resolves over 3–14 days.</w:t>
      </w:r>
    </w:p>
    <w:p>
      <w:pPr>
        <w:spacing w:before="0" w:after="80"/>
      </w:pPr>
      <w:r>
        <w:rPr>
          <w:rFonts w:ascii="Calibri" w:hAnsi="Calibri"/>
          <w:b w:val="0"/>
          <w:i w:val="0"/>
          <w:color w:val="212121"/>
          <w:sz w:val="21"/>
        </w:rPr>
        <w:t>(3) Intercritical gout — the symptom-free interval between flares; crystal deposition continues silently and flares tend to recur with increasing frequency if urate is not lowered.</w:t>
      </w:r>
    </w:p>
    <w:p>
      <w:pPr>
        <w:spacing w:before="0" w:after="80"/>
      </w:pPr>
      <w:r>
        <w:rPr>
          <w:rFonts w:ascii="Calibri" w:hAnsi="Calibri"/>
          <w:b w:val="0"/>
          <w:i w:val="0"/>
          <w:color w:val="212121"/>
          <w:sz w:val="21"/>
        </w:rPr>
        <w:t>(4) Chronic tophaceous gout — longstanding uncontrolled disease with palpable tophi, chronic arthritis, bone/cartilage erosion and deformity.</w:t>
      </w:r>
    </w:p>
    <w:p>
      <w:pPr>
        <w:spacing w:before="0" w:after="80"/>
      </w:pPr>
      <w:r>
        <w:rPr>
          <w:rFonts w:ascii="Calibri" w:hAnsi="Calibri"/>
          <w:b w:val="0"/>
          <w:i w:val="0"/>
          <w:color w:val="212121"/>
          <w:sz w:val="21"/>
        </w:rPr>
        <w:t>By cause: primary/idiopathic gout (the majority) is driven by renal under-excretion of urate (~90% of cases) or, less often, urate over-production; secondary gout arises from chronic kidney disease, high cell-turnover states (myeloproliferative disease, tumour lysis, psoriasis) and drugs such as thiazide/loop diuretics, low-dose aspirin and ciclosporin.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Chronic hyperuricemia: When serum urate persistently exceeds its solubility limit (~6.8 mg/dL), MSU crystals nucleate in cooler, avascular peripheral joints and trigger NLRP3-inflammasome-driven inflammation — the direct cause of gout.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Renal / gut under-excretion of urate: Accounts for roughly 90% of hyperuricemia; reduced renal clearance is worsened by chronic kidney disease, dehydration and urate-retaining drugs.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Dietary purine and fructose load: High intake of red and organ meats, shellfish, beer/spirits and sugar-sweetened (fructose) beverages raises urate production and precipitates flares.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insulin resistance and metabolic syndrome: Excess adiposity and hyperinsulinaemia reduce renal urate excretion and are tightly linked to gout.</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Common polymorphisms in urate-transporter genes (e.g., ABCG2, SLC2A9, SLC22A12/URAT1) impair urate handling; serum urate is highly heritable and gout clusters in families.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Drugs and comorbidities: Thiazide and loop diuretics, low-dose aspirin, ciclosporin, hypertension, and high cell-turnover states (psoriasis, haematological malignancy, tumour lysis) raise urate.</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Non-modifiable factors: Male sex, advancing age, and loss of the uricosuric effect of oestrogen after menopause in women.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Middle-aged adults (men ~30–50 years)</w:t>
            </w:r>
          </w:p>
        </w:tc>
        <w:tc>
          <w:tcPr>
            <w:tcW w:type="dxa" w:w="4276"/>
            <w:vAlign w:val="top"/>
          </w:tcPr>
          <w:p>
            <w:pPr>
              <w:spacing w:after="60" w:line="259" w:lineRule="auto"/>
            </w:pPr>
            <w:r>
              <w:rPr>
                <w:rFonts w:ascii="Calibri" w:hAnsi="Calibri"/>
                <w:b w:val="0"/>
                <w:i w:val="0"/>
                <w:color w:val="212121"/>
                <w:sz w:val="19"/>
              </w:rPr>
              <w:t>Gout typically first appears in men from the fourth decade onward, after years of sustained hyperuricemia allow MSU crystals to accumulate. Cumulative dietary, alcohol and metabolic exposures push serum urate past the saturation threshold, and the first flare is usually podagra (big-toe joint).</w:t>
            </w:r>
          </w:p>
          <w:p>
            <w:pPr>
              <w:spacing w:after="40" w:before="60" w:line="259" w:lineRule="auto"/>
            </w:pPr>
            <w:r>
              <w:rPr>
                <w:rFonts w:ascii="Calibri" w:hAnsi="Calibri"/>
                <w:b w:val="0"/>
                <w:i w:val="0"/>
                <w:color w:val="212121"/>
                <w:sz w:val="19"/>
              </w:rPr>
              <w:t>India carried an estimated 5.32 million prevalent gout cases in GBD 2021 — the second-highest burden among BRICS nations after China — with prevalence rising through middle age.</w:t>
            </w:r>
          </w:p>
          <w:p>
            <w:pPr>
              <w:spacing w:after="40" w:line="252" w:lineRule="auto"/>
            </w:pPr>
            <w:hyperlink r:id="rId9">
              <w:r>
                <w:rPr>
                  <w:rFonts w:ascii="Calibri" w:hAnsi="Calibri" w:cs="Calibri"/>
                  <w:sz w:val="18"/>
                  <w:color w:val="1155CC"/>
                  <w:u w:val="single"/>
                </w:rPr>
                <w:t xml:space="preserve">journals.plos.org — GBD 2021 gout in BRICS</w:t>
              </w:r>
            </w:hyperlink>
          </w:p>
          <w:p>
            <w:pPr>
              <w:spacing w:before="60" w:after="40"/>
            </w:pPr>
            <w:r>
              <w:rPr>
                <w:rFonts w:ascii="Calibri" w:hAnsi="Calibri"/>
                <w:b w:val="0"/>
                <w:i w:val="0"/>
                <w:color w:val="5A5A5A"/>
                <w:sz w:val="18"/>
              </w:rPr>
              <w:t>#gout  #hyperuricemia  #podagra  #middleage  #uricacid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In older adults the sex gap narrows and gout becomes more polyarticular and tophaceous. Age-related decline in renal urate clearance, frequent diuretic use for hypertension/heart failure and chronic kidney disease all elevate urate.</w:t>
            </w:r>
          </w:p>
          <w:p>
            <w:pPr>
              <w:spacing w:after="40" w:before="60" w:line="259" w:lineRule="auto"/>
            </w:pPr>
            <w:r>
              <w:rPr>
                <w:rFonts w:ascii="Calibri" w:hAnsi="Calibri"/>
                <w:b w:val="0"/>
                <w:i w:val="0"/>
                <w:color w:val="212121"/>
                <w:sz w:val="19"/>
              </w:rPr>
              <w:t>Gout prevalence rises steadily with age; diuretic use and reduced renal function make the elderly a high-risk group and complicate urate-lowering therapy.</w:t>
            </w:r>
          </w:p>
          <w:p>
            <w:pPr>
              <w:spacing w:after="40" w:line="252" w:lineRule="auto"/>
            </w:pPr>
            <w:hyperlink r:id="rId10">
              <w:r>
                <w:rPr>
                  <w:rFonts w:ascii="Calibri" w:hAnsi="Calibri" w:cs="Calibri"/>
                  <w:sz w:val="18"/>
                  <w:color w:val="1155CC"/>
                  <w:u w:val="single"/>
                </w:rPr>
                <w:t xml:space="preserve">ncbi.nlm.nih.gov — Gout (StatPearls)</w:t>
              </w:r>
            </w:hyperlink>
          </w:p>
          <w:p>
            <w:pPr>
              <w:spacing w:before="60" w:after="40"/>
            </w:pPr>
            <w:r>
              <w:rPr>
                <w:rFonts w:ascii="Calibri" w:hAnsi="Calibri"/>
                <w:b w:val="0"/>
                <w:i w:val="0"/>
                <w:color w:val="5A5A5A"/>
                <w:sz w:val="18"/>
              </w:rPr>
              <w:t>#ageing  #diuretics  #renalclearance  #polyarticular  #tophi</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have higher baseline serum urate than pre-menopausal women (who benefit from oestrogen’s uricosuric effect) and carry more visceral fat, so gout is predominantly a male disease, with a male:female ratio of roughly 3–4:1.</w:t>
            </w:r>
          </w:p>
          <w:p>
            <w:pPr>
              <w:spacing w:after="40" w:before="60" w:line="259" w:lineRule="auto"/>
            </w:pPr>
            <w:r>
              <w:rPr>
                <w:rFonts w:ascii="Calibri" w:hAnsi="Calibri"/>
                <w:b w:val="0"/>
                <w:i w:val="0"/>
                <w:color w:val="212121"/>
                <w:sz w:val="19"/>
              </w:rPr>
              <w:t>In Western data gout affects about 5.9% of men versus 2% of women; alcohol raises risk more measurably in men (OR ≈ 1.59).</w:t>
            </w:r>
          </w:p>
          <w:p>
            <w:pPr>
              <w:spacing w:after="40" w:line="252" w:lineRule="auto"/>
            </w:pPr>
            <w:hyperlink r:id="rId10">
              <w:r>
                <w:rPr>
                  <w:rFonts w:ascii="Calibri" w:hAnsi="Calibri" w:cs="Calibri"/>
                  <w:sz w:val="18"/>
                  <w:color w:val="1155CC"/>
                  <w:u w:val="single"/>
                </w:rPr>
                <w:t xml:space="preserve">ncbi.nlm.nih.gov — Gout (StatPearls)</w:t>
              </w:r>
            </w:hyperlink>
          </w:p>
          <w:p>
            <w:pPr>
              <w:spacing w:before="60" w:after="40"/>
            </w:pPr>
            <w:r>
              <w:rPr>
                <w:rFonts w:ascii="Calibri" w:hAnsi="Calibri"/>
                <w:b w:val="0"/>
                <w:i w:val="0"/>
                <w:color w:val="5A5A5A"/>
                <w:sz w:val="18"/>
              </w:rPr>
              <w:t>#male  #testosterone  #visceralfat  #alcohol  #uricacid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Post-menopausal women</w:t>
            </w:r>
          </w:p>
        </w:tc>
        <w:tc>
          <w:tcPr>
            <w:tcW w:type="dxa" w:w="4276"/>
            <w:vAlign w:val="top"/>
          </w:tcPr>
          <w:p>
            <w:pPr>
              <w:spacing w:after="60" w:line="259" w:lineRule="auto"/>
            </w:pPr>
            <w:r>
              <w:rPr>
                <w:rFonts w:ascii="Calibri" w:hAnsi="Calibri"/>
                <w:b w:val="0"/>
                <w:i w:val="0"/>
                <w:color w:val="212121"/>
                <w:sz w:val="19"/>
              </w:rPr>
              <w:t>Before menopause oestrogen promotes renal urate excretion and keeps serum urate low, so women are relatively protected. After menopause this effect is lost, urate rises and the incidence of gout climbs, often in a more polyarticular pattern with hand involvement.</w:t>
            </w:r>
          </w:p>
          <w:p>
            <w:pPr>
              <w:spacing w:after="40" w:before="60" w:line="259" w:lineRule="auto"/>
            </w:pPr>
            <w:r>
              <w:rPr>
                <w:rFonts w:ascii="Calibri" w:hAnsi="Calibri"/>
                <w:b w:val="0"/>
                <w:i w:val="0"/>
                <w:color w:val="212121"/>
                <w:sz w:val="19"/>
              </w:rPr>
              <w:t>Gout is uncommon in women before menopause; incidence rises after menopause as the uricosuric effect of oestrogen is lost.</w:t>
            </w:r>
          </w:p>
          <w:p>
            <w:pPr>
              <w:spacing w:after="40" w:line="252" w:lineRule="auto"/>
            </w:pPr>
            <w:hyperlink r:id="rId11">
              <w:r>
                <w:rPr>
                  <w:rFonts w:ascii="Calibri" w:hAnsi="Calibri" w:cs="Calibri"/>
                  <w:sz w:val="18"/>
                  <w:color w:val="1155CC"/>
                  <w:u w:val="single"/>
                </w:rPr>
                <w:t xml:space="preserve">nature.com — global epidemiology of gout</w:t>
              </w:r>
            </w:hyperlink>
          </w:p>
          <w:p>
            <w:pPr>
              <w:spacing w:before="60" w:after="40"/>
            </w:pPr>
            <w:r>
              <w:rPr>
                <w:rFonts w:ascii="Calibri" w:hAnsi="Calibri"/>
                <w:b w:val="0"/>
                <w:i w:val="0"/>
                <w:color w:val="5A5A5A"/>
                <w:sz w:val="18"/>
              </w:rPr>
              <w:t>#menopause  #oestrogen  #women  #lateonset  #hyperuricemia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Affluent / urban Indians</w:t>
            </w:r>
          </w:p>
        </w:tc>
        <w:tc>
          <w:tcPr>
            <w:tcW w:type="dxa" w:w="4276"/>
            <w:vAlign w:val="top"/>
          </w:tcPr>
          <w:p>
            <w:pPr>
              <w:spacing w:after="60" w:line="259" w:lineRule="auto"/>
            </w:pPr>
            <w:r>
              <w:rPr>
                <w:rFonts w:ascii="Calibri" w:hAnsi="Calibri"/>
                <w:b w:val="0"/>
                <w:i w:val="0"/>
                <w:color w:val="212121"/>
                <w:sz w:val="19"/>
              </w:rPr>
              <w:t>Historically the “disease of kings”, gout tracks with rich, meat- and alcohol-heavy diets, sugary drinks and sedentary living. Rapid urbanisation and rising incomes in India are increasing purine, fructose and calorie intake and, with it, gout.</w:t>
            </w:r>
          </w:p>
          <w:p>
            <w:pPr>
              <w:spacing w:after="40" w:before="60" w:line="259" w:lineRule="auto"/>
            </w:pPr>
            <w:r>
              <w:rPr>
                <w:rFonts w:ascii="Calibri" w:hAnsi="Calibri"/>
                <w:b w:val="0"/>
                <w:i w:val="0"/>
                <w:color w:val="212121"/>
                <w:sz w:val="19"/>
              </w:rPr>
              <w:t>The rising Indian gout burden is attributed to urbanisation, richer diets and increasing obesity and high-BMI exposure among men.</w:t>
            </w:r>
          </w:p>
          <w:p>
            <w:pPr>
              <w:spacing w:after="40" w:line="252" w:lineRule="auto"/>
            </w:pPr>
            <w:hyperlink r:id="rId9">
              <w:r>
                <w:rPr>
                  <w:rFonts w:ascii="Calibri" w:hAnsi="Calibri" w:cs="Calibri"/>
                  <w:sz w:val="18"/>
                  <w:color w:val="1155CC"/>
                  <w:u w:val="single"/>
                </w:rPr>
                <w:t xml:space="preserve">journals.plos.org — GBD 2021 gout in BRICS</w:t>
              </w:r>
            </w:hyperlink>
          </w:p>
          <w:p>
            <w:pPr>
              <w:spacing w:before="60" w:after="40"/>
            </w:pPr>
            <w:r>
              <w:rPr>
                <w:rFonts w:ascii="Calibri" w:hAnsi="Calibri"/>
                <w:b w:val="0"/>
                <w:i w:val="0"/>
                <w:color w:val="5A5A5A"/>
                <w:sz w:val="18"/>
              </w:rPr>
              <w:t>#affluence  #urbanisation  #richdiet  #nutritiontransition  #obesity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Coastal fish-eating populations (e.g., Kerala, coastal Andhra, Bengal)</w:t>
            </w:r>
          </w:p>
        </w:tc>
        <w:tc>
          <w:tcPr>
            <w:tcW w:type="dxa" w:w="4276"/>
            <w:vAlign w:val="top"/>
          </w:tcPr>
          <w:p>
            <w:pPr>
              <w:spacing w:after="60" w:line="259" w:lineRule="auto"/>
            </w:pPr>
            <w:r>
              <w:rPr>
                <w:rFonts w:ascii="Calibri" w:hAnsi="Calibri"/>
                <w:b w:val="0"/>
                <w:i w:val="0"/>
                <w:color w:val="212121"/>
                <w:sz w:val="19"/>
              </w:rPr>
              <w:t>Diets rich in seafood — sardines, mackerel, prawns, shellfish and small dried fish — deliver a heavy purine load that raises serum urate. Coastal Indian communities with high fish and shellfish intake therefore face greater hyperuricemia and gout risk.</w:t>
            </w:r>
          </w:p>
          <w:p>
            <w:pPr>
              <w:spacing w:after="40" w:before="60" w:line="259" w:lineRule="auto"/>
            </w:pPr>
            <w:r>
              <w:rPr>
                <w:rFonts w:ascii="Calibri" w:hAnsi="Calibri"/>
                <w:b w:val="0"/>
                <w:i w:val="0"/>
                <w:color w:val="212121"/>
                <w:sz w:val="19"/>
              </w:rPr>
              <w:t>Seafood is an established purine-rich risk factor for gout; frequent meat/seafood consumption was significantly associated with hyperuricemia in Indian community data.</w:t>
            </w:r>
          </w:p>
          <w:p>
            <w:pPr>
              <w:spacing w:after="40" w:line="252" w:lineRule="auto"/>
            </w:pPr>
            <w:hyperlink r:id="rId12">
              <w:r>
                <w:rPr>
                  <w:rFonts w:ascii="Calibri" w:hAnsi="Calibri" w:cs="Calibri"/>
                  <w:sz w:val="18"/>
                  <w:color w:val="1155CC"/>
                  <w:u w:val="single"/>
                </w:rPr>
                <w:t xml:space="preserve">njcmindia.com — rural India hyperuricemia study</w:t>
              </w:r>
            </w:hyperlink>
          </w:p>
          <w:p>
            <w:pPr>
              <w:spacing w:before="60" w:after="40"/>
            </w:pPr>
            <w:r>
              <w:rPr>
                <w:rFonts w:ascii="Calibri" w:hAnsi="Calibri"/>
                <w:b w:val="0"/>
                <w:i w:val="0"/>
                <w:color w:val="5A5A5A"/>
                <w:sz w:val="18"/>
              </w:rPr>
              <w:t>#seafood  #purines  #coastalindia  #fishdiet  #shellfish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adults (high meat/alcohol intake)</w:t>
            </w:r>
          </w:p>
        </w:tc>
        <w:tc>
          <w:tcPr>
            <w:tcW w:type="dxa" w:w="4276"/>
            <w:vAlign w:val="top"/>
          </w:tcPr>
          <w:p>
            <w:pPr>
              <w:spacing w:after="60" w:line="259" w:lineRule="auto"/>
            </w:pPr>
            <w:r>
              <w:rPr>
                <w:rFonts w:ascii="Calibri" w:hAnsi="Calibri"/>
                <w:b w:val="0"/>
                <w:i w:val="0"/>
                <w:color w:val="212121"/>
                <w:sz w:val="19"/>
              </w:rPr>
              <w:t>Northern and sub-Himalayan populations with high consumption of red meat, dairy and alcohol, together with a high prevalence of hypertension, show elevated serum urate. Hypertension itself independently drives urate retention.</w:t>
            </w:r>
          </w:p>
          <w:p>
            <w:pPr>
              <w:spacing w:after="40" w:before="60" w:line="259" w:lineRule="auto"/>
            </w:pPr>
            <w:r>
              <w:rPr>
                <w:rFonts w:ascii="Calibri" w:hAnsi="Calibri"/>
                <w:b w:val="0"/>
                <w:i w:val="0"/>
                <w:color w:val="212121"/>
                <w:sz w:val="19"/>
              </w:rPr>
              <w:t>A case-control study from the sub-Himalayan region of North India identified hypertension as a determinant of hyperuricemia.</w:t>
            </w:r>
          </w:p>
          <w:p>
            <w:pPr>
              <w:spacing w:after="40" w:line="252" w:lineRule="auto"/>
            </w:pPr>
            <w:hyperlink r:id="rId13">
              <w:r>
                <w:rPr>
                  <w:rFonts w:ascii="Calibri" w:hAnsi="Calibri" w:cs="Calibri"/>
                  <w:sz w:val="18"/>
                  <w:color w:val="1155CC"/>
                  <w:u w:val="single"/>
                </w:rPr>
                <w:t xml:space="preserve">pubmed.ncbi.nlm.nih.gov/30341839</w:t>
              </w:r>
            </w:hyperlink>
          </w:p>
          <w:p>
            <w:pPr>
              <w:spacing w:before="60" w:after="40"/>
            </w:pPr>
            <w:r>
              <w:rPr>
                <w:rFonts w:ascii="Calibri" w:hAnsi="Calibri"/>
                <w:b w:val="0"/>
                <w:i w:val="0"/>
                <w:color w:val="5A5A5A"/>
                <w:sz w:val="18"/>
              </w:rPr>
              <w:t>#northindia  #redmeat  #alcohol  #hypertension  #subhimalayan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vs urban</w:t>
            </w:r>
          </w:p>
        </w:tc>
        <w:tc>
          <w:tcPr>
            <w:tcW w:type="dxa" w:w="2160"/>
            <w:vAlign w:val="top"/>
          </w:tcPr>
          <w:p>
            <w:pPr>
              <w:spacing w:after="40" w:before="0" w:line="259" w:lineRule="auto"/>
            </w:pPr>
            <w:r>
              <w:rPr>
                <w:rFonts w:ascii="Calibri" w:hAnsi="Calibri"/>
                <w:b w:val="0"/>
                <w:i w:val="0"/>
                <w:color w:val="212121"/>
                <w:sz w:val="19"/>
              </w:rPr>
              <w:t>Rural Indian adults</w:t>
            </w:r>
          </w:p>
        </w:tc>
        <w:tc>
          <w:tcPr>
            <w:tcW w:type="dxa" w:w="4276"/>
            <w:vAlign w:val="top"/>
          </w:tcPr>
          <w:p>
            <w:pPr>
              <w:spacing w:after="60" w:line="259" w:lineRule="auto"/>
            </w:pPr>
            <w:r>
              <w:rPr>
                <w:rFonts w:ascii="Calibri" w:hAnsi="Calibri"/>
                <w:b w:val="0"/>
                <w:i w:val="0"/>
                <w:color w:val="212121"/>
                <w:sz w:val="19"/>
              </w:rPr>
              <w:t>Even outside affluent urban settings, hyperuricemia is surprisingly common in rural India, reflecting dietary shifts, alcohol use and rising central adiposity; a large reservoir of hyperuricemia underlies future gout.</w:t>
            </w:r>
          </w:p>
          <w:p>
            <w:pPr>
              <w:spacing w:after="40" w:before="60" w:line="259" w:lineRule="auto"/>
            </w:pPr>
            <w:r>
              <w:rPr>
                <w:rFonts w:ascii="Calibri" w:hAnsi="Calibri"/>
                <w:b w:val="0"/>
                <w:i w:val="0"/>
                <w:color w:val="212121"/>
                <w:sz w:val="19"/>
              </w:rPr>
              <w:t>A rural field-practice survey in Belagavi, Karnataka found an overall hyperuricemia prevalence of 32.7% among 300 adults, correlating with waist/hip measures and meat intake.</w:t>
            </w:r>
          </w:p>
          <w:p>
            <w:pPr>
              <w:spacing w:after="40" w:line="252" w:lineRule="auto"/>
            </w:pPr>
            <w:hyperlink r:id="rId12">
              <w:r>
                <w:rPr>
                  <w:rFonts w:ascii="Calibri" w:hAnsi="Calibri" w:cs="Calibri"/>
                  <w:sz w:val="18"/>
                  <w:color w:val="1155CC"/>
                  <w:u w:val="single"/>
                </w:rPr>
                <w:t xml:space="preserve">njcmindia.com — rural India hyperuricemia study</w:t>
              </w:r>
            </w:hyperlink>
          </w:p>
          <w:p>
            <w:pPr>
              <w:spacing w:before="60" w:after="40"/>
            </w:pPr>
            <w:r>
              <w:rPr>
                <w:rFonts w:ascii="Calibri" w:hAnsi="Calibri"/>
                <w:b w:val="0"/>
                <w:i w:val="0"/>
                <w:color w:val="5A5A5A"/>
                <w:sz w:val="18"/>
              </w:rPr>
              <w:t>#ruralindia  #hyperuricemia  #waisthip  #belagavi  #centraladiposity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Obese</w:t>
            </w:r>
          </w:p>
        </w:tc>
        <w:tc>
          <w:tcPr>
            <w:tcW w:type="dxa" w:w="2160"/>
            <w:vAlign w:val="top"/>
          </w:tcPr>
          <w:p>
            <w:pPr>
              <w:spacing w:after="40" w:before="0" w:line="259" w:lineRule="auto"/>
            </w:pPr>
            <w:r>
              <w:rPr>
                <w:rFonts w:ascii="Calibri" w:hAnsi="Calibri"/>
                <w:b w:val="0"/>
                <w:i w:val="0"/>
                <w:color w:val="212121"/>
                <w:sz w:val="19"/>
              </w:rPr>
              <w:t>Office workers and centrally obese adults</w:t>
            </w:r>
          </w:p>
        </w:tc>
        <w:tc>
          <w:tcPr>
            <w:tcW w:type="dxa" w:w="4276"/>
            <w:vAlign w:val="top"/>
          </w:tcPr>
          <w:p>
            <w:pPr>
              <w:spacing w:after="60" w:line="259" w:lineRule="auto"/>
            </w:pPr>
            <w:r>
              <w:rPr>
                <w:rFonts w:ascii="Calibri" w:hAnsi="Calibri"/>
                <w:b w:val="0"/>
                <w:i w:val="0"/>
                <w:color w:val="212121"/>
                <w:sz w:val="19"/>
              </w:rPr>
              <w:t>Physical inactivity and central obesity cause insulin resistance, which reduces renal urate excretion and raises serum urate. Obesity clusters with the other components of metabolic syndrome that accompany gout.</w:t>
            </w:r>
          </w:p>
          <w:p>
            <w:pPr>
              <w:spacing w:after="40" w:before="60" w:line="259" w:lineRule="auto"/>
            </w:pPr>
            <w:r>
              <w:rPr>
                <w:rFonts w:ascii="Calibri" w:hAnsi="Calibri"/>
                <w:b w:val="0"/>
                <w:i w:val="0"/>
                <w:color w:val="212121"/>
                <w:sz w:val="19"/>
              </w:rPr>
              <w:t>Metabolic syndrome was present in 66.5% of people with gout in a national survey, underscoring the obesity–insulin-resistance link.</w:t>
            </w:r>
          </w:p>
          <w:p>
            <w:pPr>
              <w:spacing w:after="40" w:line="252" w:lineRule="auto"/>
            </w:pPr>
            <w:hyperlink r:id="rId14">
              <w:r>
                <w:rPr>
                  <w:rFonts w:ascii="Calibri" w:hAnsi="Calibri" w:cs="Calibri"/>
                  <w:sz w:val="18"/>
                  <w:color w:val="1155CC"/>
                  <w:u w:val="single"/>
                </w:rPr>
                <w:t xml:space="preserve">springer — gout comorbidities (KNHANES)</w:t>
              </w:r>
            </w:hyperlink>
          </w:p>
          <w:p>
            <w:pPr>
              <w:spacing w:before="60" w:after="40"/>
            </w:pPr>
            <w:r>
              <w:rPr>
                <w:rFonts w:ascii="Calibri" w:hAnsi="Calibri"/>
                <w:b w:val="0"/>
                <w:i w:val="0"/>
                <w:color w:val="5A5A5A"/>
                <w:sz w:val="18"/>
              </w:rPr>
              <w:t>#obesity  #sedentary  #insulinresistance  #metabolicsyndrome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Beer and spirit drinkers</w:t>
            </w:r>
          </w:p>
        </w:tc>
        <w:tc>
          <w:tcPr>
            <w:tcW w:type="dxa" w:w="4276"/>
            <w:vAlign w:val="top"/>
          </w:tcPr>
          <w:p>
            <w:pPr>
              <w:spacing w:after="60" w:line="259" w:lineRule="auto"/>
            </w:pPr>
            <w:r>
              <w:rPr>
                <w:rFonts w:ascii="Calibri" w:hAnsi="Calibri"/>
                <w:b w:val="0"/>
                <w:i w:val="0"/>
                <w:color w:val="212121"/>
                <w:sz w:val="19"/>
              </w:rPr>
              <w:t>Alcohol raises urate by increasing purine turnover and reducing renal urate excretion; beer is doubly harmful because it also contains purines (guanosine). Binge drinking is a classic acute flare trigger.</w:t>
            </w:r>
          </w:p>
          <w:p>
            <w:pPr>
              <w:spacing w:after="40" w:before="60" w:line="259" w:lineRule="auto"/>
            </w:pPr>
            <w:r>
              <w:rPr>
                <w:rFonts w:ascii="Calibri" w:hAnsi="Calibri"/>
                <w:b w:val="0"/>
                <w:i w:val="0"/>
                <w:color w:val="212121"/>
                <w:sz w:val="19"/>
              </w:rPr>
              <w:t>A meta-analysis found alcohol increased gout/hyperuricemia risk (overall OR 1.69; gout OR 1.81), with beer (OR 1.27) the strongest and spirits (OR 1.19) next.</w:t>
            </w:r>
          </w:p>
          <w:p>
            <w:pPr>
              <w:spacing w:after="40" w:line="252" w:lineRule="auto"/>
            </w:pPr>
            <w:hyperlink r:id="rId15">
              <w:r>
                <w:rPr>
                  <w:rFonts w:ascii="Calibri" w:hAnsi="Calibri" w:cs="Calibri"/>
                  <w:sz w:val="18"/>
                  <w:color w:val="1155CC"/>
                  <w:u w:val="single"/>
                </w:rPr>
                <w:t xml:space="preserve">pmc.ncbi.nlm.nih.gov — alcohol &amp; gout meta-analysis</w:t>
              </w:r>
            </w:hyperlink>
          </w:p>
          <w:p>
            <w:pPr>
              <w:spacing w:before="60" w:after="40"/>
            </w:pPr>
            <w:r>
              <w:rPr>
                <w:rFonts w:ascii="Calibri" w:hAnsi="Calibri"/>
                <w:b w:val="0"/>
                <w:i w:val="0"/>
                <w:color w:val="5A5A5A"/>
                <w:sz w:val="18"/>
              </w:rPr>
              <w:t>#alcohol  #beer  #spirits  #bingedrinking  #flaretrigger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w:t>
            </w:r>
          </w:p>
        </w:tc>
        <w:tc>
          <w:tcPr>
            <w:tcW w:type="dxa" w:w="4276"/>
            <w:vAlign w:val="top"/>
          </w:tcPr>
          <w:p>
            <w:pPr>
              <w:spacing w:after="60" w:line="259" w:lineRule="auto"/>
            </w:pPr>
            <w:r>
              <w:rPr>
                <w:rFonts w:ascii="Calibri" w:hAnsi="Calibri"/>
                <w:b w:val="0"/>
                <w:i w:val="0"/>
                <w:color w:val="212121"/>
                <w:sz w:val="19"/>
              </w:rPr>
              <w:t>Smoking is not a strong independent cause of hyperuricemia, but it clusters with alcohol use, poor diet and cardiovascular risk, and worsens the vascular and renal comorbidity that accompanies gout.</w:t>
            </w:r>
          </w:p>
          <w:p>
            <w:pPr>
              <w:spacing w:after="40" w:before="60" w:line="259" w:lineRule="auto"/>
            </w:pPr>
            <w:r>
              <w:rPr>
                <w:rFonts w:ascii="Calibri" w:hAnsi="Calibri"/>
                <w:b w:val="0"/>
                <w:i w:val="0"/>
                <w:color w:val="212121"/>
                <w:sz w:val="19"/>
              </w:rPr>
              <w:t>Evidence for smoking as a direct cause of gout is weak and inconsistent; its main harm is via shared cardiometabolic risk.</w:t>
            </w:r>
          </w:p>
          <w:p>
            <w:pPr>
              <w:spacing w:before="60" w:after="40"/>
            </w:pPr>
            <w:r>
              <w:rPr>
                <w:rFonts w:ascii="Calibri" w:hAnsi="Calibri"/>
                <w:b w:val="0"/>
                <w:i w:val="0"/>
                <w:color w:val="5A5A5A"/>
                <w:sz w:val="18"/>
              </w:rPr>
              <w:t>#smoking  #cardiometabolic  #lifestylecluster  #vascularrisk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Purine-rich diet</w:t>
            </w:r>
          </w:p>
        </w:tc>
        <w:tc>
          <w:tcPr>
            <w:tcW w:type="dxa" w:w="2160"/>
            <w:vAlign w:val="top"/>
          </w:tcPr>
          <w:p>
            <w:pPr>
              <w:spacing w:after="40" w:before="0" w:line="259" w:lineRule="auto"/>
            </w:pPr>
            <w:r>
              <w:rPr>
                <w:rFonts w:ascii="Calibri" w:hAnsi="Calibri"/>
                <w:b w:val="0"/>
                <w:i w:val="0"/>
                <w:color w:val="212121"/>
                <w:sz w:val="19"/>
              </w:rPr>
              <w:t>High red-meat, organ-meat and seafood consumers</w:t>
            </w:r>
          </w:p>
        </w:tc>
        <w:tc>
          <w:tcPr>
            <w:tcW w:type="dxa" w:w="4276"/>
            <w:vAlign w:val="top"/>
          </w:tcPr>
          <w:p>
            <w:pPr>
              <w:spacing w:after="60" w:line="259" w:lineRule="auto"/>
            </w:pPr>
            <w:r>
              <w:rPr>
                <w:rFonts w:ascii="Calibri" w:hAnsi="Calibri"/>
                <w:b w:val="0"/>
                <w:i w:val="0"/>
                <w:color w:val="212121"/>
                <w:sz w:val="19"/>
              </w:rPr>
              <w:t>Purines from red meat, organ meats (liver, kidney, brain) and seafood are metabolised to uric acid, directly raising serum urate and precipitating flares. This is one of the most modifiable drivers of gout.</w:t>
            </w:r>
          </w:p>
          <w:p>
            <w:pPr>
              <w:spacing w:after="40" w:before="60" w:line="259" w:lineRule="auto"/>
            </w:pPr>
            <w:r>
              <w:rPr>
                <w:rFonts w:ascii="Calibri" w:hAnsi="Calibri"/>
                <w:b w:val="0"/>
                <w:i w:val="0"/>
                <w:color w:val="212121"/>
                <w:sz w:val="19"/>
              </w:rPr>
              <w:t>Frequency of meat consumption was significantly associated with hyperuricemia in an Indian rural cohort; red meat and seafood are established purine risk factors.</w:t>
            </w:r>
          </w:p>
          <w:p>
            <w:pPr>
              <w:spacing w:after="40" w:line="252" w:lineRule="auto"/>
            </w:pPr>
            <w:hyperlink r:id="rId12">
              <w:r>
                <w:rPr>
                  <w:rFonts w:ascii="Calibri" w:hAnsi="Calibri" w:cs="Calibri"/>
                  <w:sz w:val="18"/>
                  <w:color w:val="1155CC"/>
                  <w:u w:val="single"/>
                </w:rPr>
                <w:t xml:space="preserve">njcmindia.com — rural India hyperuricemia study</w:t>
              </w:r>
            </w:hyperlink>
          </w:p>
          <w:p>
            <w:pPr>
              <w:spacing w:before="60" w:after="40"/>
            </w:pPr>
            <w:r>
              <w:rPr>
                <w:rFonts w:ascii="Calibri" w:hAnsi="Calibri"/>
                <w:b w:val="0"/>
                <w:i w:val="0"/>
                <w:color w:val="5A5A5A"/>
                <w:sz w:val="18"/>
              </w:rPr>
              <w:t>#purines  #redmeat  #organmeat  #seafood  #diet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Sugar-sweetened beverages / fructose</w:t>
            </w:r>
          </w:p>
        </w:tc>
        <w:tc>
          <w:tcPr>
            <w:tcW w:type="dxa" w:w="2160"/>
            <w:vAlign w:val="top"/>
          </w:tcPr>
          <w:p>
            <w:pPr>
              <w:spacing w:after="40" w:before="0" w:line="259" w:lineRule="auto"/>
            </w:pPr>
            <w:r>
              <w:rPr>
                <w:rFonts w:ascii="Calibri" w:hAnsi="Calibri"/>
                <w:b w:val="0"/>
                <w:i w:val="0"/>
                <w:color w:val="212121"/>
                <w:sz w:val="19"/>
              </w:rPr>
              <w:t>Regular soft-drink and sweet consumers</w:t>
            </w:r>
          </w:p>
        </w:tc>
        <w:tc>
          <w:tcPr>
            <w:tcW w:type="dxa" w:w="4276"/>
            <w:vAlign w:val="top"/>
          </w:tcPr>
          <w:p>
            <w:pPr>
              <w:spacing w:after="60" w:line="259" w:lineRule="auto"/>
            </w:pPr>
            <w:r>
              <w:rPr>
                <w:rFonts w:ascii="Calibri" w:hAnsi="Calibri"/>
                <w:b w:val="0"/>
                <w:i w:val="0"/>
                <w:color w:val="212121"/>
                <w:sz w:val="19"/>
              </w:rPr>
              <w:t>Fructose is the only common sugar that raises uric acid, by consuming ATP during its metabolism and boosting purine breakdown. Sugary sodas, sweetened juices and Indian sweets therefore increase gout risk, especially in men.</w:t>
            </w:r>
          </w:p>
          <w:p>
            <w:pPr>
              <w:spacing w:after="40" w:before="60" w:line="259" w:lineRule="auto"/>
            </w:pPr>
            <w:r>
              <w:rPr>
                <w:rFonts w:ascii="Calibri" w:hAnsi="Calibri"/>
                <w:b w:val="0"/>
                <w:i w:val="0"/>
                <w:color w:val="212121"/>
                <w:sz w:val="19"/>
              </w:rPr>
              <w:t>A meta-analysis linked sugar-sweetened beverages to higher hyperuricemia (OR 1.33) and gout (OR 1.21), and fructose to gout (OR 1.66), with stronger effects in males.</w:t>
            </w:r>
          </w:p>
          <w:p>
            <w:pPr>
              <w:spacing w:after="40" w:line="252" w:lineRule="auto"/>
            </w:pPr>
            <w:hyperlink r:id="rId16">
              <w:r>
                <w:rPr>
                  <w:rFonts w:ascii="Calibri" w:hAnsi="Calibri" w:cs="Calibri"/>
                  <w:sz w:val="18"/>
                  <w:color w:val="1155CC"/>
                  <w:u w:val="single"/>
                </w:rPr>
                <w:t xml:space="preserve">frontiersin.org — SSB &amp; gout meta-analysis</w:t>
              </w:r>
            </w:hyperlink>
          </w:p>
          <w:p>
            <w:pPr>
              <w:spacing w:before="60" w:after="40"/>
            </w:pPr>
            <w:r>
              <w:rPr>
                <w:rFonts w:ascii="Calibri" w:hAnsi="Calibri"/>
                <w:b w:val="0"/>
                <w:i w:val="0"/>
                <w:color w:val="5A5A5A"/>
                <w:sz w:val="18"/>
              </w:rPr>
              <w:t>#fructose  #sugarydrinks  #softdrinks  #sweets  #uricacid</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gout patients / urate-transporter variants</w:t>
            </w:r>
          </w:p>
        </w:tc>
        <w:tc>
          <w:tcPr>
            <w:tcW w:type="dxa" w:w="4276"/>
            <w:vAlign w:val="top"/>
          </w:tcPr>
          <w:p>
            <w:pPr>
              <w:spacing w:after="60" w:line="259" w:lineRule="auto"/>
            </w:pPr>
            <w:r>
              <w:rPr>
                <w:rFonts w:ascii="Calibri" w:hAnsi="Calibri"/>
                <w:b w:val="0"/>
                <w:i w:val="0"/>
                <w:color w:val="212121"/>
                <w:sz w:val="19"/>
              </w:rPr>
              <w:t>Serum urate is highly heritable. Common variants in renal and gut urate transporters (ABCG2, SLC2A9, SLC22A12/URAT1) impair urate excretion, so gout clusters strongly in families independent of diet.</w:t>
            </w:r>
          </w:p>
          <w:p>
            <w:pPr>
              <w:spacing w:after="40" w:before="60" w:line="259" w:lineRule="auto"/>
            </w:pPr>
            <w:r>
              <w:rPr>
                <w:rFonts w:ascii="Calibri" w:hAnsi="Calibri"/>
                <w:b w:val="0"/>
                <w:i w:val="0"/>
                <w:color w:val="212121"/>
                <w:sz w:val="19"/>
              </w:rPr>
              <w:t>Serum urate is a highly heritable trait and gout clusters in families; urate-transporter polymorphisms are major genetic determinants.</w:t>
            </w:r>
          </w:p>
          <w:p>
            <w:pPr>
              <w:spacing w:after="40" w:line="252" w:lineRule="auto"/>
            </w:pPr>
            <w:hyperlink r:id="rId11">
              <w:r>
                <w:rPr>
                  <w:rFonts w:ascii="Calibri" w:hAnsi="Calibri" w:cs="Calibri"/>
                  <w:sz w:val="18"/>
                  <w:color w:val="1155CC"/>
                  <w:u w:val="single"/>
                </w:rPr>
                <w:t xml:space="preserve">nature.com — global epidemiology of gout</w:t>
              </w:r>
            </w:hyperlink>
          </w:p>
          <w:p>
            <w:pPr>
              <w:spacing w:before="60" w:after="40"/>
            </w:pPr>
            <w:r>
              <w:rPr>
                <w:rFonts w:ascii="Calibri" w:hAnsi="Calibri"/>
                <w:b w:val="0"/>
                <w:i w:val="0"/>
                <w:color w:val="5A5A5A"/>
                <w:sz w:val="18"/>
              </w:rPr>
              <w:t>#genetics  #ABCG2  #SLC2A9  #URAT1  #familyhistory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hypertension</w:t>
            </w:r>
          </w:p>
        </w:tc>
        <w:tc>
          <w:tcPr>
            <w:tcW w:type="dxa" w:w="4276"/>
            <w:vAlign w:val="top"/>
          </w:tcPr>
          <w:p>
            <w:pPr>
              <w:spacing w:after="60" w:line="259" w:lineRule="auto"/>
            </w:pPr>
            <w:r>
              <w:rPr>
                <w:rFonts w:ascii="Calibri" w:hAnsi="Calibri"/>
                <w:b w:val="0"/>
                <w:i w:val="0"/>
                <w:color w:val="212121"/>
                <w:sz w:val="19"/>
              </w:rPr>
              <w:t>Hypertension reduces renal blood flow and urate excretion, and the diuretics used to treat it further raise urate. The relationship is bidirectional — hyperuricemia also promotes hypertension.</w:t>
            </w:r>
          </w:p>
          <w:p>
            <w:pPr>
              <w:spacing w:after="40" w:before="60" w:line="259" w:lineRule="auto"/>
            </w:pPr>
            <w:r>
              <w:rPr>
                <w:rFonts w:ascii="Calibri" w:hAnsi="Calibri"/>
                <w:b w:val="0"/>
                <w:i w:val="0"/>
                <w:color w:val="212121"/>
                <w:sz w:val="19"/>
              </w:rPr>
              <w:t>Hypertension was present in about 54.9% of people with gout in a national survey.</w:t>
            </w:r>
          </w:p>
          <w:p>
            <w:pPr>
              <w:spacing w:after="40" w:line="252" w:lineRule="auto"/>
            </w:pPr>
            <w:hyperlink r:id="rId14">
              <w:r>
                <w:rPr>
                  <w:rFonts w:ascii="Calibri" w:hAnsi="Calibri" w:cs="Calibri"/>
                  <w:sz w:val="18"/>
                  <w:color w:val="1155CC"/>
                  <w:u w:val="single"/>
                </w:rPr>
                <w:t xml:space="preserve">springer — gout comorbidities (KNHANES)</w:t>
              </w:r>
            </w:hyperlink>
          </w:p>
          <w:p>
            <w:pPr>
              <w:spacing w:before="60" w:after="40"/>
            </w:pPr>
            <w:r>
              <w:rPr>
                <w:rFonts w:ascii="Calibri" w:hAnsi="Calibri"/>
                <w:b w:val="0"/>
                <w:i w:val="0"/>
                <w:color w:val="5A5A5A"/>
                <w:sz w:val="18"/>
              </w:rPr>
              <w:t>#hypertension  #diuretics  #renalexcretion  #bidirectional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kidney disease</w:t>
            </w:r>
          </w:p>
        </w:tc>
        <w:tc>
          <w:tcPr>
            <w:tcW w:type="dxa" w:w="2160"/>
            <w:vAlign w:val="top"/>
          </w:tcPr>
          <w:p>
            <w:pPr>
              <w:spacing w:after="40" w:before="0" w:line="259" w:lineRule="auto"/>
            </w:pPr>
            <w:r>
              <w:rPr>
                <w:rFonts w:ascii="Calibri" w:hAnsi="Calibri"/>
                <w:b w:val="0"/>
                <w:i w:val="0"/>
                <w:color w:val="212121"/>
                <w:sz w:val="19"/>
              </w:rPr>
              <w:t>Patients with CKD</w:t>
            </w:r>
          </w:p>
        </w:tc>
        <w:tc>
          <w:tcPr>
            <w:tcW w:type="dxa" w:w="4276"/>
            <w:vAlign w:val="top"/>
          </w:tcPr>
          <w:p>
            <w:pPr>
              <w:spacing w:after="60" w:line="259" w:lineRule="auto"/>
            </w:pPr>
            <w:r>
              <w:rPr>
                <w:rFonts w:ascii="Calibri" w:hAnsi="Calibri"/>
                <w:b w:val="0"/>
                <w:i w:val="0"/>
                <w:color w:val="212121"/>
                <w:sz w:val="19"/>
              </w:rPr>
              <w:t>The kidney excretes about two-thirds of the body’s uric acid, so declining renal function causes urate to accumulate. Gout and CKD reinforce each other, and urate crystals can further injure the kidney (urate nephropathy, stones).</w:t>
            </w:r>
          </w:p>
          <w:p>
            <w:pPr>
              <w:spacing w:after="40" w:before="60" w:line="259" w:lineRule="auto"/>
            </w:pPr>
            <w:r>
              <w:rPr>
                <w:rFonts w:ascii="Calibri" w:hAnsi="Calibri"/>
                <w:b w:val="0"/>
                <w:i w:val="0"/>
                <w:color w:val="212121"/>
                <w:sz w:val="19"/>
              </w:rPr>
              <w:t>Chronic kidney disease was present in about 13.5% of people with gout; under-excretion accounts for ~90% of hyperuricemia.</w:t>
            </w:r>
          </w:p>
          <w:p>
            <w:pPr>
              <w:spacing w:after="40" w:line="252" w:lineRule="auto"/>
            </w:pPr>
            <w:hyperlink r:id="rId14">
              <w:r>
                <w:rPr>
                  <w:rFonts w:ascii="Calibri" w:hAnsi="Calibri" w:cs="Calibri"/>
                  <w:sz w:val="18"/>
                  <w:color w:val="1155CC"/>
                  <w:u w:val="single"/>
                </w:rPr>
                <w:t xml:space="preserve">springer — gout comorbidities (KNHANES)</w:t>
              </w:r>
            </w:hyperlink>
          </w:p>
          <w:p>
            <w:pPr>
              <w:spacing w:before="60" w:after="40"/>
            </w:pPr>
            <w:r>
              <w:rPr>
                <w:rFonts w:ascii="Calibri" w:hAnsi="Calibri"/>
                <w:b w:val="0"/>
                <w:i w:val="0"/>
                <w:color w:val="5A5A5A"/>
                <w:sz w:val="18"/>
              </w:rPr>
              <w:t>#CKD  #renalfunction  #underexcretion  #uratenephropathy  #stones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 / Metabolic syndrome</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Central obesity and insulin resistance reduce urate excretion and raise production; gout is now regarded as a metabolic-syndrome-associated arthritis.</w:t>
            </w:r>
          </w:p>
          <w:p>
            <w:pPr>
              <w:spacing w:after="40" w:before="60" w:line="259" w:lineRule="auto"/>
            </w:pPr>
            <w:r>
              <w:rPr>
                <w:rFonts w:ascii="Calibri" w:hAnsi="Calibri"/>
                <w:b w:val="0"/>
                <w:i w:val="0"/>
                <w:color w:val="212121"/>
                <w:sz w:val="19"/>
              </w:rPr>
              <w:t>Metabolic syndrome was present in about 66.5% of people with gout — the most common associated condition.</w:t>
            </w:r>
          </w:p>
          <w:p>
            <w:pPr>
              <w:spacing w:after="40" w:line="252" w:lineRule="auto"/>
            </w:pPr>
            <w:hyperlink r:id="rId14">
              <w:r>
                <w:rPr>
                  <w:rFonts w:ascii="Calibri" w:hAnsi="Calibri" w:cs="Calibri"/>
                  <w:sz w:val="18"/>
                  <w:color w:val="1155CC"/>
                  <w:u w:val="single"/>
                </w:rPr>
                <w:t xml:space="preserve">springer — gout comorbidities (KNHANES)</w:t>
              </w:r>
            </w:hyperlink>
          </w:p>
          <w:p>
            <w:pPr>
              <w:spacing w:before="60" w:after="40"/>
            </w:pPr>
            <w:r>
              <w:rPr>
                <w:rFonts w:ascii="Calibri" w:hAnsi="Calibri"/>
                <w:b w:val="0"/>
                <w:i w:val="0"/>
                <w:color w:val="5A5A5A"/>
                <w:sz w:val="18"/>
              </w:rPr>
              <w:t>#metabolicsyndrome  #obesity  #insulinresistance  #centraladiposity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w:t>
            </w:r>
          </w:p>
        </w:tc>
        <w:tc>
          <w:tcPr>
            <w:tcW w:type="dxa" w:w="2160"/>
            <w:vAlign w:val="top"/>
          </w:tcPr>
          <w:p>
            <w:pPr>
              <w:spacing w:after="40" w:before="0" w:line="259" w:lineRule="auto"/>
            </w:pPr>
            <w:r>
              <w:rPr>
                <w:rFonts w:ascii="Calibri" w:hAnsi="Calibri"/>
                <w:b w:val="0"/>
                <w:i w:val="0"/>
                <w:color w:val="212121"/>
                <w:sz w:val="19"/>
              </w:rPr>
              <w:t>Patients with type 2 diabetes / dyslipidemia</w:t>
            </w:r>
          </w:p>
        </w:tc>
        <w:tc>
          <w:tcPr>
            <w:tcW w:type="dxa" w:w="4276"/>
            <w:vAlign w:val="top"/>
          </w:tcPr>
          <w:p>
            <w:pPr>
              <w:spacing w:after="60" w:line="259" w:lineRule="auto"/>
            </w:pPr>
            <w:r>
              <w:rPr>
                <w:rFonts w:ascii="Calibri" w:hAnsi="Calibri"/>
                <w:b w:val="0"/>
                <w:i w:val="0"/>
                <w:color w:val="212121"/>
                <w:sz w:val="19"/>
              </w:rPr>
              <w:t>Insulin resistance in type 2 diabetes lowers renal urate clearance, and gout, diabetes and dyslipidemia share the same metabolic soil; each worsens cardiovascular risk.</w:t>
            </w:r>
          </w:p>
          <w:p>
            <w:pPr>
              <w:spacing w:after="40" w:before="60" w:line="259" w:lineRule="auto"/>
            </w:pPr>
            <w:r>
              <w:rPr>
                <w:rFonts w:ascii="Calibri" w:hAnsi="Calibri"/>
                <w:b w:val="0"/>
                <w:i w:val="0"/>
                <w:color w:val="212121"/>
                <w:sz w:val="19"/>
              </w:rPr>
              <w:t>Among people with gout, diabetes mellitus was present in ~19.1% and dyslipidemia in ~41.2%.</w:t>
            </w:r>
          </w:p>
          <w:p>
            <w:pPr>
              <w:spacing w:after="40" w:line="252" w:lineRule="auto"/>
            </w:pPr>
            <w:hyperlink r:id="rId14">
              <w:r>
                <w:rPr>
                  <w:rFonts w:ascii="Calibri" w:hAnsi="Calibri" w:cs="Calibri"/>
                  <w:sz w:val="18"/>
                  <w:color w:val="1155CC"/>
                  <w:u w:val="single"/>
                </w:rPr>
                <w:t xml:space="preserve">springer — gout comorbidities (KNHANES)</w:t>
              </w:r>
            </w:hyperlink>
          </w:p>
          <w:p>
            <w:pPr>
              <w:spacing w:before="60" w:after="40"/>
            </w:pPr>
            <w:r>
              <w:rPr>
                <w:rFonts w:ascii="Calibri" w:hAnsi="Calibri"/>
                <w:b w:val="0"/>
                <w:i w:val="0"/>
                <w:color w:val="5A5A5A"/>
                <w:sz w:val="18"/>
              </w:rPr>
              <w:t>#type2diabetes  #dyslipidemia  #insulinresistance  #cardiometabolic  #comorbidity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Physical inactivity and the central obesity/insulin resistance that follow reduce renal urate excretion and raise serum urate; metabolic syndrome is present in ~66.5% of gout patients. Weight loss and regular activity lower urate, though vigorous exertion and dehydration can occasionally trigger a flare.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Purine-rich foods (red meat, organ meats, seafood) and fructose-containing sugary drinks strongly raise serum urate and precipitate flares; meat intake was significantly associated with hyperuricemia in Indian data, and SSBs raise gout risk (OR 1.21).</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Obstructive sleep apnoea is associated with hyperuricemia because intermittent hypoxia increases purine (ATP) turnover; direct evidence linking sleep duration alone to gout is limited.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is not a strong independent risk factor for hyperuricemia or gout; associations are weak and inconsistent and largely reflect shared cardiometabolic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raises urate by increasing purine turnover and reducing renal excretion; meta-analysis OR 1.69 overall (gout OR 1.81), highest for beer (OR 1.27) then spirits (OR 1.19), with binge drinking a classic acute flare trigger.</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Acute stress and depression are common in chronic gout and can indirectly worsen diet, alcohol use and adherence; direct causal links to urate are weak.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supports urinary urate excretion and lowers the risk of MSU crystallisation and uric-acid kidney stones; dehydration concentrates urate and can precipitate a flare.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Long-term coffee consumption is associated with lower serum urate and reduced gout risk (a recognised protective dietary factor), whereas acute caffeine has negligible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Hygiene does not cause gout, but is important once tophi ulcerate and discharge chalky material, as broken skin can become secondarily infected.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Well-recognised flare triggers include purine or alcohol binges, dehydration, trauma or surgery, acute illness/infection, crash dieting/fasting, and abrupt changes in serum urate (including initiation of urate-lowering therapy) and diuretics.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uric acid</w:t>
            </w:r>
          </w:p>
        </w:tc>
        <w:tc>
          <w:tcPr>
            <w:tcW w:type="dxa" w:w="1655"/>
            <w:vAlign w:val="top"/>
          </w:tcPr>
          <w:p>
            <w:pPr>
              <w:spacing w:after="40" w:before="0" w:line="259" w:lineRule="auto"/>
            </w:pPr>
            <w:r>
              <w:rPr>
                <w:rFonts w:ascii="Calibri" w:hAnsi="Calibri"/>
                <w:b w:val="0"/>
                <w:i w:val="0"/>
                <w:color w:val="212121"/>
                <w:sz w:val="19"/>
              </w:rPr>
              <w:t>Adults with/at risk of gout</w:t>
            </w:r>
          </w:p>
        </w:tc>
        <w:tc>
          <w:tcPr>
            <w:tcW w:type="dxa" w:w="1512"/>
            <w:vAlign w:val="top"/>
          </w:tcPr>
          <w:p>
            <w:pPr>
              <w:spacing w:after="40" w:before="0" w:line="259" w:lineRule="auto"/>
            </w:pPr>
            <w:r>
              <w:rPr>
                <w:rFonts w:ascii="Calibri" w:hAnsi="Calibri"/>
                <w:b w:val="0"/>
                <w:i w:val="0"/>
                <w:color w:val="212121"/>
                <w:sz w:val="19"/>
              </w:rPr>
              <w:t>&lt; 6.0 mg/dL (treatment target; &lt; 5.0 if tophaceous)</w:t>
            </w:r>
          </w:p>
        </w:tc>
        <w:tc>
          <w:tcPr>
            <w:tcW w:type="dxa" w:w="1512"/>
            <w:vAlign w:val="top"/>
          </w:tcPr>
          <w:p>
            <w:pPr>
              <w:spacing w:after="40" w:before="0" w:line="259" w:lineRule="auto"/>
            </w:pPr>
            <w:r>
              <w:rPr>
                <w:rFonts w:ascii="Calibri" w:hAnsi="Calibri"/>
                <w:b w:val="0"/>
                <w:i w:val="0"/>
                <w:color w:val="212121"/>
                <w:sz w:val="19"/>
              </w:rPr>
              <w:t>&gt; 6.8 mg/dL (saturation threshold)</w:t>
            </w:r>
          </w:p>
        </w:tc>
        <w:tc>
          <w:tcPr>
            <w:tcW w:type="dxa" w:w="1468"/>
            <w:vAlign w:val="top"/>
          </w:tcPr>
          <w:p>
            <w:pPr>
              <w:spacing w:after="60" w:line="259" w:lineRule="auto"/>
            </w:pPr>
            <w:r>
              <w:rPr>
                <w:rFonts w:ascii="Calibri" w:hAnsi="Calibri"/>
                <w:b w:val="0"/>
                <w:i w:val="0"/>
                <w:color w:val="212121"/>
                <w:sz w:val="19"/>
              </w:rPr>
              <w:t>Above ~6.8 mg/dL urate supersaturates and MSU crystals form; may be normal during an acute flare</w:t>
            </w:r>
          </w:p>
          <w:p>
            <w:pPr>
              <w:spacing w:after="40" w:line="252" w:lineRule="auto"/>
            </w:pPr>
            <w:hyperlink r:id="rId10">
              <w:r>
                <w:rPr>
                  <w:rFonts w:ascii="Calibri" w:hAnsi="Calibri" w:cs="Calibri"/>
                  <w:sz w:val="18"/>
                  <w:color w:val="1155CC"/>
                  <w:u w:val="single"/>
                </w:rPr>
                <w:t xml:space="preserve">https://www.ncbi.nlm.nih.gov/books/NBK546606/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Purine-rich food servings</w:t>
            </w:r>
          </w:p>
        </w:tc>
        <w:tc>
          <w:tcPr>
            <w:tcW w:type="dxa" w:w="1655"/>
            <w:vAlign w:val="top"/>
          </w:tcPr>
          <w:p>
            <w:pPr>
              <w:spacing w:after="40" w:before="0" w:line="259" w:lineRule="auto"/>
            </w:pPr>
            <w:r>
              <w:rPr>
                <w:rFonts w:ascii="Calibri" w:hAnsi="Calibri"/>
                <w:b w:val="0"/>
                <w:i w:val="0"/>
                <w:color w:val="212121"/>
                <w:sz w:val="19"/>
              </w:rPr>
              <w:t>Meat/seafood/organ-meat eaters</w:t>
            </w:r>
          </w:p>
        </w:tc>
        <w:tc>
          <w:tcPr>
            <w:tcW w:type="dxa" w:w="1512"/>
            <w:vAlign w:val="top"/>
          </w:tcPr>
          <w:p>
            <w:pPr>
              <w:spacing w:after="40" w:before="0" w:line="259" w:lineRule="auto"/>
            </w:pPr>
            <w:r>
              <w:rPr>
                <w:rFonts w:ascii="Calibri" w:hAnsi="Calibri"/>
                <w:b w:val="0"/>
                <w:i w:val="0"/>
                <w:color w:val="212121"/>
                <w:sz w:val="19"/>
              </w:rPr>
              <w:t>Limit red/organ meat; avoid daily seafood</w:t>
            </w:r>
          </w:p>
        </w:tc>
        <w:tc>
          <w:tcPr>
            <w:tcW w:type="dxa" w:w="1512"/>
            <w:vAlign w:val="top"/>
          </w:tcPr>
          <w:p>
            <w:pPr>
              <w:spacing w:after="40" w:before="0" w:line="259" w:lineRule="auto"/>
            </w:pPr>
            <w:r>
              <w:rPr>
                <w:rFonts w:ascii="Calibri" w:hAnsi="Calibri"/>
                <w:b w:val="0"/>
                <w:i w:val="0"/>
                <w:color w:val="212121"/>
                <w:sz w:val="19"/>
              </w:rPr>
              <w:t>Frequent red meat, organ meat or shellfish</w:t>
            </w:r>
          </w:p>
        </w:tc>
        <w:tc>
          <w:tcPr>
            <w:tcW w:type="dxa" w:w="1468"/>
            <w:vAlign w:val="top"/>
          </w:tcPr>
          <w:p>
            <w:pPr>
              <w:spacing w:after="60" w:line="259" w:lineRule="auto"/>
            </w:pPr>
            <w:r>
              <w:rPr>
                <w:rFonts w:ascii="Calibri" w:hAnsi="Calibri"/>
                <w:b w:val="0"/>
                <w:i w:val="0"/>
                <w:color w:val="212121"/>
                <w:sz w:val="19"/>
              </w:rPr>
              <w:t>Purines are metabolised to uric acid; a strongly modifiable driver of flares</w:t>
            </w:r>
          </w:p>
          <w:p>
            <w:pPr>
              <w:spacing w:after="40" w:line="252" w:lineRule="auto"/>
            </w:pPr>
            <w:hyperlink r:id="rId12">
              <w:r>
                <w:rPr>
                  <w:rFonts w:ascii="Calibri" w:hAnsi="Calibri" w:cs="Calibri"/>
                  <w:sz w:val="18"/>
                  <w:color w:val="1155CC"/>
                  <w:u w:val="single"/>
                </w:rPr>
                <w:t xml:space="preserve">https://njcmindia.com/index.php/file/article/view/3381</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Sugar-sweetened / fructose drinks</w:t>
            </w:r>
          </w:p>
        </w:tc>
        <w:tc>
          <w:tcPr>
            <w:tcW w:type="dxa" w:w="1655"/>
            <w:vAlign w:val="top"/>
          </w:tcPr>
          <w:p>
            <w:pPr>
              <w:spacing w:after="40" w:before="0" w:line="259" w:lineRule="auto"/>
            </w:pPr>
            <w:r>
              <w:rPr>
                <w:rFonts w:ascii="Calibri" w:hAnsi="Calibri"/>
                <w:b w:val="0"/>
                <w:i w:val="0"/>
                <w:color w:val="212121"/>
                <w:sz w:val="19"/>
              </w:rPr>
              <w:t>Soft-drink and sweet consumers</w:t>
            </w:r>
          </w:p>
        </w:tc>
        <w:tc>
          <w:tcPr>
            <w:tcW w:type="dxa" w:w="1512"/>
            <w:vAlign w:val="top"/>
          </w:tcPr>
          <w:p>
            <w:pPr>
              <w:spacing w:after="40" w:before="0" w:line="259" w:lineRule="auto"/>
            </w:pPr>
            <w:r>
              <w:rPr>
                <w:rFonts w:ascii="Calibri" w:hAnsi="Calibri"/>
                <w:b w:val="0"/>
                <w:i w:val="0"/>
                <w:color w:val="212121"/>
                <w:sz w:val="19"/>
              </w:rPr>
              <w:t>Avoid sugary sodas and sweetened juices</w:t>
            </w:r>
          </w:p>
        </w:tc>
        <w:tc>
          <w:tcPr>
            <w:tcW w:type="dxa" w:w="1512"/>
            <w:vAlign w:val="top"/>
          </w:tcPr>
          <w:p>
            <w:pPr>
              <w:spacing w:after="40" w:before="0" w:line="259" w:lineRule="auto"/>
            </w:pPr>
            <w:r>
              <w:rPr>
                <w:rFonts w:ascii="Calibri" w:hAnsi="Calibri"/>
                <w:b w:val="0"/>
                <w:i w:val="0"/>
                <w:color w:val="212121"/>
                <w:sz w:val="19"/>
              </w:rPr>
              <w:t>≥ 1–2 sugary drinks/day</w:t>
            </w:r>
          </w:p>
        </w:tc>
        <w:tc>
          <w:tcPr>
            <w:tcW w:type="dxa" w:w="1468"/>
            <w:vAlign w:val="top"/>
          </w:tcPr>
          <w:p>
            <w:pPr>
              <w:spacing w:after="60" w:line="259" w:lineRule="auto"/>
            </w:pPr>
            <w:r>
              <w:rPr>
                <w:rFonts w:ascii="Calibri" w:hAnsi="Calibri"/>
                <w:b w:val="0"/>
                <w:i w:val="0"/>
                <w:color w:val="212121"/>
                <w:sz w:val="19"/>
              </w:rPr>
              <w:t>Fructose raises uric acid and gout risk (OR 1.21–1.66), more so in men</w:t>
            </w:r>
          </w:p>
          <w:p>
            <w:pPr>
              <w:spacing w:after="40" w:line="252" w:lineRule="auto"/>
            </w:pPr>
            <w:hyperlink r:id="rId16">
              <w:r>
                <w:rPr>
                  <w:rFonts w:ascii="Calibri" w:hAnsi="Calibri" w:cs="Calibri"/>
                  <w:sz w:val="18"/>
                  <w:color w:val="1155CC"/>
                  <w:u w:val="single"/>
                </w:rPr>
                <w:t xml:space="preserve">https://www.frontiersin.org/journals/nutrition/articles/10.3389/fnut.2025.1669129/full</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(esp. beer)</w:t>
            </w:r>
          </w:p>
        </w:tc>
        <w:tc>
          <w:tcPr>
            <w:tcW w:type="dxa" w:w="1655"/>
            <w:vAlign w:val="top"/>
          </w:tcPr>
          <w:p>
            <w:pPr>
              <w:spacing w:after="40" w:before="0" w:line="259" w:lineRule="auto"/>
            </w:pPr>
            <w:r>
              <w:rPr>
                <w:rFonts w:ascii="Calibri" w:hAnsi="Calibri"/>
                <w:b w:val="0"/>
                <w:i w:val="0"/>
                <w:color w:val="212121"/>
                <w:sz w:val="19"/>
              </w:rPr>
              <w:t>Adults, men, heavy drinkers</w:t>
            </w:r>
          </w:p>
        </w:tc>
        <w:tc>
          <w:tcPr>
            <w:tcW w:type="dxa" w:w="1512"/>
            <w:vAlign w:val="top"/>
          </w:tcPr>
          <w:p>
            <w:pPr>
              <w:spacing w:after="40" w:before="0" w:line="259" w:lineRule="auto"/>
            </w:pPr>
            <w:r>
              <w:rPr>
                <w:rFonts w:ascii="Calibri" w:hAnsi="Calibri"/>
                <w:b w:val="0"/>
                <w:i w:val="0"/>
                <w:color w:val="212121"/>
                <w:sz w:val="19"/>
              </w:rPr>
              <w:t>0; if any, minimal and avoid beer</w:t>
            </w:r>
          </w:p>
        </w:tc>
        <w:tc>
          <w:tcPr>
            <w:tcW w:type="dxa" w:w="1512"/>
            <w:vAlign w:val="top"/>
          </w:tcPr>
          <w:p>
            <w:pPr>
              <w:spacing w:after="40" w:before="0" w:line="259" w:lineRule="auto"/>
            </w:pPr>
            <w:r>
              <w:rPr>
                <w:rFonts w:ascii="Calibri" w:hAnsi="Calibri"/>
                <w:b w:val="0"/>
                <w:i w:val="0"/>
                <w:color w:val="212121"/>
                <w:sz w:val="19"/>
              </w:rPr>
              <w:t>Regular beer/spirits or any binge</w:t>
            </w:r>
          </w:p>
        </w:tc>
        <w:tc>
          <w:tcPr>
            <w:tcW w:type="dxa" w:w="1468"/>
            <w:vAlign w:val="top"/>
          </w:tcPr>
          <w:p>
            <w:pPr>
              <w:spacing w:after="60" w:line="259" w:lineRule="auto"/>
            </w:pPr>
            <w:r>
              <w:rPr>
                <w:rFonts w:ascii="Calibri" w:hAnsi="Calibri"/>
                <w:b w:val="0"/>
                <w:i w:val="0"/>
                <w:color w:val="212121"/>
                <w:sz w:val="19"/>
              </w:rPr>
              <w:t>Alcohol OR 1.69 for gout/hyperuricemia; beer highest (OR 1.27)</w:t>
            </w:r>
          </w:p>
          <w:p>
            <w:pPr>
              <w:spacing w:after="40" w:line="252" w:lineRule="auto"/>
            </w:pPr>
            <w:hyperlink r:id="rId15">
              <w:r>
                <w:rPr>
                  <w:rFonts w:ascii="Calibri" w:hAnsi="Calibri" w:cs="Calibri"/>
                  <w:sz w:val="18"/>
                  <w:color w:val="1155CC"/>
                  <w:u w:val="single"/>
                </w:rPr>
                <w:t xml:space="preserve">https://pmc.ncbi.nlm.nih.gov/articles/PMC12129753/</w:t>
              </w:r>
            </w:hyperlink>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(Asian-Indian cut-offs)</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40" w:before="0" w:line="259" w:lineRule="auto"/>
            </w:pPr>
            <w:r>
              <w:rPr>
                <w:rFonts w:ascii="Calibri" w:hAnsi="Calibri"/>
                <w:b w:val="0"/>
                <w:i w:val="0"/>
                <w:color w:val="212121"/>
                <w:sz w:val="19"/>
              </w:rPr>
              <w:t>Obesity lowers renal urate excretion; weight loss reduces urate and flares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centrally obese</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60" w:line="259" w:lineRule="auto"/>
            </w:pPr>
            <w:r>
              <w:rPr>
                <w:rFonts w:ascii="Calibri" w:hAnsi="Calibri"/>
                <w:b w:val="0"/>
                <w:i w:val="0"/>
                <w:color w:val="212121"/>
                <w:sz w:val="19"/>
              </w:rPr>
              <w:t>Central adiposity correlated with serum uric acid in Indian data</w:t>
            </w:r>
          </w:p>
          <w:p>
            <w:pPr>
              <w:spacing w:after="40" w:line="252" w:lineRule="auto"/>
            </w:pPr>
            <w:hyperlink r:id="rId12">
              <w:r>
                <w:rPr>
                  <w:rFonts w:ascii="Calibri" w:hAnsi="Calibri" w:cs="Calibri"/>
                  <w:sz w:val="18"/>
                  <w:color w:val="1155CC"/>
                  <w:u w:val="single"/>
                </w:rPr>
                <w:t xml:space="preserve">https://njcmindia.com/index.php/file/article/view/3381</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Gout / urate-stone-prone adults</w:t>
            </w:r>
          </w:p>
        </w:tc>
        <w:tc>
          <w:tcPr>
            <w:tcW w:type="dxa" w:w="1512"/>
            <w:vAlign w:val="top"/>
          </w:tcPr>
          <w:p>
            <w:pPr>
              <w:spacing w:after="40" w:before="0" w:line="259" w:lineRule="auto"/>
            </w:pPr>
            <w:r>
              <w:rPr>
                <w:rFonts w:ascii="Calibri" w:hAnsi="Calibri"/>
                <w:b w:val="0"/>
                <w:i w:val="0"/>
                <w:color w:val="212121"/>
                <w:sz w:val="19"/>
              </w:rPr>
              <w:t>≥ 2–3 L/day (unless restricted)</w:t>
            </w:r>
          </w:p>
        </w:tc>
        <w:tc>
          <w:tcPr>
            <w:tcW w:type="dxa" w:w="1512"/>
            <w:vAlign w:val="top"/>
          </w:tcPr>
          <w:p>
            <w:pPr>
              <w:spacing w:after="40" w:before="0" w:line="259" w:lineRule="auto"/>
            </w:pPr>
            <w:r>
              <w:rPr>
                <w:rFonts w:ascii="Calibri" w:hAnsi="Calibri"/>
                <w:b w:val="0"/>
                <w:i w:val="0"/>
                <w:color w:val="212121"/>
                <w:sz w:val="19"/>
              </w:rPr>
              <w:t>&lt; 1.5 L/day or dehydration</w:t>
            </w:r>
          </w:p>
        </w:tc>
        <w:tc>
          <w:tcPr>
            <w:tcW w:type="dxa" w:w="1468"/>
            <w:vAlign w:val="top"/>
          </w:tcPr>
          <w:p>
            <w:pPr>
              <w:spacing w:after="40" w:before="0" w:line="259" w:lineRule="auto"/>
            </w:pPr>
            <w:r>
              <w:rPr>
                <w:rFonts w:ascii="Calibri" w:hAnsi="Calibri"/>
                <w:b w:val="0"/>
                <w:i w:val="0"/>
                <w:color w:val="212121"/>
                <w:sz w:val="19"/>
              </w:rPr>
              <w:t>Good hydration lowers urate crystallisation and uric-acid stone risk</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Coffee consumption</w:t>
            </w:r>
          </w:p>
        </w:tc>
        <w:tc>
          <w:tcPr>
            <w:tcW w:type="dxa" w:w="1655"/>
            <w:vAlign w:val="top"/>
          </w:tcPr>
          <w:p>
            <w:pPr>
              <w:spacing w:after="40" w:before="0" w:line="259" w:lineRule="auto"/>
            </w:pPr>
            <w:r>
              <w:rPr>
                <w:rFonts w:ascii="Calibri" w:hAnsi="Calibri"/>
                <w:b w:val="0"/>
                <w:i w:val="0"/>
                <w:color w:val="212121"/>
                <w:sz w:val="19"/>
              </w:rPr>
              <w:t>Adults without contraindication</w:t>
            </w:r>
          </w:p>
        </w:tc>
        <w:tc>
          <w:tcPr>
            <w:tcW w:type="dxa" w:w="1512"/>
            <w:vAlign w:val="top"/>
          </w:tcPr>
          <w:p>
            <w:pPr>
              <w:spacing w:after="40" w:before="0" w:line="259" w:lineRule="auto"/>
            </w:pPr>
            <w:r>
              <w:rPr>
                <w:rFonts w:ascii="Calibri" w:hAnsi="Calibri"/>
                <w:b w:val="0"/>
                <w:i w:val="0"/>
                <w:color w:val="212121"/>
                <w:sz w:val="19"/>
              </w:rPr>
              <w:t>~2–3 cups/day (protective trend)</w:t>
            </w:r>
          </w:p>
        </w:tc>
        <w:tc>
          <w:tcPr>
            <w:tcW w:type="dxa" w:w="1512"/>
            <w:vAlign w:val="top"/>
          </w:tcPr>
          <w:p>
            <w:pPr>
              <w:spacing w:after="40" w:before="0" w:line="259" w:lineRule="auto"/>
            </w:pPr>
            <w:r>
              <w:rPr>
                <w:rFonts w:ascii="Calibri" w:hAnsi="Calibri"/>
                <w:b w:val="0"/>
                <w:i w:val="0"/>
                <w:color w:val="212121"/>
                <w:sz w:val="19"/>
              </w:rPr>
              <w:t>NA</w:t>
            </w:r>
          </w:p>
        </w:tc>
        <w:tc>
          <w:tcPr>
            <w:tcW w:type="dxa" w:w="1468"/>
            <w:vAlign w:val="top"/>
          </w:tcPr>
          <w:p>
            <w:pPr>
              <w:spacing w:after="60" w:line="259" w:lineRule="auto"/>
            </w:pPr>
            <w:r>
              <w:rPr>
                <w:rFonts w:ascii="Calibri" w:hAnsi="Calibri"/>
                <w:b w:val="0"/>
                <w:i w:val="0"/>
                <w:color w:val="212121"/>
                <w:sz w:val="19"/>
              </w:rPr>
              <w:t>Habitual coffee is associated with lower serum urate and gout risk</w:t>
            </w:r>
          </w:p>
          <w:p>
            <w:pPr>
              <w:spacing w:after="40" w:line="252" w:lineRule="auto"/>
            </w:pPr>
            <w:hyperlink r:id="rId11">
              <w:r>
                <w:rPr>
                  <w:rFonts w:ascii="Calibri" w:hAnsi="Calibri" w:cs="Calibri"/>
                  <w:sz w:val="18"/>
                  <w:color w:val="1155CC"/>
                  <w:u w:val="single"/>
                </w:rPr>
                <w:t xml:space="preserve">https://www.nature.com/articles/s41584-020-0441-1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 OSA screening</w:t>
            </w:r>
          </w:p>
        </w:tc>
        <w:tc>
          <w:tcPr>
            <w:tcW w:type="dxa" w:w="1655"/>
            <w:vAlign w:val="top"/>
          </w:tcPr>
          <w:p>
            <w:pPr>
              <w:spacing w:after="40" w:before="0" w:line="259" w:lineRule="auto"/>
            </w:pPr>
            <w:r>
              <w:rPr>
                <w:rFonts w:ascii="Calibri" w:hAnsi="Calibri"/>
                <w:b w:val="0"/>
                <w:i w:val="0"/>
                <w:color w:val="212121"/>
                <w:sz w:val="19"/>
              </w:rPr>
              <w:t>Obese, snorers, gout patients</w:t>
            </w:r>
          </w:p>
        </w:tc>
        <w:tc>
          <w:tcPr>
            <w:tcW w:type="dxa" w:w="1512"/>
            <w:vAlign w:val="top"/>
          </w:tcPr>
          <w:p>
            <w:pPr>
              <w:spacing w:after="40" w:before="0" w:line="259" w:lineRule="auto"/>
            </w:pPr>
            <w:r>
              <w:rPr>
                <w:rFonts w:ascii="Calibri" w:hAnsi="Calibri"/>
                <w:b w:val="0"/>
                <w:i w:val="0"/>
                <w:color w:val="212121"/>
                <w:sz w:val="19"/>
              </w:rPr>
              <w:t>7–9 h; no untreated OSA</w:t>
            </w:r>
          </w:p>
        </w:tc>
        <w:tc>
          <w:tcPr>
            <w:tcW w:type="dxa" w:w="1512"/>
            <w:vAlign w:val="top"/>
          </w:tcPr>
          <w:p>
            <w:pPr>
              <w:spacing w:after="40" w:before="0" w:line="259" w:lineRule="auto"/>
            </w:pPr>
            <w:r>
              <w:rPr>
                <w:rFonts w:ascii="Calibri" w:hAnsi="Calibri"/>
                <w:b w:val="0"/>
                <w:i w:val="0"/>
                <w:color w:val="212121"/>
                <w:sz w:val="19"/>
              </w:rPr>
              <w:t>Untreated obstructive sleep apnoea</w:t>
            </w:r>
          </w:p>
        </w:tc>
        <w:tc>
          <w:tcPr>
            <w:tcW w:type="dxa" w:w="1468"/>
            <w:vAlign w:val="top"/>
          </w:tcPr>
          <w:p>
            <w:pPr>
              <w:spacing w:after="40" w:before="0" w:line="259" w:lineRule="auto"/>
            </w:pPr>
            <w:r>
              <w:rPr>
                <w:rFonts w:ascii="Calibri" w:hAnsi="Calibri"/>
                <w:b w:val="0"/>
                <w:i w:val="0"/>
                <w:color w:val="212121"/>
                <w:sz w:val="19"/>
              </w:rPr>
              <w:t>OSA-related hypoxia raises purine turnover and urate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uric acid</w:t>
            </w:r>
          </w:p>
        </w:tc>
        <w:tc>
          <w:tcPr>
            <w:tcW w:type="dxa" w:w="892"/>
            <w:vAlign w:val="top"/>
          </w:tcPr>
          <w:p>
            <w:pPr>
              <w:spacing w:after="40" w:before="0" w:line="259" w:lineRule="auto"/>
            </w:pPr>
            <w:r>
              <w:rPr>
                <w:rFonts w:ascii="Calibri" w:hAnsi="Calibri"/>
                <w:b w:val="0"/>
                <w:i w:val="0"/>
                <w:color w:val="212121"/>
                <w:sz w:val="16"/>
              </w:rPr>
              <w:t>Blood urate test</w:t>
            </w:r>
          </w:p>
        </w:tc>
        <w:tc>
          <w:tcPr>
            <w:tcW w:type="dxa" w:w="950"/>
            <w:vAlign w:val="top"/>
          </w:tcPr>
          <w:p>
            <w:pPr>
              <w:spacing w:after="40" w:before="0" w:line="259" w:lineRule="auto"/>
            </w:pPr>
            <w:r>
              <w:rPr>
                <w:rFonts w:ascii="Calibri" w:hAnsi="Calibri"/>
                <w:b w:val="0"/>
                <w:i w:val="0"/>
                <w:color w:val="212121"/>
                <w:sz w:val="16"/>
              </w:rPr>
              <w:t>M 3.4–7.0 mg/dL; F 2.4–6.0 mg/dL</w:t>
            </w:r>
          </w:p>
        </w:tc>
        <w:tc>
          <w:tcPr>
            <w:tcW w:type="dxa" w:w="950"/>
            <w:vAlign w:val="top"/>
          </w:tcPr>
          <w:p>
            <w:pPr>
              <w:spacing w:after="40" w:before="0" w:line="259" w:lineRule="auto"/>
            </w:pPr>
            <w:r>
              <w:rPr>
                <w:rFonts w:ascii="Calibri" w:hAnsi="Calibri"/>
                <w:b w:val="0"/>
                <w:i w:val="0"/>
                <w:color w:val="212121"/>
                <w:sz w:val="16"/>
              </w:rPr>
              <w:t>&gt; 6.8 mg/dL (supersaturation)</w:t>
            </w:r>
          </w:p>
        </w:tc>
        <w:tc>
          <w:tcPr>
            <w:tcW w:type="dxa" w:w="1036"/>
            <w:vAlign w:val="top"/>
          </w:tcPr>
          <w:p>
            <w:pPr>
              <w:spacing w:after="40" w:before="0" w:line="259" w:lineRule="auto"/>
            </w:pPr>
            <w:r>
              <w:rPr>
                <w:rFonts w:ascii="Calibri" w:hAnsi="Calibri"/>
                <w:b w:val="0"/>
                <w:i w:val="0"/>
                <w:color w:val="212121"/>
                <w:sz w:val="16"/>
              </w:rPr>
              <w:t>Confirms hyperuricemia; can be normal/low during an acute flare, so recheck when settled</w:t>
            </w:r>
          </w:p>
        </w:tc>
        <w:tc>
          <w:tcPr>
            <w:tcW w:type="dxa" w:w="1036"/>
            <w:vAlign w:val="top"/>
          </w:tcPr>
          <w:p>
            <w:pPr>
              <w:spacing w:after="40" w:before="0" w:line="259" w:lineRule="auto"/>
            </w:pPr>
            <w:r>
              <w:rPr>
                <w:rFonts w:ascii="Calibri" w:hAnsi="Calibri"/>
                <w:b w:val="0"/>
                <w:i w:val="0"/>
                <w:color w:val="212121"/>
                <w:sz w:val="16"/>
              </w:rPr>
              <w:t>Adults with gout, hyperuricemic adults, high-risk adults</w:t>
            </w:r>
          </w:p>
        </w:tc>
        <w:tc>
          <w:tcPr>
            <w:tcW w:type="dxa" w:w="720"/>
            <w:vAlign w:val="top"/>
          </w:tcPr>
          <w:p>
            <w:pPr>
              <w:spacing w:after="40" w:before="0" w:line="259" w:lineRule="auto"/>
            </w:pPr>
            <w:r>
              <w:rPr>
                <w:rFonts w:ascii="Calibri" w:hAnsi="Calibri"/>
                <w:b w:val="0"/>
                <w:i w:val="0"/>
                <w:color w:val="212121"/>
                <w:sz w:val="16"/>
              </w:rPr>
              <w:t>Food; Alcohol; Physical activity</w:t>
            </w:r>
          </w:p>
        </w:tc>
        <w:tc>
          <w:tcPr>
            <w:tcW w:type="dxa" w:w="720"/>
            <w:vAlign w:val="top"/>
          </w:tcPr>
          <w:p>
            <w:pPr>
              <w:spacing w:after="40" w:before="0" w:line="259" w:lineRule="auto"/>
            </w:pPr>
            <w:r>
              <w:rPr>
                <w:rFonts w:ascii="Calibri" w:hAnsi="Calibri"/>
                <w:b w:val="0"/>
                <w:i w:val="0"/>
                <w:color w:val="212121"/>
                <w:sz w:val="16"/>
              </w:rPr>
              <w:t>Core test / monitoring target</w:t>
            </w:r>
          </w:p>
        </w:tc>
        <w:tc>
          <w:tcPr>
            <w:tcW w:type="dxa" w:w="720"/>
            <w:vAlign w:val="top"/>
          </w:tcPr>
          <w:p>
            <w:pPr>
              <w:spacing w:after="40" w:before="0" w:line="259" w:lineRule="auto"/>
            </w:pPr>
            <w:r>
              <w:rPr>
                <w:rFonts w:ascii="Calibri" w:hAnsi="Calibri"/>
                <w:b w:val="0"/>
                <w:i w:val="0"/>
                <w:color w:val="212121"/>
                <w:sz w:val="16"/>
              </w:rPr>
              <w:t>Treatment target &lt; 6.0 mg/dL (&lt; 5.0 mg/dL if tophi)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Synovial fluid MSU crystals</w:t>
            </w:r>
          </w:p>
        </w:tc>
        <w:tc>
          <w:tcPr>
            <w:tcW w:type="dxa" w:w="892"/>
            <w:vAlign w:val="top"/>
          </w:tcPr>
          <w:p>
            <w:pPr>
              <w:spacing w:after="40" w:before="0" w:line="259" w:lineRule="auto"/>
            </w:pPr>
            <w:r>
              <w:rPr>
                <w:rFonts w:ascii="Calibri" w:hAnsi="Calibri"/>
                <w:b w:val="0"/>
                <w:i w:val="0"/>
                <w:color w:val="212121"/>
                <w:sz w:val="16"/>
              </w:rPr>
              <w:t>Joint aspiration (arthrocentesis) + polarized microscopy</w:t>
            </w:r>
          </w:p>
        </w:tc>
        <w:tc>
          <w:tcPr>
            <w:tcW w:type="dxa" w:w="950"/>
            <w:vAlign w:val="top"/>
          </w:tcPr>
          <w:p>
            <w:pPr>
              <w:spacing w:after="40" w:before="0" w:line="259" w:lineRule="auto"/>
            </w:pPr>
            <w:r>
              <w:rPr>
                <w:rFonts w:ascii="Calibri" w:hAnsi="Calibri"/>
                <w:b w:val="0"/>
                <w:i w:val="0"/>
                <w:color w:val="212121"/>
                <w:sz w:val="16"/>
              </w:rPr>
              <w:t>No crystals; sterile fluid</w:t>
            </w:r>
          </w:p>
        </w:tc>
        <w:tc>
          <w:tcPr>
            <w:tcW w:type="dxa" w:w="950"/>
            <w:vAlign w:val="top"/>
          </w:tcPr>
          <w:p>
            <w:pPr>
              <w:spacing w:after="40" w:before="0" w:line="259" w:lineRule="auto"/>
            </w:pPr>
            <w:r>
              <w:rPr>
                <w:rFonts w:ascii="Calibri" w:hAnsi="Calibri"/>
                <w:b w:val="0"/>
                <w:i w:val="0"/>
                <w:color w:val="212121"/>
                <w:sz w:val="16"/>
              </w:rPr>
              <w:t>Needle-shaped, negatively birefringent MSU crystals</w:t>
            </w:r>
          </w:p>
        </w:tc>
        <w:tc>
          <w:tcPr>
            <w:tcW w:type="dxa" w:w="1036"/>
            <w:vAlign w:val="top"/>
          </w:tcPr>
          <w:p>
            <w:pPr>
              <w:spacing w:after="40" w:before="0" w:line="259" w:lineRule="auto"/>
            </w:pPr>
            <w:r>
              <w:rPr>
                <w:rFonts w:ascii="Calibri" w:hAnsi="Calibri"/>
                <w:b w:val="0"/>
                <w:i w:val="0"/>
                <w:color w:val="212121"/>
                <w:sz w:val="16"/>
              </w:rPr>
              <w:t>Definitive diagnosis of gout and excludes septic arthritis/pseudogout</w:t>
            </w:r>
          </w:p>
        </w:tc>
        <w:tc>
          <w:tcPr>
            <w:tcW w:type="dxa" w:w="1036"/>
            <w:vAlign w:val="top"/>
          </w:tcPr>
          <w:p>
            <w:pPr>
              <w:spacing w:after="40" w:before="0" w:line="259" w:lineRule="auto"/>
            </w:pPr>
            <w:r>
              <w:rPr>
                <w:rFonts w:ascii="Calibri" w:hAnsi="Calibri"/>
                <w:b w:val="0"/>
                <w:i w:val="0"/>
                <w:color w:val="212121"/>
                <w:sz w:val="16"/>
              </w:rPr>
              <w:t>Acute monoarthritis, uncertain diagnosis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Also send Gram stain, culture and cell count to exclude infection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function (creatinine, eGFR)</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eGFR ≥ 90 mL/min/1.73m²; creatinine within lab range</w:t>
            </w:r>
          </w:p>
        </w:tc>
        <w:tc>
          <w:tcPr>
            <w:tcW w:type="dxa" w:w="950"/>
            <w:vAlign w:val="top"/>
          </w:tcPr>
          <w:p>
            <w:pPr>
              <w:spacing w:after="40" w:before="0" w:line="259" w:lineRule="auto"/>
            </w:pPr>
            <w:r>
              <w:rPr>
                <w:rFonts w:ascii="Calibri" w:hAnsi="Calibri"/>
                <w:b w:val="0"/>
                <w:i w:val="0"/>
                <w:color w:val="212121"/>
                <w:sz w:val="16"/>
              </w:rPr>
              <w:t>eGFR &lt; 60 or rising creatinine</w:t>
            </w:r>
          </w:p>
        </w:tc>
        <w:tc>
          <w:tcPr>
            <w:tcW w:type="dxa" w:w="1036"/>
            <w:vAlign w:val="top"/>
          </w:tcPr>
          <w:p>
            <w:pPr>
              <w:spacing w:after="40" w:before="0" w:line="259" w:lineRule="auto"/>
            </w:pPr>
            <w:r>
              <w:rPr>
                <w:rFonts w:ascii="Calibri" w:hAnsi="Calibri"/>
                <w:b w:val="0"/>
                <w:i w:val="0"/>
                <w:color w:val="212121"/>
                <w:sz w:val="16"/>
              </w:rPr>
              <w:t>CKD reduces urate excretion, worsens gout and guides drug dosing</w:t>
            </w:r>
          </w:p>
        </w:tc>
        <w:tc>
          <w:tcPr>
            <w:tcW w:type="dxa" w:w="1036"/>
            <w:vAlign w:val="top"/>
          </w:tcPr>
          <w:p>
            <w:pPr>
              <w:spacing w:after="40" w:before="0" w:line="259" w:lineRule="auto"/>
            </w:pPr>
            <w:r>
              <w:rPr>
                <w:rFonts w:ascii="Calibri" w:hAnsi="Calibri"/>
                <w:b w:val="0"/>
                <w:i w:val="0"/>
                <w:color w:val="212121"/>
                <w:sz w:val="16"/>
              </w:rPr>
              <w:t>Elderly, hypertensives, CKD, diuretic users</w:t>
            </w:r>
          </w:p>
        </w:tc>
        <w:tc>
          <w:tcPr>
            <w:tcW w:type="dxa" w:w="720"/>
            <w:vAlign w:val="top"/>
          </w:tcPr>
          <w:p>
            <w:pPr>
              <w:spacing w:after="40" w:before="0" w:line="259" w:lineRule="auto"/>
            </w:pPr>
            <w:r>
              <w:rPr>
                <w:rFonts w:ascii="Calibri" w:hAnsi="Calibri"/>
                <w:b w:val="0"/>
                <w:i w:val="0"/>
                <w:color w:val="212121"/>
                <w:sz w:val="16"/>
              </w:rPr>
              <w:t>Water; Provoking factors</w:t>
            </w:r>
          </w:p>
        </w:tc>
        <w:tc>
          <w:tcPr>
            <w:tcW w:type="dxa" w:w="720"/>
            <w:vAlign w:val="top"/>
          </w:tcPr>
          <w:p>
            <w:pPr>
              <w:spacing w:after="40" w:before="0" w:line="259" w:lineRule="auto"/>
            </w:pPr>
            <w:r>
              <w:rPr>
                <w:rFonts w:ascii="Calibri" w:hAnsi="Calibri"/>
                <w:b w:val="0"/>
                <w:i w:val="0"/>
                <w:color w:val="212121"/>
                <w:sz w:val="16"/>
              </w:rPr>
              <w:t>High (safety &amp; cause)</w:t>
            </w:r>
          </w:p>
        </w:tc>
        <w:tc>
          <w:tcPr>
            <w:tcW w:type="dxa" w:w="720"/>
            <w:vAlign w:val="top"/>
          </w:tcPr>
          <w:p>
            <w:pPr>
              <w:spacing w:after="40" w:before="0" w:line="259" w:lineRule="auto"/>
            </w:pPr>
            <w:r>
              <w:rPr>
                <w:rFonts w:ascii="Calibri" w:hAnsi="Calibri"/>
                <w:b w:val="0"/>
                <w:i w:val="0"/>
                <w:color w:val="212121"/>
                <w:sz w:val="16"/>
              </w:rPr>
              <w:t>Adjust allopurinol/colchicine dosing in renal impairment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24-hour urinary uric acid</w:t>
            </w:r>
          </w:p>
        </w:tc>
        <w:tc>
          <w:tcPr>
            <w:tcW w:type="dxa" w:w="892"/>
            <w:vAlign w:val="top"/>
          </w:tcPr>
          <w:p>
            <w:pPr>
              <w:spacing w:after="40" w:before="0" w:line="259" w:lineRule="auto"/>
            </w:pPr>
            <w:r>
              <w:rPr>
                <w:rFonts w:ascii="Calibri" w:hAnsi="Calibri"/>
                <w:b w:val="0"/>
                <w:i w:val="0"/>
                <w:color w:val="212121"/>
                <w:sz w:val="16"/>
              </w:rPr>
              <w:t>Urine collection</w:t>
            </w:r>
          </w:p>
        </w:tc>
        <w:tc>
          <w:tcPr>
            <w:tcW w:type="dxa" w:w="950"/>
            <w:vAlign w:val="top"/>
          </w:tcPr>
          <w:p>
            <w:pPr>
              <w:spacing w:after="40" w:before="0" w:line="259" w:lineRule="auto"/>
            </w:pPr>
            <w:r>
              <w:rPr>
                <w:rFonts w:ascii="Calibri" w:hAnsi="Calibri"/>
                <w:b w:val="0"/>
                <w:i w:val="0"/>
                <w:color w:val="212121"/>
                <w:sz w:val="16"/>
              </w:rPr>
              <w:t>&lt; 800 mg/day (usual diet)</w:t>
            </w:r>
          </w:p>
        </w:tc>
        <w:tc>
          <w:tcPr>
            <w:tcW w:type="dxa" w:w="950"/>
            <w:vAlign w:val="top"/>
          </w:tcPr>
          <w:p>
            <w:pPr>
              <w:spacing w:after="40" w:before="0" w:line="259" w:lineRule="auto"/>
            </w:pPr>
            <w:r>
              <w:rPr>
                <w:rFonts w:ascii="Calibri" w:hAnsi="Calibri"/>
                <w:b w:val="0"/>
                <w:i w:val="0"/>
                <w:color w:val="212121"/>
                <w:sz w:val="16"/>
              </w:rPr>
              <w:t>&gt; 800 mg/day (over-excretor/over-producer)</w:t>
            </w:r>
          </w:p>
        </w:tc>
        <w:tc>
          <w:tcPr>
            <w:tcW w:type="dxa" w:w="1036"/>
            <w:vAlign w:val="top"/>
          </w:tcPr>
          <w:p>
            <w:pPr>
              <w:spacing w:after="40" w:before="0" w:line="259" w:lineRule="auto"/>
            </w:pPr>
            <w:r>
              <w:rPr>
                <w:rFonts w:ascii="Calibri" w:hAnsi="Calibri"/>
                <w:b w:val="0"/>
                <w:i w:val="0"/>
                <w:color w:val="212121"/>
                <w:sz w:val="16"/>
              </w:rPr>
              <w:t>Distinguishes urate over-production from under-excretion; flags stone risk</w:t>
            </w:r>
          </w:p>
        </w:tc>
        <w:tc>
          <w:tcPr>
            <w:tcW w:type="dxa" w:w="1036"/>
            <w:vAlign w:val="top"/>
          </w:tcPr>
          <w:p>
            <w:pPr>
              <w:spacing w:after="40" w:before="0" w:line="259" w:lineRule="auto"/>
            </w:pPr>
            <w:r>
              <w:rPr>
                <w:rFonts w:ascii="Calibri" w:hAnsi="Calibri"/>
                <w:b w:val="0"/>
                <w:i w:val="0"/>
                <w:color w:val="212121"/>
                <w:sz w:val="16"/>
              </w:rPr>
              <w:t>Young-onset gout, stone formers, tophaceous gout</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Helps choose xanthine-oxidase inhibitor vs uricosuric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Metabolic panel (fasting glucose, HbA1c, lipids)</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Glucose &lt; 100 mg/dL; normal lipids</w:t>
            </w:r>
          </w:p>
        </w:tc>
        <w:tc>
          <w:tcPr>
            <w:tcW w:type="dxa" w:w="950"/>
            <w:vAlign w:val="top"/>
          </w:tcPr>
          <w:p>
            <w:pPr>
              <w:spacing w:after="40" w:before="0" w:line="259" w:lineRule="auto"/>
            </w:pPr>
            <w:r>
              <w:rPr>
                <w:rFonts w:ascii="Calibri" w:hAnsi="Calibri"/>
                <w:b w:val="0"/>
                <w:i w:val="0"/>
                <w:color w:val="212121"/>
                <w:sz w:val="16"/>
              </w:rPr>
              <w:t>Hyperglycaemia; high TG / low HDL</w:t>
            </w:r>
          </w:p>
        </w:tc>
        <w:tc>
          <w:tcPr>
            <w:tcW w:type="dxa" w:w="1036"/>
            <w:vAlign w:val="top"/>
          </w:tcPr>
          <w:p>
            <w:pPr>
              <w:spacing w:after="40" w:before="0" w:line="259" w:lineRule="auto"/>
            </w:pPr>
            <w:r>
              <w:rPr>
                <w:rFonts w:ascii="Calibri" w:hAnsi="Calibri"/>
                <w:b w:val="0"/>
                <w:i w:val="0"/>
                <w:color w:val="212121"/>
                <w:sz w:val="16"/>
              </w:rPr>
              <w:t>Screens the metabolic-syndrome cluster that accompanies gout</w:t>
            </w:r>
          </w:p>
        </w:tc>
        <w:tc>
          <w:tcPr>
            <w:tcW w:type="dxa" w:w="1036"/>
            <w:vAlign w:val="top"/>
          </w:tcPr>
          <w:p>
            <w:pPr>
              <w:spacing w:after="40" w:before="0" w:line="259" w:lineRule="auto"/>
            </w:pPr>
            <w:r>
              <w:rPr>
                <w:rFonts w:ascii="Calibri" w:hAnsi="Calibri"/>
                <w:b w:val="0"/>
                <w:i w:val="0"/>
                <w:color w:val="212121"/>
                <w:sz w:val="16"/>
              </w:rPr>
              <w:t>Obese, hypertensive, diabetic, dyslipidemic patients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 (comorbidity screen)</w:t>
            </w:r>
          </w:p>
        </w:tc>
        <w:tc>
          <w:tcPr>
            <w:tcW w:type="dxa" w:w="720"/>
            <w:vAlign w:val="top"/>
          </w:tcPr>
          <w:p>
            <w:pPr>
              <w:spacing w:after="40" w:before="0" w:line="259" w:lineRule="auto"/>
            </w:pPr>
            <w:r>
              <w:rPr>
                <w:rFonts w:ascii="Calibri" w:hAnsi="Calibri"/>
                <w:b w:val="0"/>
                <w:i w:val="0"/>
                <w:color w:val="212121"/>
                <w:sz w:val="16"/>
              </w:rPr>
              <w:t>Metabolic syndrome present in ~66.5% of gout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 / inflammation</w:t>
            </w:r>
          </w:p>
        </w:tc>
        <w:tc>
          <w:tcPr>
            <w:tcW w:type="dxa" w:w="1036"/>
            <w:vAlign w:val="top"/>
          </w:tcPr>
          <w:p>
            <w:pPr>
              <w:spacing w:after="40" w:before="0" w:line="259" w:lineRule="auto"/>
            </w:pPr>
            <w:r>
              <w:rPr>
                <w:rFonts w:ascii="Calibri" w:hAnsi="Calibri"/>
                <w:b w:val="0"/>
                <w:i w:val="0"/>
                <w:color w:val="212121"/>
                <w:sz w:val="16"/>
              </w:rPr>
              <w:t>CBC, ESR, CRP</w:t>
            </w:r>
          </w:p>
        </w:tc>
        <w:tc>
          <w:tcPr>
            <w:tcW w:type="dxa" w:w="892"/>
            <w:vAlign w:val="top"/>
          </w:tcPr>
          <w:p>
            <w:pPr>
              <w:spacing w:after="40" w:before="0" w:line="259" w:lineRule="auto"/>
            </w:pPr>
            <w:r>
              <w:rPr>
                <w:rFonts w:ascii="Calibri" w:hAnsi="Calibri"/>
                <w:b w:val="0"/>
                <w:i w:val="0"/>
                <w:color w:val="212121"/>
                <w:sz w:val="16"/>
              </w:rPr>
              <w:t>Blood test</w:t>
            </w:r>
          </w:p>
        </w:tc>
        <w:tc>
          <w:tcPr>
            <w:tcW w:type="dxa" w:w="950"/>
            <w:vAlign w:val="top"/>
          </w:tcPr>
          <w:p>
            <w:pPr>
              <w:spacing w:after="40" w:before="0" w:line="259" w:lineRule="auto"/>
            </w:pPr>
            <w:r>
              <w:rPr>
                <w:rFonts w:ascii="Calibri" w:hAnsi="Calibri"/>
                <w:b w:val="0"/>
                <w:i w:val="0"/>
                <w:color w:val="212121"/>
                <w:sz w:val="16"/>
              </w:rPr>
              <w:t>Normal counts; ESR/CRP normal</w:t>
            </w:r>
          </w:p>
        </w:tc>
        <w:tc>
          <w:tcPr>
            <w:tcW w:type="dxa" w:w="950"/>
            <w:vAlign w:val="top"/>
          </w:tcPr>
          <w:p>
            <w:pPr>
              <w:spacing w:after="40" w:before="0" w:line="259" w:lineRule="auto"/>
            </w:pPr>
            <w:r>
              <w:rPr>
                <w:rFonts w:ascii="Calibri" w:hAnsi="Calibri"/>
                <w:b w:val="0"/>
                <w:i w:val="0"/>
                <w:color w:val="212121"/>
                <w:sz w:val="16"/>
              </w:rPr>
              <w:t>Leukocytosis; raised ESR/CRP</w:t>
            </w:r>
          </w:p>
        </w:tc>
        <w:tc>
          <w:tcPr>
            <w:tcW w:type="dxa" w:w="1036"/>
            <w:vAlign w:val="top"/>
          </w:tcPr>
          <w:p>
            <w:pPr>
              <w:spacing w:after="40" w:before="0" w:line="259" w:lineRule="auto"/>
            </w:pPr>
            <w:r>
              <w:rPr>
                <w:rFonts w:ascii="Calibri" w:hAnsi="Calibri"/>
                <w:b w:val="0"/>
                <w:i w:val="0"/>
                <w:color w:val="212121"/>
                <w:sz w:val="16"/>
              </w:rPr>
              <w:t>Elevated in an acute flare; helps gauge severity and exclude sepsis</w:t>
            </w:r>
          </w:p>
        </w:tc>
        <w:tc>
          <w:tcPr>
            <w:tcW w:type="dxa" w:w="1036"/>
            <w:vAlign w:val="top"/>
          </w:tcPr>
          <w:p>
            <w:pPr>
              <w:spacing w:after="40" w:before="0" w:line="259" w:lineRule="auto"/>
            </w:pPr>
            <w:r>
              <w:rPr>
                <w:rFonts w:ascii="Calibri" w:hAnsi="Calibri"/>
                <w:b w:val="0"/>
                <w:i w:val="0"/>
                <w:color w:val="212121"/>
                <w:sz w:val="16"/>
              </w:rPr>
              <w:t>Acute flares, febrile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cannot distinguish gout from septic arthritis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Ultrasound / Dual-energy CT / X-ray</w:t>
            </w:r>
          </w:p>
        </w:tc>
        <w:tc>
          <w:tcPr>
            <w:tcW w:type="dxa" w:w="892"/>
            <w:vAlign w:val="top"/>
          </w:tcPr>
          <w:p>
            <w:pPr>
              <w:spacing w:after="40" w:before="0" w:line="259" w:lineRule="auto"/>
            </w:pPr>
            <w:r>
              <w:rPr>
                <w:rFonts w:ascii="Calibri" w:hAnsi="Calibri"/>
                <w:b w:val="0"/>
                <w:i w:val="0"/>
                <w:color w:val="212121"/>
                <w:sz w:val="16"/>
              </w:rPr>
              <w:t>Musculoskeletal imaging</w:t>
            </w:r>
          </w:p>
        </w:tc>
        <w:tc>
          <w:tcPr>
            <w:tcW w:type="dxa" w:w="950"/>
            <w:vAlign w:val="top"/>
          </w:tcPr>
          <w:p>
            <w:pPr>
              <w:spacing w:after="40" w:before="0" w:line="259" w:lineRule="auto"/>
            </w:pPr>
            <w:r>
              <w:rPr>
                <w:rFonts w:ascii="Calibri" w:hAnsi="Calibri"/>
                <w:b w:val="0"/>
                <w:i w:val="0"/>
                <w:color w:val="212121"/>
                <w:sz w:val="16"/>
              </w:rPr>
              <w:t>No urate deposition or erosion</w:t>
            </w:r>
          </w:p>
        </w:tc>
        <w:tc>
          <w:tcPr>
            <w:tcW w:type="dxa" w:w="950"/>
            <w:vAlign w:val="top"/>
          </w:tcPr>
          <w:p>
            <w:pPr>
              <w:spacing w:after="40" w:before="0" w:line="259" w:lineRule="auto"/>
            </w:pPr>
            <w:r>
              <w:rPr>
                <w:rFonts w:ascii="Calibri" w:hAnsi="Calibri"/>
                <w:b w:val="0"/>
                <w:i w:val="0"/>
                <w:color w:val="212121"/>
                <w:sz w:val="16"/>
              </w:rPr>
              <w:t>Double-contour sign (US), colour-coded urate (DECT), punched-out erosions (X-ray)</w:t>
            </w:r>
          </w:p>
        </w:tc>
        <w:tc>
          <w:tcPr>
            <w:tcW w:type="dxa" w:w="1036"/>
            <w:vAlign w:val="top"/>
          </w:tcPr>
          <w:p>
            <w:pPr>
              <w:spacing w:after="40" w:before="0" w:line="259" w:lineRule="auto"/>
            </w:pPr>
            <w:r>
              <w:rPr>
                <w:rFonts w:ascii="Calibri" w:hAnsi="Calibri"/>
                <w:b w:val="0"/>
                <w:i w:val="0"/>
                <w:color w:val="212121"/>
                <w:sz w:val="16"/>
              </w:rPr>
              <w:t>Demonstrates urate deposition and chronic joint damage when aspiration is not feasible</w:t>
            </w:r>
          </w:p>
        </w:tc>
        <w:tc>
          <w:tcPr>
            <w:tcW w:type="dxa" w:w="1036"/>
            <w:vAlign w:val="top"/>
          </w:tcPr>
          <w:p>
            <w:pPr>
              <w:spacing w:after="40" w:before="0" w:line="259" w:lineRule="auto"/>
            </w:pPr>
            <w:r>
              <w:rPr>
                <w:rFonts w:ascii="Calibri" w:hAnsi="Calibri"/>
                <w:b w:val="0"/>
                <w:i w:val="0"/>
                <w:color w:val="212121"/>
                <w:sz w:val="16"/>
              </w:rPr>
              <w:t>Chronic/tophaceous gout, atypical or crystal-negative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 (imaging confirmation)</w:t>
            </w:r>
          </w:p>
        </w:tc>
        <w:tc>
          <w:tcPr>
            <w:tcW w:type="dxa" w:w="720"/>
            <w:vAlign w:val="top"/>
          </w:tcPr>
          <w:p>
            <w:pPr>
              <w:spacing w:after="40" w:before="0" w:line="259" w:lineRule="auto"/>
            </w:pPr>
            <w:r>
              <w:rPr>
                <w:rFonts w:ascii="Calibri" w:hAnsi="Calibri"/>
                <w:b w:val="0"/>
                <w:i w:val="0"/>
                <w:color w:val="212121"/>
                <w:sz w:val="16"/>
              </w:rPr>
              <w:t>DECT sensitivity ~87%/specificity ~84%; US double-contour ~83%/76%</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Acute monoarticular pain, podagra, night onset, rapid peak</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Sudden severe joint pain peaking within 12–24 h, resolving in ~2 weeks</w:t>
            </w:r>
          </w:p>
        </w:tc>
        <w:tc>
          <w:tcPr>
            <w:tcW w:type="dxa" w:w="1036"/>
            <w:vAlign w:val="top"/>
          </w:tcPr>
          <w:p>
            <w:pPr>
              <w:spacing w:after="40" w:before="0" w:line="259" w:lineRule="auto"/>
            </w:pPr>
            <w:r>
              <w:rPr>
                <w:rFonts w:ascii="Calibri" w:hAnsi="Calibri"/>
                <w:b w:val="0"/>
                <w:i w:val="0"/>
                <w:color w:val="212121"/>
                <w:sz w:val="16"/>
              </w:rPr>
              <w:t>Classic pattern of an acute gout flare (first MTP joint in ~50% of first attacks)</w:t>
            </w:r>
          </w:p>
        </w:tc>
        <w:tc>
          <w:tcPr>
            <w:tcW w:type="dxa" w:w="1036"/>
            <w:vAlign w:val="top"/>
          </w:tcPr>
          <w:p>
            <w:pPr>
              <w:spacing w:after="40" w:before="0" w:line="259" w:lineRule="auto"/>
            </w:pPr>
            <w:r>
              <w:rPr>
                <w:rFonts w:ascii="Calibri" w:hAnsi="Calibri"/>
                <w:b w:val="0"/>
                <w:i w:val="0"/>
                <w:color w:val="212121"/>
                <w:sz w:val="16"/>
              </w:rPr>
              <w:t>Middle-aged men, hyperuricemic adults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Ask about frequency and intercritical intervals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 dietary &amp; drug history</w:t>
            </w:r>
          </w:p>
        </w:tc>
        <w:tc>
          <w:tcPr>
            <w:tcW w:type="dxa" w:w="979"/>
            <w:vAlign w:val="top"/>
          </w:tcPr>
          <w:p>
            <w:pPr>
              <w:spacing w:after="40" w:before="0" w:line="259" w:lineRule="auto"/>
            </w:pPr>
            <w:r>
              <w:rPr>
                <w:rFonts w:ascii="Calibri" w:hAnsi="Calibri"/>
                <w:b w:val="0"/>
                <w:i w:val="0"/>
                <w:color w:val="212121"/>
                <w:sz w:val="16"/>
              </w:rPr>
              <w:t>Recent alcohol or purine binge, dehydration, surgery, diuretics, low-dose aspirin</w:t>
            </w:r>
          </w:p>
        </w:tc>
        <w:tc>
          <w:tcPr>
            <w:tcW w:type="dxa" w:w="950"/>
            <w:vAlign w:val="top"/>
          </w:tcPr>
          <w:p>
            <w:pPr>
              <w:spacing w:after="40" w:before="0" w:line="259" w:lineRule="auto"/>
            </w:pPr>
            <w:r>
              <w:rPr>
                <w:rFonts w:ascii="Calibri" w:hAnsi="Calibri"/>
                <w:b w:val="0"/>
                <w:i w:val="0"/>
                <w:color w:val="212121"/>
                <w:sz w:val="16"/>
              </w:rPr>
              <w:t>No identifiable trigger</w:t>
            </w:r>
          </w:p>
        </w:tc>
        <w:tc>
          <w:tcPr>
            <w:tcW w:type="dxa" w:w="950"/>
            <w:vAlign w:val="top"/>
          </w:tcPr>
          <w:p>
            <w:pPr>
              <w:spacing w:after="40" w:before="0" w:line="259" w:lineRule="auto"/>
            </w:pPr>
            <w:r>
              <w:rPr>
                <w:rFonts w:ascii="Calibri" w:hAnsi="Calibri"/>
                <w:b w:val="0"/>
                <w:i w:val="0"/>
                <w:color w:val="212121"/>
                <w:sz w:val="16"/>
              </w:rPr>
              <w:t>Clear precipitant before the flare</w:t>
            </w:r>
          </w:p>
        </w:tc>
        <w:tc>
          <w:tcPr>
            <w:tcW w:type="dxa" w:w="1036"/>
            <w:vAlign w:val="top"/>
          </w:tcPr>
          <w:p>
            <w:pPr>
              <w:spacing w:after="40" w:before="0" w:line="259" w:lineRule="auto"/>
            </w:pPr>
            <w:r>
              <w:rPr>
                <w:rFonts w:ascii="Calibri" w:hAnsi="Calibri"/>
                <w:b w:val="0"/>
                <w:i w:val="0"/>
                <w:color w:val="212121"/>
                <w:sz w:val="16"/>
              </w:rPr>
              <w:t>Identifies modifiable provoking factors and culprit drugs</w:t>
            </w:r>
          </w:p>
        </w:tc>
        <w:tc>
          <w:tcPr>
            <w:tcW w:type="dxa" w:w="1036"/>
            <w:vAlign w:val="top"/>
          </w:tcPr>
          <w:p>
            <w:pPr>
              <w:spacing w:after="40" w:before="0" w:line="259" w:lineRule="auto"/>
            </w:pPr>
            <w:r>
              <w:rPr>
                <w:rFonts w:ascii="Calibri" w:hAnsi="Calibri"/>
                <w:b w:val="0"/>
                <w:i w:val="0"/>
                <w:color w:val="212121"/>
                <w:sz w:val="16"/>
              </w:rPr>
              <w:t>Drinkers, meat/seafood eaters, post-operative, diuretic users</w:t>
            </w:r>
          </w:p>
        </w:tc>
        <w:tc>
          <w:tcPr>
            <w:tcW w:type="dxa" w:w="720"/>
            <w:vAlign w:val="top"/>
          </w:tcPr>
          <w:p>
            <w:pPr>
              <w:spacing w:after="40" w:before="0" w:line="259" w:lineRule="auto"/>
            </w:pPr>
            <w:r>
              <w:rPr>
                <w:rFonts w:ascii="Calibri" w:hAnsi="Calibri"/>
                <w:b w:val="0"/>
                <w:i w:val="0"/>
                <w:color w:val="212121"/>
                <w:sz w:val="16"/>
              </w:rPr>
              <w:t>Alcohol; Food; Water; Provoking factors</w:t>
            </w:r>
          </w:p>
        </w:tc>
        <w:tc>
          <w:tcPr>
            <w:tcW w:type="dxa" w:w="720"/>
            <w:vAlign w:val="top"/>
          </w:tcPr>
          <w:p>
            <w:pPr>
              <w:spacing w:after="40" w:before="0" w:line="259" w:lineRule="auto"/>
            </w:pPr>
            <w:r>
              <w:rPr>
                <w:rFonts w:ascii="Calibri" w:hAnsi="Calibri"/>
                <w:b w:val="0"/>
                <w:i w:val="0"/>
                <w:color w:val="212121"/>
                <w:sz w:val="16"/>
              </w:rPr>
              <w:t>High (prevention)</w:t>
            </w:r>
          </w:p>
        </w:tc>
        <w:tc>
          <w:tcPr>
            <w:tcW w:type="dxa" w:w="720"/>
            <w:vAlign w:val="top"/>
          </w:tcPr>
          <w:p>
            <w:pPr>
              <w:spacing w:after="40" w:before="0" w:line="259" w:lineRule="auto"/>
            </w:pPr>
            <w:r>
              <w:rPr>
                <w:rFonts w:ascii="Calibri" w:hAnsi="Calibri"/>
                <w:b w:val="0"/>
                <w:i w:val="0"/>
                <w:color w:val="212121"/>
                <w:sz w:val="16"/>
              </w:rPr>
              <w:t>Starting urate-lowering therapy can itself trigger an early flare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comorbidity history</w:t>
            </w:r>
          </w:p>
        </w:tc>
        <w:tc>
          <w:tcPr>
            <w:tcW w:type="dxa" w:w="979"/>
            <w:vAlign w:val="top"/>
          </w:tcPr>
          <w:p>
            <w:pPr>
              <w:spacing w:after="40" w:before="0" w:line="259" w:lineRule="auto"/>
            </w:pPr>
            <w:r>
              <w:rPr>
                <w:rFonts w:ascii="Calibri" w:hAnsi="Calibri"/>
                <w:b w:val="0"/>
                <w:i w:val="0"/>
                <w:color w:val="212121"/>
                <w:sz w:val="16"/>
              </w:rPr>
              <w:t>Family history of gout; hypertension, CKD, diabetes, obesity</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 family history or metabolic comorbidity</w:t>
            </w:r>
          </w:p>
        </w:tc>
        <w:tc>
          <w:tcPr>
            <w:tcW w:type="dxa" w:w="1036"/>
            <w:vAlign w:val="top"/>
          </w:tcPr>
          <w:p>
            <w:pPr>
              <w:spacing w:after="40" w:before="0" w:line="259" w:lineRule="auto"/>
            </w:pPr>
            <w:r>
              <w:rPr>
                <w:rFonts w:ascii="Calibri" w:hAnsi="Calibri"/>
                <w:b w:val="0"/>
                <w:i w:val="0"/>
                <w:color w:val="212121"/>
                <w:sz w:val="16"/>
              </w:rPr>
              <w:t>Highlights genetic predisposition and cardiometabolic risk clustering</w:t>
            </w:r>
          </w:p>
        </w:tc>
        <w:tc>
          <w:tcPr>
            <w:tcW w:type="dxa" w:w="1036"/>
            <w:vAlign w:val="top"/>
          </w:tcPr>
          <w:p>
            <w:pPr>
              <w:spacing w:after="40" w:before="0" w:line="259" w:lineRule="auto"/>
            </w:pPr>
            <w:r>
              <w:rPr>
                <w:rFonts w:ascii="Calibri" w:hAnsi="Calibri"/>
                <w:b w:val="0"/>
                <w:i w:val="0"/>
                <w:color w:val="212121"/>
                <w:sz w:val="16"/>
              </w:rPr>
              <w:t>First-degree relatives, metabolic-syndrome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screening for associated conditions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Affected joint examination</w:t>
            </w:r>
          </w:p>
        </w:tc>
        <w:tc>
          <w:tcPr>
            <w:tcW w:type="dxa" w:w="979"/>
            <w:vAlign w:val="top"/>
          </w:tcPr>
          <w:p>
            <w:pPr>
              <w:spacing w:after="40" w:before="0" w:line="259" w:lineRule="auto"/>
            </w:pPr>
            <w:r>
              <w:rPr>
                <w:rFonts w:ascii="Calibri" w:hAnsi="Calibri"/>
                <w:b w:val="0"/>
                <w:i w:val="0"/>
                <w:color w:val="212121"/>
                <w:sz w:val="16"/>
              </w:rPr>
              <w:t>Erythema, swelling, warmth, extreme tenderness, restricted movement</w:t>
            </w:r>
          </w:p>
        </w:tc>
        <w:tc>
          <w:tcPr>
            <w:tcW w:type="dxa" w:w="950"/>
            <w:vAlign w:val="top"/>
          </w:tcPr>
          <w:p>
            <w:pPr>
              <w:spacing w:after="40" w:before="0" w:line="259" w:lineRule="auto"/>
            </w:pPr>
            <w:r>
              <w:rPr>
                <w:rFonts w:ascii="Calibri" w:hAnsi="Calibri"/>
                <w:b w:val="0"/>
                <w:i w:val="0"/>
                <w:color w:val="212121"/>
                <w:sz w:val="16"/>
              </w:rPr>
              <w:t>Normal joint</w:t>
            </w:r>
          </w:p>
        </w:tc>
        <w:tc>
          <w:tcPr>
            <w:tcW w:type="dxa" w:w="950"/>
            <w:vAlign w:val="top"/>
          </w:tcPr>
          <w:p>
            <w:pPr>
              <w:spacing w:after="40" w:before="0" w:line="259" w:lineRule="auto"/>
            </w:pPr>
            <w:r>
              <w:rPr>
                <w:rFonts w:ascii="Calibri" w:hAnsi="Calibri"/>
                <w:b w:val="0"/>
                <w:i w:val="0"/>
                <w:color w:val="212121"/>
                <w:sz w:val="16"/>
              </w:rPr>
              <w:t>Hot, red, exquisitely tender joint (often first MTP, midfoot, ankle, knee)</w:t>
            </w:r>
          </w:p>
        </w:tc>
        <w:tc>
          <w:tcPr>
            <w:tcW w:type="dxa" w:w="1036"/>
            <w:vAlign w:val="top"/>
          </w:tcPr>
          <w:p>
            <w:pPr>
              <w:spacing w:after="40" w:before="0" w:line="259" w:lineRule="auto"/>
            </w:pPr>
            <w:r>
              <w:rPr>
                <w:rFonts w:ascii="Calibri" w:hAnsi="Calibri"/>
                <w:b w:val="0"/>
                <w:i w:val="0"/>
                <w:color w:val="212121"/>
                <w:sz w:val="16"/>
              </w:rPr>
              <w:t>Signs of acute crystal-induced synovitis</w:t>
            </w:r>
          </w:p>
        </w:tc>
        <w:tc>
          <w:tcPr>
            <w:tcW w:type="dxa" w:w="1036"/>
            <w:vAlign w:val="top"/>
          </w:tcPr>
          <w:p>
            <w:pPr>
              <w:spacing w:after="40" w:before="0" w:line="259" w:lineRule="auto"/>
            </w:pPr>
            <w:r>
              <w:rPr>
                <w:rFonts w:ascii="Calibri" w:hAnsi="Calibri"/>
                <w:b w:val="0"/>
                <w:i w:val="0"/>
                <w:color w:val="212121"/>
                <w:sz w:val="16"/>
              </w:rPr>
              <w:t>Acute flare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Even light touch (bedsheet) is intolerable in podagra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Tophi inspection</w:t>
            </w:r>
          </w:p>
        </w:tc>
        <w:tc>
          <w:tcPr>
            <w:tcW w:type="dxa" w:w="979"/>
            <w:vAlign w:val="top"/>
          </w:tcPr>
          <w:p>
            <w:pPr>
              <w:spacing w:after="40" w:before="0" w:line="259" w:lineRule="auto"/>
            </w:pPr>
            <w:r>
              <w:rPr>
                <w:rFonts w:ascii="Calibri" w:hAnsi="Calibri"/>
                <w:b w:val="0"/>
                <w:i w:val="0"/>
                <w:color w:val="212121"/>
                <w:sz w:val="16"/>
              </w:rPr>
              <w:t>Subcutaneous nodules at ears, olecranon, finger pads, MTP, Achilles</w:t>
            </w:r>
          </w:p>
        </w:tc>
        <w:tc>
          <w:tcPr>
            <w:tcW w:type="dxa" w:w="950"/>
            <w:vAlign w:val="top"/>
          </w:tcPr>
          <w:p>
            <w:pPr>
              <w:spacing w:after="40" w:before="0" w:line="259" w:lineRule="auto"/>
            </w:pPr>
            <w:r>
              <w:rPr>
                <w:rFonts w:ascii="Calibri" w:hAnsi="Calibri"/>
                <w:b w:val="0"/>
                <w:i w:val="0"/>
                <w:color w:val="212121"/>
                <w:sz w:val="16"/>
              </w:rPr>
              <w:t>No tophi</w:t>
            </w:r>
          </w:p>
        </w:tc>
        <w:tc>
          <w:tcPr>
            <w:tcW w:type="dxa" w:w="950"/>
            <w:vAlign w:val="top"/>
          </w:tcPr>
          <w:p>
            <w:pPr>
              <w:spacing w:after="40" w:before="0" w:line="259" w:lineRule="auto"/>
            </w:pPr>
            <w:r>
              <w:rPr>
                <w:rFonts w:ascii="Calibri" w:hAnsi="Calibri"/>
                <w:b w:val="0"/>
                <w:i w:val="0"/>
                <w:color w:val="212121"/>
                <w:sz w:val="16"/>
              </w:rPr>
              <w:t>Firm or chalk-discharging nodules</w:t>
            </w:r>
          </w:p>
        </w:tc>
        <w:tc>
          <w:tcPr>
            <w:tcW w:type="dxa" w:w="1036"/>
            <w:vAlign w:val="top"/>
          </w:tcPr>
          <w:p>
            <w:pPr>
              <w:spacing w:after="40" w:before="0" w:line="259" w:lineRule="auto"/>
            </w:pPr>
            <w:r>
              <w:rPr>
                <w:rFonts w:ascii="Calibri" w:hAnsi="Calibri"/>
                <w:b w:val="0"/>
                <w:i w:val="0"/>
                <w:color w:val="212121"/>
                <w:sz w:val="16"/>
              </w:rPr>
              <w:t>Marker of chronic, longstanding uncontrolled hyperuricemia</w:t>
            </w:r>
          </w:p>
        </w:tc>
        <w:tc>
          <w:tcPr>
            <w:tcW w:type="dxa" w:w="1036"/>
            <w:vAlign w:val="top"/>
          </w:tcPr>
          <w:p>
            <w:pPr>
              <w:spacing w:after="40" w:before="0" w:line="259" w:lineRule="auto"/>
            </w:pPr>
            <w:r>
              <w:rPr>
                <w:rFonts w:ascii="Calibri" w:hAnsi="Calibri"/>
                <w:b w:val="0"/>
                <w:i w:val="0"/>
                <w:color w:val="212121"/>
                <w:sz w:val="16"/>
              </w:rPr>
              <w:t>Chronic tophaceous gout, poorly controlled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Tophi may ulcerate and become secondarily infected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 &amp; vitals</w:t>
            </w:r>
          </w:p>
        </w:tc>
        <w:tc>
          <w:tcPr>
            <w:tcW w:type="dxa" w:w="979"/>
            <w:vAlign w:val="top"/>
          </w:tcPr>
          <w:p>
            <w:pPr>
              <w:spacing w:after="40" w:before="0" w:line="259" w:lineRule="auto"/>
            </w:pPr>
            <w:r>
              <w:rPr>
                <w:rFonts w:ascii="Calibri" w:hAnsi="Calibri"/>
                <w:b w:val="0"/>
                <w:i w:val="0"/>
                <w:color w:val="212121"/>
                <w:sz w:val="16"/>
              </w:rPr>
              <w:t>BMI, waist circumference, blood pressure</w:t>
            </w:r>
          </w:p>
        </w:tc>
        <w:tc>
          <w:tcPr>
            <w:tcW w:type="dxa" w:w="950"/>
            <w:vAlign w:val="top"/>
          </w:tcPr>
          <w:p>
            <w:pPr>
              <w:spacing w:after="40" w:before="0" w:line="259" w:lineRule="auto"/>
            </w:pPr>
            <w:r>
              <w:rPr>
                <w:rFonts w:ascii="Calibri" w:hAnsi="Calibri"/>
                <w:b w:val="0"/>
                <w:i w:val="0"/>
                <w:color w:val="212121"/>
                <w:sz w:val="16"/>
              </w:rPr>
              <w:t>BMI &lt; 23; BP &lt; 130/85</w:t>
            </w:r>
          </w:p>
        </w:tc>
        <w:tc>
          <w:tcPr>
            <w:tcW w:type="dxa" w:w="950"/>
            <w:vAlign w:val="top"/>
          </w:tcPr>
          <w:p>
            <w:pPr>
              <w:spacing w:after="40" w:before="0" w:line="259" w:lineRule="auto"/>
            </w:pPr>
            <w:r>
              <w:rPr>
                <w:rFonts w:ascii="Calibri" w:hAnsi="Calibri"/>
                <w:b w:val="0"/>
                <w:i w:val="0"/>
                <w:color w:val="212121"/>
                <w:sz w:val="16"/>
              </w:rPr>
              <w:t>Central obesity; elevated BP</w:t>
            </w:r>
          </w:p>
        </w:tc>
        <w:tc>
          <w:tcPr>
            <w:tcW w:type="dxa" w:w="1036"/>
            <w:vAlign w:val="top"/>
          </w:tcPr>
          <w:p>
            <w:pPr>
              <w:spacing w:after="40" w:before="0" w:line="259" w:lineRule="auto"/>
            </w:pPr>
            <w:r>
              <w:rPr>
                <w:rFonts w:ascii="Calibri" w:hAnsi="Calibri"/>
                <w:b w:val="0"/>
                <w:i w:val="0"/>
                <w:color w:val="212121"/>
                <w:sz w:val="16"/>
              </w:rPr>
              <w:t>Detects the metabolic-syndrome cluster driving urate retention</w:t>
            </w:r>
          </w:p>
        </w:tc>
        <w:tc>
          <w:tcPr>
            <w:tcW w:type="dxa" w:w="1036"/>
            <w:vAlign w:val="top"/>
          </w:tcPr>
          <w:p>
            <w:pPr>
              <w:spacing w:after="40" w:before="0" w:line="259" w:lineRule="auto"/>
            </w:pPr>
            <w:r>
              <w:rPr>
                <w:rFonts w:ascii="Calibri" w:hAnsi="Calibri"/>
                <w:b w:val="0"/>
                <w:i w:val="0"/>
                <w:color w:val="212121"/>
                <w:sz w:val="16"/>
              </w:rPr>
              <w:t>Obese, hypertensive, sedentary patients</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High (comorbidity)</w:t>
            </w:r>
          </w:p>
        </w:tc>
        <w:tc>
          <w:tcPr>
            <w:tcW w:type="dxa" w:w="720"/>
            <w:vAlign w:val="top"/>
          </w:tcPr>
          <w:p>
            <w:pPr>
              <w:spacing w:after="40" w:before="0" w:line="259" w:lineRule="auto"/>
            </w:pPr>
            <w:r>
              <w:rPr>
                <w:rFonts w:ascii="Calibri" w:hAnsi="Calibri"/>
                <w:b w:val="0"/>
                <w:i w:val="0"/>
                <w:color w:val="212121"/>
                <w:sz w:val="16"/>
              </w:rPr>
              <w:t>Use Asian-Indian BMI cut-offs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Sudden, severe joint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Abrupt onset, often waking the patient at night, with pain peaking within 12–24 hours.</w:t>
            </w:r>
          </w:p>
        </w:tc>
      </w:tr>
      <w:tr>
        <w:trPr>
          <w:cantSplit/>
        </w:trPr>
        <w:tc>
          <w:tcPr>
            <w:tcW w:type="dxa" w:w="2304"/>
            <w:vAlign w:val="top"/>
          </w:tcPr>
          <w:p>
            <w:pPr>
              <w:spacing w:after="40" w:before="0" w:line="259" w:lineRule="auto"/>
            </w:pPr>
            <w:r>
              <w:rPr>
                <w:rFonts w:ascii="Calibri" w:hAnsi="Calibri"/>
                <w:b/>
                <w:i w:val="0"/>
                <w:color w:val="212121"/>
                <w:sz w:val="19"/>
              </w:rPr>
              <w:t>Big-toe pain (podagra)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first metatarsophalangeal joint is involved in about half of first attacks and is the hallmark site.</w:t>
            </w:r>
          </w:p>
        </w:tc>
      </w:tr>
      <w:tr>
        <w:trPr>
          <w:cantSplit/>
        </w:trPr>
        <w:tc>
          <w:tcPr>
            <w:tcW w:type="dxa" w:w="2304"/>
            <w:vAlign w:val="top"/>
          </w:tcPr>
          <w:p>
            <w:pPr>
              <w:spacing w:after="40" w:before="0" w:line="259" w:lineRule="auto"/>
            </w:pPr>
            <w:r>
              <w:rPr>
                <w:rFonts w:ascii="Calibri" w:hAnsi="Calibri"/>
                <w:b/>
                <w:i w:val="0"/>
                <w:color w:val="212121"/>
                <w:sz w:val="19"/>
              </w:rPr>
              <w:t>Joint swelling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Rapid effusion and soft-tissue swelling of the affected joint during a flare.</w:t>
            </w:r>
          </w:p>
        </w:tc>
      </w:tr>
      <w:tr>
        <w:trPr>
          <w:cantSplit/>
        </w:trPr>
        <w:tc>
          <w:tcPr>
            <w:tcW w:type="dxa" w:w="2304"/>
            <w:vAlign w:val="top"/>
          </w:tcPr>
          <w:p>
            <w:pPr>
              <w:spacing w:after="40" w:before="0" w:line="259" w:lineRule="auto"/>
            </w:pPr>
            <w:r>
              <w:rPr>
                <w:rFonts w:ascii="Calibri" w:hAnsi="Calibri"/>
                <w:b/>
                <w:i w:val="0"/>
                <w:color w:val="212121"/>
                <w:sz w:val="19"/>
              </w:rPr>
              <w:t>Redness over the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Overlying skin becomes red/dusky, mimicking cellulitis or infection.</w:t>
            </w:r>
          </w:p>
        </w:tc>
      </w:tr>
      <w:tr>
        <w:trPr>
          <w:cantSplit/>
        </w:trPr>
        <w:tc>
          <w:tcPr>
            <w:tcW w:type="dxa" w:w="2304"/>
            <w:vAlign w:val="top"/>
          </w:tcPr>
          <w:p>
            <w:pPr>
              <w:spacing w:after="40" w:before="0" w:line="259" w:lineRule="auto"/>
            </w:pPr>
            <w:r>
              <w:rPr>
                <w:rFonts w:ascii="Calibri" w:hAnsi="Calibri"/>
                <w:b/>
                <w:i w:val="0"/>
                <w:color w:val="212121"/>
                <w:sz w:val="19"/>
              </w:rPr>
              <w:t>Warmth over the joint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inflamed joint feels hot due to intense crystal-induced synovitis.</w:t>
            </w:r>
          </w:p>
        </w:tc>
      </w:tr>
      <w:tr>
        <w:trPr>
          <w:cantSplit/>
        </w:trPr>
        <w:tc>
          <w:tcPr>
            <w:tcW w:type="dxa" w:w="2304"/>
            <w:vAlign w:val="top"/>
          </w:tcPr>
          <w:p>
            <w:pPr>
              <w:spacing w:after="40" w:before="0" w:line="259" w:lineRule="auto"/>
            </w:pPr>
            <w:r>
              <w:rPr>
                <w:rFonts w:ascii="Calibri" w:hAnsi="Calibri"/>
                <w:b/>
                <w:i w:val="0"/>
                <w:color w:val="212121"/>
                <w:sz w:val="19"/>
              </w:rPr>
              <w:t>Extreme tenderness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Even light touch — such as a bedsheet on the toe — is unbearable.</w:t>
            </w:r>
          </w:p>
        </w:tc>
      </w:tr>
      <w:tr>
        <w:trPr>
          <w:cantSplit/>
        </w:trPr>
        <w:tc>
          <w:tcPr>
            <w:tcW w:type="dxa" w:w="2304"/>
            <w:vAlign w:val="top"/>
          </w:tcPr>
          <w:p>
            <w:pPr>
              <w:spacing w:after="40" w:before="0" w:line="259" w:lineRule="auto"/>
            </w:pPr>
            <w:r>
              <w:rPr>
                <w:rFonts w:ascii="Calibri" w:hAnsi="Calibri"/>
                <w:b/>
                <w:i w:val="0"/>
                <w:color w:val="212121"/>
                <w:sz w:val="19"/>
              </w:rPr>
              <w:t>Restricted, painful movement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joint becomes difficult to move or bear weight on during the flare.</w:t>
            </w:r>
          </w:p>
        </w:tc>
      </w:tr>
      <w:tr>
        <w:trPr>
          <w:cantSplit/>
        </w:trPr>
        <w:tc>
          <w:tcPr>
            <w:tcW w:type="dxa" w:w="2304"/>
            <w:vAlign w:val="top"/>
          </w:tcPr>
          <w:p>
            <w:pPr>
              <w:spacing w:after="40" w:before="0" w:line="259" w:lineRule="auto"/>
            </w:pPr>
            <w:r>
              <w:rPr>
                <w:rFonts w:ascii="Calibri" w:hAnsi="Calibri"/>
                <w:b/>
                <w:i w:val="0"/>
                <w:color w:val="212121"/>
                <w:sz w:val="19"/>
              </w:rPr>
              <w:t>Joint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Stiffness accompanies swelling, particularly as the flare evolves and resolves.</w:t>
            </w:r>
          </w:p>
        </w:tc>
      </w:tr>
      <w:tr>
        <w:trPr>
          <w:cantSplit/>
        </w:trPr>
        <w:tc>
          <w:tcPr>
            <w:tcW w:type="dxa" w:w="2304"/>
            <w:vAlign w:val="top"/>
          </w:tcPr>
          <w:p>
            <w:pPr>
              <w:spacing w:after="40" w:before="0" w:line="259" w:lineRule="auto"/>
            </w:pPr>
            <w:r>
              <w:rPr>
                <w:rFonts w:ascii="Calibri" w:hAnsi="Calibri"/>
                <w:b/>
                <w:i w:val="0"/>
                <w:color w:val="212121"/>
                <w:sz w:val="19"/>
              </w:rPr>
              <w:t>Recurrent attacks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Flares recur with symptom-free (intercritical) intervals that shorten over time if urate is untreated.</w:t>
            </w:r>
          </w:p>
        </w:tc>
      </w:tr>
      <w:tr>
        <w:trPr>
          <w:cantSplit/>
        </w:trPr>
        <w:tc>
          <w:tcPr>
            <w:tcW w:type="dxa" w:w="2304"/>
            <w:vAlign w:val="top"/>
          </w:tcPr>
          <w:p>
            <w:pPr>
              <w:spacing w:after="40" w:before="0" w:line="259" w:lineRule="auto"/>
            </w:pPr>
            <w:r>
              <w:rPr>
                <w:rFonts w:ascii="Calibri" w:hAnsi="Calibri"/>
                <w:b/>
                <w:i w:val="0"/>
                <w:color w:val="212121"/>
                <w:sz w:val="19"/>
              </w:rPr>
              <w:t>Visible lumps (tophi)</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Firm nodules of urate under the skin develop in longstanding, poorly controlled disease.</w:t>
            </w:r>
          </w:p>
        </w:tc>
      </w:tr>
      <w:tr>
        <w:trPr>
          <w:cantSplit/>
        </w:trPr>
        <w:tc>
          <w:tcPr>
            <w:tcW w:type="dxa" w:w="2304"/>
            <w:vAlign w:val="top"/>
          </w:tcPr>
          <w:p>
            <w:pPr>
              <w:spacing w:after="40" w:before="0" w:line="259" w:lineRule="auto"/>
            </w:pPr>
            <w:r>
              <w:rPr>
                <w:rFonts w:ascii="Calibri" w:hAnsi="Calibri"/>
                <w:b/>
                <w:i w:val="0"/>
                <w:color w:val="212121"/>
                <w:sz w:val="19"/>
              </w:rPr>
              <w:t>Peeling / itching skin over the joint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Desquamation of the overlying skin is common as an acute flare subsides.</w:t>
            </w:r>
          </w:p>
        </w:tc>
      </w:tr>
      <w:tr>
        <w:trPr>
          <w:cantSplit/>
        </w:trPr>
        <w:tc>
          <w:tcPr>
            <w:tcW w:type="dxa" w:w="2304"/>
            <w:vAlign w:val="top"/>
          </w:tcPr>
          <w:p>
            <w:pPr>
              <w:spacing w:after="40" w:before="0" w:line="259" w:lineRule="auto"/>
            </w:pPr>
            <w:r>
              <w:rPr>
                <w:rFonts w:ascii="Calibri" w:hAnsi="Calibri"/>
                <w:b/>
                <w:i w:val="0"/>
                <w:color w:val="212121"/>
                <w:sz w:val="19"/>
              </w:rPr>
              <w:t>Fever and malaise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Systemic upset can accompany a severe or polyarticular flare and must be distinguished from infection.</w:t>
            </w:r>
          </w:p>
        </w:tc>
      </w:tr>
      <w:tr>
        <w:trPr>
          <w:cantSplit/>
        </w:trPr>
        <w:tc>
          <w:tcPr>
            <w:tcW w:type="dxa" w:w="2304"/>
            <w:vAlign w:val="top"/>
          </w:tcPr>
          <w:p>
            <w:pPr>
              <w:spacing w:after="40" w:before="0" w:line="259" w:lineRule="auto"/>
            </w:pPr>
            <w:r>
              <w:rPr>
                <w:rFonts w:ascii="Calibri" w:hAnsi="Calibri"/>
                <w:b/>
                <w:i w:val="0"/>
                <w:color w:val="212121"/>
                <w:sz w:val="19"/>
              </w:rPr>
              <w:t>Flank / loin pain (renal colic)</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Uric-acid kidney stones can cause colicky flank pain and haematuria.</w:t>
            </w:r>
          </w:p>
        </w:tc>
      </w:tr>
      <w:tr>
        <w:trPr>
          <w:cantSplit/>
        </w:trPr>
        <w:tc>
          <w:tcPr>
            <w:tcW w:type="dxa" w:w="2304"/>
            <w:vAlign w:val="top"/>
          </w:tcPr>
          <w:p>
            <w:pPr>
              <w:spacing w:after="40" w:before="0" w:line="259" w:lineRule="auto"/>
            </w:pPr>
            <w:r>
              <w:rPr>
                <w:rFonts w:ascii="Calibri" w:hAnsi="Calibri"/>
                <w:b/>
                <w:i w:val="0"/>
                <w:color w:val="212121"/>
                <w:sz w:val="19"/>
              </w:rPr>
              <w:t>Multiple joints affected at once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Polyarticular flares are more typical of elderly, longstanding or tophaceous gout.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Acute monoarthritis of the first MTP (podagra)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single hot, swollen, red big-toe joint is the classic presenting sign.</w:t>
            </w:r>
          </w:p>
        </w:tc>
      </w:tr>
      <w:tr>
        <w:trPr>
          <w:cantSplit/>
        </w:trPr>
        <w:tc>
          <w:tcPr>
            <w:tcW w:type="dxa" w:w="3456"/>
            <w:vAlign w:val="top"/>
          </w:tcPr>
          <w:p>
            <w:pPr>
              <w:spacing w:after="40" w:before="0" w:line="259" w:lineRule="auto"/>
            </w:pPr>
            <w:r>
              <w:rPr>
                <w:rFonts w:ascii="Calibri" w:hAnsi="Calibri"/>
                <w:b/>
                <w:i w:val="0"/>
                <w:color w:val="212121"/>
                <w:sz w:val="19"/>
              </w:rPr>
              <w:t>Erythema, warmth and swelling of the joint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acute crystal-induced synovitis, often mimicking cellulitis or septic arthritis.</w:t>
            </w:r>
          </w:p>
        </w:tc>
      </w:tr>
      <w:tr>
        <w:trPr>
          <w:cantSplit/>
        </w:trPr>
        <w:tc>
          <w:tcPr>
            <w:tcW w:type="dxa" w:w="3456"/>
            <w:vAlign w:val="top"/>
          </w:tcPr>
          <w:p>
            <w:pPr>
              <w:spacing w:after="40" w:before="0" w:line="259" w:lineRule="auto"/>
            </w:pPr>
            <w:r>
              <w:rPr>
                <w:rFonts w:ascii="Calibri" w:hAnsi="Calibri"/>
                <w:b/>
                <w:i w:val="0"/>
                <w:color w:val="212121"/>
                <w:sz w:val="19"/>
              </w:rPr>
              <w:t>Exquisite joint tenderness /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Marked tenderness with reluctance to move or bear weight on the joint.</w:t>
            </w:r>
          </w:p>
        </w:tc>
      </w:tr>
      <w:tr>
        <w:trPr>
          <w:cantSplit/>
        </w:trPr>
        <w:tc>
          <w:tcPr>
            <w:tcW w:type="dxa" w:w="3456"/>
            <w:vAlign w:val="top"/>
          </w:tcPr>
          <w:p>
            <w:pPr>
              <w:spacing w:after="40" w:before="0" w:line="259" w:lineRule="auto"/>
            </w:pPr>
            <w:r>
              <w:rPr>
                <w:rFonts w:ascii="Calibri" w:hAnsi="Calibri"/>
                <w:b/>
                <w:i w:val="0"/>
                <w:color w:val="212121"/>
                <w:sz w:val="19"/>
              </w:rPr>
              <w:t>Tophi (subcutaneous urate nodules)</w:t>
            </w:r>
          </w:p>
        </w:tc>
        <w:tc>
          <w:tcPr>
            <w:tcW w:type="dxa" w:w="1728"/>
            <w:vAlign w:val="top"/>
          </w:tcPr>
          <w:p>
            <w:pPr>
              <w:spacing w:after="40" w:before="0" w:line="259" w:lineRule="auto"/>
            </w:pPr>
            <w:r>
              <w:rPr>
                <w:rFonts w:ascii="Calibri" w:hAnsi="Calibri"/>
                <w:b w:val="0"/>
                <w:i w:val="0"/>
                <w:color w:val="212121"/>
                <w:sz w:val="19"/>
              </w:rPr>
              <w:t>Common in chronic disease</w:t>
            </w:r>
          </w:p>
        </w:tc>
        <w:tc>
          <w:tcPr>
            <w:tcW w:type="dxa" w:w="4420"/>
            <w:vAlign w:val="top"/>
          </w:tcPr>
          <w:p>
            <w:pPr>
              <w:spacing w:after="40" w:before="0" w:line="259" w:lineRule="auto"/>
            </w:pPr>
            <w:r>
              <w:rPr>
                <w:rFonts w:ascii="Calibri" w:hAnsi="Calibri"/>
                <w:b w:val="0"/>
                <w:i w:val="0"/>
                <w:color w:val="212121"/>
                <w:sz w:val="19"/>
              </w:rPr>
              <w:t>Firm nodules over the helix of the ear, olecranon bursa, finger pads and MTP joints.</w:t>
            </w:r>
          </w:p>
        </w:tc>
      </w:tr>
      <w:tr>
        <w:trPr>
          <w:cantSplit/>
        </w:trPr>
        <w:tc>
          <w:tcPr>
            <w:tcW w:type="dxa" w:w="3456"/>
            <w:vAlign w:val="top"/>
          </w:tcPr>
          <w:p>
            <w:pPr>
              <w:spacing w:after="40" w:before="0" w:line="259" w:lineRule="auto"/>
            </w:pPr>
            <w:r>
              <w:rPr>
                <w:rFonts w:ascii="Calibri" w:hAnsi="Calibri"/>
                <w:b/>
                <w:i w:val="0"/>
                <w:color w:val="212121"/>
                <w:sz w:val="19"/>
              </w:rPr>
              <w:t>Chalky-white discharge from a tophus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Ulcerated tophi may extrude pasty, chalk-like urate material.</w:t>
            </w:r>
          </w:p>
        </w:tc>
      </w:tr>
      <w:tr>
        <w:trPr>
          <w:cantSplit/>
        </w:trPr>
        <w:tc>
          <w:tcPr>
            <w:tcW w:type="dxa" w:w="3456"/>
            <w:vAlign w:val="top"/>
          </w:tcPr>
          <w:p>
            <w:pPr>
              <w:spacing w:after="40" w:before="0" w:line="259" w:lineRule="auto"/>
            </w:pPr>
            <w:r>
              <w:rPr>
                <w:rFonts w:ascii="Calibri" w:hAnsi="Calibri"/>
                <w:b/>
                <w:i w:val="0"/>
                <w:color w:val="212121"/>
                <w:sz w:val="19"/>
              </w:rPr>
              <w:t>MSU crystals on polarized microscopy</w:t>
            </w:r>
          </w:p>
        </w:tc>
        <w:tc>
          <w:tcPr>
            <w:tcW w:type="dxa" w:w="1728"/>
            <w:vAlign w:val="top"/>
          </w:tcPr>
          <w:p>
            <w:pPr>
              <w:spacing w:after="40" w:before="0" w:line="259" w:lineRule="auto"/>
            </w:pPr>
            <w:r>
              <w:rPr>
                <w:rFonts w:ascii="Calibri" w:hAnsi="Calibri"/>
                <w:b w:val="0"/>
                <w:i w:val="0"/>
                <w:color w:val="212121"/>
                <w:sz w:val="19"/>
              </w:rPr>
              <w:t>Diagnostic</w:t>
            </w:r>
          </w:p>
        </w:tc>
        <w:tc>
          <w:tcPr>
            <w:tcW w:type="dxa" w:w="4420"/>
            <w:vAlign w:val="top"/>
          </w:tcPr>
          <w:p>
            <w:pPr>
              <w:spacing w:after="40" w:before="0" w:line="259" w:lineRule="auto"/>
            </w:pPr>
            <w:r>
              <w:rPr>
                <w:rFonts w:ascii="Calibri" w:hAnsi="Calibri"/>
                <w:b w:val="0"/>
                <w:i w:val="0"/>
                <w:color w:val="212121"/>
                <w:sz w:val="19"/>
              </w:rPr>
              <w:t>Needle-shaped, strongly negatively birefringent crystals in synovial fluid or tophus aspirate.</w:t>
            </w:r>
          </w:p>
        </w:tc>
      </w:tr>
      <w:tr>
        <w:trPr>
          <w:cantSplit/>
        </w:trPr>
        <w:tc>
          <w:tcPr>
            <w:tcW w:type="dxa" w:w="3456"/>
            <w:vAlign w:val="top"/>
          </w:tcPr>
          <w:p>
            <w:pPr>
              <w:spacing w:after="40" w:before="0" w:line="259" w:lineRule="auto"/>
            </w:pPr>
            <w:r>
              <w:rPr>
                <w:rFonts w:ascii="Calibri" w:hAnsi="Calibri"/>
                <w:b/>
                <w:i w:val="0"/>
                <w:color w:val="212121"/>
                <w:sz w:val="19"/>
              </w:rPr>
              <w:t>Elevated serum uric acid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Usually &gt; 6.8 mg/dL between flares; may be normal or low during an acute attack.</w:t>
            </w:r>
          </w:p>
        </w:tc>
      </w:tr>
      <w:tr>
        <w:trPr>
          <w:cantSplit/>
        </w:trPr>
        <w:tc>
          <w:tcPr>
            <w:tcW w:type="dxa" w:w="3456"/>
            <w:vAlign w:val="top"/>
          </w:tcPr>
          <w:p>
            <w:pPr>
              <w:spacing w:after="40" w:before="0" w:line="259" w:lineRule="auto"/>
            </w:pPr>
            <w:r>
              <w:rPr>
                <w:rFonts w:ascii="Calibri" w:hAnsi="Calibri"/>
                <w:b/>
                <w:i w:val="0"/>
                <w:color w:val="212121"/>
                <w:sz w:val="19"/>
              </w:rPr>
              <w:t>Skin desquamation over a resolving joint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Peeling of overlying skin as the acute inflammation settles.</w:t>
            </w:r>
          </w:p>
        </w:tc>
      </w:tr>
      <w:tr>
        <w:trPr>
          <w:cantSplit/>
        </w:trPr>
        <w:tc>
          <w:tcPr>
            <w:tcW w:type="dxa" w:w="3456"/>
            <w:vAlign w:val="top"/>
          </w:tcPr>
          <w:p>
            <w:pPr>
              <w:spacing w:after="40" w:before="0" w:line="259" w:lineRule="auto"/>
            </w:pPr>
            <w:r>
              <w:rPr>
                <w:rFonts w:ascii="Calibri" w:hAnsi="Calibri"/>
                <w:b/>
                <w:i w:val="0"/>
                <w:color w:val="212121"/>
                <w:sz w:val="19"/>
              </w:rPr>
              <w:t>“Punched-out” erosions with overhanging edges on X-ray</w:t>
            </w:r>
          </w:p>
        </w:tc>
        <w:tc>
          <w:tcPr>
            <w:tcW w:type="dxa" w:w="1728"/>
            <w:vAlign w:val="top"/>
          </w:tcPr>
          <w:p>
            <w:pPr>
              <w:spacing w:after="40" w:before="0" w:line="259" w:lineRule="auto"/>
            </w:pPr>
            <w:r>
              <w:rPr>
                <w:rFonts w:ascii="Calibri" w:hAnsi="Calibri"/>
                <w:b w:val="0"/>
                <w:i w:val="0"/>
                <w:color w:val="212121"/>
                <w:sz w:val="19"/>
              </w:rPr>
              <w:t>Chronic</w:t>
            </w:r>
          </w:p>
        </w:tc>
        <w:tc>
          <w:tcPr>
            <w:tcW w:type="dxa" w:w="4420"/>
            <w:vAlign w:val="top"/>
          </w:tcPr>
          <w:p>
            <w:pPr>
              <w:spacing w:after="40" w:before="0" w:line="259" w:lineRule="auto"/>
            </w:pPr>
            <w:r>
              <w:rPr>
                <w:rFonts w:ascii="Calibri" w:hAnsi="Calibri"/>
                <w:b w:val="0"/>
                <w:i w:val="0"/>
                <w:color w:val="212121"/>
                <w:sz w:val="19"/>
              </w:rPr>
              <w:t>Well-defined juxta-articular erosions with sclerotic, overhanging margins in longstanding gout.</w:t>
            </w:r>
          </w:p>
        </w:tc>
      </w:tr>
      <w:tr>
        <w:trPr>
          <w:cantSplit/>
        </w:trPr>
        <w:tc>
          <w:tcPr>
            <w:tcW w:type="dxa" w:w="3456"/>
            <w:vAlign w:val="top"/>
          </w:tcPr>
          <w:p>
            <w:pPr>
              <w:spacing w:after="40" w:before="0" w:line="259" w:lineRule="auto"/>
            </w:pPr>
            <w:r>
              <w:rPr>
                <w:rFonts w:ascii="Calibri" w:hAnsi="Calibri"/>
                <w:b/>
                <w:i w:val="0"/>
                <w:color w:val="212121"/>
                <w:sz w:val="19"/>
              </w:rPr>
              <w:t>Double-contour sign on ultrasound</w:t>
            </w:r>
          </w:p>
        </w:tc>
        <w:tc>
          <w:tcPr>
            <w:tcW w:type="dxa" w:w="1728"/>
            <w:vAlign w:val="top"/>
          </w:tcPr>
          <w:p>
            <w:pPr>
              <w:spacing w:after="40" w:before="0" w:line="259" w:lineRule="auto"/>
            </w:pPr>
            <w:r>
              <w:rPr>
                <w:rFonts w:ascii="Calibri" w:hAnsi="Calibri"/>
                <w:b w:val="0"/>
                <w:i w:val="0"/>
                <w:color w:val="212121"/>
                <w:sz w:val="19"/>
              </w:rPr>
              <w:t>On imaging</w:t>
            </w:r>
          </w:p>
        </w:tc>
        <w:tc>
          <w:tcPr>
            <w:tcW w:type="dxa" w:w="4420"/>
            <w:vAlign w:val="top"/>
          </w:tcPr>
          <w:p>
            <w:pPr>
              <w:spacing w:after="40" w:before="0" w:line="259" w:lineRule="auto"/>
            </w:pPr>
            <w:r>
              <w:rPr>
                <w:rFonts w:ascii="Calibri" w:hAnsi="Calibri"/>
                <w:b w:val="0"/>
                <w:i w:val="0"/>
                <w:color w:val="212121"/>
                <w:sz w:val="19"/>
              </w:rPr>
              <w:t>Hyperechoic urate deposition layered over articular cartilage; supports gout diagnosis.</w:t>
            </w:r>
          </w:p>
        </w:tc>
      </w:tr>
      <w:tr>
        <w:trPr>
          <w:cantSplit/>
        </w:trPr>
        <w:tc>
          <w:tcPr>
            <w:tcW w:type="dxa" w:w="3456"/>
            <w:vAlign w:val="top"/>
          </w:tcPr>
          <w:p>
            <w:pPr>
              <w:spacing w:after="40" w:before="0" w:line="259" w:lineRule="auto"/>
            </w:pPr>
            <w:r>
              <w:rPr>
                <w:rFonts w:ascii="Calibri" w:hAnsi="Calibri"/>
                <w:b/>
                <w:i w:val="0"/>
                <w:color w:val="212121"/>
                <w:sz w:val="19"/>
              </w:rPr>
              <w:t>Olecranon / prepatellar bursitis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Urate deposition can inflame superficial bursae, sometimes with overlying tophi.</w:t>
            </w:r>
          </w:p>
        </w:tc>
      </w:tr>
      <w:tr>
        <w:trPr>
          <w:cantSplit/>
        </w:trPr>
        <w:tc>
          <w:tcPr>
            <w:tcW w:type="dxa" w:w="3456"/>
            <w:vAlign w:val="top"/>
          </w:tcPr>
          <w:p>
            <w:pPr>
              <w:spacing w:after="40" w:before="0" w:line="259" w:lineRule="auto"/>
            </w:pPr>
            <w:r>
              <w:rPr>
                <w:rFonts w:ascii="Calibri" w:hAnsi="Calibri"/>
                <w:b/>
                <w:i w:val="0"/>
                <w:color w:val="212121"/>
                <w:sz w:val="19"/>
              </w:rPr>
              <w:t>Chronic joint deformity</w:t>
            </w:r>
          </w:p>
        </w:tc>
        <w:tc>
          <w:tcPr>
            <w:tcW w:type="dxa" w:w="1728"/>
            <w:vAlign w:val="top"/>
          </w:tcPr>
          <w:p>
            <w:pPr>
              <w:spacing w:after="40" w:before="0" w:line="259" w:lineRule="auto"/>
            </w:pPr>
            <w:r>
              <w:rPr>
                <w:rFonts w:ascii="Calibri" w:hAnsi="Calibri"/>
                <w:b w:val="0"/>
                <w:i w:val="0"/>
                <w:color w:val="212121"/>
                <w:sz w:val="19"/>
              </w:rPr>
              <w:t>Rare / late</w:t>
            </w:r>
          </w:p>
        </w:tc>
        <w:tc>
          <w:tcPr>
            <w:tcW w:type="dxa" w:w="4420"/>
            <w:vAlign w:val="top"/>
          </w:tcPr>
          <w:p>
            <w:pPr>
              <w:spacing w:after="40" w:before="0" w:line="259" w:lineRule="auto"/>
            </w:pPr>
            <w:r>
              <w:rPr>
                <w:rFonts w:ascii="Calibri" w:hAnsi="Calibri"/>
                <w:b w:val="0"/>
                <w:i w:val="0"/>
                <w:color w:val="212121"/>
                <w:sz w:val="19"/>
              </w:rPr>
              <w:t>Destructive tophaceous arthropathy causes joint deformity and functional loss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acute gout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monoarticular (or polyarticular) pain and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Increasingly frequent attacks with shortening intercritical intervals</w:t>
            </w:r>
          </w:p>
        </w:tc>
        <w:tc>
          <w:tcPr>
            <w:tcW w:type="dxa" w:w="2980"/>
            <w:vAlign w:val="top"/>
          </w:tcPr>
          <w:p>
            <w:pPr>
              <w:spacing w:after="40" w:before="0" w:line="259" w:lineRule="auto"/>
            </w:pPr>
            <w:r>
              <w:rPr>
                <w:rFonts w:ascii="Calibri" w:hAnsi="Calibri"/>
                <w:b w:val="0"/>
                <w:i w:val="0"/>
                <w:color w:val="212121"/>
                <w:sz w:val="19"/>
              </w:rPr>
              <w:t>Direct consequences of MSU-crystal-induced acute inflammation.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tophaceous gout with palpable tophi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Bone and cartilage erosion, joint damage and chronic arthritis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Uric-acid nephrolithiasis (kidney stones)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urate nephropathy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 of ulcerated tophi</w:t>
            </w:r>
          </w:p>
        </w:tc>
        <w:tc>
          <w:tcPr>
            <w:tcW w:type="dxa" w:w="2980"/>
            <w:vAlign w:val="top"/>
          </w:tcPr>
          <w:p>
            <w:pPr>
              <w:spacing w:after="40" w:before="0" w:line="259" w:lineRule="auto"/>
            </w:pPr>
            <w:r>
              <w:rPr>
                <w:rFonts w:ascii="Calibri" w:hAnsi="Calibri"/>
                <w:b w:val="0"/>
                <w:i w:val="0"/>
                <w:color w:val="212121"/>
                <w:sz w:val="19"/>
              </w:rPr>
              <w:t>Result from persistent hyperuricemia and ongoing crystal deposition in joints and the urinary tract.</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Joint destruction, deformity and permanent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chronic kidney disease toward end-stage renal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cardiovascular morbidity and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work loss and psychological burden</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poorly controlled gout and its comorbidities.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obesity and insulin resistance reduce urate excretion; the commonest cluster seen with gout.</w:t>
            </w:r>
          </w:p>
          <w:p>
            <w:pPr>
              <w:spacing w:after="40" w:before="0" w:line="259" w:lineRule="auto"/>
            </w:pPr>
            <w:r>
              <w:rPr>
                <w:rFonts w:ascii="Calibri" w:hAnsi="Calibri"/>
                <w:b/>
                <w:i w:val="0"/>
                <w:color w:val="212121"/>
                <w:sz w:val="19"/>
              </w:rPr>
              <w:t>~66.5%</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Reduces renal urate excretion and is worsened by diuretics; relationship is bidirectional.</w:t>
            </w:r>
          </w:p>
          <w:p>
            <w:pPr>
              <w:spacing w:after="40" w:before="0" w:line="259" w:lineRule="auto"/>
            </w:pPr>
            <w:r>
              <w:rPr>
                <w:rFonts w:ascii="Calibri" w:hAnsi="Calibri"/>
                <w:b/>
                <w:i w:val="0"/>
                <w:color w:val="212121"/>
                <w:sz w:val="19"/>
              </w:rPr>
              <w:t>~54.9%</w:t>
            </w:r>
          </w:p>
        </w:tc>
      </w:tr>
      <w:tr>
        <w:trPr>
          <w:cantSplit/>
        </w:trPr>
        <w:tc>
          <w:tcPr>
            <w:tcW w:type="dxa" w:w="2232"/>
            <w:vAlign w:val="top"/>
          </w:tcPr>
          <w:p>
            <w:pPr>
              <w:spacing w:after="40" w:before="0" w:line="259" w:lineRule="auto"/>
            </w:pPr>
            <w:r>
              <w:rPr>
                <w:rFonts w:ascii="Calibri" w:hAnsi="Calibri"/>
                <w:b/>
                <w:i w:val="0"/>
                <w:color w:val="212121"/>
                <w:sz w:val="19"/>
              </w:rPr>
              <w:t>Dyslipidemia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triglycerides and low HDL commonly accompany gout as part of the metabolic cluster.</w:t>
            </w:r>
          </w:p>
          <w:p>
            <w:pPr>
              <w:spacing w:after="40" w:before="0" w:line="259" w:lineRule="auto"/>
            </w:pPr>
            <w:r>
              <w:rPr>
                <w:rFonts w:ascii="Calibri" w:hAnsi="Calibri"/>
                <w:b/>
                <w:i w:val="0"/>
                <w:color w:val="212121"/>
                <w:sz w:val="19"/>
              </w:rPr>
              <w:t>~41.2%</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Insulin resistance lowers renal urate clearance; shares cardiometabolic risk with gout.</w:t>
            </w:r>
          </w:p>
          <w:p>
            <w:pPr>
              <w:spacing w:after="40" w:before="0" w:line="259" w:lineRule="auto"/>
            </w:pPr>
            <w:r>
              <w:rPr>
                <w:rFonts w:ascii="Calibri" w:hAnsi="Calibri"/>
                <w:b/>
                <w:i w:val="0"/>
                <w:color w:val="212121"/>
                <w:sz w:val="19"/>
              </w:rPr>
              <w:t>~19.1%</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Impaired renal urate excretion both causes and results from gout; urate can injure the kidney.</w:t>
            </w:r>
          </w:p>
          <w:p>
            <w:pPr>
              <w:spacing w:after="40" w:before="0" w:line="259" w:lineRule="auto"/>
            </w:pPr>
            <w:r>
              <w:rPr>
                <w:rFonts w:ascii="Calibri" w:hAnsi="Calibri"/>
                <w:b/>
                <w:i w:val="0"/>
                <w:color w:val="212121"/>
                <w:sz w:val="19"/>
              </w:rPr>
              <w:t>~13.5%</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Gout and hyperuricemia are independently associated with coronary and vascular disease.</w:t>
            </w:r>
          </w:p>
          <w:p>
            <w:pPr>
              <w:spacing w:after="40" w:before="0" w:line="259" w:lineRule="auto"/>
            </w:pPr>
            <w:r>
              <w:rPr>
                <w:rFonts w:ascii="Calibri" w:hAnsi="Calibri"/>
                <w:b/>
                <w:i w:val="0"/>
                <w:color w:val="212121"/>
                <w:sz w:val="19"/>
              </w:rPr>
              <w:t>~4.1%</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Excess adiposity is a strong, modifiable driver of hyperuricemia and gout.</w:t>
            </w:r>
          </w:p>
        </w:tc>
      </w:tr>
      <w:tr>
        <w:trPr>
          <w:cantSplit/>
        </w:trPr>
        <w:tc>
          <w:tcPr>
            <w:tcW w:type="dxa" w:w="2232"/>
            <w:vAlign w:val="top"/>
          </w:tcPr>
          <w:p>
            <w:pPr>
              <w:spacing w:after="40" w:before="0" w:line="259" w:lineRule="auto"/>
            </w:pPr>
            <w:r>
              <w:rPr>
                <w:rFonts w:ascii="Calibri" w:hAnsi="Calibri"/>
                <w:b/>
                <w:i w:val="0"/>
                <w:color w:val="212121"/>
                <w:sz w:val="19"/>
              </w:rPr>
              <w:t>Non-alcoholic fatty liver disease (NAFLD)</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Hepatic steatosis is closely linked to hyperuricemia and insulin resistance.</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Intermittent hypoxia increases purine turnover and serum urate.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gout is caused by high uric acid and MSU crystals — keeping serum urate below 6 mg/dL prevents flares and dissolves crystals over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a flare early (sudden hot, red, painful joint — often the big toe) and seek prompt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and avoid personal triggers: alcohol (especially beer), purine/meat/seafood binges, sugary drinks, dehydration and crash diets.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urate-lowering therapy is long-term — do not stop it when the joint feels better, and expect that starting it may briefly provoke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regular follow-up for serum urate, kidney function and blood pressure, and screen for diabetes and lipids.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gout or hyperuricemia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Middle-aged 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urate-lowering therapy (e.g., allopurinol/febuxostat) titrated to a serum-urate target &lt; 6 mg/dL (&lt; 5 if tophi).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Continue flare prophylaxis (e.g., low-dose colchicine/NSAID as advised) when starting urate-lowering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an acute flare early with rest, ice and prescribed anti-inflammatory medication; do not start or stop urate-lowering drugs during the flare unless told to.</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all medicines with the clinician — diuretics and low-dose aspirin raise urate and may need adjustment.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gout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Tophaceous / recurrent-flare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diuretics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CKD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sustained weight loss if overweight/obese (Asian-Indian BMI target &lt; 23) to lower serum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 150 minutes/week of moderate aerobic activity (brisk walking, cycling, swimming) plus resistance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exercising during an acute flare; resume gentle activity once the joint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around exercise, as dehydration can precipitate a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crash/very-low-calorie weight-loss regimens, which raise urate and can trigger attacks.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gout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high-purine foods: red meat, organ meats (liver, kidney, brain), and shellfish/small oily fish.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sugar-sweetened beverages, sweetened juices and excess sweets — fructose raises uric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Favour low-fat dairy, whole grains, vegetables, most fruits (e.g., cherries) and plant proteins, which are urate-neutral or protective.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well hydrated (≥ 2–3 L water/day unless restricted) to help the kidneys excrete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 coffee intake is acceptable and may be protective for those who tolerate 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Hyperuricemic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Meat/seafood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Soft-drink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 / family-history individuals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DASH-style, low-purine, low-fructose diet alongside urate-lowering medication to help reach target urate.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portion sizes of meat/seafood to occasional small servings rather than daily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Replace sugary drinks with water, and limit alcohol — avoid beer entirely during active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low-fat dairy and vegetable protein, which are associated with lower urate.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Diagnosed gout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Recurrent-flare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 diabetic gout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snore heavily, are obese or have daytime sleepiness, get screened for obstructive sleep apnoea, which raises uric acid.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diagnosed sleep apnoea (e.g., CPAP, weight loss), as this may help lower urate and cardiometabolic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Metabolic-syndrome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reduce overall cardiovascular and renal risk that accompanies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as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clustering smoking with alcohol and rich meals, a common pattern that worsens flares.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Gout patients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cardiovascular/renal comorbidity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strictly minimise alcohol — beer is the most harmful because it is both alcoholic and purine-rich.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 classic acute-flare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drinking at all, keep it occasional and low, and never drink during an active flare.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when alcohol is consumed, as alcohol promotes dehydration and urate retention.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Beer/spirit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Men with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Recurrent-flare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anxiety, low mood and sleep disruption that chronic pain and recurrent flares can cause.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techniques (relaxation, mindfulness, paced activity) that also support adherence and healthier eating/drinking.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support for alcohol reduction where drinking is a coping mechanism.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workplace in supporting lifestyle change and medication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chronic/tophaceous gout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Recurrent-flare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using alcohol to cope</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ournals.plos.org/plosone/article?id=10.1371/journal.pone.0332265" TargetMode="External"/><Relationship Id="rId10" Type="http://schemas.openxmlformats.org/officeDocument/2006/relationships/hyperlink" Target="https://www.ncbi.nlm.nih.gov/books/NBK546606/" TargetMode="External"/><Relationship Id="rId11" Type="http://schemas.openxmlformats.org/officeDocument/2006/relationships/hyperlink" Target="https://www.nature.com/articles/s41584-020-0441-1" TargetMode="External"/><Relationship Id="rId12" Type="http://schemas.openxmlformats.org/officeDocument/2006/relationships/hyperlink" Target="https://njcmindia.com/index.php/file/article/view/3381" TargetMode="External"/><Relationship Id="rId13" Type="http://schemas.openxmlformats.org/officeDocument/2006/relationships/hyperlink" Target="https://pubmed.ncbi.nlm.nih.gov/30341839/" TargetMode="External"/><Relationship Id="rId14" Type="http://schemas.openxmlformats.org/officeDocument/2006/relationships/hyperlink" Target="https://link.springer.com/article/10.1186/s42358-024-00413-8" TargetMode="External"/><Relationship Id="rId15" Type="http://schemas.openxmlformats.org/officeDocument/2006/relationships/hyperlink" Target="https://pmc.ncbi.nlm.nih.gov/articles/PMC12129753/" TargetMode="External"/><Relationship Id="rId16" Type="http://schemas.openxmlformats.org/officeDocument/2006/relationships/hyperlink" Target="https://www.frontiersin.org/journals/nutrition/articles/10.3389/fnut.2025.1669129/fu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