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Carpal Tunnel Syndrome</w:t>
      </w:r>
    </w:p>
    <w:p>
      <w:pPr>
        <w:spacing w:before="0" w:after="160"/>
      </w:pPr>
      <w:r>
        <w:rPr>
          <w:rFonts w:ascii="Calibri" w:hAnsi="Calibri"/>
          <w:b/>
          <w:i w:val="0"/>
          <w:color w:val="212121"/>
          <w:sz w:val="22"/>
        </w:rPr>
        <w:t xml:space="preserve">AKA </w:t>
      </w:r>
      <w:r>
        <w:rPr>
          <w:rFonts w:ascii="Calibri" w:hAnsi="Calibri"/>
          <w:b w:val="0"/>
          <w:i w:val="0"/>
          <w:color w:val="212121"/>
          <w:sz w:val="22"/>
        </w:rPr>
        <w:t>i.e., CTS, Median nerve entrapment at the wrist, Median neuropathy at the carpal tunnel, Compression of the median nerve, 'Computer wrist' / 'Typist's wrist' (lay term), Nas dabna / kalai ki nas ka dabav (Hindi,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Carpal tunnel syndrome (CTS) is the commonest peripheral entrapment (compression) neuropathy, caused by compression of the median nerve as it passes through the carpal tunnel - a narrow osseofibrous canal at the wrist bounded by the carpal bones and the transverse carpal ligament. Raised pressure within this fixed space injures the nerve, producing numbness, tingling and pain in the thumb, index, middle and radial half of the ring finger, classically worse at night, and in advanced disease weakness and wasting of the thumb (thenar) muscles. Most cases are idiopathic (from non-inflammatory thickening of the flexor tenosynovium), but many are secondary to metabolic, hormonal, inflammatory or occupational (repetitive/forceful, vibrating hand use) factors.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Carpal tunnel syndrome is the most common peripheral entrapment neuropathy, estimated to affect about 1-5% of the general population at any given time (around 4-5% in many community surveys) and up to roughly 1 in 10 people over a lifetime. It is about 2-3 times more common in women than in men (idiopathic CTS is 65-80% female), peaks between 40 and 60 years with a secondary peak in the elderly, and is bilateral in 50-60% of idiopathic cases. India has no national CTS registry, but the burden is rising sharply with the rapid expansion of the IT / BPO, data-entry and smartphone-using urban workforce and with the country's very large populations of manual, agricultural, textile / tailoring, construction and assembly-line workers exposed to repetitive, forceful and vibrating hand use. India's exceptionally high burden of diabetes (about 10.5% of adults, nearly 90 million people) and of hypothyroidism further inflates the pool of secondary cases, and roughly two-thirds of carpal tunnel diagnoses are considered work-related. Because degenerative and metabolic drivers are so common, clinical and electrophysiological correlation is essential.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CTS is primarily a clinical diagnosis supported and graded by electrodiagnostic testing. It is suspected on a characteristic history and examination and confirmed as follows: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symptoms - intermittent numbness, tingling, burning or pain in the median nerve distribution (thumb, index, middle and radial half of the ring finger), classically nocturnal and relieved by shaking or flicking the hand (the 'flick sign');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Provocative bedside signs - a positive Phalen test (sensitivity ~68%, specificity ~73%), Tinel sign (sensitivity ~50%, specificity ~77%) and Durkan carpal-compression test (sensitivity ~64%, specificity ~83%);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Motor and sensory findings in established disease - weakness or wasting of the thenar (abductor pollicis brevis) muscle and reduced two-point discrimination/monofilament sensation in the median territory, with sparing of the thenar skin (palmar cutaneous branch);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Nerve conduction studies with EMG (the diagnostic gold standard) - prolonged median distal sensory and motor latencies and reduced conduction velocity/amplitude across the wrist, used to confirm the diagnosis and grade severity (mild = sensory abnormality only; moderate = sensory + motor slowing; severe = axonal loss/denervation);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imaging where indicated - high-resolution ultrasound showing an enlarged median nerve cross-sectional area at the tunnel inlet, or MRI for suspected structural or space-occupying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secondary, treatable causes - fasting glucose/HbA1c, thyroid function (TSH), and assessment for pregnancy, inflammatory arthritis or renal disease when the history suggests them.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Carpal tunnel syndrome can be classified by underlying aetiology, by electrophysiological severity and by laterality:</w:t>
      </w:r>
    </w:p>
    <w:p>
      <w:pPr>
        <w:spacing w:before="0" w:after="80"/>
      </w:pPr>
      <w:r>
        <w:rPr>
          <w:rFonts w:ascii="Calibri" w:hAnsi="Calibri"/>
          <w:b w:val="0"/>
          <w:i w:val="0"/>
          <w:color w:val="212121"/>
          <w:sz w:val="21"/>
        </w:rPr>
        <w:t>(1) Idiopathic CTS - by far the commonest form, arising from non-inflammatory hypertrophy and oedema of the flexor tenosynovium that raises tunnel pressure; predominates in women aged 40-60 and in those with a constitutionally narrow carpal tunnel;</w:t>
      </w:r>
    </w:p>
    <w:p>
      <w:pPr>
        <w:spacing w:before="0" w:after="80"/>
      </w:pPr>
      <w:r>
        <w:rPr>
          <w:rFonts w:ascii="Calibri" w:hAnsi="Calibri"/>
          <w:b w:val="0"/>
          <w:i w:val="0"/>
          <w:color w:val="212121"/>
          <w:sz w:val="21"/>
        </w:rPr>
        <w:t>(2) Secondary CTS - attributable to an identifiable cause: metabolic/endocrine (diabetes mellitus, hypothyroidism, acromegaly, obesity), inflammatory (rheumatoid and other arthritides, gout), fluid-retentive states (pregnancy, menopause, renal failure, heart failure), deposition disease (amyloidosis), space-occupying lesions (ganglion, lipoma, tumour) and post-traumatic causes (distal radius fracture or malunion, wrist dislocation);</w:t>
      </w:r>
    </w:p>
    <w:p>
      <w:pPr>
        <w:spacing w:before="0" w:after="80"/>
      </w:pPr>
      <w:r>
        <w:rPr>
          <w:rFonts w:ascii="Calibri" w:hAnsi="Calibri"/>
          <w:b w:val="0"/>
          <w:i w:val="0"/>
          <w:color w:val="212121"/>
          <w:sz w:val="21"/>
        </w:rPr>
        <w:t>(3) Occupational / activity-related CTS - driven by repetitive and forceful gripping, sustained non-neutral wrist postures and hand-arm vibration (keyboard/mouse work, tailoring, assembly lines, agriculture, use of powered/vibrating tools);</w:t>
      </w:r>
    </w:p>
    <w:p>
      <w:pPr>
        <w:spacing w:before="0" w:after="80"/>
      </w:pPr>
      <w:r>
        <w:rPr>
          <w:rFonts w:ascii="Calibri" w:hAnsi="Calibri"/>
          <w:b w:val="0"/>
          <w:i w:val="0"/>
          <w:color w:val="212121"/>
          <w:sz w:val="21"/>
        </w:rPr>
        <w:t>(4) By electrodiagnostic severity - mild (sensory conduction abnormality only), moderate (combined sensory and motor slowing) and severe (axonal loss with thenar weakness/atrophy), which guides prognosis and choice of treatment;</w:t>
      </w:r>
    </w:p>
    <w:p>
      <w:pPr>
        <w:spacing w:before="0" w:after="80"/>
      </w:pPr>
      <w:r>
        <w:rPr>
          <w:rFonts w:ascii="Calibri" w:hAnsi="Calibri"/>
          <w:b w:val="0"/>
          <w:i w:val="0"/>
          <w:color w:val="212121"/>
          <w:sz w:val="21"/>
        </w:rPr>
        <w:t>(5) By laterality - unilateral or bilateral; 50-60% of idiopathic cases are bilateral and symptoms are usually worse in the dominant hand.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Raised carpal tunnel pressure (core mechanism): any process that increases the volume or pressure of the contents within the fixed osseofibrous tunnel compresses and ischaemically injures the median nerve. Normal tunnel pressure is only 2-10 mmHg but rises 8-10 fold with wrist flexion or extension.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Flexor tenosynovial hypertrophy and oedema: non-inflammatory thickening of the tendon sheaths is the commonest (idiopathic) finding and the main reason women and older adults are affected.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Repetitive / forceful hand use and vibration: occupational biomechanical exposure - high repetition, high hand force, sustained wrist deviation and hand-arm vibration - is a major modifiable driver.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Metabolic and endocrine disease: diabetes mellitus (median nerve more vulnerable to compression), hypothyroidism (myxoedematous tissue deposition), obesity and acromegaly increase susceptibility or tissue volume.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Fluid-retentive states: pregnancy and menopause (hormonal fluid shifts), renal failure and heart failure raise tunnel pressure, often reversibly.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Inflammatory and deposition disease: rheumatoid arthritis and other inflammatory arthritides cause flexor tenosynovitis; gout and amyloidosis deposit within the tunnel.</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Anatomical and genetic predisposition: a constitutionally small carpal tunnel (more common in women), family history, prior wrist trauma/malunion and space-occupying lesions (ganglion, lipoma).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~30-55 years)</w:t>
            </w:r>
          </w:p>
        </w:tc>
        <w:tc>
          <w:tcPr>
            <w:tcW w:type="dxa" w:w="4276"/>
            <w:vAlign w:val="top"/>
          </w:tcPr>
          <w:p>
            <w:pPr>
              <w:spacing w:after="60" w:line="259" w:lineRule="auto"/>
            </w:pPr>
            <w:r>
              <w:rPr>
                <w:rFonts w:ascii="Calibri" w:hAnsi="Calibri"/>
                <w:b w:val="0"/>
                <w:i w:val="0"/>
                <w:color w:val="212121"/>
                <w:sz w:val="19"/>
              </w:rPr>
              <w:t>Peak years for both cumulative occupational hand-use and the onset of metabolic disease. Repetitive keyboard/tool exposure combines with early insulin resistance and weight gain to raise carpal tunnel pressure and injure the median nerve.</w:t>
            </w:r>
          </w:p>
          <w:p>
            <w:pPr>
              <w:spacing w:after="40" w:before="60" w:line="259" w:lineRule="auto"/>
            </w:pPr>
            <w:r>
              <w:rPr>
                <w:rFonts w:ascii="Calibri" w:hAnsi="Calibri"/>
                <w:b w:val="0"/>
                <w:i w:val="0"/>
                <w:color w:val="212121"/>
                <w:sz w:val="19"/>
              </w:rPr>
              <w:t>CTS is uncommon in children and typically manifests in adults aged 40 to 60 years.</w:t>
            </w:r>
          </w:p>
          <w:p>
            <w:pPr>
              <w:spacing w:after="40" w:line="252" w:lineRule="auto"/>
            </w:pPr>
            <w:hyperlink r:id="rId9">
              <w:r>
                <w:rPr>
                  <w:rFonts w:ascii="Calibri" w:hAnsi="Calibri" w:cs="Calibri"/>
                  <w:sz w:val="18"/>
                  <w:color w:val="1155CC"/>
                  <w:u w:val="single"/>
                </w:rPr>
                <w:t xml:space="preserve">ncbi.nlm.nih.gov/books/NBK448179 - StatPearls: CTS</w:t>
              </w:r>
            </w:hyperlink>
          </w:p>
          <w:p>
            <w:pPr>
              <w:spacing w:before="60" w:after="40"/>
            </w:pPr>
            <w:r>
              <w:rPr>
                <w:rFonts w:ascii="Calibri" w:hAnsi="Calibri"/>
                <w:b w:val="0"/>
                <w:i w:val="0"/>
                <w:color w:val="5A5A5A"/>
                <w:sz w:val="18"/>
              </w:rPr>
              <w:t>#mediannerve  #workingage  #repetitivestrain  #keyboardwrist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Degenerative tenosynovial change, accumulated comorbidity (diabetes, hypothyroidism, osteoarthritis) and reduced nerve resilience raise risk and worsen prognosis; a distinct secondary incidence peak occurs in later life.</w:t>
            </w:r>
          </w:p>
          <w:p>
            <w:pPr>
              <w:spacing w:after="40" w:before="60" w:line="259" w:lineRule="auto"/>
            </w:pPr>
            <w:r>
              <w:rPr>
                <w:rFonts w:ascii="Calibri" w:hAnsi="Calibri"/>
                <w:b w:val="0"/>
                <w:i w:val="0"/>
                <w:color w:val="212121"/>
                <w:sz w:val="19"/>
              </w:rPr>
              <w:t>A secondary incidence peak occurs at ages 75-84 years (about 64% female).</w:t>
            </w:r>
          </w:p>
          <w:p>
            <w:pPr>
              <w:spacing w:after="40" w:line="252" w:lineRule="auto"/>
            </w:pPr>
            <w:hyperlink r:id="rId10">
              <w:r>
                <w:rPr>
                  <w:rFonts w:ascii="Calibri" w:hAnsi="Calibri" w:cs="Calibri"/>
                  <w:sz w:val="18"/>
                  <w:color w:val="1155CC"/>
                  <w:u w:val="single"/>
                </w:rPr>
                <w:t xml:space="preserve">physio-pedia.com - Carpal Tunnel Syndrome</w:t>
              </w:r>
            </w:hyperlink>
          </w:p>
          <w:p>
            <w:pPr>
              <w:spacing w:before="60" w:after="40"/>
            </w:pPr>
            <w:r>
              <w:rPr>
                <w:rFonts w:ascii="Calibri" w:hAnsi="Calibri"/>
                <w:b w:val="0"/>
                <w:i w:val="0"/>
                <w:color w:val="5A5A5A"/>
                <w:sz w:val="18"/>
              </w:rPr>
              <w:t>#ageing  #comorbidity  #thenaratrophy  #axonalloss  #secondarypeak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peri- and post-menopausal)</w:t>
            </w:r>
          </w:p>
        </w:tc>
        <w:tc>
          <w:tcPr>
            <w:tcW w:type="dxa" w:w="4276"/>
            <w:vAlign w:val="top"/>
          </w:tcPr>
          <w:p>
            <w:pPr>
              <w:spacing w:after="60" w:line="259" w:lineRule="auto"/>
            </w:pPr>
            <w:r>
              <w:rPr>
                <w:rFonts w:ascii="Calibri" w:hAnsi="Calibri"/>
                <w:b w:val="0"/>
                <w:i w:val="0"/>
                <w:color w:val="212121"/>
                <w:sz w:val="19"/>
              </w:rPr>
              <w:t>Women have a constitutionally smaller carpal tunnel and are subject to hormonal fluid shifts (pregnancy, menopause) and a high burden of hypothyroidism and inflammatory arthritis, all of which raise tunnel pressure.</w:t>
            </w:r>
          </w:p>
          <w:p>
            <w:pPr>
              <w:spacing w:after="40" w:before="60" w:line="259" w:lineRule="auto"/>
            </w:pPr>
            <w:r>
              <w:rPr>
                <w:rFonts w:ascii="Calibri" w:hAnsi="Calibri"/>
                <w:b w:val="0"/>
                <w:i w:val="0"/>
                <w:color w:val="212121"/>
                <w:sz w:val="19"/>
              </w:rPr>
              <w:t>CTS is 2-3 times more common in women than men (about a 3:1 female-to-male ratio); idiopathic CTS is 65-80% female.</w:t>
            </w:r>
          </w:p>
          <w:p>
            <w:pPr>
              <w:spacing w:after="40" w:line="252" w:lineRule="auto"/>
            </w:pPr>
            <w:hyperlink r:id="rId9">
              <w:r>
                <w:rPr>
                  <w:rFonts w:ascii="Calibri" w:hAnsi="Calibri" w:cs="Calibri"/>
                  <w:sz w:val="18"/>
                  <w:color w:val="1155CC"/>
                  <w:u w:val="single"/>
                </w:rPr>
                <w:t xml:space="preserve">ncbi.nlm.nih.gov/books/NBK448179 - StatPearls: CTS</w:t>
              </w:r>
            </w:hyperlink>
          </w:p>
          <w:p>
            <w:pPr>
              <w:spacing w:before="60" w:after="40"/>
            </w:pPr>
            <w:r>
              <w:rPr>
                <w:rFonts w:ascii="Calibri" w:hAnsi="Calibri"/>
                <w:b w:val="0"/>
                <w:i w:val="0"/>
                <w:color w:val="5A5A5A"/>
                <w:sz w:val="18"/>
              </w:rPr>
              <w:t>#women  #smallertunnel  #menopause  #hormonal  #thyroid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Informal-sector and low-income manual workers</w:t>
            </w:r>
          </w:p>
        </w:tc>
        <w:tc>
          <w:tcPr>
            <w:tcW w:type="dxa" w:w="4276"/>
            <w:vAlign w:val="top"/>
          </w:tcPr>
          <w:p>
            <w:pPr>
              <w:spacing w:after="60" w:line="259" w:lineRule="auto"/>
            </w:pPr>
            <w:r>
              <w:rPr>
                <w:rFonts w:ascii="Calibri" w:hAnsi="Calibri"/>
                <w:b w:val="0"/>
                <w:i w:val="0"/>
                <w:color w:val="212121"/>
                <w:sz w:val="19"/>
              </w:rPr>
              <w:t>Manual and informal-sector work in India involves high hand force and repetition with no ergonomic protection, job rotation or micro-breaks, and workers present late because of loss of daily wages - so disease is often advanced at diagnosis.</w:t>
            </w:r>
          </w:p>
          <w:p>
            <w:pPr>
              <w:spacing w:after="40" w:before="60" w:line="259" w:lineRule="auto"/>
            </w:pPr>
            <w:r>
              <w:rPr>
                <w:rFonts w:ascii="Calibri" w:hAnsi="Calibri"/>
                <w:b w:val="0"/>
                <w:i w:val="0"/>
                <w:color w:val="212121"/>
                <w:sz w:val="19"/>
              </w:rPr>
              <w:t>Roughly two-thirds of carpal tunnel diagnoses are considered work-related.</w:t>
            </w:r>
          </w:p>
          <w:p>
            <w:pPr>
              <w:spacing w:after="40" w:line="252" w:lineRule="auto"/>
            </w:pPr>
            <w:hyperlink r:id="rId11">
              <w:r>
                <w:rPr>
                  <w:rFonts w:ascii="Calibri" w:hAnsi="Calibri" w:cs="Calibri"/>
                  <w:sz w:val="18"/>
                  <w:color w:val="1155CC"/>
                  <w:u w:val="single"/>
                </w:rPr>
                <w:t xml:space="preserve">en.wikipedia.org - Carpal tunnel syndrome (occupational data)</w:t>
              </w:r>
            </w:hyperlink>
          </w:p>
          <w:p>
            <w:pPr>
              <w:spacing w:before="60" w:after="40"/>
            </w:pPr>
            <w:r>
              <w:rPr>
                <w:rFonts w:ascii="Calibri" w:hAnsi="Calibri"/>
                <w:b w:val="0"/>
                <w:i w:val="0"/>
                <w:color w:val="5A5A5A"/>
                <w:sz w:val="18"/>
              </w:rPr>
              <w:t>#informalsector  #manuallabour  #occupational  #latepresentation  #nowagesafety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occupation</w:t>
            </w:r>
          </w:p>
        </w:tc>
        <w:tc>
          <w:tcPr>
            <w:tcW w:type="dxa" w:w="2160"/>
            <w:vAlign w:val="top"/>
          </w:tcPr>
          <w:p>
            <w:pPr>
              <w:spacing w:after="40" w:before="0" w:line="259" w:lineRule="auto"/>
            </w:pPr>
            <w:r>
              <w:rPr>
                <w:rFonts w:ascii="Calibri" w:hAnsi="Calibri"/>
                <w:b w:val="0"/>
                <w:i w:val="0"/>
                <w:color w:val="212121"/>
                <w:sz w:val="19"/>
              </w:rPr>
              <w:t>Urban IT / BPO, data-entry and smartphone-using workforce</w:t>
            </w:r>
          </w:p>
        </w:tc>
        <w:tc>
          <w:tcPr>
            <w:tcW w:type="dxa" w:w="4276"/>
            <w:vAlign w:val="top"/>
          </w:tcPr>
          <w:p>
            <w:pPr>
              <w:spacing w:after="60" w:line="259" w:lineRule="auto"/>
            </w:pPr>
            <w:r>
              <w:rPr>
                <w:rFonts w:ascii="Calibri" w:hAnsi="Calibri"/>
                <w:b w:val="0"/>
                <w:i w:val="0"/>
                <w:color w:val="212121"/>
                <w:sz w:val="19"/>
              </w:rPr>
              <w:t>India's large and growing IT, business-process-outsourcing and data-entry workforce performs prolonged, sustained keyboard and mouse work with non-neutral wrist postures and few breaks, compounded by heavy smartphone use.</w:t>
            </w:r>
          </w:p>
          <w:p>
            <w:pPr>
              <w:spacing w:after="40" w:before="60" w:line="259" w:lineRule="auto"/>
            </w:pPr>
            <w:r>
              <w:rPr>
                <w:rFonts w:ascii="Calibri" w:hAnsi="Calibri"/>
                <w:b w:val="0"/>
                <w:i w:val="0"/>
                <w:color w:val="212121"/>
                <w:sz w:val="19"/>
              </w:rPr>
              <w:t>Computer/keyboard work shows a tendency to increased CTS prevalence at more than 20 hours per week.</w:t>
            </w:r>
          </w:p>
          <w:p>
            <w:pPr>
              <w:spacing w:after="40" w:line="252" w:lineRule="auto"/>
            </w:pPr>
            <w:hyperlink r:id="rId10">
              <w:r>
                <w:rPr>
                  <w:rFonts w:ascii="Calibri" w:hAnsi="Calibri" w:cs="Calibri"/>
                  <w:sz w:val="18"/>
                  <w:color w:val="1155CC"/>
                  <w:u w:val="single"/>
                </w:rPr>
                <w:t xml:space="preserve">physio-pedia.com - Carpal Tunnel Syndrome</w:t>
              </w:r>
            </w:hyperlink>
          </w:p>
          <w:p>
            <w:pPr>
              <w:spacing w:before="60" w:after="40"/>
            </w:pPr>
            <w:r>
              <w:rPr>
                <w:rFonts w:ascii="Calibri" w:hAnsi="Calibri"/>
                <w:b w:val="0"/>
                <w:i w:val="0"/>
                <w:color w:val="5A5A5A"/>
                <w:sz w:val="18"/>
              </w:rPr>
              <w:t>#ITworkers  #dataentry  #screentime  #mousehand  #urbanindia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agricultural, textile / tailoring and assembly-line workers</w:t>
            </w:r>
          </w:p>
        </w:tc>
        <w:tc>
          <w:tcPr>
            <w:tcW w:type="dxa" w:w="4276"/>
            <w:vAlign w:val="top"/>
          </w:tcPr>
          <w:p>
            <w:pPr>
              <w:spacing w:after="60" w:line="259" w:lineRule="auto"/>
            </w:pPr>
            <w:r>
              <w:rPr>
                <w:rFonts w:ascii="Calibri" w:hAnsi="Calibri"/>
                <w:b w:val="0"/>
                <w:i w:val="0"/>
                <w:color w:val="212121"/>
                <w:sz w:val="19"/>
              </w:rPr>
              <w:t>Farming, hand-weaving, tailoring (darzi), beedi rolling, garment and manufacturing assembly involve highly repetitive, forceful and pinch-intensive hand movements that mechanically load the median nerve throughout long working days.</w:t>
            </w:r>
          </w:p>
          <w:p>
            <w:pPr>
              <w:spacing w:after="40" w:before="60" w:line="259" w:lineRule="auto"/>
            </w:pPr>
            <w:r>
              <w:rPr>
                <w:rFonts w:ascii="Calibri" w:hAnsi="Calibri"/>
                <w:b w:val="0"/>
                <w:i w:val="0"/>
                <w:color w:val="212121"/>
                <w:sz w:val="19"/>
              </w:rPr>
              <w:t>Systematic-review odds ratios for CTS are about 2.3 for high repetition and 4.2 for high hand force (Newington et al.).</w:t>
            </w:r>
          </w:p>
          <w:p>
            <w:pPr>
              <w:spacing w:after="40" w:line="252" w:lineRule="auto"/>
            </w:pPr>
            <w:hyperlink r:id="rId11">
              <w:r>
                <w:rPr>
                  <w:rFonts w:ascii="Calibri" w:hAnsi="Calibri" w:cs="Calibri"/>
                  <w:sz w:val="18"/>
                  <w:color w:val="1155CC"/>
                  <w:u w:val="single"/>
                </w:rPr>
                <w:t xml:space="preserve">en.wikipedia.org - Carpal tunnel syndrome (Newington 2015 ORs)</w:t>
              </w:r>
            </w:hyperlink>
          </w:p>
          <w:p>
            <w:pPr>
              <w:spacing w:before="60" w:after="40"/>
            </w:pPr>
            <w:r>
              <w:rPr>
                <w:rFonts w:ascii="Calibri" w:hAnsi="Calibri"/>
                <w:b w:val="0"/>
                <w:i w:val="0"/>
                <w:color w:val="5A5A5A"/>
                <w:sz w:val="18"/>
              </w:rPr>
              <w:t>#agriculture  #tailoring  #textile  #assemblyline  #repetitivegrip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vibration</w:t>
            </w:r>
          </w:p>
        </w:tc>
        <w:tc>
          <w:tcPr>
            <w:tcW w:type="dxa" w:w="2160"/>
            <w:vAlign w:val="top"/>
          </w:tcPr>
          <w:p>
            <w:pPr>
              <w:spacing w:after="40" w:before="0" w:line="259" w:lineRule="auto"/>
            </w:pPr>
            <w:r>
              <w:rPr>
                <w:rFonts w:ascii="Calibri" w:hAnsi="Calibri"/>
                <w:b w:val="0"/>
                <w:i w:val="0"/>
                <w:color w:val="212121"/>
                <w:sz w:val="19"/>
              </w:rPr>
              <w:t>Construction/road workers, machinists and professional two-wheeler drivers</w:t>
            </w:r>
          </w:p>
        </w:tc>
        <w:tc>
          <w:tcPr>
            <w:tcW w:type="dxa" w:w="4276"/>
            <w:vAlign w:val="top"/>
          </w:tcPr>
          <w:p>
            <w:pPr>
              <w:spacing w:after="60" w:line="259" w:lineRule="auto"/>
            </w:pPr>
            <w:r>
              <w:rPr>
                <w:rFonts w:ascii="Calibri" w:hAnsi="Calibri"/>
                <w:b w:val="0"/>
                <w:i w:val="0"/>
                <w:color w:val="212121"/>
                <w:sz w:val="19"/>
              </w:rPr>
              <w:t>Hand-arm vibration from powered/pneumatic tools (drills, jackhammers, grinders) and, in the Indian context, long hours gripping vibrating two-wheeler/auto handlebars, is one of the strongest occupational drivers of median nerve injury.</w:t>
            </w:r>
          </w:p>
          <w:p>
            <w:pPr>
              <w:spacing w:after="40" w:before="60" w:line="259" w:lineRule="auto"/>
            </w:pPr>
            <w:r>
              <w:rPr>
                <w:rFonts w:ascii="Calibri" w:hAnsi="Calibri"/>
                <w:b w:val="0"/>
                <w:i w:val="0"/>
                <w:color w:val="212121"/>
                <w:sz w:val="19"/>
              </w:rPr>
              <w:t>Vibration exposure carries the highest reported occupational odds ratio for CTS, about 5.4 (Newington et al.).</w:t>
            </w:r>
          </w:p>
          <w:p>
            <w:pPr>
              <w:spacing w:after="40" w:line="252" w:lineRule="auto"/>
            </w:pPr>
            <w:hyperlink r:id="rId11">
              <w:r>
                <w:rPr>
                  <w:rFonts w:ascii="Calibri" w:hAnsi="Calibri" w:cs="Calibri"/>
                  <w:sz w:val="18"/>
                  <w:color w:val="1155CC"/>
                  <w:u w:val="single"/>
                </w:rPr>
                <w:t xml:space="preserve">en.wikipedia.org - Carpal tunnel syndrome (Newington 2015 ORs)</w:t>
              </w:r>
            </w:hyperlink>
          </w:p>
          <w:p>
            <w:pPr>
              <w:spacing w:before="60" w:after="40"/>
            </w:pPr>
            <w:r>
              <w:rPr>
                <w:rFonts w:ascii="Calibri" w:hAnsi="Calibri"/>
                <w:b w:val="0"/>
                <w:i w:val="0"/>
                <w:color w:val="5A5A5A"/>
                <w:sz w:val="18"/>
              </w:rPr>
              <w:t>#vibration  #powertools  #handarmvibration  #drivers  #construction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sustained wrist posture</w:t>
            </w:r>
          </w:p>
        </w:tc>
        <w:tc>
          <w:tcPr>
            <w:tcW w:type="dxa" w:w="2160"/>
            <w:vAlign w:val="top"/>
          </w:tcPr>
          <w:p>
            <w:pPr>
              <w:spacing w:after="40" w:before="0" w:line="259" w:lineRule="auto"/>
            </w:pPr>
            <w:r>
              <w:rPr>
                <w:rFonts w:ascii="Calibri" w:hAnsi="Calibri"/>
                <w:b w:val="0"/>
                <w:i w:val="0"/>
                <w:color w:val="212121"/>
                <w:sz w:val="19"/>
              </w:rPr>
              <w:t>Screen-bound office workers, students and gamers</w:t>
            </w:r>
          </w:p>
        </w:tc>
        <w:tc>
          <w:tcPr>
            <w:tcW w:type="dxa" w:w="4276"/>
            <w:vAlign w:val="top"/>
          </w:tcPr>
          <w:p>
            <w:pPr>
              <w:spacing w:after="60" w:line="259" w:lineRule="auto"/>
            </w:pPr>
            <w:r>
              <w:rPr>
                <w:rFonts w:ascii="Calibri" w:hAnsi="Calibri"/>
                <w:b w:val="0"/>
                <w:i w:val="0"/>
                <w:color w:val="212121"/>
                <w:sz w:val="19"/>
              </w:rPr>
              <w:t>Prolonged static gripping and sustained wrist flexion or extension at a keyboard, mouse, phone or game controller keep intratunnel pressure elevated for hours, the classic non-neutral-posture mechanism.</w:t>
            </w:r>
          </w:p>
          <w:p>
            <w:pPr>
              <w:spacing w:after="40" w:before="60" w:line="259" w:lineRule="auto"/>
            </w:pPr>
            <w:r>
              <w:rPr>
                <w:rFonts w:ascii="Calibri" w:hAnsi="Calibri"/>
                <w:b w:val="0"/>
                <w:i w:val="0"/>
                <w:color w:val="212121"/>
                <w:sz w:val="19"/>
              </w:rPr>
              <w:t>Sustained wrist flexion/extension roughly doubles CTS risk (odds ratio ~2.0, Newington et al.).</w:t>
            </w:r>
          </w:p>
          <w:p>
            <w:pPr>
              <w:spacing w:after="40" w:line="252" w:lineRule="auto"/>
            </w:pPr>
            <w:hyperlink r:id="rId11">
              <w:r>
                <w:rPr>
                  <w:rFonts w:ascii="Calibri" w:hAnsi="Calibri" w:cs="Calibri"/>
                  <w:sz w:val="18"/>
                  <w:color w:val="1155CC"/>
                  <w:u w:val="single"/>
                </w:rPr>
                <w:t xml:space="preserve">en.wikipedia.org - Carpal tunnel syndrome (Newington 2015 ORs)</w:t>
              </w:r>
            </w:hyperlink>
          </w:p>
          <w:p>
            <w:pPr>
              <w:spacing w:before="60" w:after="40"/>
            </w:pPr>
            <w:r>
              <w:rPr>
                <w:rFonts w:ascii="Calibri" w:hAnsi="Calibri"/>
                <w:b w:val="0"/>
                <w:i w:val="0"/>
                <w:color w:val="5A5A5A"/>
                <w:sz w:val="18"/>
              </w:rPr>
              <w:t>#deskwork  #wristposture  #textneckhand  #gaming  #staticgrip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and tobacco users</w:t>
            </w:r>
          </w:p>
        </w:tc>
        <w:tc>
          <w:tcPr>
            <w:tcW w:type="dxa" w:w="4276"/>
            <w:vAlign w:val="top"/>
          </w:tcPr>
          <w:p>
            <w:pPr>
              <w:spacing w:after="60" w:line="259" w:lineRule="auto"/>
            </w:pPr>
            <w:r>
              <w:rPr>
                <w:rFonts w:ascii="Calibri" w:hAnsi="Calibri"/>
                <w:b w:val="0"/>
                <w:i w:val="0"/>
                <w:color w:val="212121"/>
                <w:sz w:val="19"/>
              </w:rPr>
              <w:t>Smoking impairs microvascular blood supply to the compressed median nerve and is associated with more severe symptoms and poorer recovery, adding an ischaemic insult to mechanical compression.</w:t>
            </w:r>
          </w:p>
          <w:p>
            <w:pPr>
              <w:spacing w:after="40" w:before="60" w:line="259" w:lineRule="auto"/>
            </w:pPr>
            <w:r>
              <w:rPr>
                <w:rFonts w:ascii="Calibri" w:hAnsi="Calibri"/>
                <w:b w:val="0"/>
                <w:i w:val="0"/>
                <w:color w:val="212121"/>
                <w:sz w:val="19"/>
              </w:rPr>
              <w:t>Smoking is recognised as a modifiable risk/aggravating factor that worsens nerve microcirculation and CTS outcomes.</w:t>
            </w:r>
          </w:p>
          <w:p>
            <w:pPr>
              <w:spacing w:before="60" w:after="40"/>
            </w:pPr>
            <w:r>
              <w:rPr>
                <w:rFonts w:ascii="Calibri" w:hAnsi="Calibri"/>
                <w:b w:val="0"/>
                <w:i w:val="0"/>
                <w:color w:val="5A5A5A"/>
                <w:sz w:val="18"/>
              </w:rPr>
              <w:t>#smoking  #tobacco  #nerveischaemia  #poorhealing  #microcirculation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Chronic heavy alcohol use can cause a background peripheral neuropathy and nutritional (B-vitamin) deficiency that lower the threshold for symptomatic median nerve compression.</w:t>
            </w:r>
          </w:p>
          <w:p>
            <w:pPr>
              <w:spacing w:after="40" w:before="60" w:line="259" w:lineRule="auto"/>
            </w:pPr>
            <w:r>
              <w:rPr>
                <w:rFonts w:ascii="Calibri" w:hAnsi="Calibri"/>
                <w:b w:val="0"/>
                <w:i w:val="0"/>
                <w:color w:val="212121"/>
                <w:sz w:val="19"/>
              </w:rPr>
              <w:t>Alcoholism is listed among the systemic risk factors for CTS.</w:t>
            </w:r>
          </w:p>
          <w:p>
            <w:pPr>
              <w:spacing w:after="40" w:line="252" w:lineRule="auto"/>
            </w:pPr>
            <w:hyperlink r:id="rId9">
              <w:r>
                <w:rPr>
                  <w:rFonts w:ascii="Calibri" w:hAnsi="Calibri" w:cs="Calibri"/>
                  <w:sz w:val="18"/>
                  <w:color w:val="1155CC"/>
                  <w:u w:val="single"/>
                </w:rPr>
                <w:t xml:space="preserve">ncbi.nlm.nih.gov/books/NBK448179 - StatPearls: CTS</w:t>
              </w:r>
            </w:hyperlink>
          </w:p>
          <w:p>
            <w:pPr>
              <w:spacing w:before="60" w:after="40"/>
            </w:pPr>
            <w:r>
              <w:rPr>
                <w:rFonts w:ascii="Calibri" w:hAnsi="Calibri"/>
                <w:b w:val="0"/>
                <w:i w:val="0"/>
                <w:color w:val="5A5A5A"/>
                <w:sz w:val="18"/>
              </w:rPr>
              <w:t>#alcohol  #peripheralneuropathy  #bvitamin  #nutrition  #nervehealth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&gt;= 23)</w:t>
            </w:r>
          </w:p>
        </w:tc>
        <w:tc>
          <w:tcPr>
            <w:tcW w:type="dxa" w:w="4276"/>
            <w:vAlign w:val="top"/>
          </w:tcPr>
          <w:p>
            <w:pPr>
              <w:spacing w:after="60" w:line="259" w:lineRule="auto"/>
            </w:pPr>
            <w:r>
              <w:rPr>
                <w:rFonts w:ascii="Calibri" w:hAnsi="Calibri"/>
                <w:b w:val="0"/>
                <w:i w:val="0"/>
                <w:color w:val="212121"/>
                <w:sz w:val="19"/>
              </w:rPr>
              <w:t>Excess soft tissue and fat around the wrist and systemic low-grade inflammation raise carpal tunnel pressure and reduce nerve gliding; risk climbs across the overweight range.</w:t>
            </w:r>
          </w:p>
          <w:p>
            <w:pPr>
              <w:spacing w:after="40" w:before="60" w:line="259" w:lineRule="auto"/>
            </w:pPr>
            <w:r>
              <w:rPr>
                <w:rFonts w:ascii="Calibri" w:hAnsi="Calibri"/>
                <w:b w:val="0"/>
                <w:i w:val="0"/>
                <w:color w:val="212121"/>
                <w:sz w:val="19"/>
              </w:rPr>
              <w:t>Being obese roughly doubles the risk of developing CTS.</w:t>
            </w:r>
          </w:p>
          <w:p>
            <w:pPr>
              <w:spacing w:after="40" w:line="252" w:lineRule="auto"/>
            </w:pPr>
            <w:hyperlink r:id="rId9">
              <w:r>
                <w:rPr>
                  <w:rFonts w:ascii="Calibri" w:hAnsi="Calibri" w:cs="Calibri"/>
                  <w:sz w:val="18"/>
                  <w:color w:val="1155CC"/>
                  <w:u w:val="single"/>
                </w:rPr>
                <w:t xml:space="preserve">ncbi.nlm.nih.gov/books/NBK448179 - StatPearls: CTS</w:t>
              </w:r>
            </w:hyperlink>
          </w:p>
          <w:p>
            <w:pPr>
              <w:spacing w:before="60" w:after="40"/>
            </w:pPr>
            <w:r>
              <w:rPr>
                <w:rFonts w:ascii="Calibri" w:hAnsi="Calibri"/>
                <w:b w:val="0"/>
                <w:i w:val="0"/>
                <w:color w:val="5A5A5A"/>
                <w:sz w:val="18"/>
              </w:rPr>
              <w:t>#overweight  #asianindianBMI  #tunnelpressure  #inflammation  #weight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central obesity</w:t>
            </w:r>
          </w:p>
        </w:tc>
        <w:tc>
          <w:tcPr>
            <w:tcW w:type="dxa" w:w="4276"/>
            <w:vAlign w:val="top"/>
          </w:tcPr>
          <w:p>
            <w:pPr>
              <w:spacing w:after="60" w:line="259" w:lineRule="auto"/>
            </w:pPr>
            <w:r>
              <w:rPr>
                <w:rFonts w:ascii="Calibri" w:hAnsi="Calibri"/>
                <w:b w:val="0"/>
                <w:i w:val="0"/>
                <w:color w:val="212121"/>
                <w:sz w:val="19"/>
              </w:rPr>
              <w:t>Obesity increases fatty infiltration and fluid within the tunnel and is strongly linked to diabetes and hypothyroidism, compounding median nerve vulnerability.</w:t>
            </w:r>
          </w:p>
          <w:p>
            <w:pPr>
              <w:spacing w:after="40" w:before="60" w:line="259" w:lineRule="auto"/>
            </w:pPr>
            <w:r>
              <w:rPr>
                <w:rFonts w:ascii="Calibri" w:hAnsi="Calibri"/>
                <w:b w:val="0"/>
                <w:i w:val="0"/>
                <w:color w:val="212121"/>
                <w:sz w:val="19"/>
              </w:rPr>
              <w:t>Individuals who are obese (BMI &gt; 29) are about 2.5 times more likely to be diagnosed with CTS than slender individuals (BMI &lt; 20) (Werner et al.).</w:t>
            </w:r>
          </w:p>
          <w:p>
            <w:pPr>
              <w:spacing w:after="40" w:line="252" w:lineRule="auto"/>
            </w:pPr>
            <w:hyperlink r:id="rId11">
              <w:r>
                <w:rPr>
                  <w:rFonts w:ascii="Calibri" w:hAnsi="Calibri" w:cs="Calibri"/>
                  <w:sz w:val="18"/>
                  <w:color w:val="1155CC"/>
                  <w:u w:val="single"/>
                </w:rPr>
                <w:t xml:space="preserve">en.wikipedia.org - Carpal tunnel syndrome (Werner 1994)</w:t>
              </w:r>
            </w:hyperlink>
          </w:p>
          <w:p>
            <w:pPr>
              <w:spacing w:before="60" w:after="40"/>
            </w:pPr>
            <w:r>
              <w:rPr>
                <w:rFonts w:ascii="Calibri" w:hAnsi="Calibri"/>
                <w:b w:val="0"/>
                <w:i w:val="0"/>
                <w:color w:val="5A5A5A"/>
                <w:sz w:val="18"/>
              </w:rPr>
              <w:t>#obesity  #centralobesity  #metabolic  #fattyinfiltration  #highrisk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High-calorie, high-glycaemic / ultra-processed diets</w:t>
            </w:r>
          </w:p>
        </w:tc>
        <w:tc>
          <w:tcPr>
            <w:tcW w:type="dxa" w:w="4276"/>
            <w:vAlign w:val="top"/>
          </w:tcPr>
          <w:p>
            <w:pPr>
              <w:spacing w:after="60" w:line="259" w:lineRule="auto"/>
            </w:pPr>
            <w:r>
              <w:rPr>
                <w:rFonts w:ascii="Calibri" w:hAnsi="Calibri"/>
                <w:b w:val="0"/>
                <w:i w:val="0"/>
                <w:color w:val="212121"/>
                <w:sz w:val="19"/>
              </w:rPr>
              <w:t>Diet influences CTS indirectly but powerfully by driving obesity, insulin resistance and type 2 diabetes - the metabolic conditions that most raise median nerve susceptibility. The India-typical refined-carbohydrate, high-sugar urban diet accelerates this pathway.</w:t>
            </w:r>
          </w:p>
          <w:p>
            <w:pPr>
              <w:spacing w:after="40" w:before="60" w:line="259" w:lineRule="auto"/>
            </w:pPr>
            <w:r>
              <w:rPr>
                <w:rFonts w:ascii="Calibri" w:hAnsi="Calibri"/>
                <w:b w:val="0"/>
                <w:i w:val="0"/>
                <w:color w:val="212121"/>
                <w:sz w:val="19"/>
              </w:rPr>
              <w:t>India's diabetes prevalence has reached about 10.5% of adults (nearly 90 million people), expanding the pool at risk of secondary CTS.</w:t>
            </w:r>
          </w:p>
          <w:p>
            <w:pPr>
              <w:spacing w:after="40" w:line="252" w:lineRule="auto"/>
            </w:pPr>
            <w:hyperlink r:id="rId12">
              <w:r>
                <w:rPr>
                  <w:rFonts w:ascii="Calibri" w:hAnsi="Calibri" w:cs="Calibri"/>
                  <w:sz w:val="18"/>
                  <w:color w:val="1155CC"/>
                  <w:u w:val="single"/>
                </w:rPr>
                <w:t xml:space="preserve">idf.org - India (diabetes prevalence)</w:t>
              </w:r>
            </w:hyperlink>
          </w:p>
          <w:p>
            <w:pPr>
              <w:spacing w:before="60" w:after="40"/>
            </w:pPr>
            <w:r>
              <w:rPr>
                <w:rFonts w:ascii="Calibri" w:hAnsi="Calibri"/>
                <w:b w:val="0"/>
                <w:i w:val="0"/>
                <w:color w:val="5A5A5A"/>
                <w:sz w:val="18"/>
              </w:rPr>
              <w:t>#diet  #highglycaemic  #ultraprocessed  #diabetesrisk  #obesogenic</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anatomy</w:t>
            </w:r>
          </w:p>
        </w:tc>
        <w:tc>
          <w:tcPr>
            <w:tcW w:type="dxa" w:w="2160"/>
            <w:vAlign w:val="top"/>
          </w:tcPr>
          <w:p>
            <w:pPr>
              <w:spacing w:after="40" w:before="0" w:line="259" w:lineRule="auto"/>
            </w:pPr>
            <w:r>
              <w:rPr>
                <w:rFonts w:ascii="Calibri" w:hAnsi="Calibri"/>
                <w:b w:val="0"/>
                <w:i w:val="0"/>
                <w:color w:val="212121"/>
                <w:sz w:val="19"/>
              </w:rPr>
              <w:t>Family history of CTS or a constitutionally narrow carpal tunnel</w:t>
            </w:r>
          </w:p>
        </w:tc>
        <w:tc>
          <w:tcPr>
            <w:tcW w:type="dxa" w:w="4276"/>
            <w:vAlign w:val="top"/>
          </w:tcPr>
          <w:p>
            <w:pPr>
              <w:spacing w:after="60" w:line="259" w:lineRule="auto"/>
            </w:pPr>
            <w:r>
              <w:rPr>
                <w:rFonts w:ascii="Calibri" w:hAnsi="Calibri"/>
                <w:b w:val="0"/>
                <w:i w:val="0"/>
                <w:color w:val="212121"/>
                <w:sz w:val="19"/>
              </w:rPr>
              <w:t>The carpal tunnel is naturally smaller in some people and this anatomical predisposition clusters in families; a smaller tunnel leaves less room for the nerve and its tendons.</w:t>
            </w:r>
          </w:p>
          <w:p>
            <w:pPr>
              <w:spacing w:after="40" w:before="60" w:line="259" w:lineRule="auto"/>
            </w:pPr>
            <w:r>
              <w:rPr>
                <w:rFonts w:ascii="Calibri" w:hAnsi="Calibri"/>
                <w:b w:val="0"/>
                <w:i w:val="0"/>
                <w:color w:val="212121"/>
                <w:sz w:val="19"/>
              </w:rPr>
              <w:t>Heredity is a recognised risk factor - the carpal tunnel may be naturally smaller in some people, and this trait can run in families.</w:t>
            </w:r>
          </w:p>
          <w:p>
            <w:pPr>
              <w:spacing w:after="40" w:line="252" w:lineRule="auto"/>
            </w:pPr>
            <w:hyperlink r:id="rId13">
              <w:r>
                <w:rPr>
                  <w:rFonts w:ascii="Calibri" w:hAnsi="Calibri" w:cs="Calibri"/>
                  <w:sz w:val="18"/>
                  <w:color w:val="1155CC"/>
                  <w:u w:val="single"/>
                </w:rPr>
                <w:t xml:space="preserve">orthoinfo.aaos.org - Carpal Tunnel Syndrome</w:t>
              </w:r>
            </w:hyperlink>
          </w:p>
          <w:p>
            <w:pPr>
              <w:spacing w:before="60" w:after="40"/>
            </w:pPr>
            <w:r>
              <w:rPr>
                <w:rFonts w:ascii="Calibri" w:hAnsi="Calibri"/>
                <w:b w:val="0"/>
                <w:i w:val="0"/>
                <w:color w:val="5A5A5A"/>
                <w:sz w:val="18"/>
              </w:rPr>
              <w:t>#familyhistory  #anatomy  #narrowtunnel  #inherited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 / prediabetes</w:t>
            </w:r>
          </w:p>
        </w:tc>
        <w:tc>
          <w:tcPr>
            <w:tcW w:type="dxa" w:w="4276"/>
            <w:vAlign w:val="top"/>
          </w:tcPr>
          <w:p>
            <w:pPr>
              <w:spacing w:after="60" w:line="259" w:lineRule="auto"/>
            </w:pPr>
            <w:r>
              <w:rPr>
                <w:rFonts w:ascii="Calibri" w:hAnsi="Calibri"/>
                <w:b w:val="0"/>
                <w:i w:val="0"/>
                <w:color w:val="212121"/>
                <w:sz w:val="19"/>
              </w:rPr>
              <w:t>Chronic hyperglycaemia makes the median nerve more susceptible to compression and injury (and coexists with obesity), so CTS is markedly more common and more severe in diabetics - a very large at-risk group in India.</w:t>
            </w:r>
          </w:p>
          <w:p>
            <w:pPr>
              <w:spacing w:after="40" w:before="60" w:line="259" w:lineRule="auto"/>
            </w:pPr>
            <w:r>
              <w:rPr>
                <w:rFonts w:ascii="Calibri" w:hAnsi="Calibri"/>
                <w:b w:val="0"/>
                <w:i w:val="0"/>
                <w:color w:val="212121"/>
                <w:sz w:val="19"/>
              </w:rPr>
              <w:t>India's adult diabetes prevalence is about 10.5% (nearly 90 million people), and diabetes is a well-established risk factor for CTS.</w:t>
            </w:r>
          </w:p>
          <w:p>
            <w:pPr>
              <w:spacing w:after="40" w:line="252" w:lineRule="auto"/>
            </w:pPr>
            <w:hyperlink r:id="rId12">
              <w:r>
                <w:rPr>
                  <w:rFonts w:ascii="Calibri" w:hAnsi="Calibri" w:cs="Calibri"/>
                  <w:sz w:val="18"/>
                  <w:color w:val="1155CC"/>
                  <w:u w:val="single"/>
                </w:rPr>
                <w:t xml:space="preserve">idf.org - India (diabetes prevalence)</w:t>
              </w:r>
            </w:hyperlink>
          </w:p>
          <w:p>
            <w:pPr>
              <w:spacing w:before="60" w:after="40"/>
            </w:pPr>
            <w:r>
              <w:rPr>
                <w:rFonts w:ascii="Calibri" w:hAnsi="Calibri"/>
                <w:b w:val="0"/>
                <w:i w:val="0"/>
                <w:color w:val="5A5A5A"/>
                <w:sz w:val="18"/>
              </w:rPr>
              <w:t>#diabetes  #hyperglycaemia  #nervevulnerability  #india  #secondaryCTS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Hypothyroidism causes deposition of myxoedematous (mucopolysaccharide) tissue and fluid within the carpal tunnel, directly raising pressure on the median nerve; it is common and often under-diagnosed in Indian women.</w:t>
            </w:r>
          </w:p>
          <w:p>
            <w:pPr>
              <w:spacing w:after="40" w:before="60" w:line="259" w:lineRule="auto"/>
            </w:pPr>
            <w:r>
              <w:rPr>
                <w:rFonts w:ascii="Calibri" w:hAnsi="Calibri"/>
                <w:b w:val="0"/>
                <w:i w:val="0"/>
                <w:color w:val="212121"/>
                <w:sz w:val="19"/>
              </w:rPr>
              <w:t>Hypothyroidism is a recognised systemic cause of secondary CTS.</w:t>
            </w:r>
          </w:p>
          <w:p>
            <w:pPr>
              <w:spacing w:after="40" w:line="252" w:lineRule="auto"/>
            </w:pPr>
            <w:hyperlink r:id="rId14">
              <w:r>
                <w:rPr>
                  <w:rFonts w:ascii="Calibri" w:hAnsi="Calibri" w:cs="Calibri"/>
                  <w:sz w:val="18"/>
                  <w:color w:val="1155CC"/>
                  <w:u w:val="single"/>
                </w:rPr>
                <w:t xml:space="preserve">my.clevelandclinic.org - Carpal tunnel syndrome</w:t>
              </w:r>
            </w:hyperlink>
          </w:p>
          <w:p>
            <w:pPr>
              <w:spacing w:before="60" w:after="40"/>
            </w:pPr>
            <w:r>
              <w:rPr>
                <w:rFonts w:ascii="Calibri" w:hAnsi="Calibri"/>
                <w:b w:val="0"/>
                <w:i w:val="0"/>
                <w:color w:val="5A5A5A"/>
                <w:sz w:val="18"/>
              </w:rPr>
              <w:t>#hypothyroidism  #myxoedema  #fluidretention  #women  #treatablecause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 inflammatory arthritis</w:t>
            </w:r>
          </w:p>
        </w:tc>
        <w:tc>
          <w:tcPr>
            <w:tcW w:type="dxa" w:w="2160"/>
            <w:vAlign w:val="top"/>
          </w:tcPr>
          <w:p>
            <w:pPr>
              <w:spacing w:after="40" w:before="0" w:line="259" w:lineRule="auto"/>
            </w:pPr>
            <w:r>
              <w:rPr>
                <w:rFonts w:ascii="Calibri" w:hAnsi="Calibri"/>
                <w:b w:val="0"/>
                <w:i w:val="0"/>
                <w:color w:val="212121"/>
                <w:sz w:val="19"/>
              </w:rPr>
              <w:t>Patients with rheumatoid arthritis or other inflammatory arthritis</w:t>
            </w:r>
          </w:p>
        </w:tc>
        <w:tc>
          <w:tcPr>
            <w:tcW w:type="dxa" w:w="4276"/>
            <w:vAlign w:val="top"/>
          </w:tcPr>
          <w:p>
            <w:pPr>
              <w:spacing w:after="60" w:line="259" w:lineRule="auto"/>
            </w:pPr>
            <w:r>
              <w:rPr>
                <w:rFonts w:ascii="Calibri" w:hAnsi="Calibri"/>
                <w:b w:val="0"/>
                <w:i w:val="0"/>
                <w:color w:val="212121"/>
                <w:sz w:val="19"/>
              </w:rPr>
              <w:t>Inflammatory arthritis produces flexor tenosynovitis - swelling of the tendon sheaths that share the carpal tunnel with the median nerve - directly compressing the nerve; gout can do the same by crystal deposition.</w:t>
            </w:r>
          </w:p>
          <w:p>
            <w:pPr>
              <w:spacing w:after="40" w:before="60" w:line="259" w:lineRule="auto"/>
            </w:pPr>
            <w:r>
              <w:rPr>
                <w:rFonts w:ascii="Calibri" w:hAnsi="Calibri"/>
                <w:b w:val="0"/>
                <w:i w:val="0"/>
                <w:color w:val="212121"/>
                <w:sz w:val="19"/>
              </w:rPr>
              <w:t>Rheumatoid arthritis and gout are established inflammatory causes of CTS.</w:t>
            </w:r>
          </w:p>
          <w:p>
            <w:pPr>
              <w:spacing w:after="40" w:line="252" w:lineRule="auto"/>
            </w:pPr>
            <w:hyperlink r:id="rId15">
              <w:r>
                <w:rPr>
                  <w:rFonts w:ascii="Calibri" w:hAnsi="Calibri" w:cs="Calibri"/>
                  <w:sz w:val="18"/>
                  <w:color w:val="1155CC"/>
                  <w:u w:val="single"/>
                </w:rPr>
                <w:t xml:space="preserve">mayoclinic.org - Carpal tunnel syndrome</w:t>
              </w:r>
            </w:hyperlink>
          </w:p>
          <w:p>
            <w:pPr>
              <w:spacing w:before="60" w:after="40"/>
            </w:pPr>
            <w:r>
              <w:rPr>
                <w:rFonts w:ascii="Calibri" w:hAnsi="Calibri"/>
                <w:b w:val="0"/>
                <w:i w:val="0"/>
                <w:color w:val="5A5A5A"/>
                <w:sz w:val="18"/>
              </w:rPr>
              <w:t>#rheumatoidarthritis  #tenosynovitis  #gout  #inflammatory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(especially third trimester)</w:t>
            </w:r>
          </w:p>
        </w:tc>
        <w:tc>
          <w:tcPr>
            <w:tcW w:type="dxa" w:w="4276"/>
            <w:vAlign w:val="top"/>
          </w:tcPr>
          <w:p>
            <w:pPr>
              <w:spacing w:after="60" w:line="259" w:lineRule="auto"/>
            </w:pPr>
            <w:r>
              <w:rPr>
                <w:rFonts w:ascii="Calibri" w:hAnsi="Calibri"/>
                <w:b w:val="0"/>
                <w:i w:val="0"/>
                <w:color w:val="212121"/>
                <w:sz w:val="19"/>
              </w:rPr>
              <w:t>Pregnancy-related fluid retention and hormonal change transiently raise carpal tunnel pressure; symptoms typically appear in the third trimester and often resolve after delivery.</w:t>
            </w:r>
          </w:p>
          <w:p>
            <w:pPr>
              <w:spacing w:after="40" w:before="60" w:line="259" w:lineRule="auto"/>
            </w:pPr>
            <w:r>
              <w:rPr>
                <w:rFonts w:ascii="Calibri" w:hAnsi="Calibri"/>
                <w:b w:val="0"/>
                <w:i w:val="0"/>
                <w:color w:val="212121"/>
                <w:sz w:val="19"/>
              </w:rPr>
              <w:t>Pregnancy is reported as a contributing factor in about 0.34% to 25% of CTS case series.</w:t>
            </w:r>
          </w:p>
          <w:p>
            <w:pPr>
              <w:spacing w:after="40" w:line="252" w:lineRule="auto"/>
            </w:pPr>
            <w:hyperlink r:id="rId10">
              <w:r>
                <w:rPr>
                  <w:rFonts w:ascii="Calibri" w:hAnsi="Calibri" w:cs="Calibri"/>
                  <w:sz w:val="18"/>
                  <w:color w:val="1155CC"/>
                  <w:u w:val="single"/>
                </w:rPr>
                <w:t xml:space="preserve">physio-pedia.com - Carpal Tunnel Syndrome</w:t>
              </w:r>
            </w:hyperlink>
          </w:p>
          <w:p>
            <w:pPr>
              <w:spacing w:before="60" w:after="40"/>
            </w:pPr>
            <w:r>
              <w:rPr>
                <w:rFonts w:ascii="Calibri" w:hAnsi="Calibri"/>
                <w:b w:val="0"/>
                <w:i w:val="0"/>
                <w:color w:val="5A5A5A"/>
                <w:sz w:val="18"/>
              </w:rPr>
              <w:t>#pregnancy  #fluidretention  #thirdtrimester  #reversible  #hormonal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General physical activity affects CTS mainly indirectly through body weight and metabolic health - obesity roughly doubles risk. There is no strong evidence that aerobic exercise prevents CTS, but nerve- and tendon-gliding exercises, wrist stretches and avoiding sustained loading help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on CTS indirectly by driving obesity, insulin resistance and type 2 diabetes, and by influencing thyroid status - all metabolic factors that raise median nerve susceptibility. No specific food or supplement (including vitamin B6) reliably prevents or treats CTS.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relationship is largely reverse-causal: CTS characteristically disrupts sleep with nocturnal numbness and pain that wake the patient. Sleeping with the wrists flexed (or under the pillow) can aggravate symptoms, and a neutral night splint improves both.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microvascular perfusion of the compressed nerve and is associated with more severe symptoms and poorer surgical recovery; the independent effect on incidence is modest but it is a worthwhile modifiable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chronic alcohol use can produce a background peripheral neuropathy and B-vitamin deficiency that lower the threshold for symptomatic median nerve compression; alcoholism is listed among CTS risk factors.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distress, anxiety and depression amplify pain perception and disability in CTS and are common with chronic hand pain, but are aggravating/comorbid rather than causal.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Repetitive and forceful gripping, pinching, wringing and twisting, prolonged keyboard/mouse work and hand-arm vibration are the dominant modifiable drivers - occupational odds ratios reach about 5.4 for vibration, 4.2 for high hand force and 2.3 for high repetition.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non-neutral wrist posture (flexion or extension) at keyboards, tools, handlebars or while sleeping keeps intratunnel pressure high - normal tunnel pressure of 2-10 mmHg rises 8-10 fold with wrist flexion/extension. A neutral wrist is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raises carpal tunnel pressure; obesity roughly doubles CTS risk</w:t>
            </w:r>
          </w:p>
          <w:p>
            <w:pPr>
              <w:spacing w:after="40" w:line="252" w:lineRule="auto"/>
            </w:pPr>
            <w:hyperlink r:id="rId9">
              <w:r>
                <w:rPr>
                  <w:rFonts w:ascii="Calibri" w:hAnsi="Calibri" w:cs="Calibri"/>
                  <w:sz w:val="18"/>
                  <w:color w:val="1155CC"/>
                  <w:u w:val="single"/>
                </w:rPr>
                <w:t xml:space="preserve">https://www.ncbi.nlm.nih.gov/books/NBK448179/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(central obesity)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obesity tracks with diabetes and metabolic drivers of CTS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Repetitive/forceful hand exertion at work</w:t>
            </w:r>
          </w:p>
        </w:tc>
        <w:tc>
          <w:tcPr>
            <w:tcW w:type="dxa" w:w="1655"/>
            <w:vAlign w:val="top"/>
          </w:tcPr>
          <w:p>
            <w:pPr>
              <w:spacing w:after="40" w:before="0" w:line="259" w:lineRule="auto"/>
            </w:pPr>
            <w:r>
              <w:rPr>
                <w:rFonts w:ascii="Calibri" w:hAnsi="Calibri"/>
                <w:b w:val="0"/>
                <w:i w:val="0"/>
                <w:color w:val="212121"/>
                <w:sz w:val="19"/>
              </w:rPr>
              <w:t>Manual, assembly, tailoring, agricultural workers</w:t>
            </w:r>
          </w:p>
        </w:tc>
        <w:tc>
          <w:tcPr>
            <w:tcW w:type="dxa" w:w="1512"/>
            <w:vAlign w:val="top"/>
          </w:tcPr>
          <w:p>
            <w:pPr>
              <w:spacing w:after="40" w:before="0" w:line="259" w:lineRule="auto"/>
            </w:pPr>
            <w:r>
              <w:rPr>
                <w:rFonts w:ascii="Calibri" w:hAnsi="Calibri"/>
                <w:b w:val="0"/>
                <w:i w:val="0"/>
                <w:color w:val="212121"/>
                <w:sz w:val="19"/>
              </w:rPr>
              <w:t>Task rotation with regular micro-breaks</w:t>
            </w:r>
          </w:p>
        </w:tc>
        <w:tc>
          <w:tcPr>
            <w:tcW w:type="dxa" w:w="1512"/>
            <w:vAlign w:val="top"/>
          </w:tcPr>
          <w:p>
            <w:pPr>
              <w:spacing w:after="40" w:before="0" w:line="259" w:lineRule="auto"/>
            </w:pPr>
            <w:r>
              <w:rPr>
                <w:rFonts w:ascii="Calibri" w:hAnsi="Calibri"/>
                <w:b w:val="0"/>
                <w:i w:val="0"/>
                <w:color w:val="212121"/>
                <w:sz w:val="19"/>
              </w:rPr>
              <w:t>Prolonged high-repetition or high-force gripping/pinching</w:t>
            </w:r>
          </w:p>
        </w:tc>
        <w:tc>
          <w:tcPr>
            <w:tcW w:type="dxa" w:w="1468"/>
            <w:vAlign w:val="top"/>
          </w:tcPr>
          <w:p>
            <w:pPr>
              <w:spacing w:after="60" w:line="259" w:lineRule="auto"/>
            </w:pPr>
            <w:r>
              <w:rPr>
                <w:rFonts w:ascii="Calibri" w:hAnsi="Calibri"/>
                <w:b w:val="0"/>
                <w:i w:val="0"/>
                <w:color w:val="212121"/>
                <w:sz w:val="19"/>
              </w:rPr>
              <w:t>Odds ratios ~2.3 (repetition) and ~4.2 (high hand force)</w:t>
            </w:r>
          </w:p>
          <w:p>
            <w:pPr>
              <w:spacing w:after="40" w:line="252" w:lineRule="auto"/>
            </w:pPr>
            <w:hyperlink r:id="rId11">
              <w:r>
                <w:rPr>
                  <w:rFonts w:ascii="Calibri" w:hAnsi="Calibri" w:cs="Calibri"/>
                  <w:sz w:val="18"/>
                  <w:color w:val="1155CC"/>
                  <w:u w:val="single"/>
                </w:rPr>
                <w:t xml:space="preserve">https://en.wikipedia.org/wiki/Carpal_tunnel_syndrome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Hand-arm vibration exposure</w:t>
            </w:r>
          </w:p>
        </w:tc>
        <w:tc>
          <w:tcPr>
            <w:tcW w:type="dxa" w:w="1655"/>
            <w:vAlign w:val="top"/>
          </w:tcPr>
          <w:p>
            <w:pPr>
              <w:spacing w:after="40" w:before="0" w:line="259" w:lineRule="auto"/>
            </w:pPr>
            <w:r>
              <w:rPr>
                <w:rFonts w:ascii="Calibri" w:hAnsi="Calibri"/>
                <w:b w:val="0"/>
                <w:i w:val="0"/>
                <w:color w:val="212121"/>
                <w:sz w:val="19"/>
              </w:rPr>
              <w:t>Tool users, drivers, machinists</w:t>
            </w:r>
          </w:p>
        </w:tc>
        <w:tc>
          <w:tcPr>
            <w:tcW w:type="dxa" w:w="1512"/>
            <w:vAlign w:val="top"/>
          </w:tcPr>
          <w:p>
            <w:pPr>
              <w:spacing w:after="40" w:before="0" w:line="259" w:lineRule="auto"/>
            </w:pPr>
            <w:r>
              <w:rPr>
                <w:rFonts w:ascii="Calibri" w:hAnsi="Calibri"/>
                <w:b w:val="0"/>
                <w:i w:val="0"/>
                <w:color w:val="212121"/>
                <w:sz w:val="19"/>
              </w:rPr>
              <w:t>None / minimal, damped tools</w:t>
            </w:r>
          </w:p>
        </w:tc>
        <w:tc>
          <w:tcPr>
            <w:tcW w:type="dxa" w:w="1512"/>
            <w:vAlign w:val="top"/>
          </w:tcPr>
          <w:p>
            <w:pPr>
              <w:spacing w:after="40" w:before="0" w:line="259" w:lineRule="auto"/>
            </w:pPr>
            <w:r>
              <w:rPr>
                <w:rFonts w:ascii="Calibri" w:hAnsi="Calibri"/>
                <w:b w:val="0"/>
                <w:i w:val="0"/>
                <w:color w:val="212121"/>
                <w:sz w:val="19"/>
              </w:rPr>
              <w:t>Regular use of vibrating powered tools or handlebars</w:t>
            </w:r>
          </w:p>
        </w:tc>
        <w:tc>
          <w:tcPr>
            <w:tcW w:type="dxa" w:w="1468"/>
            <w:vAlign w:val="top"/>
          </w:tcPr>
          <w:p>
            <w:pPr>
              <w:spacing w:after="60" w:line="259" w:lineRule="auto"/>
            </w:pPr>
            <w:r>
              <w:rPr>
                <w:rFonts w:ascii="Calibri" w:hAnsi="Calibri"/>
                <w:b w:val="0"/>
                <w:i w:val="0"/>
                <w:color w:val="212121"/>
                <w:sz w:val="19"/>
              </w:rPr>
              <w:t>Vibration carries the highest occupational OR for CTS (~5.4)</w:t>
            </w:r>
          </w:p>
          <w:p>
            <w:pPr>
              <w:spacing w:after="40" w:line="252" w:lineRule="auto"/>
            </w:pPr>
            <w:hyperlink r:id="rId11">
              <w:r>
                <w:rPr>
                  <w:rFonts w:ascii="Calibri" w:hAnsi="Calibri" w:cs="Calibri"/>
                  <w:sz w:val="18"/>
                  <w:color w:val="1155CC"/>
                  <w:u w:val="single"/>
                </w:rPr>
                <w:t xml:space="preserve">https://en.wikipedia.org/wiki/Carpal_tunnel_syndrome</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Wrist angle during keyboard/tool use</w:t>
            </w:r>
          </w:p>
        </w:tc>
        <w:tc>
          <w:tcPr>
            <w:tcW w:type="dxa" w:w="1655"/>
            <w:vAlign w:val="top"/>
          </w:tcPr>
          <w:p>
            <w:pPr>
              <w:spacing w:after="40" w:before="0" w:line="259" w:lineRule="auto"/>
            </w:pPr>
            <w:r>
              <w:rPr>
                <w:rFonts w:ascii="Calibri" w:hAnsi="Calibri"/>
                <w:b w:val="0"/>
                <w:i w:val="0"/>
                <w:color w:val="212121"/>
                <w:sz w:val="19"/>
              </w:rPr>
              <w:t>Office, IT and tool workers</w:t>
            </w:r>
          </w:p>
        </w:tc>
        <w:tc>
          <w:tcPr>
            <w:tcW w:type="dxa" w:w="1512"/>
            <w:vAlign w:val="top"/>
          </w:tcPr>
          <w:p>
            <w:pPr>
              <w:spacing w:after="40" w:before="0" w:line="259" w:lineRule="auto"/>
            </w:pPr>
            <w:r>
              <w:rPr>
                <w:rFonts w:ascii="Calibri" w:hAnsi="Calibri"/>
                <w:b w:val="0"/>
                <w:i w:val="0"/>
                <w:color w:val="212121"/>
                <w:sz w:val="19"/>
              </w:rPr>
              <w:t>Neutral (0-15 degrees)</w:t>
            </w:r>
          </w:p>
        </w:tc>
        <w:tc>
          <w:tcPr>
            <w:tcW w:type="dxa" w:w="1512"/>
            <w:vAlign w:val="top"/>
          </w:tcPr>
          <w:p>
            <w:pPr>
              <w:spacing w:after="40" w:before="0" w:line="259" w:lineRule="auto"/>
            </w:pPr>
            <w:r>
              <w:rPr>
                <w:rFonts w:ascii="Calibri" w:hAnsi="Calibri"/>
                <w:b w:val="0"/>
                <w:i w:val="0"/>
                <w:color w:val="212121"/>
                <w:sz w:val="19"/>
              </w:rPr>
              <w:t>Sustained flexion/extension &gt; 20-30 degrees</w:t>
            </w:r>
          </w:p>
        </w:tc>
        <w:tc>
          <w:tcPr>
            <w:tcW w:type="dxa" w:w="1468"/>
            <w:vAlign w:val="top"/>
          </w:tcPr>
          <w:p>
            <w:pPr>
              <w:spacing w:after="60" w:line="259" w:lineRule="auto"/>
            </w:pPr>
            <w:r>
              <w:rPr>
                <w:rFonts w:ascii="Calibri" w:hAnsi="Calibri"/>
                <w:b w:val="0"/>
                <w:i w:val="0"/>
                <w:color w:val="212121"/>
                <w:sz w:val="19"/>
              </w:rPr>
              <w:t>Non-neutral wrist raises tunnel pressure 8-10 fold</w:t>
            </w:r>
          </w:p>
          <w:p>
            <w:pPr>
              <w:spacing w:after="40" w:line="252" w:lineRule="auto"/>
            </w:pPr>
            <w:hyperlink r:id="rId9">
              <w:r>
                <w:rPr>
                  <w:rFonts w:ascii="Calibri" w:hAnsi="Calibri" w:cs="Calibri"/>
                  <w:sz w:val="18"/>
                  <w:color w:val="1155CC"/>
                  <w:u w:val="single"/>
                </w:rPr>
                <w:t xml:space="preserve">https://www.ncbi.nlm.nih.gov/books/NBK448179/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Continuous keyboard/computer time</w:t>
            </w:r>
          </w:p>
        </w:tc>
        <w:tc>
          <w:tcPr>
            <w:tcW w:type="dxa" w:w="1655"/>
            <w:vAlign w:val="top"/>
          </w:tcPr>
          <w:p>
            <w:pPr>
              <w:spacing w:after="40" w:before="0" w:line="259" w:lineRule="auto"/>
            </w:pPr>
            <w:r>
              <w:rPr>
                <w:rFonts w:ascii="Calibri" w:hAnsi="Calibri"/>
                <w:b w:val="0"/>
                <w:i w:val="0"/>
                <w:color w:val="212121"/>
                <w:sz w:val="19"/>
              </w:rPr>
              <w:t>IT, BPO, data-entry, students</w:t>
            </w:r>
          </w:p>
        </w:tc>
        <w:tc>
          <w:tcPr>
            <w:tcW w:type="dxa" w:w="1512"/>
            <w:vAlign w:val="top"/>
          </w:tcPr>
          <w:p>
            <w:pPr>
              <w:spacing w:after="40" w:before="0" w:line="259" w:lineRule="auto"/>
            </w:pPr>
            <w:r>
              <w:rPr>
                <w:rFonts w:ascii="Calibri" w:hAnsi="Calibri"/>
                <w:b w:val="0"/>
                <w:i w:val="0"/>
                <w:color w:val="212121"/>
                <w:sz w:val="19"/>
              </w:rPr>
              <w:t>&lt; 20 h/week or broken by frequent pauses</w:t>
            </w:r>
          </w:p>
        </w:tc>
        <w:tc>
          <w:tcPr>
            <w:tcW w:type="dxa" w:w="1512"/>
            <w:vAlign w:val="top"/>
          </w:tcPr>
          <w:p>
            <w:pPr>
              <w:spacing w:after="40" w:before="0" w:line="259" w:lineRule="auto"/>
            </w:pPr>
            <w:r>
              <w:rPr>
                <w:rFonts w:ascii="Calibri" w:hAnsi="Calibri"/>
                <w:b w:val="0"/>
                <w:i w:val="0"/>
                <w:color w:val="212121"/>
                <w:sz w:val="19"/>
              </w:rPr>
              <w:t>&gt; 20 h/week sustained without breaks</w:t>
            </w:r>
          </w:p>
        </w:tc>
        <w:tc>
          <w:tcPr>
            <w:tcW w:type="dxa" w:w="1468"/>
            <w:vAlign w:val="top"/>
          </w:tcPr>
          <w:p>
            <w:pPr>
              <w:spacing w:after="60" w:line="259" w:lineRule="auto"/>
            </w:pPr>
            <w:r>
              <w:rPr>
                <w:rFonts w:ascii="Calibri" w:hAnsi="Calibri"/>
                <w:b w:val="0"/>
                <w:i w:val="0"/>
                <w:color w:val="212121"/>
                <w:sz w:val="19"/>
              </w:rPr>
              <w:t>CTS prevalence tends to rise above ~20 h/week of computer work</w:t>
            </w:r>
          </w:p>
          <w:p>
            <w:pPr>
              <w:spacing w:after="40" w:line="252" w:lineRule="auto"/>
            </w:pPr>
            <w:hyperlink r:id="rId10">
              <w:r>
                <w:rPr>
                  <w:rFonts w:ascii="Calibri" w:hAnsi="Calibri" w:cs="Calibri"/>
                  <w:sz w:val="18"/>
                  <w:color w:val="1155CC"/>
                  <w:u w:val="single"/>
                </w:rPr>
                <w:t xml:space="preserve">https://www.physio-pedia.com/Carpal_Tunnel_Syndrome</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Adults at metabolic risk / diabetics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&gt;= 6.5% (diabetes)</w:t>
            </w:r>
          </w:p>
        </w:tc>
        <w:tc>
          <w:tcPr>
            <w:tcW w:type="dxa" w:w="1468"/>
            <w:vAlign w:val="top"/>
          </w:tcPr>
          <w:p>
            <w:pPr>
              <w:spacing w:after="60" w:line="259" w:lineRule="auto"/>
            </w:pPr>
            <w:r>
              <w:rPr>
                <w:rFonts w:ascii="Calibri" w:hAnsi="Calibri"/>
                <w:b w:val="0"/>
                <w:i w:val="0"/>
                <w:color w:val="212121"/>
                <w:sz w:val="19"/>
              </w:rPr>
              <w:t>Diabetes increases median nerve susceptibility to compression</w:t>
            </w:r>
          </w:p>
          <w:p>
            <w:pPr>
              <w:spacing w:after="40" w:line="252" w:lineRule="auto"/>
            </w:pPr>
            <w:hyperlink r:id="rId9">
              <w:r>
                <w:rPr>
                  <w:rFonts w:ascii="Calibri" w:hAnsi="Calibri" w:cs="Calibri"/>
                  <w:sz w:val="18"/>
                  <w:color w:val="1155CC"/>
                  <w:u w:val="single"/>
                </w:rPr>
                <w:t xml:space="preserve">https://www.ncbi.nlm.nih.gov/books/NBK448179/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 function (TSH)</w:t>
            </w:r>
          </w:p>
        </w:tc>
        <w:tc>
          <w:tcPr>
            <w:tcW w:type="dxa" w:w="1655"/>
            <w:vAlign w:val="top"/>
          </w:tcPr>
          <w:p>
            <w:pPr>
              <w:spacing w:after="40" w:before="0" w:line="259" w:lineRule="auto"/>
            </w:pPr>
            <w:r>
              <w:rPr>
                <w:rFonts w:ascii="Calibri" w:hAnsi="Calibri"/>
                <w:b w:val="0"/>
                <w:i w:val="0"/>
                <w:color w:val="212121"/>
                <w:sz w:val="19"/>
              </w:rPr>
              <w:t>Women, patients with fatigue/weight gain</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Elevated TSH (hypothyroidism)</w:t>
            </w:r>
          </w:p>
        </w:tc>
        <w:tc>
          <w:tcPr>
            <w:tcW w:type="dxa" w:w="1468"/>
            <w:vAlign w:val="top"/>
          </w:tcPr>
          <w:p>
            <w:pPr>
              <w:spacing w:after="40" w:before="0" w:line="259" w:lineRule="auto"/>
            </w:pPr>
            <w:r>
              <w:rPr>
                <w:rFonts w:ascii="Calibri" w:hAnsi="Calibri"/>
                <w:b w:val="0"/>
                <w:i w:val="0"/>
                <w:color w:val="212121"/>
                <w:sz w:val="19"/>
              </w:rPr>
              <w:t>Hypothyroid myxoedema within the tunnel is a treatable cause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Nocturnal symptom frequency</w:t>
            </w:r>
          </w:p>
        </w:tc>
        <w:tc>
          <w:tcPr>
            <w:tcW w:type="dxa" w:w="1655"/>
            <w:vAlign w:val="top"/>
          </w:tcPr>
          <w:p>
            <w:pPr>
              <w:spacing w:after="40" w:before="0" w:line="259" w:lineRule="auto"/>
            </w:pPr>
            <w:r>
              <w:rPr>
                <w:rFonts w:ascii="Calibri" w:hAnsi="Calibri"/>
                <w:b w:val="0"/>
                <w:i w:val="0"/>
                <w:color w:val="212121"/>
                <w:sz w:val="19"/>
              </w:rPr>
              <w:t>Patients with hand paraesthesiae</w:t>
            </w:r>
          </w:p>
        </w:tc>
        <w:tc>
          <w:tcPr>
            <w:tcW w:type="dxa" w:w="1512"/>
            <w:vAlign w:val="top"/>
          </w:tcPr>
          <w:p>
            <w:pPr>
              <w:spacing w:after="40" w:before="0" w:line="259" w:lineRule="auto"/>
            </w:pPr>
            <w:r>
              <w:rPr>
                <w:rFonts w:ascii="Calibri" w:hAnsi="Calibri"/>
                <w:b w:val="0"/>
                <w:i w:val="0"/>
                <w:color w:val="212121"/>
                <w:sz w:val="19"/>
              </w:rPr>
              <w:t>No night waking from hand symptoms</w:t>
            </w:r>
          </w:p>
        </w:tc>
        <w:tc>
          <w:tcPr>
            <w:tcW w:type="dxa" w:w="1512"/>
            <w:vAlign w:val="top"/>
          </w:tcPr>
          <w:p>
            <w:pPr>
              <w:spacing w:after="40" w:before="0" w:line="259" w:lineRule="auto"/>
            </w:pPr>
            <w:r>
              <w:rPr>
                <w:rFonts w:ascii="Calibri" w:hAnsi="Calibri"/>
                <w:b w:val="0"/>
                <w:i w:val="0"/>
                <w:color w:val="212121"/>
                <w:sz w:val="19"/>
              </w:rPr>
              <w:t>&gt;= 3 nights/week waking with numbness/pain</w:t>
            </w:r>
          </w:p>
        </w:tc>
        <w:tc>
          <w:tcPr>
            <w:tcW w:type="dxa" w:w="1468"/>
            <w:vAlign w:val="top"/>
          </w:tcPr>
          <w:p>
            <w:pPr>
              <w:spacing w:after="40" w:before="0" w:line="259" w:lineRule="auto"/>
            </w:pPr>
            <w:r>
              <w:rPr>
                <w:rFonts w:ascii="Calibri" w:hAnsi="Calibri"/>
                <w:b w:val="0"/>
                <w:i w:val="0"/>
                <w:color w:val="212121"/>
                <w:sz w:val="19"/>
              </w:rPr>
              <w:t>Nocturnal symptoms are an early hallmark; a night splint helps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surgical candidates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Smoking impairs nerve microcirculation and slows recovery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per week</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None to occasional (&lt;= 7 units/week)</w:t>
            </w:r>
          </w:p>
        </w:tc>
        <w:tc>
          <w:tcPr>
            <w:tcW w:type="dxa" w:w="1512"/>
            <w:vAlign w:val="top"/>
          </w:tcPr>
          <w:p>
            <w:pPr>
              <w:spacing w:after="40" w:before="0" w:line="259" w:lineRule="auto"/>
            </w:pPr>
            <w:r>
              <w:rPr>
                <w:rFonts w:ascii="Calibri" w:hAnsi="Calibri"/>
                <w:b w:val="0"/>
                <w:i w:val="0"/>
                <w:color w:val="212121"/>
                <w:sz w:val="19"/>
              </w:rPr>
              <w:t>Heavy/chronic use</w:t>
            </w:r>
          </w:p>
        </w:tc>
        <w:tc>
          <w:tcPr>
            <w:tcW w:type="dxa" w:w="1468"/>
            <w:vAlign w:val="top"/>
          </w:tcPr>
          <w:p>
            <w:pPr>
              <w:spacing w:after="40" w:before="0" w:line="259" w:lineRule="auto"/>
            </w:pPr>
            <w:r>
              <w:rPr>
                <w:rFonts w:ascii="Calibri" w:hAnsi="Calibri"/>
                <w:b w:val="0"/>
                <w:i w:val="0"/>
                <w:color w:val="212121"/>
                <w:sz w:val="19"/>
              </w:rPr>
              <w:t>Heavy use risks peripheral neuropathy and B-vitamin deficiency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Electrodiagnostic</w:t>
            </w:r>
          </w:p>
        </w:tc>
        <w:tc>
          <w:tcPr>
            <w:tcW w:type="dxa" w:w="1036"/>
            <w:vAlign w:val="top"/>
          </w:tcPr>
          <w:p>
            <w:pPr>
              <w:spacing w:after="40" w:before="0" w:line="259" w:lineRule="auto"/>
            </w:pPr>
            <w:r>
              <w:rPr>
                <w:rFonts w:ascii="Calibri" w:hAnsi="Calibri"/>
                <w:b w:val="0"/>
                <w:i w:val="0"/>
                <w:color w:val="212121"/>
                <w:sz w:val="16"/>
              </w:rPr>
              <w:t>Median nerve conduction study (distal sensory &amp; motor latency, velocity, amplitude)</w:t>
            </w:r>
          </w:p>
        </w:tc>
        <w:tc>
          <w:tcPr>
            <w:tcW w:type="dxa" w:w="892"/>
            <w:vAlign w:val="top"/>
          </w:tcPr>
          <w:p>
            <w:pPr>
              <w:spacing w:after="40" w:before="0" w:line="259" w:lineRule="auto"/>
            </w:pPr>
            <w:r>
              <w:rPr>
                <w:rFonts w:ascii="Calibri" w:hAnsi="Calibri"/>
                <w:b w:val="0"/>
                <w:i w:val="0"/>
                <w:color w:val="212121"/>
                <w:sz w:val="16"/>
              </w:rPr>
              <w:t>Nerve conduction study (NCS)</w:t>
            </w:r>
          </w:p>
        </w:tc>
        <w:tc>
          <w:tcPr>
            <w:tcW w:type="dxa" w:w="950"/>
            <w:vAlign w:val="top"/>
          </w:tcPr>
          <w:p>
            <w:pPr>
              <w:spacing w:after="40" w:before="0" w:line="259" w:lineRule="auto"/>
            </w:pPr>
            <w:r>
              <w:rPr>
                <w:rFonts w:ascii="Calibri" w:hAnsi="Calibri"/>
                <w:b w:val="0"/>
                <w:i w:val="0"/>
                <w:color w:val="212121"/>
                <w:sz w:val="16"/>
              </w:rPr>
              <w:t>Distal motor latency &lt; ~4.2 ms; sensory latency and velocity within reference; normal amplitudes</w:t>
            </w:r>
          </w:p>
        </w:tc>
        <w:tc>
          <w:tcPr>
            <w:tcW w:type="dxa" w:w="950"/>
            <w:vAlign w:val="top"/>
          </w:tcPr>
          <w:p>
            <w:pPr>
              <w:spacing w:after="40" w:before="0" w:line="259" w:lineRule="auto"/>
            </w:pPr>
            <w:r>
              <w:rPr>
                <w:rFonts w:ascii="Calibri" w:hAnsi="Calibri"/>
                <w:b w:val="0"/>
                <w:i w:val="0"/>
                <w:color w:val="212121"/>
                <w:sz w:val="16"/>
              </w:rPr>
              <w:t>Prolonged median distal sensory/motor latency, slowed conduction and reduced amplitude across the wrist, with normal ulnar nerve</w:t>
            </w:r>
          </w:p>
        </w:tc>
        <w:tc>
          <w:tcPr>
            <w:tcW w:type="dxa" w:w="1036"/>
            <w:vAlign w:val="top"/>
          </w:tcPr>
          <w:p>
            <w:pPr>
              <w:spacing w:after="40" w:before="0" w:line="259" w:lineRule="auto"/>
            </w:pPr>
            <w:r>
              <w:rPr>
                <w:rFonts w:ascii="Calibri" w:hAnsi="Calibri"/>
                <w:b w:val="0"/>
                <w:i w:val="0"/>
                <w:color w:val="212121"/>
                <w:sz w:val="16"/>
              </w:rPr>
              <w:t>Confirms median neuropathy at the wrist and grades severity (mild = sensory only; moderate = sensory + motor; severe = axonal loss)</w:t>
            </w:r>
          </w:p>
        </w:tc>
        <w:tc>
          <w:tcPr>
            <w:tcW w:type="dxa" w:w="1036"/>
            <w:vAlign w:val="top"/>
          </w:tcPr>
          <w:p>
            <w:pPr>
              <w:spacing w:after="40" w:before="0" w:line="259" w:lineRule="auto"/>
            </w:pPr>
            <w:r>
              <w:rPr>
                <w:rFonts w:ascii="Calibri" w:hAnsi="Calibri"/>
                <w:b w:val="0"/>
                <w:i w:val="0"/>
                <w:color w:val="212121"/>
                <w:sz w:val="16"/>
              </w:rPr>
              <w:t>All patients with suspected CTS; pre-operative assessment</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Comparison with the ulnar nerve and other side increases accuracy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Electrodiagnostic</w:t>
            </w:r>
          </w:p>
        </w:tc>
        <w:tc>
          <w:tcPr>
            <w:tcW w:type="dxa" w:w="1036"/>
            <w:vAlign w:val="top"/>
          </w:tcPr>
          <w:p>
            <w:pPr>
              <w:spacing w:after="40" w:before="0" w:line="259" w:lineRule="auto"/>
            </w:pPr>
            <w:r>
              <w:rPr>
                <w:rFonts w:ascii="Calibri" w:hAnsi="Calibri"/>
                <w:b w:val="0"/>
                <w:i w:val="0"/>
                <w:color w:val="212121"/>
                <w:sz w:val="16"/>
              </w:rPr>
              <w:t>Needle EMG of abductor pollicis brevis / thenar muscles</w:t>
            </w:r>
          </w:p>
        </w:tc>
        <w:tc>
          <w:tcPr>
            <w:tcW w:type="dxa" w:w="892"/>
            <w:vAlign w:val="top"/>
          </w:tcPr>
          <w:p>
            <w:pPr>
              <w:spacing w:after="40" w:before="0" w:line="259" w:lineRule="auto"/>
            </w:pPr>
            <w:r>
              <w:rPr>
                <w:rFonts w:ascii="Calibri" w:hAnsi="Calibri"/>
                <w:b w:val="0"/>
                <w:i w:val="0"/>
                <w:color w:val="212121"/>
                <w:sz w:val="16"/>
              </w:rPr>
              <w:t>Electromyography (EMG)</w:t>
            </w:r>
          </w:p>
        </w:tc>
        <w:tc>
          <w:tcPr>
            <w:tcW w:type="dxa" w:w="950"/>
            <w:vAlign w:val="top"/>
          </w:tcPr>
          <w:p>
            <w:pPr>
              <w:spacing w:after="40" w:before="0" w:line="259" w:lineRule="auto"/>
            </w:pPr>
            <w:r>
              <w:rPr>
                <w:rFonts w:ascii="Calibri" w:hAnsi="Calibri"/>
                <w:b w:val="0"/>
                <w:i w:val="0"/>
                <w:color w:val="212121"/>
                <w:sz w:val="16"/>
              </w:rPr>
              <w:t>No spontaneous activity; normal recruitment</w:t>
            </w:r>
          </w:p>
        </w:tc>
        <w:tc>
          <w:tcPr>
            <w:tcW w:type="dxa" w:w="950"/>
            <w:vAlign w:val="top"/>
          </w:tcPr>
          <w:p>
            <w:pPr>
              <w:spacing w:after="40" w:before="0" w:line="259" w:lineRule="auto"/>
            </w:pPr>
            <w:r>
              <w:rPr>
                <w:rFonts w:ascii="Calibri" w:hAnsi="Calibri"/>
                <w:b w:val="0"/>
                <w:i w:val="0"/>
                <w:color w:val="212121"/>
                <w:sz w:val="16"/>
              </w:rPr>
              <w:t>Fibrillations, positive sharp waves, reduced recruitment (denervation)</w:t>
            </w:r>
          </w:p>
        </w:tc>
        <w:tc>
          <w:tcPr>
            <w:tcW w:type="dxa" w:w="1036"/>
            <w:vAlign w:val="top"/>
          </w:tcPr>
          <w:p>
            <w:pPr>
              <w:spacing w:after="40" w:before="0" w:line="259" w:lineRule="auto"/>
            </w:pPr>
            <w:r>
              <w:rPr>
                <w:rFonts w:ascii="Calibri" w:hAnsi="Calibri"/>
                <w:b w:val="0"/>
                <w:i w:val="0"/>
                <w:color w:val="212121"/>
                <w:sz w:val="16"/>
              </w:rPr>
              <w:t>Detects axonal loss and defines severe CTS; helps prognosis and surgical urgency</w:t>
            </w:r>
          </w:p>
        </w:tc>
        <w:tc>
          <w:tcPr>
            <w:tcW w:type="dxa" w:w="1036"/>
            <w:vAlign w:val="top"/>
          </w:tcPr>
          <w:p>
            <w:pPr>
              <w:spacing w:after="40" w:before="0" w:line="259" w:lineRule="auto"/>
            </w:pPr>
            <w:r>
              <w:rPr>
                <w:rFonts w:ascii="Calibri" w:hAnsi="Calibri"/>
                <w:b w:val="0"/>
                <w:i w:val="0"/>
                <w:color w:val="212121"/>
                <w:sz w:val="16"/>
              </w:rPr>
              <w:t>Suspected severe/advanced CTS, thenar wasting,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Also helps exclude radiculopathy or more proximal neuropathy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Median nerve cross-sectional area at the carpal tunnel inlet</w:t>
            </w:r>
          </w:p>
        </w:tc>
        <w:tc>
          <w:tcPr>
            <w:tcW w:type="dxa" w:w="892"/>
            <w:vAlign w:val="top"/>
          </w:tcPr>
          <w:p>
            <w:pPr>
              <w:spacing w:after="40" w:before="0" w:line="259" w:lineRule="auto"/>
            </w:pPr>
            <w:r>
              <w:rPr>
                <w:rFonts w:ascii="Calibri" w:hAnsi="Calibri"/>
                <w:b w:val="0"/>
                <w:i w:val="0"/>
                <w:color w:val="212121"/>
                <w:sz w:val="16"/>
              </w:rPr>
              <w:t>High-resolution ultrasound (USG)</w:t>
            </w:r>
          </w:p>
        </w:tc>
        <w:tc>
          <w:tcPr>
            <w:tcW w:type="dxa" w:w="950"/>
            <w:vAlign w:val="top"/>
          </w:tcPr>
          <w:p>
            <w:pPr>
              <w:spacing w:after="40" w:before="0" w:line="259" w:lineRule="auto"/>
            </w:pPr>
            <w:r>
              <w:rPr>
                <w:rFonts w:ascii="Calibri" w:hAnsi="Calibri"/>
                <w:b w:val="0"/>
                <w:i w:val="0"/>
                <w:color w:val="212121"/>
                <w:sz w:val="16"/>
              </w:rPr>
              <w:t>Cross-sectional area within normal limits (roughly &lt; 9-10 mm2)</w:t>
            </w:r>
          </w:p>
        </w:tc>
        <w:tc>
          <w:tcPr>
            <w:tcW w:type="dxa" w:w="950"/>
            <w:vAlign w:val="top"/>
          </w:tcPr>
          <w:p>
            <w:pPr>
              <w:spacing w:after="40" w:before="0" w:line="259" w:lineRule="auto"/>
            </w:pPr>
            <w:r>
              <w:rPr>
                <w:rFonts w:ascii="Calibri" w:hAnsi="Calibri"/>
                <w:b w:val="0"/>
                <w:i w:val="0"/>
                <w:color w:val="212121"/>
                <w:sz w:val="16"/>
              </w:rPr>
              <w:t>Enlarged/swollen median nerve at the inlet with flattening within the tunnel</w:t>
            </w:r>
          </w:p>
        </w:tc>
        <w:tc>
          <w:tcPr>
            <w:tcW w:type="dxa" w:w="1036"/>
            <w:vAlign w:val="top"/>
          </w:tcPr>
          <w:p>
            <w:pPr>
              <w:spacing w:after="40" w:before="0" w:line="259" w:lineRule="auto"/>
            </w:pPr>
            <w:r>
              <w:rPr>
                <w:rFonts w:ascii="Calibri" w:hAnsi="Calibri"/>
                <w:b w:val="0"/>
                <w:i w:val="0"/>
                <w:color w:val="212121"/>
                <w:sz w:val="16"/>
              </w:rPr>
              <w:t>Supports the diagnosis, shows nerve swelling and can reveal a structural cause (ganglion, tenosynovitis)</w:t>
            </w:r>
          </w:p>
        </w:tc>
        <w:tc>
          <w:tcPr>
            <w:tcW w:type="dxa" w:w="1036"/>
            <w:vAlign w:val="top"/>
          </w:tcPr>
          <w:p>
            <w:pPr>
              <w:spacing w:after="40" w:before="0" w:line="259" w:lineRule="auto"/>
            </w:pPr>
            <w:r>
              <w:rPr>
                <w:rFonts w:ascii="Calibri" w:hAnsi="Calibri"/>
                <w:b w:val="0"/>
                <w:i w:val="0"/>
                <w:color w:val="212121"/>
                <w:sz w:val="16"/>
              </w:rPr>
              <w:t>Diagnostic adjunct; useful where NCS is equivocal or a mass is suspected</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Adjunct / screening</w:t>
            </w:r>
          </w:p>
        </w:tc>
        <w:tc>
          <w:tcPr>
            <w:tcW w:type="dxa" w:w="720"/>
            <w:vAlign w:val="top"/>
          </w:tcPr>
          <w:p>
            <w:pPr>
              <w:spacing w:after="40" w:before="0" w:line="259" w:lineRule="auto"/>
            </w:pPr>
            <w:r>
              <w:rPr>
                <w:rFonts w:ascii="Calibri" w:hAnsi="Calibri"/>
                <w:b w:val="0"/>
                <w:i w:val="0"/>
                <w:color w:val="212121"/>
                <w:sz w:val="16"/>
              </w:rPr>
              <w:t>Non-invasive, quick and increasingly used first-line alongside NCS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Wrist soft tissue / structural evaluation</w:t>
            </w:r>
          </w:p>
        </w:tc>
        <w:tc>
          <w:tcPr>
            <w:tcW w:type="dxa" w:w="892"/>
            <w:vAlign w:val="top"/>
          </w:tcPr>
          <w:p>
            <w:pPr>
              <w:spacing w:after="40" w:before="0" w:line="259" w:lineRule="auto"/>
            </w:pPr>
            <w:r>
              <w:rPr>
                <w:rFonts w:ascii="Calibri" w:hAnsi="Calibri"/>
                <w:b w:val="0"/>
                <w:i w:val="0"/>
                <w:color w:val="212121"/>
                <w:sz w:val="16"/>
              </w:rPr>
              <w:t>MRI wrist (selective)</w:t>
            </w:r>
          </w:p>
        </w:tc>
        <w:tc>
          <w:tcPr>
            <w:tcW w:type="dxa" w:w="950"/>
            <w:vAlign w:val="top"/>
          </w:tcPr>
          <w:p>
            <w:pPr>
              <w:spacing w:after="40" w:before="0" w:line="259" w:lineRule="auto"/>
            </w:pPr>
            <w:r>
              <w:rPr>
                <w:rFonts w:ascii="Calibri" w:hAnsi="Calibri"/>
                <w:b w:val="0"/>
                <w:i w:val="0"/>
                <w:color w:val="212121"/>
                <w:sz w:val="16"/>
              </w:rPr>
              <w:t>Normal tunnel contents</w:t>
            </w:r>
          </w:p>
        </w:tc>
        <w:tc>
          <w:tcPr>
            <w:tcW w:type="dxa" w:w="950"/>
            <w:vAlign w:val="top"/>
          </w:tcPr>
          <w:p>
            <w:pPr>
              <w:spacing w:after="40" w:before="0" w:line="259" w:lineRule="auto"/>
            </w:pPr>
            <w:r>
              <w:rPr>
                <w:rFonts w:ascii="Calibri" w:hAnsi="Calibri"/>
                <w:b w:val="0"/>
                <w:i w:val="0"/>
                <w:color w:val="212121"/>
                <w:sz w:val="16"/>
              </w:rPr>
              <w:t>Space-occupying lesion, tenosynovitis, oedema or anatomical anomaly</w:t>
            </w:r>
          </w:p>
        </w:tc>
        <w:tc>
          <w:tcPr>
            <w:tcW w:type="dxa" w:w="1036"/>
            <w:vAlign w:val="top"/>
          </w:tcPr>
          <w:p>
            <w:pPr>
              <w:spacing w:after="40" w:before="0" w:line="259" w:lineRule="auto"/>
            </w:pPr>
            <w:r>
              <w:rPr>
                <w:rFonts w:ascii="Calibri" w:hAnsi="Calibri"/>
                <w:b w:val="0"/>
                <w:i w:val="0"/>
                <w:color w:val="212121"/>
                <w:sz w:val="16"/>
              </w:rPr>
              <w:t>Reserved for suspected structural, space-occupying or secondary causes and surgical planning</w:t>
            </w:r>
          </w:p>
        </w:tc>
        <w:tc>
          <w:tcPr>
            <w:tcW w:type="dxa" w:w="1036"/>
            <w:vAlign w:val="top"/>
          </w:tcPr>
          <w:p>
            <w:pPr>
              <w:spacing w:after="40" w:before="0" w:line="259" w:lineRule="auto"/>
            </w:pPr>
            <w:r>
              <w:rPr>
                <w:rFonts w:ascii="Calibri" w:hAnsi="Calibri"/>
                <w:b w:val="0"/>
                <w:i w:val="0"/>
                <w:color w:val="212121"/>
                <w:sz w:val="16"/>
              </w:rPr>
              <w:t>Atypical, recurrent or post-traumatic CTS; suspected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required for routine idiopathic CTS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126 mg/dL or HbA1c &gt;= 6.5%</w:t>
            </w:r>
          </w:p>
        </w:tc>
        <w:tc>
          <w:tcPr>
            <w:tcW w:type="dxa" w:w="1036"/>
            <w:vAlign w:val="top"/>
          </w:tcPr>
          <w:p>
            <w:pPr>
              <w:spacing w:after="40" w:before="0" w:line="259" w:lineRule="auto"/>
            </w:pPr>
            <w:r>
              <w:rPr>
                <w:rFonts w:ascii="Calibri" w:hAnsi="Calibri"/>
                <w:b w:val="0"/>
                <w:i w:val="0"/>
                <w:color w:val="212121"/>
                <w:sz w:val="16"/>
              </w:rPr>
              <w:t>Identifies diabetes/prediabetes as a treatable secondary cause and comorbidity</w:t>
            </w:r>
          </w:p>
        </w:tc>
        <w:tc>
          <w:tcPr>
            <w:tcW w:type="dxa" w:w="1036"/>
            <w:vAlign w:val="top"/>
          </w:tcPr>
          <w:p>
            <w:pPr>
              <w:spacing w:after="40" w:before="0" w:line="259" w:lineRule="auto"/>
            </w:pPr>
            <w:r>
              <w:rPr>
                <w:rFonts w:ascii="Calibri" w:hAnsi="Calibri"/>
                <w:b w:val="0"/>
                <w:i w:val="0"/>
                <w:color w:val="212121"/>
                <w:sz w:val="16"/>
              </w:rPr>
              <w:t>All secondary CTS work-up, especially in India's high-diabetes population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both predisposes to and worsens CTS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stimulating hormone (TSH)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TSH (primary hypothyroidism)</w:t>
            </w:r>
          </w:p>
        </w:tc>
        <w:tc>
          <w:tcPr>
            <w:tcW w:type="dxa" w:w="1036"/>
            <w:vAlign w:val="top"/>
          </w:tcPr>
          <w:p>
            <w:pPr>
              <w:spacing w:after="40" w:before="0" w:line="259" w:lineRule="auto"/>
            </w:pPr>
            <w:r>
              <w:rPr>
                <w:rFonts w:ascii="Calibri" w:hAnsi="Calibri"/>
                <w:b w:val="0"/>
                <w:i w:val="0"/>
                <w:color w:val="212121"/>
                <w:sz w:val="16"/>
              </w:rPr>
              <w:t>Detects hypothyroidism, a reversible cause of CTS common in Indian women</w:t>
            </w:r>
          </w:p>
        </w:tc>
        <w:tc>
          <w:tcPr>
            <w:tcW w:type="dxa" w:w="1036"/>
            <w:vAlign w:val="top"/>
          </w:tcPr>
          <w:p>
            <w:pPr>
              <w:spacing w:after="40" w:before="0" w:line="259" w:lineRule="auto"/>
            </w:pPr>
            <w:r>
              <w:rPr>
                <w:rFonts w:ascii="Calibri" w:hAnsi="Calibri"/>
                <w:b w:val="0"/>
                <w:i w:val="0"/>
                <w:color w:val="212121"/>
                <w:sz w:val="16"/>
              </w:rPr>
              <w:t>Women, bilateral CTS, non-occupational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Treating hypothyroidism can relieve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Rheumatoid factor / anti-CCP, ESR, CRP, uric acid</w:t>
            </w:r>
          </w:p>
        </w:tc>
        <w:tc>
          <w:tcPr>
            <w:tcW w:type="dxa" w:w="892"/>
            <w:vAlign w:val="top"/>
          </w:tcPr>
          <w:p>
            <w:pPr>
              <w:spacing w:after="40" w:before="0" w:line="259" w:lineRule="auto"/>
            </w:pPr>
            <w:r>
              <w:rPr>
                <w:rFonts w:ascii="Calibri" w:hAnsi="Calibri"/>
                <w:b w:val="0"/>
                <w:i w:val="0"/>
                <w:color w:val="212121"/>
                <w:sz w:val="16"/>
              </w:rPr>
              <w:t>Inflammatory / rheumatological work-up</w:t>
            </w:r>
          </w:p>
        </w:tc>
        <w:tc>
          <w:tcPr>
            <w:tcW w:type="dxa" w:w="950"/>
            <w:vAlign w:val="top"/>
          </w:tcPr>
          <w:p>
            <w:pPr>
              <w:spacing w:after="40" w:before="0" w:line="259" w:lineRule="auto"/>
            </w:pPr>
            <w:r>
              <w:rPr>
                <w:rFonts w:ascii="Calibri" w:hAnsi="Calibri"/>
                <w:b w:val="0"/>
                <w:i w:val="0"/>
                <w:color w:val="212121"/>
                <w:sz w:val="16"/>
              </w:rPr>
              <w:t>Negative serology; normal inflammatory markers and urate</w:t>
            </w:r>
          </w:p>
        </w:tc>
        <w:tc>
          <w:tcPr>
            <w:tcW w:type="dxa" w:w="950"/>
            <w:vAlign w:val="top"/>
          </w:tcPr>
          <w:p>
            <w:pPr>
              <w:spacing w:after="40" w:before="0" w:line="259" w:lineRule="auto"/>
            </w:pPr>
            <w:r>
              <w:rPr>
                <w:rFonts w:ascii="Calibri" w:hAnsi="Calibri"/>
                <w:b w:val="0"/>
                <w:i w:val="0"/>
                <w:color w:val="212121"/>
                <w:sz w:val="16"/>
              </w:rPr>
              <w:t>Positive RF/anti-CCP, raised ESR/CRP, hyperuricaemia</w:t>
            </w:r>
          </w:p>
        </w:tc>
        <w:tc>
          <w:tcPr>
            <w:tcW w:type="dxa" w:w="1036"/>
            <w:vAlign w:val="top"/>
          </w:tcPr>
          <w:p>
            <w:pPr>
              <w:spacing w:after="40" w:before="0" w:line="259" w:lineRule="auto"/>
            </w:pPr>
            <w:r>
              <w:rPr>
                <w:rFonts w:ascii="Calibri" w:hAnsi="Calibri"/>
                <w:b w:val="0"/>
                <w:i w:val="0"/>
                <w:color w:val="212121"/>
                <w:sz w:val="16"/>
              </w:rPr>
              <w:t>Identifies rheumatoid arthritis, inflammatory arthropathy or gout causing flexor tenosynovitis</w:t>
            </w:r>
          </w:p>
        </w:tc>
        <w:tc>
          <w:tcPr>
            <w:tcW w:type="dxa" w:w="1036"/>
            <w:vAlign w:val="top"/>
          </w:tcPr>
          <w:p>
            <w:pPr>
              <w:spacing w:after="40" w:before="0" w:line="259" w:lineRule="auto"/>
            </w:pPr>
            <w:r>
              <w:rPr>
                <w:rFonts w:ascii="Calibri" w:hAnsi="Calibri"/>
                <w:b w:val="0"/>
                <w:i w:val="0"/>
                <w:color w:val="212121"/>
                <w:sz w:val="16"/>
              </w:rPr>
              <w:t>Patients with joint swelling, multiple-joint symptoms or systemic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Directs disease-specific treatment of the underlying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 (renal function)</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&gt;= 90 mL/min/1.73m2; normal creatinine</w:t>
            </w:r>
          </w:p>
        </w:tc>
        <w:tc>
          <w:tcPr>
            <w:tcW w:type="dxa" w:w="950"/>
            <w:vAlign w:val="top"/>
          </w:tcPr>
          <w:p>
            <w:pPr>
              <w:spacing w:after="40" w:before="0" w:line="259" w:lineRule="auto"/>
            </w:pPr>
            <w:r>
              <w:rPr>
                <w:rFonts w:ascii="Calibri" w:hAnsi="Calibri"/>
                <w:b w:val="0"/>
                <w:i w:val="0"/>
                <w:color w:val="212121"/>
                <w:sz w:val="16"/>
              </w:rPr>
              <w:t>Reduced eGFR / raised creatinine; dialysis-associated amyloid</w:t>
            </w:r>
          </w:p>
        </w:tc>
        <w:tc>
          <w:tcPr>
            <w:tcW w:type="dxa" w:w="1036"/>
            <w:vAlign w:val="top"/>
          </w:tcPr>
          <w:p>
            <w:pPr>
              <w:spacing w:after="40" w:before="0" w:line="259" w:lineRule="auto"/>
            </w:pPr>
            <w:r>
              <w:rPr>
                <w:rFonts w:ascii="Calibri" w:hAnsi="Calibri"/>
                <w:b w:val="0"/>
                <w:i w:val="0"/>
                <w:color w:val="212121"/>
                <w:sz w:val="16"/>
              </w:rPr>
              <w:t>Chronic kidney disease and dialysis-related amyloidosis are recognised secondary causes</w:t>
            </w:r>
          </w:p>
        </w:tc>
        <w:tc>
          <w:tcPr>
            <w:tcW w:type="dxa" w:w="1036"/>
            <w:vAlign w:val="top"/>
          </w:tcPr>
          <w:p>
            <w:pPr>
              <w:spacing w:after="40" w:before="0" w:line="259" w:lineRule="auto"/>
            </w:pPr>
            <w:r>
              <w:rPr>
                <w:rFonts w:ascii="Calibri" w:hAnsi="Calibri"/>
                <w:b w:val="0"/>
                <w:i w:val="0"/>
                <w:color w:val="212121"/>
                <w:sz w:val="16"/>
              </w:rPr>
              <w:t>Patients with CKD, on long-term dialysis, or bilateral atypical CTS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amyloid in long-term dialysis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pattern</w:t>
            </w:r>
          </w:p>
        </w:tc>
        <w:tc>
          <w:tcPr>
            <w:tcW w:type="dxa" w:w="979"/>
            <w:vAlign w:val="top"/>
          </w:tcPr>
          <w:p>
            <w:pPr>
              <w:spacing w:after="40" w:before="0" w:line="259" w:lineRule="auto"/>
            </w:pPr>
            <w:r>
              <w:rPr>
                <w:rFonts w:ascii="Calibri" w:hAnsi="Calibri"/>
                <w:b w:val="0"/>
                <w:i w:val="0"/>
                <w:color w:val="212121"/>
                <w:sz w:val="16"/>
              </w:rPr>
              <w:t>Nocturnal numbness/tingling in the median distribution; flick sign</w:t>
            </w:r>
          </w:p>
        </w:tc>
        <w:tc>
          <w:tcPr>
            <w:tcW w:type="dxa" w:w="950"/>
            <w:vAlign w:val="top"/>
          </w:tcPr>
          <w:p>
            <w:pPr>
              <w:spacing w:after="40" w:before="0" w:line="259" w:lineRule="auto"/>
            </w:pPr>
            <w:r>
              <w:rPr>
                <w:rFonts w:ascii="Calibri" w:hAnsi="Calibri"/>
                <w:b w:val="0"/>
                <w:i w:val="0"/>
                <w:color w:val="212121"/>
                <w:sz w:val="16"/>
              </w:rPr>
              <w:t>No sensory symptoms</w:t>
            </w:r>
          </w:p>
        </w:tc>
        <w:tc>
          <w:tcPr>
            <w:tcW w:type="dxa" w:w="950"/>
            <w:vAlign w:val="top"/>
          </w:tcPr>
          <w:p>
            <w:pPr>
              <w:spacing w:after="40" w:before="0" w:line="259" w:lineRule="auto"/>
            </w:pPr>
            <w:r>
              <w:rPr>
                <w:rFonts w:ascii="Calibri" w:hAnsi="Calibri"/>
                <w:b w:val="0"/>
                <w:i w:val="0"/>
                <w:color w:val="212121"/>
                <w:sz w:val="16"/>
              </w:rPr>
              <w:t>Nocturnal paraesthesiae in thumb-index-middle-radial ring, relieved by shaking the hand</w:t>
            </w:r>
          </w:p>
        </w:tc>
        <w:tc>
          <w:tcPr>
            <w:tcW w:type="dxa" w:w="1036"/>
            <w:vAlign w:val="top"/>
          </w:tcPr>
          <w:p>
            <w:pPr>
              <w:spacing w:after="40" w:before="0" w:line="259" w:lineRule="auto"/>
            </w:pPr>
            <w:r>
              <w:rPr>
                <w:rFonts w:ascii="Calibri" w:hAnsi="Calibri"/>
                <w:b w:val="0"/>
                <w:i w:val="0"/>
                <w:color w:val="212121"/>
                <w:sz w:val="16"/>
              </w:rPr>
              <w:t>Classic hallmark of CTS; nocturnal predominance and the flick sign are highly suggestive</w:t>
            </w:r>
          </w:p>
        </w:tc>
        <w:tc>
          <w:tcPr>
            <w:tcW w:type="dxa" w:w="1036"/>
            <w:vAlign w:val="top"/>
          </w:tcPr>
          <w:p>
            <w:pPr>
              <w:spacing w:after="40" w:before="0" w:line="259" w:lineRule="auto"/>
            </w:pPr>
            <w:r>
              <w:rPr>
                <w:rFonts w:ascii="Calibri" w:hAnsi="Calibri"/>
                <w:b w:val="0"/>
                <w:i w:val="0"/>
                <w:color w:val="212121"/>
                <w:sz w:val="16"/>
              </w:rPr>
              <w:t>All patients with hand paraesthesiae</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sparing the little finger point to median (not ulnar) territory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activity history</w:t>
            </w:r>
          </w:p>
        </w:tc>
        <w:tc>
          <w:tcPr>
            <w:tcW w:type="dxa" w:w="979"/>
            <w:vAlign w:val="top"/>
          </w:tcPr>
          <w:p>
            <w:pPr>
              <w:spacing w:after="40" w:before="0" w:line="259" w:lineRule="auto"/>
            </w:pPr>
            <w:r>
              <w:rPr>
                <w:rFonts w:ascii="Calibri" w:hAnsi="Calibri"/>
                <w:b w:val="0"/>
                <w:i w:val="0"/>
                <w:color w:val="212121"/>
                <w:sz w:val="16"/>
              </w:rPr>
              <w:t>Repetition, hand force, vibration, sustained wrist posture, keyboard hours</w:t>
            </w:r>
          </w:p>
        </w:tc>
        <w:tc>
          <w:tcPr>
            <w:tcW w:type="dxa" w:w="950"/>
            <w:vAlign w:val="top"/>
          </w:tcPr>
          <w:p>
            <w:pPr>
              <w:spacing w:after="40" w:before="0" w:line="259" w:lineRule="auto"/>
            </w:pPr>
            <w:r>
              <w:rPr>
                <w:rFonts w:ascii="Calibri" w:hAnsi="Calibri"/>
                <w:b w:val="0"/>
                <w:i w:val="0"/>
                <w:color w:val="212121"/>
                <w:sz w:val="16"/>
              </w:rPr>
              <w:t>Low-exposure work; neutral postures</w:t>
            </w:r>
          </w:p>
        </w:tc>
        <w:tc>
          <w:tcPr>
            <w:tcW w:type="dxa" w:w="950"/>
            <w:vAlign w:val="top"/>
          </w:tcPr>
          <w:p>
            <w:pPr>
              <w:spacing w:after="40" w:before="0" w:line="259" w:lineRule="auto"/>
            </w:pPr>
            <w:r>
              <w:rPr>
                <w:rFonts w:ascii="Calibri" w:hAnsi="Calibri"/>
                <w:b w:val="0"/>
                <w:i w:val="0"/>
                <w:color w:val="212121"/>
                <w:sz w:val="16"/>
              </w:rPr>
              <w:t>High-repetition/force job, vibrating-tool use, prolonged keyboard/mouse work</w:t>
            </w:r>
          </w:p>
        </w:tc>
        <w:tc>
          <w:tcPr>
            <w:tcW w:type="dxa" w:w="1036"/>
            <w:vAlign w:val="top"/>
          </w:tcPr>
          <w:p>
            <w:pPr>
              <w:spacing w:after="40" w:before="0" w:line="259" w:lineRule="auto"/>
            </w:pPr>
            <w:r>
              <w:rPr>
                <w:rFonts w:ascii="Calibri" w:hAnsi="Calibri"/>
                <w:b w:val="0"/>
                <w:i w:val="0"/>
                <w:color w:val="212121"/>
                <w:sz w:val="16"/>
              </w:rPr>
              <w:t>Identifies the modifiable occupational driver and guides ergonomic advice</w:t>
            </w:r>
          </w:p>
        </w:tc>
        <w:tc>
          <w:tcPr>
            <w:tcW w:type="dxa" w:w="1036"/>
            <w:vAlign w:val="top"/>
          </w:tcPr>
          <w:p>
            <w:pPr>
              <w:spacing w:after="40" w:before="0" w:line="259" w:lineRule="auto"/>
            </w:pPr>
            <w:r>
              <w:rPr>
                <w:rFonts w:ascii="Calibri" w:hAnsi="Calibri"/>
                <w:b w:val="0"/>
                <w:i w:val="0"/>
                <w:color w:val="212121"/>
                <w:sz w:val="16"/>
              </w:rPr>
              <w:t>IT/BPO, manual, tailoring, agricultural and tool workers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prevention and workplace modification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w:t>
            </w:r>
          </w:p>
        </w:tc>
        <w:tc>
          <w:tcPr>
            <w:tcW w:type="dxa" w:w="950"/>
            <w:vAlign w:val="top"/>
          </w:tcPr>
          <w:p>
            <w:pPr>
              <w:spacing w:after="40" w:before="0" w:line="259" w:lineRule="auto"/>
            </w:pPr>
            <w:r>
              <w:rPr>
                <w:rFonts w:ascii="Calibri" w:hAnsi="Calibri"/>
                <w:b w:val="0"/>
                <w:i w:val="0"/>
                <w:color w:val="212121"/>
                <w:sz w:val="16"/>
              </w:rPr>
              <w:t>Phalen test</w:t>
            </w:r>
          </w:p>
        </w:tc>
        <w:tc>
          <w:tcPr>
            <w:tcW w:type="dxa" w:w="979"/>
            <w:vAlign w:val="top"/>
          </w:tcPr>
          <w:p>
            <w:pPr>
              <w:spacing w:after="40" w:before="0" w:line="259" w:lineRule="auto"/>
            </w:pPr>
            <w:r>
              <w:rPr>
                <w:rFonts w:ascii="Calibri" w:hAnsi="Calibri"/>
                <w:b w:val="0"/>
                <w:i w:val="0"/>
                <w:color w:val="212121"/>
                <w:sz w:val="16"/>
              </w:rPr>
              <w:t>Sustained wrist flexion for ~60 seconds</w:t>
            </w:r>
          </w:p>
        </w:tc>
        <w:tc>
          <w:tcPr>
            <w:tcW w:type="dxa" w:w="950"/>
            <w:vAlign w:val="top"/>
          </w:tcPr>
          <w:p>
            <w:pPr>
              <w:spacing w:after="40" w:before="0" w:line="259" w:lineRule="auto"/>
            </w:pPr>
            <w:r>
              <w:rPr>
                <w:rFonts w:ascii="Calibri" w:hAnsi="Calibri"/>
                <w:b w:val="0"/>
                <w:i w:val="0"/>
                <w:color w:val="212121"/>
                <w:sz w:val="16"/>
              </w:rPr>
              <w:t>No symptoms reproduced</w:t>
            </w:r>
          </w:p>
        </w:tc>
        <w:tc>
          <w:tcPr>
            <w:tcW w:type="dxa" w:w="950"/>
            <w:vAlign w:val="top"/>
          </w:tcPr>
          <w:p>
            <w:pPr>
              <w:spacing w:after="40" w:before="0" w:line="259" w:lineRule="auto"/>
            </w:pPr>
            <w:r>
              <w:rPr>
                <w:rFonts w:ascii="Calibri" w:hAnsi="Calibri"/>
                <w:b w:val="0"/>
                <w:i w:val="0"/>
                <w:color w:val="212121"/>
                <w:sz w:val="16"/>
              </w:rPr>
              <w:t>Reproduces numbness/tingling in the median distribution</w:t>
            </w:r>
          </w:p>
        </w:tc>
        <w:tc>
          <w:tcPr>
            <w:tcW w:type="dxa" w:w="1036"/>
            <w:vAlign w:val="top"/>
          </w:tcPr>
          <w:p>
            <w:pPr>
              <w:spacing w:after="40" w:before="0" w:line="259" w:lineRule="auto"/>
            </w:pPr>
            <w:r>
              <w:rPr>
                <w:rFonts w:ascii="Calibri" w:hAnsi="Calibri"/>
                <w:b w:val="0"/>
                <w:i w:val="0"/>
                <w:color w:val="212121"/>
                <w:sz w:val="16"/>
              </w:rPr>
              <w:t>Positive test supports CTS (sensitivity ~68%, specificity ~73%)</w:t>
            </w:r>
          </w:p>
        </w:tc>
        <w:tc>
          <w:tcPr>
            <w:tcW w:type="dxa" w:w="1036"/>
            <w:vAlign w:val="top"/>
          </w:tcPr>
          <w:p>
            <w:pPr>
              <w:spacing w:after="40" w:before="0" w:line="259" w:lineRule="auto"/>
            </w:pPr>
            <w:r>
              <w:rPr>
                <w:rFonts w:ascii="Calibri" w:hAnsi="Calibri"/>
                <w:b w:val="0"/>
                <w:i w:val="0"/>
                <w:color w:val="212121"/>
                <w:sz w:val="16"/>
              </w:rPr>
              <w:t>All patients with suspected CTS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quick bedside manoeuvre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w:t>
            </w:r>
          </w:p>
        </w:tc>
        <w:tc>
          <w:tcPr>
            <w:tcW w:type="dxa" w:w="950"/>
            <w:vAlign w:val="top"/>
          </w:tcPr>
          <w:p>
            <w:pPr>
              <w:spacing w:after="40" w:before="0" w:line="259" w:lineRule="auto"/>
            </w:pPr>
            <w:r>
              <w:rPr>
                <w:rFonts w:ascii="Calibri" w:hAnsi="Calibri"/>
                <w:b w:val="0"/>
                <w:i w:val="0"/>
                <w:color w:val="212121"/>
                <w:sz w:val="16"/>
              </w:rPr>
              <w:t>Tinel sign</w:t>
            </w:r>
          </w:p>
        </w:tc>
        <w:tc>
          <w:tcPr>
            <w:tcW w:type="dxa" w:w="979"/>
            <w:vAlign w:val="top"/>
          </w:tcPr>
          <w:p>
            <w:pPr>
              <w:spacing w:after="40" w:before="0" w:line="259" w:lineRule="auto"/>
            </w:pPr>
            <w:r>
              <w:rPr>
                <w:rFonts w:ascii="Calibri" w:hAnsi="Calibri"/>
                <w:b w:val="0"/>
                <w:i w:val="0"/>
                <w:color w:val="212121"/>
                <w:sz w:val="16"/>
              </w:rPr>
              <w:t>Percussion over the median nerve at the wrist</w:t>
            </w:r>
          </w:p>
        </w:tc>
        <w:tc>
          <w:tcPr>
            <w:tcW w:type="dxa" w:w="950"/>
            <w:vAlign w:val="top"/>
          </w:tcPr>
          <w:p>
            <w:pPr>
              <w:spacing w:after="40" w:before="0" w:line="259" w:lineRule="auto"/>
            </w:pPr>
            <w:r>
              <w:rPr>
                <w:rFonts w:ascii="Calibri" w:hAnsi="Calibri"/>
                <w:b w:val="0"/>
                <w:i w:val="0"/>
                <w:color w:val="212121"/>
                <w:sz w:val="16"/>
              </w:rPr>
              <w:t>No radiating tingling</w:t>
            </w:r>
          </w:p>
        </w:tc>
        <w:tc>
          <w:tcPr>
            <w:tcW w:type="dxa" w:w="950"/>
            <w:vAlign w:val="top"/>
          </w:tcPr>
          <w:p>
            <w:pPr>
              <w:spacing w:after="40" w:before="0" w:line="259" w:lineRule="auto"/>
            </w:pPr>
            <w:r>
              <w:rPr>
                <w:rFonts w:ascii="Calibri" w:hAnsi="Calibri"/>
                <w:b w:val="0"/>
                <w:i w:val="0"/>
                <w:color w:val="212121"/>
                <w:sz w:val="16"/>
              </w:rPr>
              <w:t>Tingling/electric sensation into the median-innervated fingers</w:t>
            </w:r>
          </w:p>
        </w:tc>
        <w:tc>
          <w:tcPr>
            <w:tcW w:type="dxa" w:w="1036"/>
            <w:vAlign w:val="top"/>
          </w:tcPr>
          <w:p>
            <w:pPr>
              <w:spacing w:after="40" w:before="0" w:line="259" w:lineRule="auto"/>
            </w:pPr>
            <w:r>
              <w:rPr>
                <w:rFonts w:ascii="Calibri" w:hAnsi="Calibri"/>
                <w:b w:val="0"/>
                <w:i w:val="0"/>
                <w:color w:val="212121"/>
                <w:sz w:val="16"/>
              </w:rPr>
              <w:t>Supports CTS (sensitivity ~50%, specificity ~77%)</w:t>
            </w:r>
          </w:p>
        </w:tc>
        <w:tc>
          <w:tcPr>
            <w:tcW w:type="dxa" w:w="1036"/>
            <w:vAlign w:val="top"/>
          </w:tcPr>
          <w:p>
            <w:pPr>
              <w:spacing w:after="40" w:before="0" w:line="259" w:lineRule="auto"/>
            </w:pPr>
            <w:r>
              <w:rPr>
                <w:rFonts w:ascii="Calibri" w:hAnsi="Calibri"/>
                <w:b w:val="0"/>
                <w:i w:val="0"/>
                <w:color w:val="212121"/>
                <w:sz w:val="16"/>
              </w:rPr>
              <w:t>All patients with suspected 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Less sensitive than compression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w:t>
            </w:r>
          </w:p>
        </w:tc>
        <w:tc>
          <w:tcPr>
            <w:tcW w:type="dxa" w:w="950"/>
            <w:vAlign w:val="top"/>
          </w:tcPr>
          <w:p>
            <w:pPr>
              <w:spacing w:after="40" w:before="0" w:line="259" w:lineRule="auto"/>
            </w:pPr>
            <w:r>
              <w:rPr>
                <w:rFonts w:ascii="Calibri" w:hAnsi="Calibri"/>
                <w:b w:val="0"/>
                <w:i w:val="0"/>
                <w:color w:val="212121"/>
                <w:sz w:val="16"/>
              </w:rPr>
              <w:t>Durkan carpal-compression test</w:t>
            </w:r>
          </w:p>
        </w:tc>
        <w:tc>
          <w:tcPr>
            <w:tcW w:type="dxa" w:w="979"/>
            <w:vAlign w:val="top"/>
          </w:tcPr>
          <w:p>
            <w:pPr>
              <w:spacing w:after="40" w:before="0" w:line="259" w:lineRule="auto"/>
            </w:pPr>
            <w:r>
              <w:rPr>
                <w:rFonts w:ascii="Calibri" w:hAnsi="Calibri"/>
                <w:b w:val="0"/>
                <w:i w:val="0"/>
                <w:color w:val="212121"/>
                <w:sz w:val="16"/>
              </w:rPr>
              <w:t>Direct pressure over the carpal tunnel for ~30 seconds</w:t>
            </w:r>
          </w:p>
        </w:tc>
        <w:tc>
          <w:tcPr>
            <w:tcW w:type="dxa" w:w="950"/>
            <w:vAlign w:val="top"/>
          </w:tcPr>
          <w:p>
            <w:pPr>
              <w:spacing w:after="40" w:before="0" w:line="259" w:lineRule="auto"/>
            </w:pPr>
            <w:r>
              <w:rPr>
                <w:rFonts w:ascii="Calibri" w:hAnsi="Calibri"/>
                <w:b w:val="0"/>
                <w:i w:val="0"/>
                <w:color w:val="212121"/>
                <w:sz w:val="16"/>
              </w:rPr>
              <w:t>No symptoms reproduced</w:t>
            </w:r>
          </w:p>
        </w:tc>
        <w:tc>
          <w:tcPr>
            <w:tcW w:type="dxa" w:w="950"/>
            <w:vAlign w:val="top"/>
          </w:tcPr>
          <w:p>
            <w:pPr>
              <w:spacing w:after="40" w:before="0" w:line="259" w:lineRule="auto"/>
            </w:pPr>
            <w:r>
              <w:rPr>
                <w:rFonts w:ascii="Calibri" w:hAnsi="Calibri"/>
                <w:b w:val="0"/>
                <w:i w:val="0"/>
                <w:color w:val="212121"/>
                <w:sz w:val="16"/>
              </w:rPr>
              <w:t>Reproduces median-distribution paraesthesiae within 30 seconds</w:t>
            </w:r>
          </w:p>
        </w:tc>
        <w:tc>
          <w:tcPr>
            <w:tcW w:type="dxa" w:w="1036"/>
            <w:vAlign w:val="top"/>
          </w:tcPr>
          <w:p>
            <w:pPr>
              <w:spacing w:after="40" w:before="0" w:line="259" w:lineRule="auto"/>
            </w:pPr>
            <w:r>
              <w:rPr>
                <w:rFonts w:ascii="Calibri" w:hAnsi="Calibri"/>
                <w:b w:val="0"/>
                <w:i w:val="0"/>
                <w:color w:val="212121"/>
                <w:sz w:val="16"/>
              </w:rPr>
              <w:t>Most balanced bedside test (sensitivity ~64%, specificity ~83%)</w:t>
            </w:r>
          </w:p>
        </w:tc>
        <w:tc>
          <w:tcPr>
            <w:tcW w:type="dxa" w:w="1036"/>
            <w:vAlign w:val="top"/>
          </w:tcPr>
          <w:p>
            <w:pPr>
              <w:spacing w:after="40" w:before="0" w:line="259" w:lineRule="auto"/>
            </w:pPr>
            <w:r>
              <w:rPr>
                <w:rFonts w:ascii="Calibri" w:hAnsi="Calibri"/>
                <w:b w:val="0"/>
                <w:i w:val="0"/>
                <w:color w:val="212121"/>
                <w:sz w:val="16"/>
              </w:rPr>
              <w:t>All patients with suspected 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the most useful single provocative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Thenar (abductor pollicis brevis) power and bulk</w:t>
            </w:r>
          </w:p>
        </w:tc>
        <w:tc>
          <w:tcPr>
            <w:tcW w:type="dxa" w:w="979"/>
            <w:vAlign w:val="top"/>
          </w:tcPr>
          <w:p>
            <w:pPr>
              <w:spacing w:after="40" w:before="0" w:line="259" w:lineRule="auto"/>
            </w:pPr>
            <w:r>
              <w:rPr>
                <w:rFonts w:ascii="Calibri" w:hAnsi="Calibri"/>
                <w:b w:val="0"/>
                <w:i w:val="0"/>
                <w:color w:val="212121"/>
                <w:sz w:val="16"/>
              </w:rPr>
              <w:t>Thumb abduction/opposition strength; thenar eminence bulk</w:t>
            </w:r>
          </w:p>
        </w:tc>
        <w:tc>
          <w:tcPr>
            <w:tcW w:type="dxa" w:w="950"/>
            <w:vAlign w:val="top"/>
          </w:tcPr>
          <w:p>
            <w:pPr>
              <w:spacing w:after="40" w:before="0" w:line="259" w:lineRule="auto"/>
            </w:pPr>
            <w:r>
              <w:rPr>
                <w:rFonts w:ascii="Calibri" w:hAnsi="Calibri"/>
                <w:b w:val="0"/>
                <w:i w:val="0"/>
                <w:color w:val="212121"/>
                <w:sz w:val="16"/>
              </w:rPr>
              <w:t>Normal power, no wasting</w:t>
            </w:r>
          </w:p>
        </w:tc>
        <w:tc>
          <w:tcPr>
            <w:tcW w:type="dxa" w:w="950"/>
            <w:vAlign w:val="top"/>
          </w:tcPr>
          <w:p>
            <w:pPr>
              <w:spacing w:after="40" w:before="0" w:line="259" w:lineRule="auto"/>
            </w:pPr>
            <w:r>
              <w:rPr>
                <w:rFonts w:ascii="Calibri" w:hAnsi="Calibri"/>
                <w:b w:val="0"/>
                <w:i w:val="0"/>
                <w:color w:val="212121"/>
                <w:sz w:val="16"/>
              </w:rPr>
              <w:t>Weak thumb abduction/opposition; thenar atrophy</w:t>
            </w:r>
          </w:p>
        </w:tc>
        <w:tc>
          <w:tcPr>
            <w:tcW w:type="dxa" w:w="1036"/>
            <w:vAlign w:val="top"/>
          </w:tcPr>
          <w:p>
            <w:pPr>
              <w:spacing w:after="40" w:before="0" w:line="259" w:lineRule="auto"/>
            </w:pPr>
            <w:r>
              <w:rPr>
                <w:rFonts w:ascii="Calibri" w:hAnsi="Calibri"/>
                <w:b w:val="0"/>
                <w:i w:val="0"/>
                <w:color w:val="212121"/>
                <w:sz w:val="16"/>
              </w:rPr>
              <w:t>Indicates motor involvement / advanced, severe CTS needing prompt treatment</w:t>
            </w:r>
          </w:p>
        </w:tc>
        <w:tc>
          <w:tcPr>
            <w:tcW w:type="dxa" w:w="1036"/>
            <w:vAlign w:val="top"/>
          </w:tcPr>
          <w:p>
            <w:pPr>
              <w:spacing w:after="40" w:before="0" w:line="259" w:lineRule="auto"/>
            </w:pPr>
            <w:r>
              <w:rPr>
                <w:rFonts w:ascii="Calibri" w:hAnsi="Calibri"/>
                <w:b w:val="0"/>
                <w:i w:val="0"/>
                <w:color w:val="212121"/>
                <w:sz w:val="16"/>
              </w:rPr>
              <w:t>Established or long-standing 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Thenar wasting is a red flag for axonal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Sensory testing in median territory</w:t>
            </w:r>
          </w:p>
        </w:tc>
        <w:tc>
          <w:tcPr>
            <w:tcW w:type="dxa" w:w="979"/>
            <w:vAlign w:val="top"/>
          </w:tcPr>
          <w:p>
            <w:pPr>
              <w:spacing w:after="40" w:before="0" w:line="259" w:lineRule="auto"/>
            </w:pPr>
            <w:r>
              <w:rPr>
                <w:rFonts w:ascii="Calibri" w:hAnsi="Calibri"/>
                <w:b w:val="0"/>
                <w:i w:val="0"/>
                <w:color w:val="212121"/>
                <w:sz w:val="16"/>
              </w:rPr>
              <w:t>Two-point discrimination / monofilament, sparing thenar skin</w:t>
            </w:r>
          </w:p>
        </w:tc>
        <w:tc>
          <w:tcPr>
            <w:tcW w:type="dxa" w:w="950"/>
            <w:vAlign w:val="top"/>
          </w:tcPr>
          <w:p>
            <w:pPr>
              <w:spacing w:after="40" w:before="0" w:line="259" w:lineRule="auto"/>
            </w:pPr>
            <w:r>
              <w:rPr>
                <w:rFonts w:ascii="Calibri" w:hAnsi="Calibri"/>
                <w:b w:val="0"/>
                <w:i w:val="0"/>
                <w:color w:val="212121"/>
                <w:sz w:val="16"/>
              </w:rPr>
              <w:t>Intact sensation; two-point discrimination &lt; ~6 mm</w:t>
            </w:r>
          </w:p>
        </w:tc>
        <w:tc>
          <w:tcPr>
            <w:tcW w:type="dxa" w:w="950"/>
            <w:vAlign w:val="top"/>
          </w:tcPr>
          <w:p>
            <w:pPr>
              <w:spacing w:after="40" w:before="0" w:line="259" w:lineRule="auto"/>
            </w:pPr>
            <w:r>
              <w:rPr>
                <w:rFonts w:ascii="Calibri" w:hAnsi="Calibri"/>
                <w:b w:val="0"/>
                <w:i w:val="0"/>
                <w:color w:val="212121"/>
                <w:sz w:val="16"/>
              </w:rPr>
              <w:t>Reduced discrimination/monofilament sensation over median fingers, sparing the thenar eminence</w:t>
            </w:r>
          </w:p>
        </w:tc>
        <w:tc>
          <w:tcPr>
            <w:tcW w:type="dxa" w:w="1036"/>
            <w:vAlign w:val="top"/>
          </w:tcPr>
          <w:p>
            <w:pPr>
              <w:spacing w:after="40" w:before="0" w:line="259" w:lineRule="auto"/>
            </w:pPr>
            <w:r>
              <w:rPr>
                <w:rFonts w:ascii="Calibri" w:hAnsi="Calibri"/>
                <w:b w:val="0"/>
                <w:i w:val="0"/>
                <w:color w:val="212121"/>
                <w:sz w:val="16"/>
              </w:rPr>
              <w:t>Quantifies sensory loss; thenar sparing localises the lesion to the tunnel</w:t>
            </w:r>
          </w:p>
        </w:tc>
        <w:tc>
          <w:tcPr>
            <w:tcW w:type="dxa" w:w="1036"/>
            <w:vAlign w:val="top"/>
          </w:tcPr>
          <w:p>
            <w:pPr>
              <w:spacing w:after="40" w:before="0" w:line="259" w:lineRule="auto"/>
            </w:pPr>
            <w:r>
              <w:rPr>
                <w:rFonts w:ascii="Calibri" w:hAnsi="Calibri"/>
                <w:b w:val="0"/>
                <w:i w:val="0"/>
                <w:color w:val="212121"/>
                <w:sz w:val="16"/>
              </w:rPr>
              <w:t>Patients with numbness or advanced 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Palmar cutaneous branch spared as it bypasses the tunnel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and medication review</w:t>
            </w:r>
          </w:p>
        </w:tc>
        <w:tc>
          <w:tcPr>
            <w:tcW w:type="dxa" w:w="979"/>
            <w:vAlign w:val="top"/>
          </w:tcPr>
          <w:p>
            <w:pPr>
              <w:spacing w:after="40" w:before="0" w:line="259" w:lineRule="auto"/>
            </w:pPr>
            <w:r>
              <w:rPr>
                <w:rFonts w:ascii="Calibri" w:hAnsi="Calibri"/>
                <w:b w:val="0"/>
                <w:i w:val="0"/>
                <w:color w:val="212121"/>
                <w:sz w:val="16"/>
              </w:rPr>
              <w:t>Diabetes, thyroid, pregnancy, RA, renal disease, relevant drugs</w:t>
            </w:r>
          </w:p>
        </w:tc>
        <w:tc>
          <w:tcPr>
            <w:tcW w:type="dxa" w:w="950"/>
            <w:vAlign w:val="top"/>
          </w:tcPr>
          <w:p>
            <w:pPr>
              <w:spacing w:after="40" w:before="0" w:line="259" w:lineRule="auto"/>
            </w:pPr>
            <w:r>
              <w:rPr>
                <w:rFonts w:ascii="Calibri" w:hAnsi="Calibri"/>
                <w:b w:val="0"/>
                <w:i w:val="0"/>
                <w:color w:val="212121"/>
                <w:sz w:val="16"/>
              </w:rPr>
              <w:t>No secondary cause identified</w:t>
            </w:r>
          </w:p>
        </w:tc>
        <w:tc>
          <w:tcPr>
            <w:tcW w:type="dxa" w:w="950"/>
            <w:vAlign w:val="top"/>
          </w:tcPr>
          <w:p>
            <w:pPr>
              <w:spacing w:after="40" w:before="0" w:line="259" w:lineRule="auto"/>
            </w:pPr>
            <w:r>
              <w:rPr>
                <w:rFonts w:ascii="Calibri" w:hAnsi="Calibri"/>
                <w:b w:val="0"/>
                <w:i w:val="0"/>
                <w:color w:val="212121"/>
                <w:sz w:val="16"/>
              </w:rPr>
              <w:t>Diabetes, hypothyroidism, pregnancy, inflammatory arthritis or CKD present</w:t>
            </w:r>
          </w:p>
        </w:tc>
        <w:tc>
          <w:tcPr>
            <w:tcW w:type="dxa" w:w="1036"/>
            <w:vAlign w:val="top"/>
          </w:tcPr>
          <w:p>
            <w:pPr>
              <w:spacing w:after="40" w:before="0" w:line="259" w:lineRule="auto"/>
            </w:pPr>
            <w:r>
              <w:rPr>
                <w:rFonts w:ascii="Calibri" w:hAnsi="Calibri"/>
                <w:b w:val="0"/>
                <w:i w:val="0"/>
                <w:color w:val="212121"/>
                <w:sz w:val="16"/>
              </w:rPr>
              <w:t>Identifies treatable secondary and contributory causes of CTS</w:t>
            </w:r>
          </w:p>
        </w:tc>
        <w:tc>
          <w:tcPr>
            <w:tcW w:type="dxa" w:w="1036"/>
            <w:vAlign w:val="top"/>
          </w:tcPr>
          <w:p>
            <w:pPr>
              <w:spacing w:after="40" w:before="0" w:line="259" w:lineRule="auto"/>
            </w:pPr>
            <w:r>
              <w:rPr>
                <w:rFonts w:ascii="Calibri" w:hAnsi="Calibri"/>
                <w:b w:val="0"/>
                <w:i w:val="0"/>
                <w:color w:val="212121"/>
                <w:sz w:val="16"/>
              </w:rPr>
              <w:t>Bilateral, non-occupational or atypical CTS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Treating the underlying condition can resolve symptoms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Numbness/tingling in thumb, index, middle and radial half of ring finger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mapping to the median nerve sensory territory; the little finger is spared.</w:t>
            </w:r>
          </w:p>
        </w:tc>
      </w:tr>
      <w:tr>
        <w:trPr>
          <w:cantSplit/>
        </w:trPr>
        <w:tc>
          <w:tcPr>
            <w:tcW w:type="dxa" w:w="2304"/>
            <w:vAlign w:val="top"/>
          </w:tcPr>
          <w:p>
            <w:pPr>
              <w:spacing w:after="40" w:before="0" w:line="259" w:lineRule="auto"/>
            </w:pPr>
            <w:r>
              <w:rPr>
                <w:rFonts w:ascii="Calibri" w:hAnsi="Calibri"/>
                <w:b/>
                <w:i w:val="0"/>
                <w:color w:val="212121"/>
                <w:sz w:val="19"/>
              </w:rPr>
              <w:t>Nocturnal paraesthesiae waking from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Wrist flexion during sleep raises tunnel pressure; patients wake with numb, painful hands.</w:t>
            </w:r>
          </w:p>
        </w:tc>
      </w:tr>
      <w:tr>
        <w:trPr>
          <w:cantSplit/>
        </w:trPr>
        <w:tc>
          <w:tcPr>
            <w:tcW w:type="dxa" w:w="2304"/>
            <w:vAlign w:val="top"/>
          </w:tcPr>
          <w:p>
            <w:pPr>
              <w:spacing w:after="40" w:before="0" w:line="259" w:lineRule="auto"/>
            </w:pPr>
            <w:r>
              <w:rPr>
                <w:rFonts w:ascii="Calibri" w:hAnsi="Calibri"/>
                <w:b/>
                <w:i w:val="0"/>
                <w:color w:val="212121"/>
                <w:sz w:val="19"/>
              </w:rPr>
              <w:t>Relief by shaking or flicking the hand (flick sign)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Shaking the hand restores nerve perfusion and eases symptoms - a characteristic feature.</w:t>
            </w:r>
          </w:p>
        </w:tc>
      </w:tr>
      <w:tr>
        <w:trPr>
          <w:cantSplit/>
        </w:trPr>
        <w:tc>
          <w:tcPr>
            <w:tcW w:type="dxa" w:w="2304"/>
            <w:vAlign w:val="top"/>
          </w:tcPr>
          <w:p>
            <w:pPr>
              <w:spacing w:after="40" w:before="0" w:line="259" w:lineRule="auto"/>
            </w:pPr>
            <w:r>
              <w:rPr>
                <w:rFonts w:ascii="Calibri" w:hAnsi="Calibri"/>
                <w:b/>
                <w:i w:val="0"/>
                <w:color w:val="212121"/>
                <w:sz w:val="19"/>
              </w:rPr>
              <w:t>Burning pain in the hand/wrist, sometimes radiating up the forearm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radiate proximally to the forearm and occasionally the shoulder, mimicking other conditions.</w:t>
            </w:r>
          </w:p>
        </w:tc>
      </w:tr>
      <w:tr>
        <w:trPr>
          <w:cantSplit/>
        </w:trPr>
        <w:tc>
          <w:tcPr>
            <w:tcW w:type="dxa" w:w="2304"/>
            <w:vAlign w:val="top"/>
          </w:tcPr>
          <w:p>
            <w:pPr>
              <w:spacing w:after="40" w:before="0" w:line="259" w:lineRule="auto"/>
            </w:pPr>
            <w:r>
              <w:rPr>
                <w:rFonts w:ascii="Calibri" w:hAnsi="Calibri"/>
                <w:b/>
                <w:i w:val="0"/>
                <w:color w:val="212121"/>
                <w:sz w:val="19"/>
              </w:rPr>
              <w:t>Hand weakness and reduced grip; dropping objects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thumb abduction/opposition and clumsiness lead to dropping cups, keys or coins.</w:t>
            </w:r>
          </w:p>
        </w:tc>
      </w:tr>
      <w:tr>
        <w:trPr>
          <w:cantSplit/>
        </w:trPr>
        <w:tc>
          <w:tcPr>
            <w:tcW w:type="dxa" w:w="2304"/>
            <w:vAlign w:val="top"/>
          </w:tcPr>
          <w:p>
            <w:pPr>
              <w:spacing w:after="40" w:before="0" w:line="259" w:lineRule="auto"/>
            </w:pPr>
            <w:r>
              <w:rPr>
                <w:rFonts w:ascii="Calibri" w:hAnsi="Calibri"/>
                <w:b/>
                <w:i w:val="0"/>
                <w:color w:val="212121"/>
                <w:sz w:val="19"/>
              </w:rPr>
              <w:t>Clumsiness with fine motor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buttoning clothes, holding a pen, sewing or handling small objects.</w:t>
            </w:r>
          </w:p>
        </w:tc>
      </w:tr>
      <w:tr>
        <w:trPr>
          <w:cantSplit/>
        </w:trPr>
        <w:tc>
          <w:tcPr>
            <w:tcW w:type="dxa" w:w="2304"/>
            <w:vAlign w:val="top"/>
          </w:tcPr>
          <w:p>
            <w:pPr>
              <w:spacing w:after="40" w:before="0" w:line="259" w:lineRule="auto"/>
            </w:pPr>
            <w:r>
              <w:rPr>
                <w:rFonts w:ascii="Calibri" w:hAnsi="Calibri"/>
                <w:b/>
                <w:i w:val="0"/>
                <w:color w:val="212121"/>
                <w:sz w:val="19"/>
              </w:rPr>
              <w:t>Symptoms worse with sustained gripping (driving, phone, reading, 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Activities that hold the wrist flexed/extended or grip firmly provoke symptoms.</w:t>
            </w:r>
          </w:p>
        </w:tc>
      </w:tr>
      <w:tr>
        <w:trPr>
          <w:cantSplit/>
        </w:trPr>
        <w:tc>
          <w:tcPr>
            <w:tcW w:type="dxa" w:w="2304"/>
            <w:vAlign w:val="top"/>
          </w:tcPr>
          <w:p>
            <w:pPr>
              <w:spacing w:after="40" w:before="0" w:line="259" w:lineRule="auto"/>
            </w:pPr>
            <w:r>
              <w:rPr>
                <w:rFonts w:ascii="Calibri" w:hAnsi="Calibri"/>
                <w:b/>
                <w:i w:val="0"/>
                <w:color w:val="212121"/>
                <w:sz w:val="19"/>
              </w:rPr>
              <w:t>Bilateral hand involvement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50-60% of idiopathic cases are bilateral, though usually worse in the dominant hand.</w:t>
            </w:r>
          </w:p>
        </w:tc>
      </w:tr>
      <w:tr>
        <w:trPr>
          <w:cantSplit/>
        </w:trPr>
        <w:tc>
          <w:tcPr>
            <w:tcW w:type="dxa" w:w="2304"/>
            <w:vAlign w:val="top"/>
          </w:tcPr>
          <w:p>
            <w:pPr>
              <w:spacing w:after="40" w:before="0" w:line="259" w:lineRule="auto"/>
            </w:pPr>
            <w:r>
              <w:rPr>
                <w:rFonts w:ascii="Calibri" w:hAnsi="Calibri"/>
                <w:b/>
                <w:i w:val="0"/>
                <w:color w:val="212121"/>
                <w:sz w:val="19"/>
              </w:rPr>
              <w:t>Sensation of hand swelling or tightness (often without visible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subjective 'swollen/tight' feeling in the fingers is frequently reported.</w:t>
            </w:r>
          </w:p>
        </w:tc>
      </w:tr>
      <w:tr>
        <w:trPr>
          <w:cantSplit/>
        </w:trPr>
        <w:tc>
          <w:tcPr>
            <w:tcW w:type="dxa" w:w="2304"/>
            <w:vAlign w:val="top"/>
          </w:tcPr>
          <w:p>
            <w:pPr>
              <w:spacing w:after="40" w:before="0" w:line="259" w:lineRule="auto"/>
            </w:pPr>
            <w:r>
              <w:rPr>
                <w:rFonts w:ascii="Calibri" w:hAnsi="Calibri"/>
                <w:b/>
                <w:i w:val="0"/>
                <w:color w:val="212121"/>
                <w:sz w:val="19"/>
              </w:rPr>
              <w:t>Dry skin or reduced sweating in the median territory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Autonomic fibres in the median nerve are affected, altering sweating and skin texture.</w:t>
            </w:r>
          </w:p>
        </w:tc>
      </w:tr>
      <w:tr>
        <w:trPr>
          <w:cantSplit/>
        </w:trPr>
        <w:tc>
          <w:tcPr>
            <w:tcW w:type="dxa" w:w="2304"/>
            <w:vAlign w:val="top"/>
          </w:tcPr>
          <w:p>
            <w:pPr>
              <w:spacing w:after="40" w:before="0" w:line="259" w:lineRule="auto"/>
            </w:pPr>
            <w:r>
              <w:rPr>
                <w:rFonts w:ascii="Calibri" w:hAnsi="Calibri"/>
                <w:b/>
                <w:i w:val="0"/>
                <w:color w:val="212121"/>
                <w:sz w:val="19"/>
              </w:rPr>
              <w:t>Proximal pain radiating to the elbow, arm or shoulder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Referred proximal pain can mislead toward cervical or shoulder pathology.</w:t>
            </w:r>
          </w:p>
        </w:tc>
      </w:tr>
      <w:tr>
        <w:trPr>
          <w:cantSplit/>
        </w:trPr>
        <w:tc>
          <w:tcPr>
            <w:tcW w:type="dxa" w:w="2304"/>
            <w:vAlign w:val="top"/>
          </w:tcPr>
          <w:p>
            <w:pPr>
              <w:spacing w:after="40" w:before="0" w:line="259" w:lineRule="auto"/>
            </w:pPr>
            <w:r>
              <w:rPr>
                <w:rFonts w:ascii="Calibri" w:hAnsi="Calibri"/>
                <w:b/>
                <w:i w:val="0"/>
                <w:color w:val="212121"/>
                <w:sz w:val="19"/>
              </w:rPr>
              <w:t>Constant (non-fluctuating) numbness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fixed numbness signals advanced disease with axonal loss.</w:t>
            </w:r>
          </w:p>
        </w:tc>
      </w:tr>
      <w:tr>
        <w:trPr>
          <w:cantSplit/>
        </w:trPr>
        <w:tc>
          <w:tcPr>
            <w:tcW w:type="dxa" w:w="2304"/>
            <w:vAlign w:val="top"/>
          </w:tcPr>
          <w:p>
            <w:pPr>
              <w:spacing w:after="40" w:before="0" w:line="259" w:lineRule="auto"/>
            </w:pPr>
            <w:r>
              <w:rPr>
                <w:rFonts w:ascii="Calibri" w:hAnsi="Calibri"/>
                <w:b/>
                <w:i w:val="0"/>
                <w:color w:val="212121"/>
                <w:sz w:val="19"/>
              </w:rPr>
              <w:t>Features of complex regional pain syndrome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Rarely, severe or post-surgical cases develop disproportionate pain, swelling and skin changes.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Durkan carpal-compression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 tunnel pressure reproduces symptoms - sensitivity ~64%, specificity ~83%.</w:t>
            </w:r>
          </w:p>
        </w:tc>
      </w:tr>
      <w:tr>
        <w:trPr>
          <w:cantSplit/>
        </w:trPr>
        <w:tc>
          <w:tcPr>
            <w:tcW w:type="dxa" w:w="3456"/>
            <w:vAlign w:val="top"/>
          </w:tcPr>
          <w:p>
            <w:pPr>
              <w:spacing w:after="40" w:before="0" w:line="259" w:lineRule="auto"/>
            </w:pPr>
            <w:r>
              <w:rPr>
                <w:rFonts w:ascii="Calibri" w:hAnsi="Calibri"/>
                <w:b/>
                <w:i w:val="0"/>
                <w:color w:val="212121"/>
                <w:sz w:val="19"/>
              </w:rPr>
              <w:t>Positive Phalen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Sustained wrist flexion for ~60 s reproduces median paraesthesiae (sensitivity ~68%).</w:t>
            </w:r>
          </w:p>
        </w:tc>
      </w:tr>
      <w:tr>
        <w:trPr>
          <w:cantSplit/>
        </w:trPr>
        <w:tc>
          <w:tcPr>
            <w:tcW w:type="dxa" w:w="3456"/>
            <w:vAlign w:val="top"/>
          </w:tcPr>
          <w:p>
            <w:pPr>
              <w:spacing w:after="40" w:before="0" w:line="259" w:lineRule="auto"/>
            </w:pPr>
            <w:r>
              <w:rPr>
                <w:rFonts w:ascii="Calibri" w:hAnsi="Calibri"/>
                <w:b/>
                <w:i w:val="0"/>
                <w:color w:val="212121"/>
                <w:sz w:val="19"/>
              </w:rPr>
              <w:t>Positive Tinel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Percussion over the median nerve triggers tingling into the fingers (specificity ~77%).</w:t>
            </w:r>
          </w:p>
        </w:tc>
      </w:tr>
      <w:tr>
        <w:trPr>
          <w:cantSplit/>
        </w:trPr>
        <w:tc>
          <w:tcPr>
            <w:tcW w:type="dxa" w:w="3456"/>
            <w:vAlign w:val="top"/>
          </w:tcPr>
          <w:p>
            <w:pPr>
              <w:spacing w:after="40" w:before="0" w:line="259" w:lineRule="auto"/>
            </w:pPr>
            <w:r>
              <w:rPr>
                <w:rFonts w:ascii="Calibri" w:hAnsi="Calibri"/>
                <w:b/>
                <w:i w:val="0"/>
                <w:color w:val="212121"/>
                <w:sz w:val="19"/>
              </w:rPr>
              <w:t>Weak thumb abduction / opposition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weakness of the abductor pollicis brevis indicates motor involvement.</w:t>
            </w:r>
          </w:p>
        </w:tc>
      </w:tr>
      <w:tr>
        <w:trPr>
          <w:cantSplit/>
        </w:trPr>
        <w:tc>
          <w:tcPr>
            <w:tcW w:type="dxa" w:w="3456"/>
            <w:vAlign w:val="top"/>
          </w:tcPr>
          <w:p>
            <w:pPr>
              <w:spacing w:after="40" w:before="0" w:line="259" w:lineRule="auto"/>
            </w:pPr>
            <w:r>
              <w:rPr>
                <w:rFonts w:ascii="Calibri" w:hAnsi="Calibri"/>
                <w:b/>
                <w:i w:val="0"/>
                <w:color w:val="212121"/>
                <w:sz w:val="19"/>
              </w:rPr>
              <w:t>Reduced sensation on monofilament / two-point discrimination in median territory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Sensory loss over median fingers with sparing of the thenar skin localises the lesion to the tunnel.</w:t>
            </w:r>
          </w:p>
        </w:tc>
      </w:tr>
      <w:tr>
        <w:trPr>
          <w:cantSplit/>
        </w:trPr>
        <w:tc>
          <w:tcPr>
            <w:tcW w:type="dxa" w:w="3456"/>
            <w:vAlign w:val="top"/>
          </w:tcPr>
          <w:p>
            <w:pPr>
              <w:spacing w:after="40" w:before="0" w:line="259" w:lineRule="auto"/>
            </w:pPr>
            <w:r>
              <w:rPr>
                <w:rFonts w:ascii="Calibri" w:hAnsi="Calibri"/>
                <w:b/>
                <w:i w:val="0"/>
                <w:color w:val="212121"/>
                <w:sz w:val="19"/>
              </w:rPr>
              <w:t>Reduced grip and pinch strength on dynamometry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measurement documents functional motor loss and tracks recovery.</w:t>
            </w:r>
          </w:p>
        </w:tc>
      </w:tr>
      <w:tr>
        <w:trPr>
          <w:cantSplit/>
        </w:trPr>
        <w:tc>
          <w:tcPr>
            <w:tcW w:type="dxa" w:w="3456"/>
            <w:vAlign w:val="top"/>
          </w:tcPr>
          <w:p>
            <w:pPr>
              <w:spacing w:after="40" w:before="0" w:line="259" w:lineRule="auto"/>
            </w:pPr>
            <w:r>
              <w:rPr>
                <w:rFonts w:ascii="Calibri" w:hAnsi="Calibri"/>
                <w:b/>
                <w:i w:val="0"/>
                <w:color w:val="212121"/>
                <w:sz w:val="19"/>
              </w:rPr>
              <w:t>Thenar eminence atrophy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Wasting at the base of the thumb is a sign of advanced, severe CTS with axonal loss.</w:t>
            </w:r>
          </w:p>
        </w:tc>
      </w:tr>
      <w:tr>
        <w:trPr>
          <w:cantSplit/>
        </w:trPr>
        <w:tc>
          <w:tcPr>
            <w:tcW w:type="dxa" w:w="3456"/>
            <w:vAlign w:val="top"/>
          </w:tcPr>
          <w:p>
            <w:pPr>
              <w:spacing w:after="40" w:before="0" w:line="259" w:lineRule="auto"/>
            </w:pPr>
            <w:r>
              <w:rPr>
                <w:rFonts w:ascii="Calibri" w:hAnsi="Calibri"/>
                <w:b/>
                <w:i w:val="0"/>
                <w:color w:val="212121"/>
                <w:sz w:val="19"/>
              </w:rPr>
              <w:t>Positive hand-elevation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Holding the hands elevated for ~1-2 minutes reproduces symptoms.</w:t>
            </w:r>
          </w:p>
        </w:tc>
      </w:tr>
      <w:tr>
        <w:trPr>
          <w:cantSplit/>
        </w:trPr>
        <w:tc>
          <w:tcPr>
            <w:tcW w:type="dxa" w:w="3456"/>
            <w:vAlign w:val="top"/>
          </w:tcPr>
          <w:p>
            <w:pPr>
              <w:spacing w:after="40" w:before="0" w:line="259" w:lineRule="auto"/>
            </w:pPr>
            <w:r>
              <w:rPr>
                <w:rFonts w:ascii="Calibri" w:hAnsi="Calibri"/>
                <w:b/>
                <w:i w:val="0"/>
                <w:color w:val="212121"/>
                <w:sz w:val="19"/>
              </w:rPr>
              <w:t>Bilateral clinical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are frequently present in both hands, reflecting the high bilaterality of idiopathic CTS.</w:t>
            </w:r>
          </w:p>
        </w:tc>
      </w:tr>
      <w:tr>
        <w:trPr>
          <w:cantSplit/>
        </w:trPr>
        <w:tc>
          <w:tcPr>
            <w:tcW w:type="dxa" w:w="3456"/>
            <w:vAlign w:val="top"/>
          </w:tcPr>
          <w:p>
            <w:pPr>
              <w:spacing w:after="40" w:before="0" w:line="259" w:lineRule="auto"/>
            </w:pPr>
            <w:r>
              <w:rPr>
                <w:rFonts w:ascii="Calibri" w:hAnsi="Calibri"/>
                <w:b/>
                <w:i w:val="0"/>
                <w:color w:val="212121"/>
                <w:sz w:val="19"/>
              </w:rPr>
              <w:t>Dry, shiny skin / trophic changes in median distribution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Autonomic and trophic skin changes appear in chronic, severe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hand and wrist pain, numbness and tingling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grip and pinch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fine motor function affecting work and activities of daily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productivity and short-term work absence</w:t>
            </w:r>
          </w:p>
        </w:tc>
        <w:tc>
          <w:tcPr>
            <w:tcW w:type="dxa" w:w="2980"/>
            <w:vAlign w:val="top"/>
          </w:tcPr>
          <w:p>
            <w:pPr>
              <w:spacing w:after="40" w:before="0" w:line="259" w:lineRule="auto"/>
            </w:pPr>
            <w:r>
              <w:rPr>
                <w:rFonts w:ascii="Calibri" w:hAnsi="Calibri"/>
                <w:b w:val="0"/>
                <w:i w:val="0"/>
                <w:color w:val="212121"/>
                <w:sz w:val="19"/>
              </w:rPr>
              <w:t>Direct consequences of median nerve compression and the associated sensory-motor symptoms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sensory loss in the median territory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Thenar (thumb) muscle weakness and early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fine dexterity and clumsiness with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Contralateral (second-hand) involvement over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 recurrence after splinting, injection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effects of prolonged analgesic/NSAID use and repeated steroid injections</w:t>
            </w:r>
          </w:p>
        </w:tc>
        <w:tc>
          <w:tcPr>
            <w:tcW w:type="dxa" w:w="2980"/>
            <w:vAlign w:val="top"/>
          </w:tcPr>
          <w:p>
            <w:pPr>
              <w:spacing w:after="40" w:before="0" w:line="259" w:lineRule="auto"/>
            </w:pPr>
            <w:r>
              <w:rPr>
                <w:rFonts w:ascii="Calibri" w:hAnsi="Calibri"/>
                <w:b w:val="0"/>
                <w:i w:val="0"/>
                <w:color w:val="212121"/>
                <w:sz w:val="19"/>
              </w:rPr>
              <w:t>Result from progressive or inadequately treated nerve compression and from treatment itself</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median nerve damage with permanent sensorimotor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thenar atrophy with loss of thumb opposition and pincer grip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Complex regional pain syndrome (CRPS)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occupational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Failed carpal tunnel surgery with persistent or recurrent symptoms and scar/neuroma pain</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severe or complicated CTS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hyperglycaemia makes the median nerve more susceptible to compression; CTS is more frequent and more severe in diabetics, a very large group in India (adult diabetes ~10.5%).</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Excess wrist soft tissue and systemic inflammation raise tunnel pressure; obesity roughly doubles the risk of CTS and clusters with diabetes and hypothyroidism.</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Myxoedematous (mucopolysaccharide) tissue and fluid deposition within the tunnel compress the nerve; a common, treatable and often under-diagnosed cause in Indian women.</w:t>
            </w:r>
          </w:p>
        </w:tc>
      </w:tr>
      <w:tr>
        <w:trPr>
          <w:cantSplit/>
        </w:trPr>
        <w:tc>
          <w:tcPr>
            <w:tcW w:type="dxa" w:w="2232"/>
            <w:vAlign w:val="top"/>
          </w:tcPr>
          <w:p>
            <w:pPr>
              <w:spacing w:after="40" w:before="0" w:line="259" w:lineRule="auto"/>
            </w:pPr>
            <w:r>
              <w:rPr>
                <w:rFonts w:ascii="Calibri" w:hAnsi="Calibri"/>
                <w:b/>
                <w:i w:val="0"/>
                <w:color w:val="212121"/>
                <w:sz w:val="19"/>
              </w:rPr>
              <w:t>Rheumatoid arthritis / inflammatory arthritis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Flexor tenosynovitis swells the tendon sheaths sharing the tunnel with the median nerve, causing compression; gout can do the same by crystal deposition.</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Fluid retention and hormonal change transiently raise tunnel pressure, typically in the third trimester; reported in 0.34-25% of CTS case series and often resolving postpartum.</w:t>
            </w:r>
          </w:p>
        </w:tc>
      </w:tr>
      <w:tr>
        <w:trPr>
          <w:cantSplit/>
        </w:trPr>
        <w:tc>
          <w:tcPr>
            <w:tcW w:type="dxa" w:w="2232"/>
            <w:vAlign w:val="top"/>
          </w:tcPr>
          <w:p>
            <w:pPr>
              <w:spacing w:after="40" w:before="0" w:line="259" w:lineRule="auto"/>
            </w:pPr>
            <w:r>
              <w:rPr>
                <w:rFonts w:ascii="Calibri" w:hAnsi="Calibri"/>
                <w:b/>
                <w:i w:val="0"/>
                <w:color w:val="212121"/>
                <w:sz w:val="19"/>
              </w:rPr>
              <w:t>Osteoarthritis of the wrist / thumb base (CMC joint)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Degenerative narrowing and osteophytes reduce tunnel volume and coexist with CTS in older adults.</w:t>
            </w:r>
          </w:p>
        </w:tc>
      </w:tr>
      <w:tr>
        <w:trPr>
          <w:cantSplit/>
        </w:trPr>
        <w:tc>
          <w:tcPr>
            <w:tcW w:type="dxa" w:w="2232"/>
            <w:vAlign w:val="top"/>
          </w:tcPr>
          <w:p>
            <w:pPr>
              <w:spacing w:after="40" w:before="0" w:line="259" w:lineRule="auto"/>
            </w:pPr>
            <w:r>
              <w:rPr>
                <w:rFonts w:ascii="Calibri" w:hAnsi="Calibri"/>
                <w:b/>
                <w:i w:val="0"/>
                <w:color w:val="212121"/>
                <w:sz w:val="19"/>
              </w:rPr>
              <w:t>Chronic kidney disease / long-term 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Fluid overload and dialysis-related beta-2-microglobulin amyloid deposition within the tunnel cause secondary CTS.</w:t>
            </w:r>
          </w:p>
        </w:tc>
      </w:tr>
      <w:tr>
        <w:trPr>
          <w:cantSplit/>
        </w:trPr>
        <w:tc>
          <w:tcPr>
            <w:tcW w:type="dxa" w:w="2232"/>
            <w:vAlign w:val="top"/>
          </w:tcPr>
          <w:p>
            <w:pPr>
              <w:spacing w:after="40" w:before="0" w:line="259" w:lineRule="auto"/>
            </w:pPr>
            <w:r>
              <w:rPr>
                <w:rFonts w:ascii="Calibri" w:hAnsi="Calibri"/>
                <w:b/>
                <w:i w:val="0"/>
                <w:color w:val="212121"/>
                <w:sz w:val="19"/>
              </w:rPr>
              <w:t>Acromegaly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Growth-hormone-driven soft tissue and bony overgrowth enlarges tunnel contents and compresses the median nerve.</w:t>
            </w:r>
          </w:p>
        </w:tc>
      </w:tr>
      <w:tr>
        <w:trPr>
          <w:cantSplit/>
        </w:trPr>
        <w:tc>
          <w:tcPr>
            <w:tcW w:type="dxa" w:w="2232"/>
            <w:vAlign w:val="top"/>
          </w:tcPr>
          <w:p>
            <w:pPr>
              <w:spacing w:after="40" w:before="0" w:line="259" w:lineRule="auto"/>
            </w:pPr>
            <w:r>
              <w:rPr>
                <w:rFonts w:ascii="Calibri" w:hAnsi="Calibri"/>
                <w:b/>
                <w:i w:val="0"/>
                <w:color w:val="212121"/>
                <w:sz w:val="19"/>
              </w:rPr>
              <w:t>Amyloidosis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Amyloid deposition in the flexor tenosynovium is an under-recognised cause of bilateral CTS, sometimes preceding systemic disease.</w:t>
            </w:r>
          </w:p>
        </w:tc>
      </w:tr>
      <w:tr>
        <w:trPr>
          <w:cantSplit/>
        </w:trPr>
        <w:tc>
          <w:tcPr>
            <w:tcW w:type="dxa" w:w="2232"/>
            <w:vAlign w:val="top"/>
          </w:tcPr>
          <w:p>
            <w:pPr>
              <w:spacing w:after="40" w:before="0" w:line="259" w:lineRule="auto"/>
            </w:pPr>
            <w:r>
              <w:rPr>
                <w:rFonts w:ascii="Calibri" w:hAnsi="Calibri"/>
                <w:b/>
                <w:i w:val="0"/>
                <w:color w:val="212121"/>
                <w:sz w:val="19"/>
              </w:rPr>
              <w:t>Depression / chronic pain and distress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Bidirectionally linked with chronic hand pain; distress amplifies symptom severity and disability and can worsen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CTS is compression of the median nerve at the wrist and that early, non-neutral wrist postures and repetitive/forceful hand use are the main modifiable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an ergonomic workstation: keep the wrist neutral (straight), forearms supported, use a wrist rest and a light keyboard/mouse touch, and position the screen at eye level.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frequent micro-breaks (every 20-30 minutes) from typing, tools or repetitive tasks, and perform wrist stretches and nerve/tendon-gliding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forceful gripping, wringing and sustained use of vibrating tools; rotate tasks, share heavy loads and use damped/well-maintained tools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neutral wrist splint at night early if you have nocturnal numbness, and avoid sleeping with the wrists bent under the pillow.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control diabetes, thyroid disease and weight, and seek review during pregnancy if hand symptoms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needing prompt specialist/nerve-conduction assessment: constant (non-fluctuating) numbness, weakness or wasting at the base of the thumb, and dropping objects.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IT/BPO and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tailoring and assembly-line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Vibrating-tool users and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people with thyroid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early hand symptoms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median nerve-gliding and tendon-gliding (flossing) exercises daily to improve nerve mobility and reduce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gentle wrist and forearm flexor/extensor stretches and range-of-motion exercises through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or pace aggravating activities - reduce continuous typing, gripping and vibrating-tool time and reintroduce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(Asian-Indian BMI &lt; 23) through regular aerobic activity, as obesity roughly doubles CTS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treatment or surgery, follow a graded strengthening and return-to-activity programme; grip and pinch strength usually recover over about 2-3 months.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mild-to-moderate 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and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low-glycaemic diet with whole grains, pulses, vegetables and fruit to prevent obesity and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refined carbohydrates, fried and ultra-processed foods that drive weight gain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good glycaemic control (target HbA1c per your clinician) if diabetic, as diabetes worsens median nerve vulnerability.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B-vitamins through a varied diet; note that vitamin B6 or other supplements are not proven to prevent or cure 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to reduce tunnel pressure and 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urban dietary patterns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neutral (0-degree) wrist splint at night to keep the wrist straight and reduce nocturnal tunnel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with the wrists flexed or tucked under the pillow or body.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hand if there is associated swelling, and shake/mobilise the hand if woken by numbness.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CTS so that improved sleep follows reduced nocturnal paraesthesiae.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hand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Early/mild CTS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improve microvascular blood supply to the compressed nerve.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nicotine-replacement or pharmacotherapy as needed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before any planned carpal tunnel surgery to improve wound healing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vascular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the risk of peripheral neuropathy and nutritional (B-vitamin)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compounds nerve and metabolic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nutritious diet if drinking, to protect against thiamine/B-vitamin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alcohol worsens glycaemic control in diabetics, indirectly affecting nerve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peripheral neuropathy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pain-related distress with activity pacing, relaxation and reassurance that most CTS improves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and behavioural pain-coping strategies for persistent or chronic hand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anxiety and depression, which amplify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recovery expectations, particularly around splinting, injection and surgery, to support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chronic/refractory CTS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comorbid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 with slow recovery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8179/" TargetMode="External"/><Relationship Id="rId10" Type="http://schemas.openxmlformats.org/officeDocument/2006/relationships/hyperlink" Target="https://www.physio-pedia.com/Carpal_Tunnel_Syndrome" TargetMode="External"/><Relationship Id="rId11" Type="http://schemas.openxmlformats.org/officeDocument/2006/relationships/hyperlink" Target="https://en.wikipedia.org/wiki/Carpal_tunnel_syndrome" TargetMode="External"/><Relationship Id="rId12" Type="http://schemas.openxmlformats.org/officeDocument/2006/relationships/hyperlink" Target="https://idf.org/our-network/regions-and-members/south-east-asia/members/india/" TargetMode="External"/><Relationship Id="rId13" Type="http://schemas.openxmlformats.org/officeDocument/2006/relationships/hyperlink" Target="https://orthoinfo.aaos.org/en/diseases--conditions/carpal-tunnel-syndrome/" TargetMode="External"/><Relationship Id="rId14" Type="http://schemas.openxmlformats.org/officeDocument/2006/relationships/hyperlink" Target="https://my.clevelandclinic.org/health/diseases/4005-carpal-tunnel-syndrome" TargetMode="External"/><Relationship Id="rId15" Type="http://schemas.openxmlformats.org/officeDocument/2006/relationships/hyperlink" Target="https://www.mayoclinic.org/diseases-conditions/carpal-tunnel-syndrome/symptoms-causes/syc-20355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