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Lumbar Disc Prolapse / Sciatica</w:t>
      </w:r>
    </w:p>
    <w:p>
      <w:pPr>
        <w:spacing w:before="0" w:after="160"/>
      </w:pPr>
      <w:r>
        <w:rPr>
          <w:rFonts w:ascii="Calibri" w:hAnsi="Calibri"/>
          <w:b/>
          <w:i w:val="0"/>
          <w:color w:val="212121"/>
          <w:sz w:val="22"/>
        </w:rPr>
        <w:t xml:space="preserve">AKA </w:t>
      </w:r>
      <w:r>
        <w:rPr>
          <w:rFonts w:ascii="Calibri" w:hAnsi="Calibri"/>
          <w:b w:val="0"/>
          <w:i w:val="0"/>
          <w:color w:val="212121"/>
          <w:sz w:val="22"/>
        </w:rPr>
        <w:t>i.e., Prolapsed Intervertebral Disc (PIVD), Slipped Disc, Herniated Disc, Lumbar Disc Herniation, Lumbar Radiculopathy, Sciatica (Kati-shool / Gridhrasi)</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Lumbar disc prolapse (prolapsed intervertebral disc, PIVD) is the displacement of nucleus pulposus material through a weakened or torn annulus fibrosus of a lumbar intervertebral disc, which can compress or irritate an adjacent lumbosacral nerve root. When the L4-S3 nerve roots that form the sciatic nerve are involved, the result is sciatica - sharp, radiating pain, numbness or weakness travelling from the lower back through the buttock and down the leg. About 95% of clinically significant prolapses occur at the L4-L5 and L5-S1 levels, and the large majority of acute episodes settle with conservative care.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Low back pain is extremely common in India, with a pooled point prevalence of about 48% (annual ~51%, lifetime ~66%), and the burden is highest among women, the rural population and manual/elementary workers. Prolapsed intervertebral disc is one of the leading structural causes: symptomatic lumbar disc herniation has an annual incidence of roughly 5-20 per 1,000 adults, and sciatica affects about 1-5% of adults each year (lifetime 10-40%). Around 95% of lumbar prolapses occur at the L4-L5 or L5-S1 levels.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Lumbar disc prolapse with sciatica is primarily a clinical diagnosis supported by neurological examination and, where indicated, imaging. It is suggested by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radicular leg pain in a dermatomal distribution, typically radiating below the knee and often more troublesome than the accompanying back pain;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positive straight-leg-raise (Lasegue) test, with reproduction of radicular pain between 30 and 70 degrees of hip flexion (a positive crossed SLR is highly specific);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dermatomal sensory loss, myotomal motor weakness and/or diminished deep-tendon reflexes (e.g., an absent ankle jerk with weak plantar flexion in S1 radiculopathy);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MRI of the lumbosacral spine demonstrating disc herniation with nerve-root compression concordant with the symptoms - the most sensitive test, with diagnostic accuracy around 97%;</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urgent recognition of cauda equina red flags (saddle anaesthesia, bladder/bowel dysfunction, bilateral leg symptoms) mandating emergency MRI and surgical decompression.</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Lumbar disc prolapse is described by morphology, spinal level, canal location and clinical course:</w:t>
      </w:r>
    </w:p>
    <w:p>
      <w:pPr>
        <w:spacing w:before="0" w:after="80"/>
      </w:pPr>
      <w:r>
        <w:rPr>
          <w:rFonts w:ascii="Calibri" w:hAnsi="Calibri"/>
          <w:b w:val="0"/>
          <w:i w:val="0"/>
          <w:color w:val="212121"/>
          <w:sz w:val="21"/>
        </w:rPr>
        <w:t>(1) By morphology (increasing severity): disc bulge (diffuse, symmetric annular extension), protrusion (nucleus presses against an intact annulus), extrusion (nucleus breaches the annulus but remains connected to the parent disc), and sequestration (a free fragment separates into the spinal canal);</w:t>
      </w:r>
    </w:p>
    <w:p>
      <w:pPr>
        <w:spacing w:before="0" w:after="80"/>
      </w:pPr>
      <w:r>
        <w:rPr>
          <w:rFonts w:ascii="Calibri" w:hAnsi="Calibri"/>
          <w:b w:val="0"/>
          <w:i w:val="0"/>
          <w:color w:val="212121"/>
          <w:sz w:val="21"/>
        </w:rPr>
        <w:t>(2) By spinal level: about 95% occur at L4-L5 or L5-S1, producing L5 and S1 radiculopathies respectively; higher lumbar prolapses (L1-L4) are less common and cause femoral-nerve (anterior thigh) symptoms;</w:t>
      </w:r>
    </w:p>
    <w:p>
      <w:pPr>
        <w:spacing w:before="0" w:after="80"/>
      </w:pPr>
      <w:r>
        <w:rPr>
          <w:rFonts w:ascii="Calibri" w:hAnsi="Calibri"/>
          <w:b w:val="0"/>
          <w:i w:val="0"/>
          <w:color w:val="212121"/>
          <w:sz w:val="21"/>
        </w:rPr>
        <w:t>(3) By canal location: central, paracentral (posterolateral - the commonest, at the lateral recess), foraminal, and extraforaminal (far-lateral) - the location determines which nerve root is compressed;</w:t>
      </w:r>
    </w:p>
    <w:p>
      <w:pPr>
        <w:spacing w:before="0" w:after="80"/>
      </w:pPr>
      <w:r>
        <w:rPr>
          <w:rFonts w:ascii="Calibri" w:hAnsi="Calibri"/>
          <w:b w:val="0"/>
          <w:i w:val="0"/>
          <w:color w:val="212121"/>
          <w:sz w:val="21"/>
        </w:rPr>
        <w:t>(4) By clinical course: acute (&lt;6 weeks), subacute (6-12 weeks) and chronic (&gt;12 weeks), with about 85-90% of acute prolapses resolving within 6-12 weeks of conservative management.</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Disc degeneration and ageing: Progressive loss of proteoglycans and water content weakens the annulus fibrosus, predisposing to fissuring and herniation, especially from the third decade onward.</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Mechanical overload: Sudden axial loading, improper heavy lifting and repetitive bending or twisting raise intradiscal pressure and can rupture the annulus, triggering acute prolapse.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Disc herniation clusters in families; inherited differences in disc collagen and matrix influence susceptibility and the rate of degeneration.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Smoking: Nicotine impairs the already sparse micro-nutrition of the disc and accelerates degeneration, and is associated with higher rates of back pain and sciatica.</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Obesity and central adiposity: Excess body weight increases the compressive load on lumbar discs and, with its inflammatory milieu, is linked to disc herniation and sciatica.</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Occupational exposure: Manual labour, prolonged sitting or driving with whole-body vibration, and static loaded (flexed) postures are well-established occupational risk factors.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(30-50 years)</w:t>
            </w:r>
          </w:p>
        </w:tc>
        <w:tc>
          <w:tcPr>
            <w:tcW w:type="dxa" w:w="4276"/>
            <w:vAlign w:val="top"/>
          </w:tcPr>
          <w:p>
            <w:pPr>
              <w:spacing w:after="60" w:line="259" w:lineRule="auto"/>
            </w:pPr>
            <w:r>
              <w:rPr>
                <w:rFonts w:ascii="Calibri" w:hAnsi="Calibri"/>
                <w:b w:val="0"/>
                <w:i w:val="0"/>
                <w:color w:val="212121"/>
                <w:sz w:val="19"/>
              </w:rPr>
              <w:t>The disc is most likely to herniate in the working-age years, when the nucleus is still well-hydrated and can extrude under load while the annulus begins to fissure. This is the peak period for acute prolapse and sciatica.</w:t>
            </w:r>
          </w:p>
          <w:p>
            <w:pPr>
              <w:spacing w:after="40" w:before="60" w:line="259" w:lineRule="auto"/>
            </w:pPr>
            <w:r>
              <w:rPr>
                <w:rFonts w:ascii="Calibri" w:hAnsi="Calibri"/>
                <w:b w:val="0"/>
                <w:i w:val="0"/>
                <w:color w:val="212121"/>
                <w:sz w:val="19"/>
              </w:rPr>
              <w:t>Herniated disc most commonly affects people aged 30-50, and lumbar disc herniation peaks in the third to fifth decades of life.</w:t>
            </w:r>
          </w:p>
          <w:p>
            <w:pPr>
              <w:spacing w:after="40" w:line="252" w:lineRule="auto"/>
            </w:pPr>
            <w:hyperlink r:id="rId9">
              <w:r>
                <w:rPr>
                  <w:rFonts w:ascii="Calibri" w:hAnsi="Calibri" w:cs="Calibri"/>
                  <w:sz w:val="18"/>
                  <w:color w:val="1155CC"/>
                  <w:u w:val="single"/>
                </w:rPr>
                <w:t xml:space="preserve">my.clevelandclinic.org - herniated disk</w:t>
              </w:r>
            </w:hyperlink>
          </w:p>
          <w:p>
            <w:pPr>
              <w:spacing w:before="60" w:after="40"/>
            </w:pPr>
            <w:r>
              <w:rPr>
                <w:rFonts w:ascii="Calibri" w:hAnsi="Calibri"/>
                <w:b w:val="0"/>
                <w:i w:val="0"/>
                <w:color w:val="5A5A5A"/>
                <w:sz w:val="18"/>
              </w:rPr>
              <w:t>#PIVD  #discherniation  #workingage  #sciatica  #axialload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With ageing the disc desiccates and the spine develops spondylosis and canal stenosis; prolapse in older adults often coexists with degenerative stenosis and can produce neurogenic claudication alongside radicular pain.</w:t>
            </w:r>
          </w:p>
          <w:p>
            <w:pPr>
              <w:spacing w:after="40" w:before="60" w:line="259" w:lineRule="auto"/>
            </w:pPr>
            <w:r>
              <w:rPr>
                <w:rFonts w:ascii="Calibri" w:hAnsi="Calibri"/>
                <w:b w:val="0"/>
                <w:i w:val="0"/>
                <w:color w:val="212121"/>
                <w:sz w:val="19"/>
              </w:rPr>
              <w:t>Low back pain occurrence peaks around ages 50-55, and its disabling impact continues to rise with age up to about 80 years.</w:t>
            </w:r>
          </w:p>
          <w:p>
            <w:pPr>
              <w:spacing w:after="40" w:line="252" w:lineRule="auto"/>
            </w:pPr>
            <w:hyperlink r:id="rId10">
              <w:r>
                <w:rPr>
                  <w:rFonts w:ascii="Calibri" w:hAnsi="Calibri" w:cs="Calibri"/>
                  <w:sz w:val="18"/>
                  <w:color w:val="1155CC"/>
                  <w:u w:val="single"/>
                </w:rPr>
                <w:t xml:space="preserve">who.int - low back pain</w:t>
              </w:r>
            </w:hyperlink>
          </w:p>
          <w:p>
            <w:pPr>
              <w:spacing w:before="60" w:after="40"/>
            </w:pPr>
            <w:r>
              <w:rPr>
                <w:rFonts w:ascii="Calibri" w:hAnsi="Calibri"/>
                <w:b w:val="0"/>
                <w:i w:val="0"/>
                <w:color w:val="5A5A5A"/>
                <w:sz w:val="18"/>
              </w:rPr>
              <w:t>#ageing  #spondylosis  #stenosis  #degeneration</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perform more heavy manual work and sustain larger axial spinal loads, contributing to a male predominance in symptomatic lumbar disc herniation.</w:t>
            </w:r>
          </w:p>
          <w:p>
            <w:pPr>
              <w:spacing w:after="40" w:before="60" w:line="259" w:lineRule="auto"/>
            </w:pPr>
            <w:r>
              <w:rPr>
                <w:rFonts w:ascii="Calibri" w:hAnsi="Calibri"/>
                <w:b w:val="0"/>
                <w:i w:val="0"/>
                <w:color w:val="212121"/>
                <w:sz w:val="19"/>
              </w:rPr>
              <w:t>Lumbar disc herniation shows roughly a 2:1 male-to-female ratio; herniated disc affects men about twice as often as women.</w:t>
            </w:r>
          </w:p>
          <w:p>
            <w:pPr>
              <w:spacing w:after="40" w:line="252" w:lineRule="auto"/>
            </w:pPr>
            <w:hyperlink r:id="rId11">
              <w:r>
                <w:rPr>
                  <w:rFonts w:ascii="Calibri" w:hAnsi="Calibri" w:cs="Calibri"/>
                  <w:sz w:val="18"/>
                  <w:color w:val="1155CC"/>
                  <w:u w:val="single"/>
                </w:rPr>
                <w:t xml:space="preserve">ncbi.nlm.nih.gov - lumbar disc herniation (StatPearls)</w:t>
              </w:r>
            </w:hyperlink>
          </w:p>
          <w:p>
            <w:pPr>
              <w:spacing w:before="60" w:after="40"/>
            </w:pPr>
            <w:r>
              <w:rPr>
                <w:rFonts w:ascii="Calibri" w:hAnsi="Calibri"/>
                <w:b w:val="0"/>
                <w:i w:val="0"/>
                <w:color w:val="5A5A5A"/>
                <w:sz w:val="18"/>
              </w:rPr>
              <w:t>#male  #manuallabour  #2to1ratio</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(India)</w:t>
            </w:r>
          </w:p>
        </w:tc>
        <w:tc>
          <w:tcPr>
            <w:tcW w:type="dxa" w:w="4276"/>
            <w:vAlign w:val="top"/>
          </w:tcPr>
          <w:p>
            <w:pPr>
              <w:spacing w:after="60" w:line="259" w:lineRule="auto"/>
            </w:pPr>
            <w:r>
              <w:rPr>
                <w:rFonts w:ascii="Calibri" w:hAnsi="Calibri"/>
                <w:b w:val="0"/>
                <w:i w:val="0"/>
                <w:color w:val="212121"/>
                <w:sz w:val="19"/>
              </w:rPr>
              <w:t>Although disc herniation itself is commoner in men, the overall burden of low back pain in India is highest in women - reflecting household manual work, repeated bending and carrying, multiparity and higher rates of osteoporosis and vitamin-D deficiency.</w:t>
            </w:r>
          </w:p>
          <w:p>
            <w:pPr>
              <w:spacing w:after="40" w:before="60" w:line="259" w:lineRule="auto"/>
            </w:pPr>
            <w:r>
              <w:rPr>
                <w:rFonts w:ascii="Calibri" w:hAnsi="Calibri"/>
                <w:b w:val="0"/>
                <w:i w:val="0"/>
                <w:color w:val="212121"/>
                <w:sz w:val="19"/>
              </w:rPr>
              <w:t>In the Indian systematic review and meta-analysis, pooled low-back-pain prevalence was highest among females (overall point prevalence ~48%).</w:t>
            </w:r>
          </w:p>
          <w:p>
            <w:pPr>
              <w:spacing w:after="40" w:line="252" w:lineRule="auto"/>
            </w:pPr>
            <w:hyperlink r:id="rId12">
              <w:r>
                <w:rPr>
                  <w:rFonts w:ascii="Calibri" w:hAnsi="Calibri" w:cs="Calibri"/>
                  <w:sz w:val="18"/>
                  <w:color w:val="1155CC"/>
                  <w:u w:val="single"/>
                </w:rPr>
                <w:t xml:space="preserve">pubmed.ncbi.nlm.nih.gov/35964222</w:t>
              </w:r>
            </w:hyperlink>
          </w:p>
          <w:p>
            <w:pPr>
              <w:spacing w:before="60" w:after="40"/>
            </w:pPr>
            <w:r>
              <w:rPr>
                <w:rFonts w:ascii="Calibri" w:hAnsi="Calibri"/>
                <w:b w:val="0"/>
                <w:i w:val="0"/>
                <w:color w:val="5A5A5A"/>
                <w:sz w:val="18"/>
              </w:rPr>
              <w:t>#women  #India  #householdload  #osteoporosis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Elementary &amp; manual workers</w:t>
            </w:r>
          </w:p>
        </w:tc>
        <w:tc>
          <w:tcPr>
            <w:tcW w:type="dxa" w:w="4276"/>
            <w:vAlign w:val="top"/>
          </w:tcPr>
          <w:p>
            <w:pPr>
              <w:spacing w:after="60" w:line="259" w:lineRule="auto"/>
            </w:pPr>
            <w:r>
              <w:rPr>
                <w:rFonts w:ascii="Calibri" w:hAnsi="Calibri"/>
                <w:b w:val="0"/>
                <w:i w:val="0"/>
                <w:color w:val="212121"/>
                <w:sz w:val="19"/>
              </w:rPr>
              <w:t>Elementary occupations involve repetitive lifting, carrying and bending with little ergonomic support or mechanisation, sharply raising the mechanical strain on lumbar discs and the risk of prolapse.</w:t>
            </w:r>
          </w:p>
          <w:p>
            <w:pPr>
              <w:spacing w:after="40" w:before="60" w:line="259" w:lineRule="auto"/>
            </w:pPr>
            <w:r>
              <w:rPr>
                <w:rFonts w:ascii="Calibri" w:hAnsi="Calibri"/>
                <w:b w:val="0"/>
                <w:i w:val="0"/>
                <w:color w:val="212121"/>
                <w:sz w:val="19"/>
              </w:rPr>
              <w:t>Indian low-back-pain prevalence was highest among elementary (manual) workers and the rural population.</w:t>
            </w:r>
          </w:p>
          <w:p>
            <w:pPr>
              <w:spacing w:after="40" w:line="252" w:lineRule="auto"/>
            </w:pPr>
            <w:hyperlink r:id="rId12">
              <w:r>
                <w:rPr>
                  <w:rFonts w:ascii="Calibri" w:hAnsi="Calibri" w:cs="Calibri"/>
                  <w:sz w:val="18"/>
                  <w:color w:val="1155CC"/>
                  <w:u w:val="single"/>
                </w:rPr>
                <w:t xml:space="preserve">pubmed.ncbi.nlm.nih.gov/35964222</w:t>
              </w:r>
            </w:hyperlink>
          </w:p>
          <w:p>
            <w:pPr>
              <w:spacing w:before="60" w:after="40"/>
            </w:pPr>
            <w:r>
              <w:rPr>
                <w:rFonts w:ascii="Calibri" w:hAnsi="Calibri"/>
                <w:b w:val="0"/>
                <w:i w:val="0"/>
                <w:color w:val="5A5A5A"/>
                <w:sz w:val="18"/>
              </w:rPr>
              <w:t>#manuallabour  #lowincome  #ergonomics  #occupational</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Rural India</w:t>
            </w:r>
          </w:p>
        </w:tc>
        <w:tc>
          <w:tcPr>
            <w:tcW w:type="dxa" w:w="4276"/>
            <w:vAlign w:val="top"/>
          </w:tcPr>
          <w:p>
            <w:pPr>
              <w:spacing w:after="60" w:line="259" w:lineRule="auto"/>
            </w:pPr>
            <w:r>
              <w:rPr>
                <w:rFonts w:ascii="Calibri" w:hAnsi="Calibri"/>
                <w:b w:val="0"/>
                <w:i w:val="0"/>
                <w:color w:val="212121"/>
                <w:sz w:val="19"/>
              </w:rPr>
              <w:t>Rural livelihoods centred on agriculture and manual carrying, combined with limited access to ergonomic tools and to early care, increase both the incidence and the chronicity of disc-related back pain.</w:t>
            </w:r>
          </w:p>
          <w:p>
            <w:pPr>
              <w:spacing w:after="40" w:before="60" w:line="259" w:lineRule="auto"/>
            </w:pPr>
            <w:r>
              <w:rPr>
                <w:rFonts w:ascii="Calibri" w:hAnsi="Calibri"/>
                <w:b w:val="0"/>
                <w:i w:val="0"/>
                <w:color w:val="212121"/>
                <w:sz w:val="19"/>
              </w:rPr>
              <w:t>Pooled low-back-pain prevalence in India was highest in the rural population and among elementary workers.</w:t>
            </w:r>
          </w:p>
          <w:p>
            <w:pPr>
              <w:spacing w:after="40" w:line="252" w:lineRule="auto"/>
            </w:pPr>
            <w:hyperlink r:id="rId12">
              <w:r>
                <w:rPr>
                  <w:rFonts w:ascii="Calibri" w:hAnsi="Calibri" w:cs="Calibri"/>
                  <w:sz w:val="18"/>
                  <w:color w:val="1155CC"/>
                  <w:u w:val="single"/>
                </w:rPr>
                <w:t xml:space="preserve">pubmed.ncbi.nlm.nih.gov/35964222</w:t>
              </w:r>
            </w:hyperlink>
          </w:p>
          <w:p>
            <w:pPr>
              <w:spacing w:before="60" w:after="40"/>
            </w:pPr>
            <w:r>
              <w:rPr>
                <w:rFonts w:ascii="Calibri" w:hAnsi="Calibri"/>
                <w:b w:val="0"/>
                <w:i w:val="0"/>
                <w:color w:val="5A5A5A"/>
                <w:sz w:val="18"/>
              </w:rPr>
              <w:t>#rural  #agriculture  #farmers  #manualcarrying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Urban occupation</w:t>
            </w:r>
          </w:p>
        </w:tc>
        <w:tc>
          <w:tcPr>
            <w:tcW w:type="dxa" w:w="2160"/>
            <w:vAlign w:val="top"/>
          </w:tcPr>
          <w:p>
            <w:pPr>
              <w:spacing w:after="40" w:before="0" w:line="259" w:lineRule="auto"/>
            </w:pPr>
            <w:r>
              <w:rPr>
                <w:rFonts w:ascii="Calibri" w:hAnsi="Calibri"/>
                <w:b w:val="0"/>
                <w:i w:val="0"/>
                <w:color w:val="212121"/>
                <w:sz w:val="19"/>
              </w:rPr>
              <w:t>Urban IT &amp; office workers</w:t>
            </w:r>
          </w:p>
        </w:tc>
        <w:tc>
          <w:tcPr>
            <w:tcW w:type="dxa" w:w="4276"/>
            <w:vAlign w:val="top"/>
          </w:tcPr>
          <w:p>
            <w:pPr>
              <w:spacing w:after="60" w:line="259" w:lineRule="auto"/>
            </w:pPr>
            <w:r>
              <w:rPr>
                <w:rFonts w:ascii="Calibri" w:hAnsi="Calibri"/>
                <w:b w:val="0"/>
                <w:i w:val="0"/>
                <w:color w:val="212121"/>
                <w:sz w:val="19"/>
              </w:rPr>
              <w:t>Urban desk and IT jobs involve long hours of seated, forward-flexed posture, which raises intradiscal pressure and is linked to disc prolapse and sciatica in younger city-based workers.</w:t>
            </w:r>
          </w:p>
          <w:p>
            <w:pPr>
              <w:spacing w:after="40" w:before="60" w:line="259" w:lineRule="auto"/>
            </w:pPr>
            <w:r>
              <w:rPr>
                <w:rFonts w:ascii="Calibri" w:hAnsi="Calibri"/>
                <w:b w:val="0"/>
                <w:i w:val="0"/>
                <w:color w:val="212121"/>
                <w:sz w:val="19"/>
              </w:rPr>
              <w:t>Sitting increases the pressure applied to a lumbar nerve root by approximately 40% compared with standing, increasing disc load.</w:t>
            </w:r>
          </w:p>
          <w:p>
            <w:pPr>
              <w:spacing w:after="40" w:line="252" w:lineRule="auto"/>
            </w:pPr>
            <w:hyperlink r:id="rId11">
              <w:r>
                <w:rPr>
                  <w:rFonts w:ascii="Calibri" w:hAnsi="Calibri" w:cs="Calibri"/>
                  <w:sz w:val="18"/>
                  <w:color w:val="1155CC"/>
                  <w:u w:val="single"/>
                </w:rPr>
                <w:t xml:space="preserve">ncbi.nlm.nih.gov - lumbar disc herniation (StatPearls)</w:t>
              </w:r>
            </w:hyperlink>
          </w:p>
          <w:p>
            <w:pPr>
              <w:spacing w:before="60" w:after="40"/>
            </w:pPr>
            <w:r>
              <w:rPr>
                <w:rFonts w:ascii="Calibri" w:hAnsi="Calibri"/>
                <w:b w:val="0"/>
                <w:i w:val="0"/>
                <w:color w:val="5A5A5A"/>
                <w:sz w:val="18"/>
              </w:rPr>
              <w:t>#urban  #ITworkers  #sittingposture  #deskjob</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drivers, homemakers</w:t>
            </w:r>
          </w:p>
        </w:tc>
        <w:tc>
          <w:tcPr>
            <w:tcW w:type="dxa" w:w="4276"/>
            <w:vAlign w:val="top"/>
          </w:tcPr>
          <w:p>
            <w:pPr>
              <w:spacing w:after="60" w:line="259" w:lineRule="auto"/>
            </w:pPr>
            <w:r>
              <w:rPr>
                <w:rFonts w:ascii="Calibri" w:hAnsi="Calibri"/>
                <w:b w:val="0"/>
                <w:i w:val="0"/>
                <w:color w:val="212121"/>
                <w:sz w:val="19"/>
              </w:rPr>
              <w:t>Prolonged sitting and physical deconditioning weaken the core and paraspinal muscles and keep the disc under sustained flexed load, both of which predispose to prolapse and delay recovery.</w:t>
            </w:r>
          </w:p>
          <w:p>
            <w:pPr>
              <w:spacing w:after="40" w:before="60" w:line="259" w:lineRule="auto"/>
            </w:pPr>
            <w:r>
              <w:rPr>
                <w:rFonts w:ascii="Calibri" w:hAnsi="Calibri"/>
                <w:b w:val="0"/>
                <w:i w:val="0"/>
                <w:color w:val="212121"/>
                <w:sz w:val="19"/>
              </w:rPr>
              <w:t>Seated posture raises nerve-root pressure by about 40%; physical deconditioning and prolonged sitting are recognised risk factors for disc herniation.</w:t>
            </w:r>
          </w:p>
          <w:p>
            <w:pPr>
              <w:spacing w:after="40" w:line="252" w:lineRule="auto"/>
            </w:pPr>
            <w:hyperlink r:id="rId11">
              <w:r>
                <w:rPr>
                  <w:rFonts w:ascii="Calibri" w:hAnsi="Calibri" w:cs="Calibri"/>
                  <w:sz w:val="18"/>
                  <w:color w:val="1155CC"/>
                  <w:u w:val="single"/>
                </w:rPr>
                <w:t xml:space="preserve">ncbi.nlm.nih.gov - lumbar disc herniation (StatPearls)</w:t>
              </w:r>
            </w:hyperlink>
          </w:p>
          <w:p>
            <w:pPr>
              <w:spacing w:before="60" w:after="40"/>
            </w:pPr>
            <w:r>
              <w:rPr>
                <w:rFonts w:ascii="Calibri" w:hAnsi="Calibri"/>
                <w:b w:val="0"/>
                <w:i w:val="0"/>
                <w:color w:val="5A5A5A"/>
                <w:sz w:val="18"/>
              </w:rPr>
              <w:t>#sedentary  #deconditioning  #coreweakness  #prolongedsitting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&amp; former smokers</w:t>
            </w:r>
          </w:p>
        </w:tc>
        <w:tc>
          <w:tcPr>
            <w:tcW w:type="dxa" w:w="4276"/>
            <w:vAlign w:val="top"/>
          </w:tcPr>
          <w:p>
            <w:pPr>
              <w:spacing w:after="60" w:line="259" w:lineRule="auto"/>
            </w:pPr>
            <w:r>
              <w:rPr>
                <w:rFonts w:ascii="Calibri" w:hAnsi="Calibri"/>
                <w:b w:val="0"/>
                <w:i w:val="0"/>
                <w:color w:val="212121"/>
                <w:sz w:val="19"/>
              </w:rPr>
              <w:t>Nicotine further reduces the sparse blood supply to the disc, impairing nutrition and accelerating degeneration, and lowers pain thresholds - raising the rates of back pain and sciatica and slowing surgical recovery.</w:t>
            </w:r>
          </w:p>
          <w:p>
            <w:pPr>
              <w:spacing w:after="40" w:before="60" w:line="259" w:lineRule="auto"/>
            </w:pPr>
            <w:r>
              <w:rPr>
                <w:rFonts w:ascii="Calibri" w:hAnsi="Calibri"/>
                <w:b w:val="0"/>
                <w:i w:val="0"/>
                <w:color w:val="212121"/>
                <w:sz w:val="19"/>
              </w:rPr>
              <w:t>Current smokers have higher odds of low back pain - OR ~1.33 for past-year pain, 1.79 for chronic and 2.14 for disabling back pain (adolescents OR 1.82).</w:t>
            </w:r>
          </w:p>
          <w:p>
            <w:pPr>
              <w:spacing w:after="40" w:line="252" w:lineRule="auto"/>
            </w:pPr>
            <w:hyperlink r:id="rId13">
              <w:r>
                <w:rPr>
                  <w:rFonts w:ascii="Calibri" w:hAnsi="Calibri" w:cs="Calibri"/>
                  <w:sz w:val="18"/>
                  <w:color w:val="1155CC"/>
                  <w:u w:val="single"/>
                </w:rPr>
                <w:t xml:space="preserve">pubmed.ncbi.nlm.nih.gov/20102998</w:t>
              </w:r>
            </w:hyperlink>
          </w:p>
          <w:p>
            <w:pPr>
              <w:spacing w:before="60" w:after="40"/>
            </w:pPr>
            <w:r>
              <w:rPr>
                <w:rFonts w:ascii="Calibri" w:hAnsi="Calibri"/>
                <w:b w:val="0"/>
                <w:i w:val="0"/>
                <w:color w:val="5A5A5A"/>
                <w:sz w:val="18"/>
              </w:rPr>
              <w:t>#smoking  #discnutrition  #nicotine  #slowerhealing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Heavy lifting / manual labour</w:t>
            </w:r>
          </w:p>
        </w:tc>
        <w:tc>
          <w:tcPr>
            <w:tcW w:type="dxa" w:w="2160"/>
            <w:vAlign w:val="top"/>
          </w:tcPr>
          <w:p>
            <w:pPr>
              <w:spacing w:after="40" w:before="0" w:line="259" w:lineRule="auto"/>
            </w:pPr>
            <w:r>
              <w:rPr>
                <w:rFonts w:ascii="Calibri" w:hAnsi="Calibri"/>
                <w:b w:val="0"/>
                <w:i w:val="0"/>
                <w:color w:val="212121"/>
                <w:sz w:val="19"/>
              </w:rPr>
              <w:t>Construction workers, farmers, loaders</w:t>
            </w:r>
          </w:p>
        </w:tc>
        <w:tc>
          <w:tcPr>
            <w:tcW w:type="dxa" w:w="4276"/>
            <w:vAlign w:val="top"/>
          </w:tcPr>
          <w:p>
            <w:pPr>
              <w:spacing w:after="60" w:line="259" w:lineRule="auto"/>
            </w:pPr>
            <w:r>
              <w:rPr>
                <w:rFonts w:ascii="Calibri" w:hAnsi="Calibri"/>
                <w:b w:val="0"/>
                <w:i w:val="0"/>
                <w:color w:val="212121"/>
                <w:sz w:val="19"/>
              </w:rPr>
              <w:t>Repetitive bending, twisting and improper lifting apply high, uneven loads to the lumbar disc and are classic mechanical triggers of acute annular rupture and herniation.</w:t>
            </w:r>
          </w:p>
          <w:p>
            <w:pPr>
              <w:spacing w:after="40" w:before="60" w:line="259" w:lineRule="auto"/>
            </w:pPr>
            <w:r>
              <w:rPr>
                <w:rFonts w:ascii="Calibri" w:hAnsi="Calibri"/>
                <w:b w:val="0"/>
                <w:i w:val="0"/>
                <w:color w:val="212121"/>
                <w:sz w:val="19"/>
              </w:rPr>
              <w:t>Machine operators, truck drivers and workers who adopt awkward or loaded positions have a recognised occupational predisposition to sciatica.</w:t>
            </w:r>
          </w:p>
          <w:p>
            <w:pPr>
              <w:spacing w:after="40" w:line="252" w:lineRule="auto"/>
            </w:pPr>
            <w:hyperlink r:id="rId14">
              <w:r>
                <w:rPr>
                  <w:rFonts w:ascii="Calibri" w:hAnsi="Calibri" w:cs="Calibri"/>
                  <w:sz w:val="18"/>
                  <w:color w:val="1155CC"/>
                  <w:u w:val="single"/>
                </w:rPr>
                <w:t xml:space="preserve">ncbi.nlm.nih.gov - sciatica (StatPearls)</w:t>
              </w:r>
            </w:hyperlink>
          </w:p>
          <w:p>
            <w:pPr>
              <w:spacing w:before="60" w:after="40"/>
            </w:pPr>
            <w:r>
              <w:rPr>
                <w:rFonts w:ascii="Calibri" w:hAnsi="Calibri"/>
                <w:b w:val="0"/>
                <w:i w:val="0"/>
                <w:color w:val="5A5A5A"/>
                <w:sz w:val="18"/>
              </w:rPr>
              <w:t>#heavylifting  #manuallabour  #bendingtwisting  #annulartear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Whole-body vibration</w:t>
            </w:r>
          </w:p>
        </w:tc>
        <w:tc>
          <w:tcPr>
            <w:tcW w:type="dxa" w:w="2160"/>
            <w:vAlign w:val="top"/>
          </w:tcPr>
          <w:p>
            <w:pPr>
              <w:spacing w:after="40" w:before="0" w:line="259" w:lineRule="auto"/>
            </w:pPr>
            <w:r>
              <w:rPr>
                <w:rFonts w:ascii="Calibri" w:hAnsi="Calibri"/>
                <w:b w:val="0"/>
                <w:i w:val="0"/>
                <w:color w:val="212121"/>
                <w:sz w:val="19"/>
              </w:rPr>
              <w:t>Professional drivers</w:t>
            </w:r>
          </w:p>
        </w:tc>
        <w:tc>
          <w:tcPr>
            <w:tcW w:type="dxa" w:w="4276"/>
            <w:vAlign w:val="top"/>
          </w:tcPr>
          <w:p>
            <w:pPr>
              <w:spacing w:after="60" w:line="259" w:lineRule="auto"/>
            </w:pPr>
            <w:r>
              <w:rPr>
                <w:rFonts w:ascii="Calibri" w:hAnsi="Calibri"/>
                <w:b w:val="0"/>
                <w:i w:val="0"/>
                <w:color w:val="212121"/>
                <w:sz w:val="19"/>
              </w:rPr>
              <w:t>Truck, bus and auto-rickshaw drivers endure prolonged sitting combined with whole-body vibration, a combination strongly associated with lumbar disc prolapse and sciatica.</w:t>
            </w:r>
          </w:p>
          <w:p>
            <w:pPr>
              <w:spacing w:after="40" w:before="60" w:line="259" w:lineRule="auto"/>
            </w:pPr>
            <w:r>
              <w:rPr>
                <w:rFonts w:ascii="Calibri" w:hAnsi="Calibri"/>
                <w:b w:val="0"/>
                <w:i w:val="0"/>
                <w:color w:val="212121"/>
                <w:sz w:val="19"/>
              </w:rPr>
              <w:t>Truck drivers and machine operators are specifically identified as occupationally predisposed to sciatica.</w:t>
            </w:r>
          </w:p>
          <w:p>
            <w:pPr>
              <w:spacing w:after="40" w:line="252" w:lineRule="auto"/>
            </w:pPr>
            <w:hyperlink r:id="rId14">
              <w:r>
                <w:rPr>
                  <w:rFonts w:ascii="Calibri" w:hAnsi="Calibri" w:cs="Calibri"/>
                  <w:sz w:val="18"/>
                  <w:color w:val="1155CC"/>
                  <w:u w:val="single"/>
                </w:rPr>
                <w:t xml:space="preserve">ncbi.nlm.nih.gov - sciatica (StatPearls)</w:t>
              </w:r>
            </w:hyperlink>
          </w:p>
          <w:p>
            <w:pPr>
              <w:spacing w:before="60" w:after="40"/>
            </w:pPr>
            <w:r>
              <w:rPr>
                <w:rFonts w:ascii="Calibri" w:hAnsi="Calibri"/>
                <w:b w:val="0"/>
                <w:i w:val="0"/>
                <w:color w:val="5A5A5A"/>
                <w:sz w:val="18"/>
              </w:rPr>
              <w:t>#drivers  #vibration  #truckers  #autorickshaw</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High-calorie, energy-dense diet</w:t>
            </w:r>
          </w:p>
        </w:tc>
        <w:tc>
          <w:tcPr>
            <w:tcW w:type="dxa" w:w="4276"/>
            <w:vAlign w:val="top"/>
          </w:tcPr>
          <w:p>
            <w:pPr>
              <w:spacing w:after="60" w:line="259" w:lineRule="auto"/>
            </w:pPr>
            <w:r>
              <w:rPr>
                <w:rFonts w:ascii="Calibri" w:hAnsi="Calibri"/>
                <w:b w:val="0"/>
                <w:i w:val="0"/>
                <w:color w:val="212121"/>
                <w:sz w:val="19"/>
              </w:rPr>
              <w:t>Energy-dense diets that drive overweight and central obesity increase the compressive load carried by the lumbar discs, promoting degeneration and herniation.</w:t>
            </w:r>
          </w:p>
          <w:p>
            <w:pPr>
              <w:spacing w:after="40" w:before="60" w:line="259" w:lineRule="auto"/>
            </w:pPr>
            <w:r>
              <w:rPr>
                <w:rFonts w:ascii="Calibri" w:hAnsi="Calibri"/>
                <w:b w:val="0"/>
                <w:i w:val="0"/>
                <w:color w:val="212121"/>
                <w:sz w:val="19"/>
              </w:rPr>
              <w:t>Obesity and a body mass index over 25 are recognised risk factors for low back pain and disc herniation.</w:t>
            </w:r>
          </w:p>
          <w:p>
            <w:pPr>
              <w:spacing w:after="40" w:line="252" w:lineRule="auto"/>
            </w:pPr>
            <w:hyperlink r:id="rId15">
              <w:r>
                <w:rPr>
                  <w:rFonts w:ascii="Calibri" w:hAnsi="Calibri" w:cs="Calibri"/>
                  <w:sz w:val="18"/>
                  <w:color w:val="1155CC"/>
                  <w:u w:val="single"/>
                </w:rPr>
                <w:t xml:space="preserve">ncbi.nlm.nih.gov - low back pain (StatPearls)</w:t>
              </w:r>
            </w:hyperlink>
          </w:p>
          <w:p>
            <w:pPr>
              <w:spacing w:before="60" w:after="40"/>
            </w:pPr>
            <w:r>
              <w:rPr>
                <w:rFonts w:ascii="Calibri" w:hAnsi="Calibri"/>
                <w:b w:val="0"/>
                <w:i w:val="0"/>
                <w:color w:val="5A5A5A"/>
                <w:sz w:val="18"/>
              </w:rPr>
              <w:t>#obesity  #BMI  #spinalload  #centraladiposity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Micronutrient deficiency</w:t>
            </w:r>
          </w:p>
        </w:tc>
        <w:tc>
          <w:tcPr>
            <w:tcW w:type="dxa" w:w="2160"/>
            <w:vAlign w:val="top"/>
          </w:tcPr>
          <w:p>
            <w:pPr>
              <w:spacing w:after="40" w:before="0" w:line="259" w:lineRule="auto"/>
            </w:pPr>
            <w:r>
              <w:rPr>
                <w:rFonts w:ascii="Calibri" w:hAnsi="Calibri"/>
                <w:b w:val="0"/>
                <w:i w:val="0"/>
                <w:color w:val="212121"/>
                <w:sz w:val="19"/>
              </w:rPr>
              <w:t>Vitamin-D &amp; calcium deficient</w:t>
            </w:r>
          </w:p>
        </w:tc>
        <w:tc>
          <w:tcPr>
            <w:tcW w:type="dxa" w:w="4276"/>
            <w:vAlign w:val="top"/>
          </w:tcPr>
          <w:p>
            <w:pPr>
              <w:spacing w:after="60" w:line="259" w:lineRule="auto"/>
            </w:pPr>
            <w:r>
              <w:rPr>
                <w:rFonts w:ascii="Calibri" w:hAnsi="Calibri"/>
                <w:b w:val="0"/>
                <w:i w:val="0"/>
                <w:color w:val="212121"/>
                <w:sz w:val="19"/>
              </w:rPr>
              <w:t>Widespread vitamin-D and calcium deficiency in India compromises bone and muscle health and is commonly associated with chronic low back pain; correcting deficiency may reduce pain and improve muscle function.</w:t>
            </w:r>
          </w:p>
          <w:p>
            <w:pPr>
              <w:spacing w:after="40" w:before="60" w:line="259" w:lineRule="auto"/>
            </w:pPr>
            <w:r>
              <w:rPr>
                <w:rFonts w:ascii="Calibri" w:hAnsi="Calibri"/>
                <w:b w:val="0"/>
                <w:i w:val="0"/>
                <w:color w:val="212121"/>
                <w:sz w:val="19"/>
              </w:rPr>
              <w:t>Vitamin-D deficiency is highly prevalent across India and is frequently reported in patients with chronic low back pain.</w:t>
            </w:r>
          </w:p>
          <w:p>
            <w:pPr>
              <w:spacing w:before="60" w:after="40"/>
            </w:pPr>
            <w:r>
              <w:rPr>
                <w:rFonts w:ascii="Calibri" w:hAnsi="Calibri"/>
                <w:b w:val="0"/>
                <w:i w:val="0"/>
                <w:color w:val="5A5A5A"/>
                <w:sz w:val="18"/>
              </w:rPr>
              <w:t>#vitaminD  #calcium  #India  #bonehealth</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disc disease</w:t>
            </w:r>
          </w:p>
        </w:tc>
        <w:tc>
          <w:tcPr>
            <w:tcW w:type="dxa" w:w="4276"/>
            <w:vAlign w:val="top"/>
          </w:tcPr>
          <w:p>
            <w:pPr>
              <w:spacing w:after="60" w:line="259" w:lineRule="auto"/>
            </w:pPr>
            <w:r>
              <w:rPr>
                <w:rFonts w:ascii="Calibri" w:hAnsi="Calibri"/>
                <w:b w:val="0"/>
                <w:i w:val="0"/>
                <w:color w:val="212121"/>
                <w:sz w:val="19"/>
              </w:rPr>
              <w:t>Inherited variation in disc collagen and matrix means disc herniation tends to run in families; a first-degree relative with disc disease raises personal risk.</w:t>
            </w:r>
          </w:p>
          <w:p>
            <w:pPr>
              <w:spacing w:after="40" w:before="60" w:line="259" w:lineRule="auto"/>
            </w:pPr>
            <w:r>
              <w:rPr>
                <w:rFonts w:ascii="Calibri" w:hAnsi="Calibri"/>
                <w:b w:val="0"/>
                <w:i w:val="0"/>
                <w:color w:val="212121"/>
                <w:sz w:val="19"/>
              </w:rPr>
              <w:t>Herniated disc tends to run in families, reflecting a genetic contribution to disc degeneration.</w:t>
            </w:r>
          </w:p>
          <w:p>
            <w:pPr>
              <w:spacing w:after="40" w:line="252" w:lineRule="auto"/>
            </w:pPr>
            <w:hyperlink r:id="rId9">
              <w:r>
                <w:rPr>
                  <w:rFonts w:ascii="Calibri" w:hAnsi="Calibri" w:cs="Calibri"/>
                  <w:sz w:val="18"/>
                  <w:color w:val="1155CC"/>
                  <w:u w:val="single"/>
                </w:rPr>
                <w:t xml:space="preserve">my.clevelandclinic.org - herniated disk</w:t>
              </w:r>
            </w:hyperlink>
          </w:p>
          <w:p>
            <w:pPr>
              <w:spacing w:before="60" w:after="40"/>
            </w:pPr>
            <w:r>
              <w:rPr>
                <w:rFonts w:ascii="Calibri" w:hAnsi="Calibri"/>
                <w:b w:val="0"/>
                <w:i w:val="0"/>
                <w:color w:val="5A5A5A"/>
                <w:sz w:val="18"/>
              </w:rPr>
              <w:t>#familyhistory  #genetics  #collagen  #inherited</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Obesity</w:t>
            </w:r>
          </w:p>
        </w:tc>
        <w:tc>
          <w:tcPr>
            <w:tcW w:type="dxa" w:w="2160"/>
            <w:vAlign w:val="top"/>
          </w:tcPr>
          <w:p>
            <w:pPr>
              <w:spacing w:after="40" w:before="0" w:line="259" w:lineRule="auto"/>
            </w:pPr>
            <w:r>
              <w:rPr>
                <w:rFonts w:ascii="Calibri" w:hAnsi="Calibri"/>
                <w:b w:val="0"/>
                <w:i w:val="0"/>
                <w:color w:val="212121"/>
                <w:sz w:val="19"/>
              </w:rPr>
              <w:t>Patients with obesity</w:t>
            </w:r>
          </w:p>
        </w:tc>
        <w:tc>
          <w:tcPr>
            <w:tcW w:type="dxa" w:w="4276"/>
            <w:vAlign w:val="top"/>
          </w:tcPr>
          <w:p>
            <w:pPr>
              <w:spacing w:after="60" w:line="259" w:lineRule="auto"/>
            </w:pPr>
            <w:r>
              <w:rPr>
                <w:rFonts w:ascii="Calibri" w:hAnsi="Calibri"/>
                <w:b w:val="0"/>
                <w:i w:val="0"/>
                <w:color w:val="212121"/>
                <w:sz w:val="19"/>
              </w:rPr>
              <w:t>Obesity is both a cause and an aggravator - it loads the spine mechanically and its low-grade inflammatory state accelerates disc degeneration and slows recovery.</w:t>
            </w:r>
          </w:p>
          <w:p>
            <w:pPr>
              <w:spacing w:after="40" w:before="60" w:line="259" w:lineRule="auto"/>
            </w:pPr>
            <w:r>
              <w:rPr>
                <w:rFonts w:ascii="Calibri" w:hAnsi="Calibri"/>
                <w:b w:val="0"/>
                <w:i w:val="0"/>
                <w:color w:val="212121"/>
                <w:sz w:val="19"/>
              </w:rPr>
              <w:t>Obesity and BMI &gt;25 are established risk factors for low back pain and disc herniation.</w:t>
            </w:r>
          </w:p>
          <w:p>
            <w:pPr>
              <w:spacing w:after="40" w:line="252" w:lineRule="auto"/>
            </w:pPr>
            <w:hyperlink r:id="rId15">
              <w:r>
                <w:rPr>
                  <w:rFonts w:ascii="Calibri" w:hAnsi="Calibri" w:cs="Calibri"/>
                  <w:sz w:val="18"/>
                  <w:color w:val="1155CC"/>
                  <w:u w:val="single"/>
                </w:rPr>
                <w:t xml:space="preserve">ncbi.nlm.nih.gov - low back pain (StatPearls)</w:t>
              </w:r>
            </w:hyperlink>
          </w:p>
          <w:p>
            <w:pPr>
              <w:spacing w:before="60" w:after="40"/>
            </w:pPr>
            <w:r>
              <w:rPr>
                <w:rFonts w:ascii="Calibri" w:hAnsi="Calibri"/>
                <w:b w:val="0"/>
                <w:i w:val="0"/>
                <w:color w:val="5A5A5A"/>
                <w:sz w:val="18"/>
              </w:rPr>
              <w:t>#obesity  #inflammation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diabetes</w:t>
            </w:r>
          </w:p>
        </w:tc>
        <w:tc>
          <w:tcPr>
            <w:tcW w:type="dxa" w:w="4276"/>
            <w:vAlign w:val="top"/>
          </w:tcPr>
          <w:p>
            <w:pPr>
              <w:spacing w:after="60" w:line="259" w:lineRule="auto"/>
            </w:pPr>
            <w:r>
              <w:rPr>
                <w:rFonts w:ascii="Calibri" w:hAnsi="Calibri"/>
                <w:b w:val="0"/>
                <w:i w:val="0"/>
                <w:color w:val="212121"/>
                <w:sz w:val="19"/>
              </w:rPr>
              <w:t>Diabetes impairs microvascular supply and disc/nerve nutrition and is listed among the conditions that increase vulnerability to disc herniation and slow nerve recovery.</w:t>
            </w:r>
          </w:p>
          <w:p>
            <w:pPr>
              <w:spacing w:after="40" w:before="60" w:line="259" w:lineRule="auto"/>
            </w:pPr>
            <w:r>
              <w:rPr>
                <w:rFonts w:ascii="Calibri" w:hAnsi="Calibri"/>
                <w:b w:val="0"/>
                <w:i w:val="0"/>
                <w:color w:val="212121"/>
                <w:sz w:val="19"/>
              </w:rPr>
              <w:t>Diabetes is cited among the medical conditions that increase susceptibility to a herniated disc.</w:t>
            </w:r>
          </w:p>
          <w:p>
            <w:pPr>
              <w:spacing w:after="40" w:line="252" w:lineRule="auto"/>
            </w:pPr>
            <w:hyperlink r:id="rId9">
              <w:r>
                <w:rPr>
                  <w:rFonts w:ascii="Calibri" w:hAnsi="Calibri" w:cs="Calibri"/>
                  <w:sz w:val="18"/>
                  <w:color w:val="1155CC"/>
                  <w:u w:val="single"/>
                </w:rPr>
                <w:t xml:space="preserve">my.clevelandclinic.org - herniated disk</w:t>
              </w:r>
            </w:hyperlink>
          </w:p>
          <w:p>
            <w:pPr>
              <w:spacing w:before="60" w:after="40"/>
            </w:pPr>
            <w:r>
              <w:rPr>
                <w:rFonts w:ascii="Calibri" w:hAnsi="Calibri"/>
                <w:b w:val="0"/>
                <w:i w:val="0"/>
                <w:color w:val="5A5A5A"/>
                <w:sz w:val="18"/>
              </w:rPr>
              <w:t>#diabetes  #microvascular  #nervehealing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Lumbar spondylosis / degenerative disc disease</w:t>
            </w:r>
          </w:p>
        </w:tc>
        <w:tc>
          <w:tcPr>
            <w:tcW w:type="dxa" w:w="2160"/>
            <w:vAlign w:val="top"/>
          </w:tcPr>
          <w:p>
            <w:pPr>
              <w:spacing w:after="40" w:before="0" w:line="259" w:lineRule="auto"/>
            </w:pPr>
            <w:r>
              <w:rPr>
                <w:rFonts w:ascii="Calibri" w:hAnsi="Calibri"/>
                <w:b w:val="0"/>
                <w:i w:val="0"/>
                <w:color w:val="212121"/>
                <w:sz w:val="19"/>
              </w:rPr>
              <w:t>Older adults with degeneration</w:t>
            </w:r>
          </w:p>
        </w:tc>
        <w:tc>
          <w:tcPr>
            <w:tcW w:type="dxa" w:w="4276"/>
            <w:vAlign w:val="top"/>
          </w:tcPr>
          <w:p>
            <w:pPr>
              <w:spacing w:after="60" w:line="259" w:lineRule="auto"/>
            </w:pPr>
            <w:r>
              <w:rPr>
                <w:rFonts w:ascii="Calibri" w:hAnsi="Calibri"/>
                <w:b w:val="0"/>
                <w:i w:val="0"/>
                <w:color w:val="212121"/>
                <w:sz w:val="19"/>
              </w:rPr>
              <w:t>Pre-existing degenerative disc disease and facet arthropathy weaken the annulus and narrow the canal, making prolapse and radicular compression more likely, particularly in older adults.</w:t>
            </w:r>
          </w:p>
          <w:p>
            <w:pPr>
              <w:spacing w:after="40" w:before="60" w:line="259" w:lineRule="auto"/>
            </w:pPr>
            <w:r>
              <w:rPr>
                <w:rFonts w:ascii="Calibri" w:hAnsi="Calibri"/>
                <w:b w:val="0"/>
                <w:i w:val="0"/>
                <w:color w:val="212121"/>
                <w:sz w:val="19"/>
              </w:rPr>
              <w:t>In older adults, degenerative disc disease, facet arthropathy and spinal stenosis are the leading contributors to back pain.</w:t>
            </w:r>
          </w:p>
          <w:p>
            <w:pPr>
              <w:spacing w:after="40" w:line="252" w:lineRule="auto"/>
            </w:pPr>
            <w:hyperlink r:id="rId15">
              <w:r>
                <w:rPr>
                  <w:rFonts w:ascii="Calibri" w:hAnsi="Calibri" w:cs="Calibri"/>
                  <w:sz w:val="18"/>
                  <w:color w:val="1155CC"/>
                  <w:u w:val="single"/>
                </w:rPr>
                <w:t xml:space="preserve">ncbi.nlm.nih.gov - low back pain (StatPearls)</w:t>
              </w:r>
            </w:hyperlink>
          </w:p>
          <w:p>
            <w:pPr>
              <w:spacing w:before="60" w:after="40"/>
            </w:pPr>
            <w:r>
              <w:rPr>
                <w:rFonts w:ascii="Calibri" w:hAnsi="Calibri"/>
                <w:b w:val="0"/>
                <w:i w:val="0"/>
                <w:color w:val="5A5A5A"/>
                <w:sz w:val="18"/>
              </w:rPr>
              <w:t>#spondylosis  #DDD  #facetarthropathy  #stenosis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psychological distress</w:t>
            </w:r>
          </w:p>
        </w:tc>
        <w:tc>
          <w:tcPr>
            <w:tcW w:type="dxa" w:w="2160"/>
            <w:vAlign w:val="top"/>
          </w:tcPr>
          <w:p>
            <w:pPr>
              <w:spacing w:after="40" w:before="0" w:line="259" w:lineRule="auto"/>
            </w:pPr>
            <w:r>
              <w:rPr>
                <w:rFonts w:ascii="Calibri" w:hAnsi="Calibri"/>
                <w:b w:val="0"/>
                <w:i w:val="0"/>
                <w:color w:val="212121"/>
                <w:sz w:val="19"/>
              </w:rPr>
              <w:t>Patients with depression or anxiety</w:t>
            </w:r>
          </w:p>
        </w:tc>
        <w:tc>
          <w:tcPr>
            <w:tcW w:type="dxa" w:w="4276"/>
            <w:vAlign w:val="top"/>
          </w:tcPr>
          <w:p>
            <w:pPr>
              <w:spacing w:after="60" w:line="259" w:lineRule="auto"/>
            </w:pPr>
            <w:r>
              <w:rPr>
                <w:rFonts w:ascii="Calibri" w:hAnsi="Calibri"/>
                <w:b w:val="0"/>
                <w:i w:val="0"/>
                <w:color w:val="212121"/>
                <w:sz w:val="19"/>
              </w:rPr>
              <w:t>Depression, anxiety and psychosocial stress amplify pain perception and disability and predict the transition from acute to chronic sciatica and prolonged work loss.</w:t>
            </w:r>
          </w:p>
          <w:p>
            <w:pPr>
              <w:spacing w:after="40" w:before="60" w:line="259" w:lineRule="auto"/>
            </w:pPr>
            <w:r>
              <w:rPr>
                <w:rFonts w:ascii="Calibri" w:hAnsi="Calibri"/>
                <w:b w:val="0"/>
                <w:i w:val="0"/>
                <w:color w:val="212121"/>
                <w:sz w:val="19"/>
              </w:rPr>
              <w:t>Psychosocial distress and low mood are strongly associated with chronicity and disability in low back pain and sciatica.</w:t>
            </w:r>
          </w:p>
          <w:p>
            <w:pPr>
              <w:spacing w:before="60" w:after="40"/>
            </w:pPr>
            <w:r>
              <w:rPr>
                <w:rFonts w:ascii="Calibri" w:hAnsi="Calibri"/>
                <w:b w:val="0"/>
                <w:i w:val="0"/>
                <w:color w:val="5A5A5A"/>
                <w:sz w:val="18"/>
              </w:rPr>
              <w:t>#depression  #chronicpain  #psychosocial  #disability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sitting and deconditioning raise intradiscal pressure (seated nerve-root pressure is ~40% higher than standing) and weaken spinal support, while regular graded exercise and core strengthening reduce recurrence; conversely, heavy improper lifting is itself a mechanical trigger.</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drives overweight and central obesity, which mechanically load the lumbar discs; obesity and BMI &gt;25 are recognised risk factors for back pain and disc herniation, and vitamin-D/calcium adequacy supports bone and muscle health.</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Insufficient and poor-quality sleep lowers pain thresholds and worsens chronic back-pain intensity and disability; unsupported sleeping posture can aggravate radicular symptoms.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impairs disc micro-nutrition and raises the odds of low back pain (OR ~1.3-2.1) and sciatica, and it slows healing after spinal surgery.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independent causal link to disc prolapse; heavy use may worsen weight, deconditioning, sleep and pain coping, and interacts with analgesics and muscle relaxants.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and psychosocial stress amplify pain and disability and predict progression from acute to chronic, disabling sciatica.</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disc hydration underpins load-bearing in theory, but hydration status has little proven effect on prolapse risk or clinical course.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meaningful established link between caffeine intake and disc prolapse or sciatica; effects, if any, are negligible.</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Minimal role in causation; relevance is mainly to surgical-site infection prevention and wound care if discectomy is performed.</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prolapse is frequently triggered by a specific event - improper heavy lifting, sudden bending or twisting, or a forceful cough or sneeze that abruptly spikes intradiscal pressure.</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flexed and loaded postures (prolonged sitting, stooped work, forward-bent lifting) markedly raise intradiscal pressure and are central to both the onset and the aggravation of disc prolapse.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Higher BMI loads the lumbar discs and raises herniation and back-pain risk</w:t>
            </w:r>
          </w:p>
          <w:p>
            <w:pPr>
              <w:spacing w:after="40" w:line="252" w:lineRule="auto"/>
            </w:pPr>
            <w:hyperlink r:id="rId15">
              <w:r>
                <w:rPr>
                  <w:rFonts w:ascii="Calibri" w:hAnsi="Calibri" w:cs="Calibri"/>
                  <w:sz w:val="18"/>
                  <w:color w:val="1155CC"/>
                  <w:u w:val="single"/>
                </w:rPr>
                <w:t xml:space="preserve">https://www.ncbi.nlm.nih.gov/books/NBK538173/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Daily continuous sitting time</w:t>
            </w:r>
          </w:p>
        </w:tc>
        <w:tc>
          <w:tcPr>
            <w:tcW w:type="dxa" w:w="1655"/>
            <w:vAlign w:val="top"/>
          </w:tcPr>
          <w:p>
            <w:pPr>
              <w:spacing w:after="40" w:before="0" w:line="259" w:lineRule="auto"/>
            </w:pPr>
            <w:r>
              <w:rPr>
                <w:rFonts w:ascii="Calibri" w:hAnsi="Calibri"/>
                <w:b w:val="0"/>
                <w:i w:val="0"/>
                <w:color w:val="212121"/>
                <w:sz w:val="19"/>
              </w:rPr>
              <w:t>Office/IT workers, drivers</w:t>
            </w:r>
          </w:p>
        </w:tc>
        <w:tc>
          <w:tcPr>
            <w:tcW w:type="dxa" w:w="1512"/>
            <w:vAlign w:val="top"/>
          </w:tcPr>
          <w:p>
            <w:pPr>
              <w:spacing w:after="40" w:before="0" w:line="259" w:lineRule="auto"/>
            </w:pPr>
            <w:r>
              <w:rPr>
                <w:rFonts w:ascii="Calibri" w:hAnsi="Calibri"/>
                <w:b w:val="0"/>
                <w:i w:val="0"/>
                <w:color w:val="212121"/>
                <w:sz w:val="19"/>
              </w:rPr>
              <w:t>&lt; 6 h with regular breaks</w:t>
            </w:r>
          </w:p>
        </w:tc>
        <w:tc>
          <w:tcPr>
            <w:tcW w:type="dxa" w:w="1512"/>
            <w:vAlign w:val="top"/>
          </w:tcPr>
          <w:p>
            <w:pPr>
              <w:spacing w:after="40" w:before="0" w:line="259" w:lineRule="auto"/>
            </w:pPr>
            <w:r>
              <w:rPr>
                <w:rFonts w:ascii="Calibri" w:hAnsi="Calibri"/>
                <w:b w:val="0"/>
                <w:i w:val="0"/>
                <w:color w:val="212121"/>
                <w:sz w:val="19"/>
              </w:rPr>
              <w:t>&gt; 8 h continuous sitting</w:t>
            </w:r>
          </w:p>
        </w:tc>
        <w:tc>
          <w:tcPr>
            <w:tcW w:type="dxa" w:w="1468"/>
            <w:vAlign w:val="top"/>
          </w:tcPr>
          <w:p>
            <w:pPr>
              <w:spacing w:after="60" w:line="259" w:lineRule="auto"/>
            </w:pPr>
            <w:r>
              <w:rPr>
                <w:rFonts w:ascii="Calibri" w:hAnsi="Calibri"/>
                <w:b w:val="0"/>
                <w:i w:val="0"/>
                <w:color w:val="212121"/>
                <w:sz w:val="19"/>
              </w:rPr>
              <w:t>Prolonged sitting raises nerve-root pressure by about 40%</w:t>
            </w:r>
          </w:p>
          <w:p>
            <w:pPr>
              <w:spacing w:after="40" w:line="252" w:lineRule="auto"/>
            </w:pPr>
            <w:hyperlink r:id="rId11">
              <w:r>
                <w:rPr>
                  <w:rFonts w:ascii="Calibri" w:hAnsi="Calibri" w:cs="Calibri"/>
                  <w:sz w:val="18"/>
                  <w:color w:val="1155CC"/>
                  <w:u w:val="single"/>
                </w:rPr>
                <w:t xml:space="preserve">https://www.ncbi.nlm.nih.gov/books/NBK560878/</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aerobic activity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 + core work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activity and core strength reduce recurrence and disability</w:t>
            </w:r>
          </w:p>
          <w:p>
            <w:pPr>
              <w:spacing w:after="40" w:line="252" w:lineRule="auto"/>
            </w:pPr>
            <w:hyperlink r:id="rId10">
              <w:r>
                <w:rPr>
                  <w:rFonts w:ascii="Calibri" w:hAnsi="Calibri" w:cs="Calibri"/>
                  <w:sz w:val="18"/>
                  <w:color w:val="1155CC"/>
                  <w:u w:val="single"/>
                </w:rPr>
                <w:t xml:space="preserve">https://www.who.int/news-room/fact-sheets/detail/low-back-pain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Occupational lifting technique/load</w:t>
            </w:r>
          </w:p>
        </w:tc>
        <w:tc>
          <w:tcPr>
            <w:tcW w:type="dxa" w:w="1655"/>
            <w:vAlign w:val="top"/>
          </w:tcPr>
          <w:p>
            <w:pPr>
              <w:spacing w:after="40" w:before="0" w:line="259" w:lineRule="auto"/>
            </w:pPr>
            <w:r>
              <w:rPr>
                <w:rFonts w:ascii="Calibri" w:hAnsi="Calibri"/>
                <w:b w:val="0"/>
                <w:i w:val="0"/>
                <w:color w:val="212121"/>
                <w:sz w:val="19"/>
              </w:rPr>
              <w:t>Manual workers, loaders</w:t>
            </w:r>
          </w:p>
        </w:tc>
        <w:tc>
          <w:tcPr>
            <w:tcW w:type="dxa" w:w="1512"/>
            <w:vAlign w:val="top"/>
          </w:tcPr>
          <w:p>
            <w:pPr>
              <w:spacing w:after="40" w:before="0" w:line="259" w:lineRule="auto"/>
            </w:pPr>
            <w:r>
              <w:rPr>
                <w:rFonts w:ascii="Calibri" w:hAnsi="Calibri"/>
                <w:b w:val="0"/>
                <w:i w:val="0"/>
                <w:color w:val="212121"/>
                <w:sz w:val="19"/>
              </w:rPr>
              <w:t>Within safe limits, knees-bent technique</w:t>
            </w:r>
          </w:p>
        </w:tc>
        <w:tc>
          <w:tcPr>
            <w:tcW w:type="dxa" w:w="1512"/>
            <w:vAlign w:val="top"/>
          </w:tcPr>
          <w:p>
            <w:pPr>
              <w:spacing w:after="40" w:before="0" w:line="259" w:lineRule="auto"/>
            </w:pPr>
            <w:r>
              <w:rPr>
                <w:rFonts w:ascii="Calibri" w:hAnsi="Calibri"/>
                <w:b w:val="0"/>
                <w:i w:val="0"/>
                <w:color w:val="212121"/>
                <w:sz w:val="19"/>
              </w:rPr>
              <w:t>Repeated heavy loads with flexion + rotation</w:t>
            </w:r>
          </w:p>
        </w:tc>
        <w:tc>
          <w:tcPr>
            <w:tcW w:type="dxa" w:w="1468"/>
            <w:vAlign w:val="top"/>
          </w:tcPr>
          <w:p>
            <w:pPr>
              <w:spacing w:after="60" w:line="259" w:lineRule="auto"/>
            </w:pPr>
            <w:r>
              <w:rPr>
                <w:rFonts w:ascii="Calibri" w:hAnsi="Calibri"/>
                <w:b w:val="0"/>
                <w:i w:val="0"/>
                <w:color w:val="212121"/>
                <w:sz w:val="19"/>
              </w:rPr>
              <w:t>Improper heavy lifting is a classic trigger of acute prolapse</w:t>
            </w:r>
          </w:p>
          <w:p>
            <w:pPr>
              <w:spacing w:after="40" w:line="252" w:lineRule="auto"/>
            </w:pPr>
            <w:hyperlink r:id="rId14">
              <w:r>
                <w:rPr>
                  <w:rFonts w:ascii="Calibri" w:hAnsi="Calibri" w:cs="Calibri"/>
                  <w:sz w:val="18"/>
                  <w:color w:val="1155CC"/>
                  <w:u w:val="single"/>
                </w:rPr>
                <w:t xml:space="preserve">https://www.ncbi.nlm.nih.gov/books/NBK507908/</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Waist circumference</w:t>
            </w:r>
          </w:p>
        </w:tc>
        <w:tc>
          <w:tcPr>
            <w:tcW w:type="dxa" w:w="1655"/>
            <w:vAlign w:val="top"/>
          </w:tcPr>
          <w:p>
            <w:pPr>
              <w:spacing w:after="40" w:before="0" w:line="259" w:lineRule="auto"/>
            </w:pPr>
            <w:r>
              <w:rPr>
                <w:rFonts w:ascii="Calibri" w:hAnsi="Calibri"/>
                <w:b w:val="0"/>
                <w:i w:val="0"/>
                <w:color w:val="212121"/>
                <w:sz w:val="19"/>
              </w:rPr>
              <w:t>Adults (Asian cut-offs)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Central adiposity increases compressive spinal load</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25-OH Vitamin D</w:t>
            </w:r>
          </w:p>
        </w:tc>
        <w:tc>
          <w:tcPr>
            <w:tcW w:type="dxa" w:w="1655"/>
            <w:vAlign w:val="top"/>
          </w:tcPr>
          <w:p>
            <w:pPr>
              <w:spacing w:after="40" w:before="0" w:line="259" w:lineRule="auto"/>
            </w:pPr>
            <w:r>
              <w:rPr>
                <w:rFonts w:ascii="Calibri" w:hAnsi="Calibri"/>
                <w:b w:val="0"/>
                <w:i w:val="0"/>
                <w:color w:val="212121"/>
                <w:sz w:val="19"/>
              </w:rPr>
              <w:t>Chronic LBP, elderly, women</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(deficiency)</w:t>
            </w:r>
          </w:p>
        </w:tc>
        <w:tc>
          <w:tcPr>
            <w:tcW w:type="dxa" w:w="1468"/>
            <w:vAlign w:val="top"/>
          </w:tcPr>
          <w:p>
            <w:pPr>
              <w:spacing w:after="40" w:before="0" w:line="259" w:lineRule="auto"/>
            </w:pPr>
            <w:r>
              <w:rPr>
                <w:rFonts w:ascii="Calibri" w:hAnsi="Calibri"/>
                <w:b w:val="0"/>
                <w:i w:val="0"/>
                <w:color w:val="212121"/>
                <w:sz w:val="19"/>
              </w:rPr>
              <w:t>Deficiency is common in India and linked to chronic back pain; correct if low</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hours/night</w:t>
            </w:r>
          </w:p>
        </w:tc>
        <w:tc>
          <w:tcPr>
            <w:tcW w:type="dxa" w:w="1468"/>
            <w:vAlign w:val="top"/>
          </w:tcPr>
          <w:p>
            <w:pPr>
              <w:spacing w:after="40" w:before="0" w:line="259" w:lineRule="auto"/>
            </w:pPr>
            <w:r>
              <w:rPr>
                <w:rFonts w:ascii="Calibri" w:hAnsi="Calibri"/>
                <w:b w:val="0"/>
                <w:i w:val="0"/>
                <w:color w:val="212121"/>
                <w:sz w:val="19"/>
              </w:rPr>
              <w:t>Short sleep lowers pain threshold and worsens chronic pain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&gt;= 1 cigarette/day</w:t>
            </w:r>
          </w:p>
        </w:tc>
        <w:tc>
          <w:tcPr>
            <w:tcW w:type="dxa" w:w="1468"/>
            <w:vAlign w:val="top"/>
          </w:tcPr>
          <w:p>
            <w:pPr>
              <w:spacing w:after="60" w:line="259" w:lineRule="auto"/>
            </w:pPr>
            <w:r>
              <w:rPr>
                <w:rFonts w:ascii="Calibri" w:hAnsi="Calibri"/>
                <w:b w:val="0"/>
                <w:i w:val="0"/>
                <w:color w:val="212121"/>
                <w:sz w:val="19"/>
              </w:rPr>
              <w:t>Any smoking impairs disc nutrition and raises back-pain odds</w:t>
            </w:r>
          </w:p>
          <w:p>
            <w:pPr>
              <w:spacing w:after="40" w:line="252" w:lineRule="auto"/>
            </w:pPr>
            <w:hyperlink r:id="rId13">
              <w:r>
                <w:rPr>
                  <w:rFonts w:ascii="Calibri" w:hAnsi="Calibri" w:cs="Calibri"/>
                  <w:sz w:val="18"/>
                  <w:color w:val="1155CC"/>
                  <w:u w:val="single"/>
                </w:rPr>
                <w:t xml:space="preserve">https://pubmed.ncbi.nlm.nih.gov/20102998/</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Chronic pain patients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 or greater)</w:t>
            </w:r>
          </w:p>
        </w:tc>
        <w:tc>
          <w:tcPr>
            <w:tcW w:type="dxa" w:w="1468"/>
            <w:vAlign w:val="top"/>
          </w:tcPr>
          <w:p>
            <w:pPr>
              <w:spacing w:after="40" w:before="0" w:line="259" w:lineRule="auto"/>
            </w:pPr>
            <w:r>
              <w:rPr>
                <w:rFonts w:ascii="Calibri" w:hAnsi="Calibri"/>
                <w:b w:val="0"/>
                <w:i w:val="0"/>
                <w:color w:val="212121"/>
                <w:sz w:val="19"/>
              </w:rPr>
              <w:t>Depression predicts chronicity, disability and poorer outcomes</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Straight-leg-raise angle</w:t>
            </w:r>
          </w:p>
        </w:tc>
        <w:tc>
          <w:tcPr>
            <w:tcW w:type="dxa" w:w="1655"/>
            <w:vAlign w:val="top"/>
          </w:tcPr>
          <w:p>
            <w:pPr>
              <w:spacing w:after="40" w:before="0" w:line="259" w:lineRule="auto"/>
            </w:pPr>
            <w:r>
              <w:rPr>
                <w:rFonts w:ascii="Calibri" w:hAnsi="Calibri"/>
                <w:b w:val="0"/>
                <w:i w:val="0"/>
                <w:color w:val="212121"/>
                <w:sz w:val="19"/>
              </w:rPr>
              <w:t>Suspected radiculopathy</w:t>
            </w:r>
          </w:p>
        </w:tc>
        <w:tc>
          <w:tcPr>
            <w:tcW w:type="dxa" w:w="1512"/>
            <w:vAlign w:val="top"/>
          </w:tcPr>
          <w:p>
            <w:pPr>
              <w:spacing w:after="40" w:before="0" w:line="259" w:lineRule="auto"/>
            </w:pPr>
            <w:r>
              <w:rPr>
                <w:rFonts w:ascii="Calibri" w:hAnsi="Calibri"/>
                <w:b w:val="0"/>
                <w:i w:val="0"/>
                <w:color w:val="212121"/>
                <w:sz w:val="19"/>
              </w:rPr>
              <w:t>Pain-free to ~70 degrees</w:t>
            </w:r>
          </w:p>
        </w:tc>
        <w:tc>
          <w:tcPr>
            <w:tcW w:type="dxa" w:w="1512"/>
            <w:vAlign w:val="top"/>
          </w:tcPr>
          <w:p>
            <w:pPr>
              <w:spacing w:after="40" w:before="0" w:line="259" w:lineRule="auto"/>
            </w:pPr>
            <w:r>
              <w:rPr>
                <w:rFonts w:ascii="Calibri" w:hAnsi="Calibri"/>
                <w:b w:val="0"/>
                <w:i w:val="0"/>
                <w:color w:val="212121"/>
                <w:sz w:val="19"/>
              </w:rPr>
              <w:t>Radicular pain at 30-70 degrees</w:t>
            </w:r>
          </w:p>
        </w:tc>
        <w:tc>
          <w:tcPr>
            <w:tcW w:type="dxa" w:w="1468"/>
            <w:vAlign w:val="top"/>
          </w:tcPr>
          <w:p>
            <w:pPr>
              <w:spacing w:after="60" w:line="259" w:lineRule="auto"/>
            </w:pPr>
            <w:r>
              <w:rPr>
                <w:rFonts w:ascii="Calibri" w:hAnsi="Calibri"/>
                <w:b w:val="0"/>
                <w:i w:val="0"/>
                <w:color w:val="212121"/>
                <w:sz w:val="19"/>
              </w:rPr>
              <w:t>A positive SLR indicates nerve-root tension from disc prolapse</w:t>
            </w:r>
          </w:p>
          <w:p>
            <w:pPr>
              <w:spacing w:after="40" w:line="252" w:lineRule="auto"/>
            </w:pPr>
            <w:hyperlink r:id="rId14">
              <w:r>
                <w:rPr>
                  <w:rFonts w:ascii="Calibri" w:hAnsi="Calibri" w:cs="Calibri"/>
                  <w:sz w:val="18"/>
                  <w:color w:val="1155CC"/>
                  <w:u w:val="single"/>
                </w:rPr>
                <w:t xml:space="preserve">https://www.ncbi.nlm.nih.gov/books/NBK507908/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lumbosacral spine</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disc herniation or neural compression</w:t>
            </w:r>
          </w:p>
        </w:tc>
        <w:tc>
          <w:tcPr>
            <w:tcW w:type="dxa" w:w="950"/>
            <w:vAlign w:val="top"/>
          </w:tcPr>
          <w:p>
            <w:pPr>
              <w:spacing w:after="40" w:before="0" w:line="259" w:lineRule="auto"/>
            </w:pPr>
            <w:r>
              <w:rPr>
                <w:rFonts w:ascii="Calibri" w:hAnsi="Calibri"/>
                <w:b w:val="0"/>
                <w:i w:val="0"/>
                <w:color w:val="212121"/>
                <w:sz w:val="16"/>
              </w:rPr>
              <w:t>Disc herniation with concordant nerve-root compression</w:t>
            </w:r>
          </w:p>
        </w:tc>
        <w:tc>
          <w:tcPr>
            <w:tcW w:type="dxa" w:w="1036"/>
            <w:vAlign w:val="top"/>
          </w:tcPr>
          <w:p>
            <w:pPr>
              <w:spacing w:after="40" w:before="0" w:line="259" w:lineRule="auto"/>
            </w:pPr>
            <w:r>
              <w:rPr>
                <w:rFonts w:ascii="Calibri" w:hAnsi="Calibri"/>
                <w:b w:val="0"/>
                <w:i w:val="0"/>
                <w:color w:val="212121"/>
                <w:sz w:val="16"/>
              </w:rPr>
              <w:t>Most sensitive test (diagnostic accuracy ~97%); confirms level, morphology and root involvement</w:t>
            </w:r>
          </w:p>
        </w:tc>
        <w:tc>
          <w:tcPr>
            <w:tcW w:type="dxa" w:w="1036"/>
            <w:vAlign w:val="top"/>
          </w:tcPr>
          <w:p>
            <w:pPr>
              <w:spacing w:after="40" w:before="0" w:line="259" w:lineRule="auto"/>
            </w:pPr>
            <w:r>
              <w:rPr>
                <w:rFonts w:ascii="Calibri" w:hAnsi="Calibri"/>
                <w:b w:val="0"/>
                <w:i w:val="0"/>
                <w:color w:val="212121"/>
                <w:sz w:val="16"/>
              </w:rPr>
              <w:t>Sciatica with deficit or pain &gt; 6 weeks, red flags</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 for persistent, severe or red-flag cases - not routine early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X-ray lumbosacral spine (AP/lateral, flexion-extension)</w:t>
            </w:r>
          </w:p>
        </w:tc>
        <w:tc>
          <w:tcPr>
            <w:tcW w:type="dxa" w:w="892"/>
            <w:vAlign w:val="top"/>
          </w:tcPr>
          <w:p>
            <w:pPr>
              <w:spacing w:after="40" w:before="0" w:line="259" w:lineRule="auto"/>
            </w:pPr>
            <w:r>
              <w:rPr>
                <w:rFonts w:ascii="Calibri" w:hAnsi="Calibri"/>
                <w:b w:val="0"/>
                <w:i w:val="0"/>
                <w:color w:val="212121"/>
                <w:sz w:val="16"/>
              </w:rPr>
              <w:t>Radiograph</w:t>
            </w:r>
          </w:p>
        </w:tc>
        <w:tc>
          <w:tcPr>
            <w:tcW w:type="dxa" w:w="950"/>
            <w:vAlign w:val="top"/>
          </w:tcPr>
          <w:p>
            <w:pPr>
              <w:spacing w:after="40" w:before="0" w:line="259" w:lineRule="auto"/>
            </w:pPr>
            <w:r>
              <w:rPr>
                <w:rFonts w:ascii="Calibri" w:hAnsi="Calibri"/>
                <w:b w:val="0"/>
                <w:i w:val="0"/>
                <w:color w:val="212121"/>
                <w:sz w:val="16"/>
              </w:rPr>
              <w:t>Normal alignment and disc-space height</w:t>
            </w:r>
          </w:p>
        </w:tc>
        <w:tc>
          <w:tcPr>
            <w:tcW w:type="dxa" w:w="950"/>
            <w:vAlign w:val="top"/>
          </w:tcPr>
          <w:p>
            <w:pPr>
              <w:spacing w:after="40" w:before="0" w:line="259" w:lineRule="auto"/>
            </w:pPr>
            <w:r>
              <w:rPr>
                <w:rFonts w:ascii="Calibri" w:hAnsi="Calibri"/>
                <w:b w:val="0"/>
                <w:i w:val="0"/>
                <w:color w:val="212121"/>
                <w:sz w:val="16"/>
              </w:rPr>
              <w:t>Reduced disc space, spondylosis, instability, spondylolisthesis</w:t>
            </w:r>
          </w:p>
        </w:tc>
        <w:tc>
          <w:tcPr>
            <w:tcW w:type="dxa" w:w="1036"/>
            <w:vAlign w:val="top"/>
          </w:tcPr>
          <w:p>
            <w:pPr>
              <w:spacing w:after="40" w:before="0" w:line="259" w:lineRule="auto"/>
            </w:pPr>
            <w:r>
              <w:rPr>
                <w:rFonts w:ascii="Calibri" w:hAnsi="Calibri"/>
                <w:b w:val="0"/>
                <w:i w:val="0"/>
                <w:color w:val="212121"/>
                <w:sz w:val="16"/>
              </w:rPr>
              <w:t>Screens for degeneration, fracture and instability; cannot visualise the disc or nerve directly</w:t>
            </w:r>
          </w:p>
        </w:tc>
        <w:tc>
          <w:tcPr>
            <w:tcW w:type="dxa" w:w="1036"/>
            <w:vAlign w:val="top"/>
          </w:tcPr>
          <w:p>
            <w:pPr>
              <w:spacing w:after="40" w:before="0" w:line="259" w:lineRule="auto"/>
            </w:pPr>
            <w:r>
              <w:rPr>
                <w:rFonts w:ascii="Calibri" w:hAnsi="Calibri"/>
                <w:b w:val="0"/>
                <w:i w:val="0"/>
                <w:color w:val="212121"/>
                <w:sz w:val="16"/>
              </w:rPr>
              <w:t>Older adults, trauma, chronic or red-flag pain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First-line structural screen when red flags are present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lumbar spine</w:t>
            </w:r>
          </w:p>
        </w:tc>
        <w:tc>
          <w:tcPr>
            <w:tcW w:type="dxa" w:w="892"/>
            <w:vAlign w:val="top"/>
          </w:tcPr>
          <w:p>
            <w:pPr>
              <w:spacing w:after="40" w:before="0" w:line="259" w:lineRule="auto"/>
            </w:pPr>
            <w:r>
              <w:rPr>
                <w:rFonts w:ascii="Calibri" w:hAnsi="Calibri"/>
                <w:b w:val="0"/>
                <w:i w:val="0"/>
                <w:color w:val="212121"/>
                <w:sz w:val="16"/>
              </w:rPr>
              <w:t>Computed Tomography</w:t>
            </w:r>
          </w:p>
        </w:tc>
        <w:tc>
          <w:tcPr>
            <w:tcW w:type="dxa" w:w="950"/>
            <w:vAlign w:val="top"/>
          </w:tcPr>
          <w:p>
            <w:pPr>
              <w:spacing w:after="40" w:before="0" w:line="259" w:lineRule="auto"/>
            </w:pPr>
            <w:r>
              <w:rPr>
                <w:rFonts w:ascii="Calibri" w:hAnsi="Calibri"/>
                <w:b w:val="0"/>
                <w:i w:val="0"/>
                <w:color w:val="212121"/>
                <w:sz w:val="16"/>
              </w:rPr>
              <w:t>No herniation or bony canal compromise</w:t>
            </w:r>
          </w:p>
        </w:tc>
        <w:tc>
          <w:tcPr>
            <w:tcW w:type="dxa" w:w="950"/>
            <w:vAlign w:val="top"/>
          </w:tcPr>
          <w:p>
            <w:pPr>
              <w:spacing w:after="40" w:before="0" w:line="259" w:lineRule="auto"/>
            </w:pPr>
            <w:r>
              <w:rPr>
                <w:rFonts w:ascii="Calibri" w:hAnsi="Calibri"/>
                <w:b w:val="0"/>
                <w:i w:val="0"/>
                <w:color w:val="212121"/>
                <w:sz w:val="16"/>
              </w:rPr>
              <w:t>Disc herniation, calcified disc, bony stenosis</w:t>
            </w:r>
          </w:p>
        </w:tc>
        <w:tc>
          <w:tcPr>
            <w:tcW w:type="dxa" w:w="1036"/>
            <w:vAlign w:val="top"/>
          </w:tcPr>
          <w:p>
            <w:pPr>
              <w:spacing w:after="40" w:before="0" w:line="259" w:lineRule="auto"/>
            </w:pPr>
            <w:r>
              <w:rPr>
                <w:rFonts w:ascii="Calibri" w:hAnsi="Calibri"/>
                <w:b w:val="0"/>
                <w:i w:val="0"/>
                <w:color w:val="212121"/>
                <w:sz w:val="16"/>
              </w:rPr>
              <w:t>Alternative when MRI is contraindicated; superior for bony detail</w:t>
            </w:r>
          </w:p>
        </w:tc>
        <w:tc>
          <w:tcPr>
            <w:tcW w:type="dxa" w:w="1036"/>
            <w:vAlign w:val="top"/>
          </w:tcPr>
          <w:p>
            <w:pPr>
              <w:spacing w:after="40" w:before="0" w:line="259" w:lineRule="auto"/>
            </w:pPr>
            <w:r>
              <w:rPr>
                <w:rFonts w:ascii="Calibri" w:hAnsi="Calibri"/>
                <w:b w:val="0"/>
                <w:i w:val="0"/>
                <w:color w:val="212121"/>
                <w:sz w:val="16"/>
              </w:rPr>
              <w:t>MRI-contraindicated patients (pacemaker, implants)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Higher radiation; less soft-tissue and neural detail than MRI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Nerve conduction study &amp; EMG</w:t>
            </w:r>
          </w:p>
        </w:tc>
        <w:tc>
          <w:tcPr>
            <w:tcW w:type="dxa" w:w="892"/>
            <w:vAlign w:val="top"/>
          </w:tcPr>
          <w:p>
            <w:pPr>
              <w:spacing w:after="40" w:before="0" w:line="259" w:lineRule="auto"/>
            </w:pPr>
            <w:r>
              <w:rPr>
                <w:rFonts w:ascii="Calibri" w:hAnsi="Calibri"/>
                <w:b w:val="0"/>
                <w:i w:val="0"/>
                <w:color w:val="212121"/>
                <w:sz w:val="16"/>
              </w:rPr>
              <w:t>NCS / EMG</w:t>
            </w:r>
          </w:p>
        </w:tc>
        <w:tc>
          <w:tcPr>
            <w:tcW w:type="dxa" w:w="950"/>
            <w:vAlign w:val="top"/>
          </w:tcPr>
          <w:p>
            <w:pPr>
              <w:spacing w:after="40" w:before="0" w:line="259" w:lineRule="auto"/>
            </w:pPr>
            <w:r>
              <w:rPr>
                <w:rFonts w:ascii="Calibri" w:hAnsi="Calibri"/>
                <w:b w:val="0"/>
                <w:i w:val="0"/>
                <w:color w:val="212121"/>
                <w:sz w:val="16"/>
              </w:rPr>
              <w:t>Normal conduction, no denervation</w:t>
            </w:r>
          </w:p>
        </w:tc>
        <w:tc>
          <w:tcPr>
            <w:tcW w:type="dxa" w:w="950"/>
            <w:vAlign w:val="top"/>
          </w:tcPr>
          <w:p>
            <w:pPr>
              <w:spacing w:after="40" w:before="0" w:line="259" w:lineRule="auto"/>
            </w:pPr>
            <w:r>
              <w:rPr>
                <w:rFonts w:ascii="Calibri" w:hAnsi="Calibri"/>
                <w:b w:val="0"/>
                <w:i w:val="0"/>
                <w:color w:val="212121"/>
                <w:sz w:val="16"/>
              </w:rPr>
              <w:t>Radiculopathy pattern with denervation potentials</w:t>
            </w:r>
          </w:p>
        </w:tc>
        <w:tc>
          <w:tcPr>
            <w:tcW w:type="dxa" w:w="1036"/>
            <w:vAlign w:val="top"/>
          </w:tcPr>
          <w:p>
            <w:pPr>
              <w:spacing w:after="40" w:before="0" w:line="259" w:lineRule="auto"/>
            </w:pPr>
            <w:r>
              <w:rPr>
                <w:rFonts w:ascii="Calibri" w:hAnsi="Calibri"/>
                <w:b w:val="0"/>
                <w:i w:val="0"/>
                <w:color w:val="212121"/>
                <w:sz w:val="16"/>
              </w:rPr>
              <w:t>Confirms and localises nerve-root involvement and excludes peripheral neuropathy</w:t>
            </w:r>
          </w:p>
        </w:tc>
        <w:tc>
          <w:tcPr>
            <w:tcW w:type="dxa" w:w="1036"/>
            <w:vAlign w:val="top"/>
          </w:tcPr>
          <w:p>
            <w:pPr>
              <w:spacing w:after="40" w:before="0" w:line="259" w:lineRule="auto"/>
            </w:pPr>
            <w:r>
              <w:rPr>
                <w:rFonts w:ascii="Calibri" w:hAnsi="Calibri"/>
                <w:b w:val="0"/>
                <w:i w:val="0"/>
                <w:color w:val="212121"/>
                <w:sz w:val="16"/>
              </w:rPr>
              <w:t>Ambiguous, multilevel or diabetic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Useful when imaging and clinical findings are discordant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&amp; CRP</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Screen for infection (discitis/epidural abscess) or inflammatory cause in red-flag cases</w:t>
            </w:r>
          </w:p>
        </w:tc>
        <w:tc>
          <w:tcPr>
            <w:tcW w:type="dxa" w:w="1036"/>
            <w:vAlign w:val="top"/>
          </w:tcPr>
          <w:p>
            <w:pPr>
              <w:spacing w:after="40" w:before="0" w:line="259" w:lineRule="auto"/>
            </w:pPr>
            <w:r>
              <w:rPr>
                <w:rFonts w:ascii="Calibri" w:hAnsi="Calibri"/>
                <w:b w:val="0"/>
                <w:i w:val="0"/>
                <w:color w:val="212121"/>
                <w:sz w:val="16"/>
              </w:rPr>
              <w:t>Fever, night pain, immunosuppressed, IV drug use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 routine; ordered when red flags suggest a serious cause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 Vitamin D &amp; Calcium</w:t>
            </w:r>
          </w:p>
        </w:tc>
        <w:tc>
          <w:tcPr>
            <w:tcW w:type="dxa" w:w="892"/>
            <w:vAlign w:val="top"/>
          </w:tcPr>
          <w:p>
            <w:pPr>
              <w:spacing w:after="40" w:before="0" w:line="259" w:lineRule="auto"/>
            </w:pPr>
            <w:r>
              <w:rPr>
                <w:rFonts w:ascii="Calibri" w:hAnsi="Calibri"/>
                <w:b w:val="0"/>
                <w:i w:val="0"/>
                <w:color w:val="212121"/>
                <w:sz w:val="16"/>
              </w:rPr>
              <w:t>Bone panel</w:t>
            </w:r>
          </w:p>
        </w:tc>
        <w:tc>
          <w:tcPr>
            <w:tcW w:type="dxa" w:w="950"/>
            <w:vAlign w:val="top"/>
          </w:tcPr>
          <w:p>
            <w:pPr>
              <w:spacing w:after="40" w:before="0" w:line="259" w:lineRule="auto"/>
            </w:pPr>
            <w:r>
              <w:rPr>
                <w:rFonts w:ascii="Calibri" w:hAnsi="Calibri"/>
                <w:b w:val="0"/>
                <w:i w:val="0"/>
                <w:color w:val="212121"/>
                <w:sz w:val="16"/>
              </w:rPr>
              <w:t>25-OH-D &gt;= 30 ng/mL; normal calcium</w:t>
            </w:r>
          </w:p>
        </w:tc>
        <w:tc>
          <w:tcPr>
            <w:tcW w:type="dxa" w:w="950"/>
            <w:vAlign w:val="top"/>
          </w:tcPr>
          <w:p>
            <w:pPr>
              <w:spacing w:after="40" w:before="0" w:line="259" w:lineRule="auto"/>
            </w:pPr>
            <w:r>
              <w:rPr>
                <w:rFonts w:ascii="Calibri" w:hAnsi="Calibri"/>
                <w:b w:val="0"/>
                <w:i w:val="0"/>
                <w:color w:val="212121"/>
                <w:sz w:val="16"/>
              </w:rPr>
              <w:t>25-OH-D &lt; 20 ng/mL (deficiency)</w:t>
            </w:r>
          </w:p>
        </w:tc>
        <w:tc>
          <w:tcPr>
            <w:tcW w:type="dxa" w:w="1036"/>
            <w:vAlign w:val="top"/>
          </w:tcPr>
          <w:p>
            <w:pPr>
              <w:spacing w:after="40" w:before="0" w:line="259" w:lineRule="auto"/>
            </w:pPr>
            <w:r>
              <w:rPr>
                <w:rFonts w:ascii="Calibri" w:hAnsi="Calibri"/>
                <w:b w:val="0"/>
                <w:i w:val="0"/>
                <w:color w:val="212121"/>
                <w:sz w:val="16"/>
              </w:rPr>
              <w:t>Deficiency is common in India and associated with chronic back pain and myalgia; correct if low</w:t>
            </w:r>
          </w:p>
        </w:tc>
        <w:tc>
          <w:tcPr>
            <w:tcW w:type="dxa" w:w="1036"/>
            <w:vAlign w:val="top"/>
          </w:tcPr>
          <w:p>
            <w:pPr>
              <w:spacing w:after="40" w:before="0" w:line="259" w:lineRule="auto"/>
            </w:pPr>
            <w:r>
              <w:rPr>
                <w:rFonts w:ascii="Calibri" w:hAnsi="Calibri"/>
                <w:b w:val="0"/>
                <w:i w:val="0"/>
                <w:color w:val="212121"/>
                <w:sz w:val="16"/>
              </w:rPr>
              <w:t>Chronic LBP, elderly,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Addresses a modifiable contributor to pain and muscle weakness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Radicular leg pain, back pain, paraesthesia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Dermatomal pain radiating below the knee, worse on sitting/coughing/sneezing</w:t>
            </w:r>
          </w:p>
        </w:tc>
        <w:tc>
          <w:tcPr>
            <w:tcW w:type="dxa" w:w="1036"/>
            <w:vAlign w:val="top"/>
          </w:tcPr>
          <w:p>
            <w:pPr>
              <w:spacing w:after="40" w:before="0" w:line="259" w:lineRule="auto"/>
            </w:pPr>
            <w:r>
              <w:rPr>
                <w:rFonts w:ascii="Calibri" w:hAnsi="Calibri"/>
                <w:b w:val="0"/>
                <w:i w:val="0"/>
                <w:color w:val="212121"/>
                <w:sz w:val="16"/>
              </w:rPr>
              <w:t>Hallmark presentation of nerve-root compression by a prolapsed disc</w:t>
            </w:r>
          </w:p>
        </w:tc>
        <w:tc>
          <w:tcPr>
            <w:tcW w:type="dxa" w:w="1036"/>
            <w:vAlign w:val="top"/>
          </w:tcPr>
          <w:p>
            <w:pPr>
              <w:spacing w:after="40" w:before="0" w:line="259" w:lineRule="auto"/>
            </w:pPr>
            <w:r>
              <w:rPr>
                <w:rFonts w:ascii="Calibri" w:hAnsi="Calibri"/>
                <w:b w:val="0"/>
                <w:i w:val="0"/>
                <w:color w:val="212121"/>
                <w:sz w:val="16"/>
              </w:rPr>
              <w:t>Adults with sciatica</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Leg pain worse than back pain favours radiculopathy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Provocative test</w:t>
            </w:r>
          </w:p>
        </w:tc>
        <w:tc>
          <w:tcPr>
            <w:tcW w:type="dxa" w:w="950"/>
            <w:vAlign w:val="top"/>
          </w:tcPr>
          <w:p>
            <w:pPr>
              <w:spacing w:after="40" w:before="0" w:line="259" w:lineRule="auto"/>
            </w:pPr>
            <w:r>
              <w:rPr>
                <w:rFonts w:ascii="Calibri" w:hAnsi="Calibri"/>
                <w:b w:val="0"/>
                <w:i w:val="0"/>
                <w:color w:val="212121"/>
                <w:sz w:val="16"/>
              </w:rPr>
              <w:t>Straight-leg-raise (Lasegue) test</w:t>
            </w:r>
          </w:p>
        </w:tc>
        <w:tc>
          <w:tcPr>
            <w:tcW w:type="dxa" w:w="979"/>
            <w:vAlign w:val="top"/>
          </w:tcPr>
          <w:p>
            <w:pPr>
              <w:spacing w:after="40" w:before="0" w:line="259" w:lineRule="auto"/>
            </w:pPr>
            <w:r>
              <w:rPr>
                <w:rFonts w:ascii="Calibri" w:hAnsi="Calibri"/>
                <w:b w:val="0"/>
                <w:i w:val="0"/>
                <w:color w:val="212121"/>
                <w:sz w:val="16"/>
              </w:rPr>
              <w:t>SLR angle and radicular reproduction</w:t>
            </w:r>
          </w:p>
        </w:tc>
        <w:tc>
          <w:tcPr>
            <w:tcW w:type="dxa" w:w="950"/>
            <w:vAlign w:val="top"/>
          </w:tcPr>
          <w:p>
            <w:pPr>
              <w:spacing w:after="40" w:before="0" w:line="259" w:lineRule="auto"/>
            </w:pPr>
            <w:r>
              <w:rPr>
                <w:rFonts w:ascii="Calibri" w:hAnsi="Calibri"/>
                <w:b w:val="0"/>
                <w:i w:val="0"/>
                <w:color w:val="212121"/>
                <w:sz w:val="16"/>
              </w:rPr>
              <w:t>No radicular pain to ~70 degrees</w:t>
            </w:r>
          </w:p>
        </w:tc>
        <w:tc>
          <w:tcPr>
            <w:tcW w:type="dxa" w:w="950"/>
            <w:vAlign w:val="top"/>
          </w:tcPr>
          <w:p>
            <w:pPr>
              <w:spacing w:after="40" w:before="0" w:line="259" w:lineRule="auto"/>
            </w:pPr>
            <w:r>
              <w:rPr>
                <w:rFonts w:ascii="Calibri" w:hAnsi="Calibri"/>
                <w:b w:val="0"/>
                <w:i w:val="0"/>
                <w:color w:val="212121"/>
                <w:sz w:val="16"/>
              </w:rPr>
              <w:t>Radicular pain at 30-70 degrees; positive crossed SLR</w:t>
            </w:r>
          </w:p>
        </w:tc>
        <w:tc>
          <w:tcPr>
            <w:tcW w:type="dxa" w:w="1036"/>
            <w:vAlign w:val="top"/>
          </w:tcPr>
          <w:p>
            <w:pPr>
              <w:spacing w:after="40" w:before="0" w:line="259" w:lineRule="auto"/>
            </w:pPr>
            <w:r>
              <w:rPr>
                <w:rFonts w:ascii="Calibri" w:hAnsi="Calibri"/>
                <w:b w:val="0"/>
                <w:i w:val="0"/>
                <w:color w:val="212121"/>
                <w:sz w:val="16"/>
              </w:rPr>
              <w:t>Indicates lumbosacral nerve-root tension from disc herniation</w:t>
            </w:r>
          </w:p>
        </w:tc>
        <w:tc>
          <w:tcPr>
            <w:tcW w:type="dxa" w:w="1036"/>
            <w:vAlign w:val="top"/>
          </w:tcPr>
          <w:p>
            <w:pPr>
              <w:spacing w:after="40" w:before="0" w:line="259" w:lineRule="auto"/>
            </w:pPr>
            <w:r>
              <w:rPr>
                <w:rFonts w:ascii="Calibri" w:hAnsi="Calibri"/>
                <w:b w:val="0"/>
                <w:i w:val="0"/>
                <w:color w:val="212121"/>
                <w:sz w:val="16"/>
              </w:rPr>
              <w:t>L5/S1 radiculopathy</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Crossed (contralateral) SLR is highly specific for herniation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w:t>
            </w:r>
          </w:p>
        </w:tc>
        <w:tc>
          <w:tcPr>
            <w:tcW w:type="dxa" w:w="950"/>
            <w:vAlign w:val="top"/>
          </w:tcPr>
          <w:p>
            <w:pPr>
              <w:spacing w:after="40" w:before="0" w:line="259" w:lineRule="auto"/>
            </w:pPr>
            <w:r>
              <w:rPr>
                <w:rFonts w:ascii="Calibri" w:hAnsi="Calibri"/>
                <w:b w:val="0"/>
                <w:i w:val="0"/>
                <w:color w:val="212121"/>
                <w:sz w:val="16"/>
              </w:rPr>
              <w:t>Motor, sensory &amp; reflex assessment</w:t>
            </w:r>
          </w:p>
        </w:tc>
        <w:tc>
          <w:tcPr>
            <w:tcW w:type="dxa" w:w="979"/>
            <w:vAlign w:val="top"/>
          </w:tcPr>
          <w:p>
            <w:pPr>
              <w:spacing w:after="40" w:before="0" w:line="259" w:lineRule="auto"/>
            </w:pPr>
            <w:r>
              <w:rPr>
                <w:rFonts w:ascii="Calibri" w:hAnsi="Calibri"/>
                <w:b w:val="0"/>
                <w:i w:val="0"/>
                <w:color w:val="212121"/>
                <w:sz w:val="16"/>
              </w:rPr>
              <w:t>Dermatome, myotome and reflex status</w:t>
            </w:r>
          </w:p>
        </w:tc>
        <w:tc>
          <w:tcPr>
            <w:tcW w:type="dxa" w:w="950"/>
            <w:vAlign w:val="top"/>
          </w:tcPr>
          <w:p>
            <w:pPr>
              <w:spacing w:after="40" w:before="0" w:line="259" w:lineRule="auto"/>
            </w:pPr>
            <w:r>
              <w:rPr>
                <w:rFonts w:ascii="Calibri" w:hAnsi="Calibri"/>
                <w:b w:val="0"/>
                <w:i w:val="0"/>
                <w:color w:val="212121"/>
                <w:sz w:val="16"/>
              </w:rPr>
              <w:t>Intact power, sensation and reflexes</w:t>
            </w:r>
          </w:p>
        </w:tc>
        <w:tc>
          <w:tcPr>
            <w:tcW w:type="dxa" w:w="950"/>
            <w:vAlign w:val="top"/>
          </w:tcPr>
          <w:p>
            <w:pPr>
              <w:spacing w:after="40" w:before="0" w:line="259" w:lineRule="auto"/>
            </w:pPr>
            <w:r>
              <w:rPr>
                <w:rFonts w:ascii="Calibri" w:hAnsi="Calibri"/>
                <w:b w:val="0"/>
                <w:i w:val="0"/>
                <w:color w:val="212121"/>
                <w:sz w:val="16"/>
              </w:rPr>
              <w:t>Dermatomal sensory loss, myotomal weakness, absent ankle/knee jerk</w:t>
            </w:r>
          </w:p>
        </w:tc>
        <w:tc>
          <w:tcPr>
            <w:tcW w:type="dxa" w:w="1036"/>
            <w:vAlign w:val="top"/>
          </w:tcPr>
          <w:p>
            <w:pPr>
              <w:spacing w:after="40" w:before="0" w:line="259" w:lineRule="auto"/>
            </w:pPr>
            <w:r>
              <w:rPr>
                <w:rFonts w:ascii="Calibri" w:hAnsi="Calibri"/>
                <w:b w:val="0"/>
                <w:i w:val="0"/>
                <w:color w:val="212121"/>
                <w:sz w:val="16"/>
              </w:rPr>
              <w:t>Localises the affected root (e.g., S1 = absent ankle jerk and weak plantar flexion; L5 = weak great-toe extension)</w:t>
            </w:r>
          </w:p>
        </w:tc>
        <w:tc>
          <w:tcPr>
            <w:tcW w:type="dxa" w:w="1036"/>
            <w:vAlign w:val="top"/>
          </w:tcPr>
          <w:p>
            <w:pPr>
              <w:spacing w:after="40" w:before="0" w:line="259" w:lineRule="auto"/>
            </w:pPr>
            <w:r>
              <w:rPr>
                <w:rFonts w:ascii="Calibri" w:hAnsi="Calibri"/>
                <w:b w:val="0"/>
                <w:i w:val="0"/>
                <w:color w:val="212121"/>
                <w:sz w:val="16"/>
              </w:rPr>
              <w:t>All suspected radiculopathy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Document a baseline; new/progressive deficit changes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Red-flag screen</w:t>
            </w:r>
          </w:p>
        </w:tc>
        <w:tc>
          <w:tcPr>
            <w:tcW w:type="dxa" w:w="950"/>
            <w:vAlign w:val="top"/>
          </w:tcPr>
          <w:p>
            <w:pPr>
              <w:spacing w:after="40" w:before="0" w:line="259" w:lineRule="auto"/>
            </w:pPr>
            <w:r>
              <w:rPr>
                <w:rFonts w:ascii="Calibri" w:hAnsi="Calibri"/>
                <w:b w:val="0"/>
                <w:i w:val="0"/>
                <w:color w:val="212121"/>
                <w:sz w:val="16"/>
              </w:rPr>
              <w:t>Cauda equina screen</w:t>
            </w:r>
          </w:p>
        </w:tc>
        <w:tc>
          <w:tcPr>
            <w:tcW w:type="dxa" w:w="979"/>
            <w:vAlign w:val="top"/>
          </w:tcPr>
          <w:p>
            <w:pPr>
              <w:spacing w:after="40" w:before="0" w:line="259" w:lineRule="auto"/>
            </w:pPr>
            <w:r>
              <w:rPr>
                <w:rFonts w:ascii="Calibri" w:hAnsi="Calibri"/>
                <w:b w:val="0"/>
                <w:i w:val="0"/>
                <w:color w:val="212121"/>
                <w:sz w:val="16"/>
              </w:rPr>
              <w:t>Bladder/bowel function, saddle sensation, bilateral symptoms</w:t>
            </w:r>
          </w:p>
        </w:tc>
        <w:tc>
          <w:tcPr>
            <w:tcW w:type="dxa" w:w="950"/>
            <w:vAlign w:val="top"/>
          </w:tcPr>
          <w:p>
            <w:pPr>
              <w:spacing w:after="40" w:before="0" w:line="259" w:lineRule="auto"/>
            </w:pPr>
            <w:r>
              <w:rPr>
                <w:rFonts w:ascii="Calibri" w:hAnsi="Calibri"/>
                <w:b w:val="0"/>
                <w:i w:val="0"/>
                <w:color w:val="212121"/>
                <w:sz w:val="16"/>
              </w:rPr>
              <w:t>Normal continence and perineal sensation</w:t>
            </w:r>
          </w:p>
        </w:tc>
        <w:tc>
          <w:tcPr>
            <w:tcW w:type="dxa" w:w="950"/>
            <w:vAlign w:val="top"/>
          </w:tcPr>
          <w:p>
            <w:pPr>
              <w:spacing w:after="40" w:before="0" w:line="259" w:lineRule="auto"/>
            </w:pPr>
            <w:r>
              <w:rPr>
                <w:rFonts w:ascii="Calibri" w:hAnsi="Calibri"/>
                <w:b w:val="0"/>
                <w:i w:val="0"/>
                <w:color w:val="212121"/>
                <w:sz w:val="16"/>
              </w:rPr>
              <w:t>Saddle anaesthesia, urinary retention/incontinence, bilateral sciatica, lax anal tone</w:t>
            </w:r>
          </w:p>
        </w:tc>
        <w:tc>
          <w:tcPr>
            <w:tcW w:type="dxa" w:w="1036"/>
            <w:vAlign w:val="top"/>
          </w:tcPr>
          <w:p>
            <w:pPr>
              <w:spacing w:after="40" w:before="0" w:line="259" w:lineRule="auto"/>
            </w:pPr>
            <w:r>
              <w:rPr>
                <w:rFonts w:ascii="Calibri" w:hAnsi="Calibri"/>
                <w:b w:val="0"/>
                <w:i w:val="0"/>
                <w:color w:val="212121"/>
                <w:sz w:val="16"/>
              </w:rPr>
              <w:t>Cauda equina syndrome - a surgical emergency; disc herniation causes ~45% of cases and CES complicates ~3% of herniations</w:t>
            </w:r>
          </w:p>
        </w:tc>
        <w:tc>
          <w:tcPr>
            <w:tcW w:type="dxa" w:w="1036"/>
            <w:vAlign w:val="top"/>
          </w:tcPr>
          <w:p>
            <w:pPr>
              <w:spacing w:after="40" w:before="0" w:line="259" w:lineRule="auto"/>
            </w:pPr>
            <w:r>
              <w:rPr>
                <w:rFonts w:ascii="Calibri" w:hAnsi="Calibri"/>
                <w:b w:val="0"/>
                <w:i w:val="0"/>
                <w:color w:val="212121"/>
                <w:sz w:val="16"/>
              </w:rPr>
              <w:t>Any acute severe prolapse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Requires emergency MRI and decompression, ideally within 48 hours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activity history</w:t>
            </w:r>
          </w:p>
        </w:tc>
        <w:tc>
          <w:tcPr>
            <w:tcW w:type="dxa" w:w="979"/>
            <w:vAlign w:val="top"/>
          </w:tcPr>
          <w:p>
            <w:pPr>
              <w:spacing w:after="40" w:before="0" w:line="259" w:lineRule="auto"/>
            </w:pPr>
            <w:r>
              <w:rPr>
                <w:rFonts w:ascii="Calibri" w:hAnsi="Calibri"/>
                <w:b w:val="0"/>
                <w:i w:val="0"/>
                <w:color w:val="212121"/>
                <w:sz w:val="16"/>
              </w:rPr>
              <w:t>Lifting, sitting, driving and vibration exposure</w:t>
            </w:r>
          </w:p>
        </w:tc>
        <w:tc>
          <w:tcPr>
            <w:tcW w:type="dxa" w:w="950"/>
            <w:vAlign w:val="top"/>
          </w:tcPr>
          <w:p>
            <w:pPr>
              <w:spacing w:after="40" w:before="0" w:line="259" w:lineRule="auto"/>
            </w:pPr>
            <w:r>
              <w:rPr>
                <w:rFonts w:ascii="Calibri" w:hAnsi="Calibri"/>
                <w:b w:val="0"/>
                <w:i w:val="0"/>
                <w:color w:val="212121"/>
                <w:sz w:val="16"/>
              </w:rPr>
              <w:t>Ergonomic, physically active</w:t>
            </w:r>
          </w:p>
        </w:tc>
        <w:tc>
          <w:tcPr>
            <w:tcW w:type="dxa" w:w="950"/>
            <w:vAlign w:val="top"/>
          </w:tcPr>
          <w:p>
            <w:pPr>
              <w:spacing w:after="40" w:before="0" w:line="259" w:lineRule="auto"/>
            </w:pPr>
            <w:r>
              <w:rPr>
                <w:rFonts w:ascii="Calibri" w:hAnsi="Calibri"/>
                <w:b w:val="0"/>
                <w:i w:val="0"/>
                <w:color w:val="212121"/>
                <w:sz w:val="16"/>
              </w:rPr>
              <w:t>Heavy manual work, prolonged driving/sitting, poor lifting technique</w:t>
            </w:r>
          </w:p>
        </w:tc>
        <w:tc>
          <w:tcPr>
            <w:tcW w:type="dxa" w:w="1036"/>
            <w:vAlign w:val="top"/>
          </w:tcPr>
          <w:p>
            <w:pPr>
              <w:spacing w:after="40" w:before="0" w:line="259" w:lineRule="auto"/>
            </w:pPr>
            <w:r>
              <w:rPr>
                <w:rFonts w:ascii="Calibri" w:hAnsi="Calibri"/>
                <w:b w:val="0"/>
                <w:i w:val="0"/>
                <w:color w:val="212121"/>
                <w:sz w:val="16"/>
              </w:rPr>
              <w:t>Identifies modifiable mechanical drivers to target with ergonomic advice</w:t>
            </w:r>
          </w:p>
        </w:tc>
        <w:tc>
          <w:tcPr>
            <w:tcW w:type="dxa" w:w="1036"/>
            <w:vAlign w:val="top"/>
          </w:tcPr>
          <w:p>
            <w:pPr>
              <w:spacing w:after="40" w:before="0" w:line="259" w:lineRule="auto"/>
            </w:pPr>
            <w:r>
              <w:rPr>
                <w:rFonts w:ascii="Calibri" w:hAnsi="Calibri"/>
                <w:b w:val="0"/>
                <w:i w:val="0"/>
                <w:color w:val="212121"/>
                <w:sz w:val="16"/>
              </w:rPr>
              <w:t>Manual workers, drivers, IT staff</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return-to-work and ergonomic modification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Gait, posture &amp; spine examination</w:t>
            </w:r>
          </w:p>
        </w:tc>
        <w:tc>
          <w:tcPr>
            <w:tcW w:type="dxa" w:w="979"/>
            <w:vAlign w:val="top"/>
          </w:tcPr>
          <w:p>
            <w:pPr>
              <w:spacing w:after="40" w:before="0" w:line="259" w:lineRule="auto"/>
            </w:pPr>
            <w:r>
              <w:rPr>
                <w:rFonts w:ascii="Calibri" w:hAnsi="Calibri"/>
                <w:b w:val="0"/>
                <w:i w:val="0"/>
                <w:color w:val="212121"/>
                <w:sz w:val="16"/>
              </w:rPr>
              <w:t>Gait, lumbar range of motion, paraspinal tone</w:t>
            </w:r>
          </w:p>
        </w:tc>
        <w:tc>
          <w:tcPr>
            <w:tcW w:type="dxa" w:w="950"/>
            <w:vAlign w:val="top"/>
          </w:tcPr>
          <w:p>
            <w:pPr>
              <w:spacing w:after="40" w:before="0" w:line="259" w:lineRule="auto"/>
            </w:pPr>
            <w:r>
              <w:rPr>
                <w:rFonts w:ascii="Calibri" w:hAnsi="Calibri"/>
                <w:b w:val="0"/>
                <w:i w:val="0"/>
                <w:color w:val="212121"/>
                <w:sz w:val="16"/>
              </w:rPr>
              <w:t>Normal gait and mobility</w:t>
            </w:r>
          </w:p>
        </w:tc>
        <w:tc>
          <w:tcPr>
            <w:tcW w:type="dxa" w:w="950"/>
            <w:vAlign w:val="top"/>
          </w:tcPr>
          <w:p>
            <w:pPr>
              <w:spacing w:after="40" w:before="0" w:line="259" w:lineRule="auto"/>
            </w:pPr>
            <w:r>
              <w:rPr>
                <w:rFonts w:ascii="Calibri" w:hAnsi="Calibri"/>
                <w:b w:val="0"/>
                <w:i w:val="0"/>
                <w:color w:val="212121"/>
                <w:sz w:val="16"/>
              </w:rPr>
              <w:t>Antalgic gait, sciatic list/scoliosis, paraspinal spasm, restricted forward flexion</w:t>
            </w:r>
          </w:p>
        </w:tc>
        <w:tc>
          <w:tcPr>
            <w:tcW w:type="dxa" w:w="1036"/>
            <w:vAlign w:val="top"/>
          </w:tcPr>
          <w:p>
            <w:pPr>
              <w:spacing w:after="40" w:before="0" w:line="259" w:lineRule="auto"/>
            </w:pPr>
            <w:r>
              <w:rPr>
                <w:rFonts w:ascii="Calibri" w:hAnsi="Calibri"/>
                <w:b w:val="0"/>
                <w:i w:val="0"/>
                <w:color w:val="212121"/>
                <w:sz w:val="16"/>
              </w:rPr>
              <w:t>Objective signs of acute discogenic radiculopathy and nerve-root irritation</w:t>
            </w:r>
          </w:p>
        </w:tc>
        <w:tc>
          <w:tcPr>
            <w:tcW w:type="dxa" w:w="1036"/>
            <w:vAlign w:val="top"/>
          </w:tcPr>
          <w:p>
            <w:pPr>
              <w:spacing w:after="40" w:before="0" w:line="259" w:lineRule="auto"/>
            </w:pPr>
            <w:r>
              <w:rPr>
                <w:rFonts w:ascii="Calibri" w:hAnsi="Calibri"/>
                <w:b w:val="0"/>
                <w:i w:val="0"/>
                <w:color w:val="212121"/>
                <w:sz w:val="16"/>
              </w:rPr>
              <w:t>Acute prolapse</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Look specifically for a foot-drop (high-stepping) gait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Low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Aching or sharp pain in the lower back, often the initial symptom before leg pain develops.</w:t>
            </w:r>
          </w:p>
        </w:tc>
      </w:tr>
      <w:tr>
        <w:trPr>
          <w:cantSplit/>
        </w:trPr>
        <w:tc>
          <w:tcPr>
            <w:tcW w:type="dxa" w:w="2304"/>
            <w:vAlign w:val="top"/>
          </w:tcPr>
          <w:p>
            <w:pPr>
              <w:spacing w:after="40" w:before="0" w:line="259" w:lineRule="auto"/>
            </w:pPr>
            <w:r>
              <w:rPr>
                <w:rFonts w:ascii="Calibri" w:hAnsi="Calibri"/>
                <w:b/>
                <w:i w:val="0"/>
                <w:color w:val="212121"/>
                <w:sz w:val="19"/>
              </w:rPr>
              <w:t>Sciatica (radicular leg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Sharp, shooting or burning pain radiating from the buttock down the back or side of the leg, typically below the knee.</w:t>
            </w:r>
          </w:p>
        </w:tc>
      </w:tr>
      <w:tr>
        <w:trPr>
          <w:cantSplit/>
        </w:trPr>
        <w:tc>
          <w:tcPr>
            <w:tcW w:type="dxa" w:w="2304"/>
            <w:vAlign w:val="top"/>
          </w:tcPr>
          <w:p>
            <w:pPr>
              <w:spacing w:after="40" w:before="0" w:line="259" w:lineRule="auto"/>
            </w:pPr>
            <w:r>
              <w:rPr>
                <w:rFonts w:ascii="Calibri" w:hAnsi="Calibri"/>
                <w:b/>
                <w:i w:val="0"/>
                <w:color w:val="212121"/>
                <w:sz w:val="19"/>
              </w:rPr>
              <w:t>Dermatomal numbness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sensation along the territory of the compressed nerve root (e.g., outer leg and great toe for L5).</w:t>
            </w:r>
          </w:p>
        </w:tc>
      </w:tr>
      <w:tr>
        <w:trPr>
          <w:cantSplit/>
        </w:trPr>
        <w:tc>
          <w:tcPr>
            <w:tcW w:type="dxa" w:w="2304"/>
            <w:vAlign w:val="top"/>
          </w:tcPr>
          <w:p>
            <w:pPr>
              <w:spacing w:after="40" w:before="0" w:line="259" w:lineRule="auto"/>
            </w:pPr>
            <w:r>
              <w:rPr>
                <w:rFonts w:ascii="Calibri" w:hAnsi="Calibri"/>
                <w:b/>
                <w:i w:val="0"/>
                <w:color w:val="212121"/>
                <w:sz w:val="19"/>
              </w:rPr>
              <w:t>Tingling / paraesthesia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Pins-and-needles in the leg or foot corresponding to the affected nerve root.</w:t>
            </w:r>
          </w:p>
        </w:tc>
      </w:tr>
      <w:tr>
        <w:trPr>
          <w:cantSplit/>
        </w:trPr>
        <w:tc>
          <w:tcPr>
            <w:tcW w:type="dxa" w:w="2304"/>
            <w:vAlign w:val="top"/>
          </w:tcPr>
          <w:p>
            <w:pPr>
              <w:spacing w:after="40" w:before="0" w:line="259" w:lineRule="auto"/>
            </w:pPr>
            <w:r>
              <w:rPr>
                <w:rFonts w:ascii="Calibri" w:hAnsi="Calibri"/>
                <w:b/>
                <w:i w:val="0"/>
                <w:color w:val="212121"/>
                <w:sz w:val="19"/>
              </w:rPr>
              <w:t>Pain worse on sitting, bending, coughing or sneezing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Manoeuvres that raise intradiscal or intrathecal pressure aggravate the radicular pain.</w:t>
            </w:r>
          </w:p>
        </w:tc>
      </w:tr>
      <w:tr>
        <w:trPr>
          <w:cantSplit/>
        </w:trPr>
        <w:tc>
          <w:tcPr>
            <w:tcW w:type="dxa" w:w="2304"/>
            <w:vAlign w:val="top"/>
          </w:tcPr>
          <w:p>
            <w:pPr>
              <w:spacing w:after="40" w:before="0" w:line="259" w:lineRule="auto"/>
            </w:pPr>
            <w:r>
              <w:rPr>
                <w:rFonts w:ascii="Calibri" w:hAnsi="Calibri"/>
                <w:b/>
                <w:i w:val="0"/>
                <w:color w:val="212121"/>
                <w:sz w:val="19"/>
              </w:rPr>
              <w:t>Muscle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Weakness in a myotomal pattern, e.g., difficulty rising on tip-toe (S1) or heel-walking (L5).</w:t>
            </w:r>
          </w:p>
        </w:tc>
      </w:tr>
      <w:tr>
        <w:trPr>
          <w:cantSplit/>
        </w:trPr>
        <w:tc>
          <w:tcPr>
            <w:tcW w:type="dxa" w:w="2304"/>
            <w:vAlign w:val="top"/>
          </w:tcPr>
          <w:p>
            <w:pPr>
              <w:spacing w:after="40" w:before="0" w:line="259" w:lineRule="auto"/>
            </w:pPr>
            <w:r>
              <w:rPr>
                <w:rFonts w:ascii="Calibri" w:hAnsi="Calibri"/>
                <w:b/>
                <w:i w:val="0"/>
                <w:color w:val="212121"/>
                <w:sz w:val="19"/>
              </w:rPr>
              <w:t>Buttock and posterior thigh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Deep gluteal and hamstring-region pain from proximal sciatic/nerve-root irritation.</w:t>
            </w:r>
          </w:p>
        </w:tc>
      </w:tr>
      <w:tr>
        <w:trPr>
          <w:cantSplit/>
        </w:trPr>
        <w:tc>
          <w:tcPr>
            <w:tcW w:type="dxa" w:w="2304"/>
            <w:vAlign w:val="top"/>
          </w:tcPr>
          <w:p>
            <w:pPr>
              <w:spacing w:after="40" w:before="0" w:line="259" w:lineRule="auto"/>
            </w:pPr>
            <w:r>
              <w:rPr>
                <w:rFonts w:ascii="Calibri" w:hAnsi="Calibri"/>
                <w:b/>
                <w:i w:val="0"/>
                <w:color w:val="212121"/>
                <w:sz w:val="19"/>
              </w:rPr>
              <w:t>Foot drop</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Weak ankle dorsiflexion causing a dragging foot - indicates significant L5 motor involvement.</w:t>
            </w:r>
          </w:p>
        </w:tc>
      </w:tr>
      <w:tr>
        <w:trPr>
          <w:cantSplit/>
        </w:trPr>
        <w:tc>
          <w:tcPr>
            <w:tcW w:type="dxa" w:w="2304"/>
            <w:vAlign w:val="top"/>
          </w:tcPr>
          <w:p>
            <w:pPr>
              <w:spacing w:after="40" w:before="0" w:line="259" w:lineRule="auto"/>
            </w:pPr>
            <w:r>
              <w:rPr>
                <w:rFonts w:ascii="Calibri" w:hAnsi="Calibri"/>
                <w:b/>
                <w:i w:val="0"/>
                <w:color w:val="212121"/>
                <w:sz w:val="19"/>
              </w:rPr>
              <w:t>Night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 disturbing sleep; persistent unremitting night pain is also a red flag warranting evaluation.</w:t>
            </w:r>
          </w:p>
        </w:tc>
      </w:tr>
      <w:tr>
        <w:trPr>
          <w:cantSplit/>
        </w:trPr>
        <w:tc>
          <w:tcPr>
            <w:tcW w:type="dxa" w:w="2304"/>
            <w:vAlign w:val="top"/>
          </w:tcPr>
          <w:p>
            <w:pPr>
              <w:spacing w:after="40" w:before="0" w:line="259" w:lineRule="auto"/>
            </w:pPr>
            <w:r>
              <w:rPr>
                <w:rFonts w:ascii="Calibri" w:hAnsi="Calibri"/>
                <w:b/>
                <w:i w:val="0"/>
                <w:color w:val="212121"/>
                <w:sz w:val="19"/>
              </w:rPr>
              <w:t>Bladder or bowel dysfunction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Urinary retention/incontinence or faecal incontinence signals cauda equina syndrome - a surgical emergency.</w:t>
            </w:r>
          </w:p>
        </w:tc>
      </w:tr>
      <w:tr>
        <w:trPr>
          <w:cantSplit/>
        </w:trPr>
        <w:tc>
          <w:tcPr>
            <w:tcW w:type="dxa" w:w="2304"/>
            <w:vAlign w:val="top"/>
          </w:tcPr>
          <w:p>
            <w:pPr>
              <w:spacing w:after="40" w:before="0" w:line="259" w:lineRule="auto"/>
            </w:pPr>
            <w:r>
              <w:rPr>
                <w:rFonts w:ascii="Calibri" w:hAnsi="Calibri"/>
                <w:b/>
                <w:i w:val="0"/>
                <w:color w:val="212121"/>
                <w:sz w:val="19"/>
              </w:rPr>
              <w:t>Saddle (perineal) numbness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Loss of sensation over the buttocks, inner thighs and perineum - a cardinal cauda equina feature.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Positive straight-leg-raise (Lasegue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Reproduction of radicular pain at 30-70 degrees of passive hip flexion - sensitive for L4-S1 disc herniation.</w:t>
            </w:r>
          </w:p>
        </w:tc>
      </w:tr>
      <w:tr>
        <w:trPr>
          <w:cantSplit/>
        </w:trPr>
        <w:tc>
          <w:tcPr>
            <w:tcW w:type="dxa" w:w="3456"/>
            <w:vAlign w:val="top"/>
          </w:tcPr>
          <w:p>
            <w:pPr>
              <w:spacing w:after="40" w:before="0" w:line="259" w:lineRule="auto"/>
            </w:pPr>
            <w:r>
              <w:rPr>
                <w:rFonts w:ascii="Calibri" w:hAnsi="Calibri"/>
                <w:b/>
                <w:i w:val="0"/>
                <w:color w:val="212121"/>
                <w:sz w:val="19"/>
              </w:rPr>
              <w:t>Crossed straight-leg-raise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Pain in the affected leg on raising the opposite leg - highly specific for disc herniation.</w:t>
            </w:r>
          </w:p>
        </w:tc>
      </w:tr>
      <w:tr>
        <w:trPr>
          <w:cantSplit/>
        </w:trPr>
        <w:tc>
          <w:tcPr>
            <w:tcW w:type="dxa" w:w="3456"/>
            <w:vAlign w:val="top"/>
          </w:tcPr>
          <w:p>
            <w:pPr>
              <w:spacing w:after="40" w:before="0" w:line="259" w:lineRule="auto"/>
            </w:pPr>
            <w:r>
              <w:rPr>
                <w:rFonts w:ascii="Calibri" w:hAnsi="Calibri"/>
                <w:b/>
                <w:i w:val="0"/>
                <w:color w:val="212121"/>
                <w:sz w:val="19"/>
              </w:rPr>
              <w:t>Dermatomal sensory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Diminished pinprick or light touch in the affected nerve-root territory.</w:t>
            </w:r>
          </w:p>
        </w:tc>
      </w:tr>
      <w:tr>
        <w:trPr>
          <w:cantSplit/>
        </w:trPr>
        <w:tc>
          <w:tcPr>
            <w:tcW w:type="dxa" w:w="3456"/>
            <w:vAlign w:val="top"/>
          </w:tcPr>
          <w:p>
            <w:pPr>
              <w:spacing w:after="40" w:before="0" w:line="259" w:lineRule="auto"/>
            </w:pPr>
            <w:r>
              <w:rPr>
                <w:rFonts w:ascii="Calibri" w:hAnsi="Calibri"/>
                <w:b/>
                <w:i w:val="0"/>
                <w:color w:val="212121"/>
                <w:sz w:val="19"/>
              </w:rPr>
              <w:t>Myotomal motor weakness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Weak plantar flexion (S1), dorsiflexion/great-toe extension (L5) or quadriceps (L3-L4).</w:t>
            </w:r>
          </w:p>
        </w:tc>
      </w:tr>
      <w:tr>
        <w:trPr>
          <w:cantSplit/>
        </w:trPr>
        <w:tc>
          <w:tcPr>
            <w:tcW w:type="dxa" w:w="3456"/>
            <w:vAlign w:val="top"/>
          </w:tcPr>
          <w:p>
            <w:pPr>
              <w:spacing w:after="40" w:before="0" w:line="259" w:lineRule="auto"/>
            </w:pPr>
            <w:r>
              <w:rPr>
                <w:rFonts w:ascii="Calibri" w:hAnsi="Calibri"/>
                <w:b/>
                <w:i w:val="0"/>
                <w:color w:val="212121"/>
                <w:sz w:val="19"/>
              </w:rPr>
              <w:t>Diminished or absent reflexes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ankle jerk (S1) or knee jerk (L3-L4) on the affected side.</w:t>
            </w:r>
          </w:p>
        </w:tc>
      </w:tr>
      <w:tr>
        <w:trPr>
          <w:cantSplit/>
        </w:trPr>
        <w:tc>
          <w:tcPr>
            <w:tcW w:type="dxa" w:w="3456"/>
            <w:vAlign w:val="top"/>
          </w:tcPr>
          <w:p>
            <w:pPr>
              <w:spacing w:after="40" w:before="0" w:line="259" w:lineRule="auto"/>
            </w:pPr>
            <w:r>
              <w:rPr>
                <w:rFonts w:ascii="Calibri" w:hAnsi="Calibri"/>
                <w:b/>
                <w:i w:val="0"/>
                <w:color w:val="212121"/>
                <w:sz w:val="19"/>
              </w:rPr>
              <w:t>Antalgic gait and sciatic list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Patient leans away from the painful side with a guarded, short-stride gait.</w:t>
            </w:r>
          </w:p>
        </w:tc>
      </w:tr>
      <w:tr>
        <w:trPr>
          <w:cantSplit/>
        </w:trPr>
        <w:tc>
          <w:tcPr>
            <w:tcW w:type="dxa" w:w="3456"/>
            <w:vAlign w:val="top"/>
          </w:tcPr>
          <w:p>
            <w:pPr>
              <w:spacing w:after="40" w:before="0" w:line="259" w:lineRule="auto"/>
            </w:pPr>
            <w:r>
              <w:rPr>
                <w:rFonts w:ascii="Calibri" w:hAnsi="Calibri"/>
                <w:b/>
                <w:i w:val="0"/>
                <w:color w:val="212121"/>
                <w:sz w:val="19"/>
              </w:rPr>
              <w:t>Paraspinal muscle spasm &amp; restricted flexion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lumbar spasm with markedly reduced forward bending.</w:t>
            </w:r>
          </w:p>
        </w:tc>
      </w:tr>
      <w:tr>
        <w:trPr>
          <w:cantSplit/>
        </w:trPr>
        <w:tc>
          <w:tcPr>
            <w:tcW w:type="dxa" w:w="3456"/>
            <w:vAlign w:val="top"/>
          </w:tcPr>
          <w:p>
            <w:pPr>
              <w:spacing w:after="40" w:before="0" w:line="259" w:lineRule="auto"/>
            </w:pPr>
            <w:r>
              <w:rPr>
                <w:rFonts w:ascii="Calibri" w:hAnsi="Calibri"/>
                <w:b/>
                <w:i w:val="0"/>
                <w:color w:val="212121"/>
                <w:sz w:val="19"/>
              </w:rPr>
              <w:t>Positive femoral stretch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Anterior thigh pain on prone knee flexion - indicates upper-lumbar (L2-L4) root involvement.</w:t>
            </w:r>
          </w:p>
        </w:tc>
      </w:tr>
      <w:tr>
        <w:trPr>
          <w:cantSplit/>
        </w:trPr>
        <w:tc>
          <w:tcPr>
            <w:tcW w:type="dxa" w:w="3456"/>
            <w:vAlign w:val="top"/>
          </w:tcPr>
          <w:p>
            <w:pPr>
              <w:spacing w:after="40" w:before="0" w:line="259" w:lineRule="auto"/>
            </w:pPr>
            <w:r>
              <w:rPr>
                <w:rFonts w:ascii="Calibri" w:hAnsi="Calibri"/>
                <w:b/>
                <w:i w:val="0"/>
                <w:color w:val="212121"/>
                <w:sz w:val="19"/>
              </w:rPr>
              <w:t>Saddle anaesthesia with lax anal sphincter tone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Perineal sensory loss and reduced anal tone - cauda equina syndrome requiring emergency surgery.</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lumbosacral radiculopathy (sciatica)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Dermatomal sensory loss and myotomal motor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Foot drop from significant L5 motor deficit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Cauda equina syndrome - a surgical emergency (complicates ~3% of disc herniations)</w:t>
            </w:r>
          </w:p>
        </w:tc>
        <w:tc>
          <w:tcPr>
            <w:tcW w:type="dxa" w:w="2980"/>
            <w:vAlign w:val="top"/>
          </w:tcPr>
          <w:p>
            <w:pPr>
              <w:spacing w:after="40" w:before="0" w:line="259" w:lineRule="auto"/>
            </w:pPr>
            <w:r>
              <w:rPr>
                <w:rFonts w:ascii="Calibri" w:hAnsi="Calibri"/>
                <w:b w:val="0"/>
                <w:i w:val="0"/>
                <w:color w:val="212121"/>
                <w:sz w:val="19"/>
              </w:rPr>
              <w:t>Direct neural consequences of nerve-root or cauda equina compression by prolapsed disc material.</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low back pain and chronic sciatica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disc herniation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atrophy and persistent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Deconditioning and reduced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sleep disturbance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 opioid dependence</w:t>
            </w:r>
          </w:p>
        </w:tc>
        <w:tc>
          <w:tcPr>
            <w:tcW w:type="dxa" w:w="2980"/>
            <w:vAlign w:val="top"/>
          </w:tcPr>
          <w:p>
            <w:pPr>
              <w:spacing w:after="40" w:before="0" w:line="259" w:lineRule="auto"/>
            </w:pPr>
            <w:r>
              <w:rPr>
                <w:rFonts w:ascii="Calibri" w:hAnsi="Calibri"/>
                <w:b w:val="0"/>
                <w:i w:val="0"/>
                <w:color w:val="212121"/>
                <w:sz w:val="19"/>
              </w:rPr>
              <w:t>Result from persistent or recurrent compression, ongoing pain and inactivity.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neurological deficit and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Failed back surgery syndrome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bladder, bowel or sexual dysfunction (post cauda equina)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Long-term disability and loss of employment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quality of life and dependence</w:t>
            </w:r>
          </w:p>
        </w:tc>
        <w:tc>
          <w:tcPr>
            <w:tcW w:type="dxa" w:w="2980"/>
            <w:vAlign w:val="top"/>
          </w:tcPr>
          <w:p>
            <w:pPr>
              <w:spacing w:after="40" w:before="0" w:line="259" w:lineRule="auto"/>
            </w:pPr>
            <w:r>
              <w:rPr>
                <w:rFonts w:ascii="Calibri" w:hAnsi="Calibri"/>
                <w:b w:val="0"/>
                <w:i w:val="0"/>
                <w:color w:val="212121"/>
                <w:sz w:val="19"/>
              </w:rPr>
              <w:t>Irreversible, disabling outcomes of severe or inadequately 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Central adiposity increases mechanical disc load and inflammation, raising herniation risk and slowing recovery.</w:t>
            </w:r>
          </w:p>
        </w:tc>
      </w:tr>
      <w:tr>
        <w:trPr>
          <w:cantSplit/>
        </w:trPr>
        <w:tc>
          <w:tcPr>
            <w:tcW w:type="dxa" w:w="2232"/>
            <w:vAlign w:val="top"/>
          </w:tcPr>
          <w:p>
            <w:pPr>
              <w:spacing w:after="40" w:before="0" w:line="259" w:lineRule="auto"/>
            </w:pPr>
            <w:r>
              <w:rPr>
                <w:rFonts w:ascii="Calibri" w:hAnsi="Calibri"/>
                <w:b/>
                <w:i w:val="0"/>
                <w:color w:val="212121"/>
                <w:sz w:val="19"/>
              </w:rPr>
              <w:t>Lumbar spondylosis / degenerative disc disease</w:t>
            </w:r>
          </w:p>
        </w:tc>
        <w:tc>
          <w:tcPr>
            <w:tcW w:type="dxa" w:w="2520"/>
            <w:vAlign w:val="top"/>
          </w:tcPr>
          <w:p>
            <w:pPr>
              <w:spacing w:after="40" w:before="0" w:line="259" w:lineRule="auto"/>
            </w:pPr>
            <w:r>
              <w:rPr>
                <w:rFonts w:ascii="Calibri" w:hAnsi="Calibri"/>
                <w:b w:val="0"/>
                <w:i w:val="0"/>
                <w:color w:val="212121"/>
                <w:sz w:val="18"/>
              </w:rPr>
              <w:t>Predisposes To</w:t>
            </w:r>
          </w:p>
        </w:tc>
        <w:tc>
          <w:tcPr>
            <w:tcW w:type="dxa" w:w="4852"/>
            <w:vAlign w:val="top"/>
          </w:tcPr>
          <w:p>
            <w:pPr>
              <w:spacing w:after="40" w:before="0" w:line="259" w:lineRule="auto"/>
            </w:pPr>
            <w:r>
              <w:rPr>
                <w:rFonts w:ascii="Calibri" w:hAnsi="Calibri"/>
                <w:b w:val="0"/>
                <w:i w:val="0"/>
                <w:color w:val="212121"/>
                <w:sz w:val="19"/>
              </w:rPr>
              <w:t>Pre-existing degeneration weakens the annulus and narrows the canal, predisposing to prolapse and radiculopathy.</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Indian women; associated with vertebral change and chronic back pain, and complicates management.</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and frequently reported with chronic low back pain and diffuse myalgia.</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Impairs disc and nerve microcirculation and healing, increasing vulnerability and slowing nerve recovery.</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with chronic sciatica; amplifies pain, disability and the risk of chronicity.</w:t>
            </w:r>
          </w:p>
        </w:tc>
      </w:tr>
      <w:tr>
        <w:trPr>
          <w:cantSplit/>
        </w:trPr>
        <w:tc>
          <w:tcPr>
            <w:tcW w:type="dxa" w:w="2232"/>
            <w:vAlign w:val="top"/>
          </w:tcPr>
          <w:p>
            <w:pPr>
              <w:spacing w:after="40" w:before="0" w:line="259" w:lineRule="auto"/>
            </w:pPr>
            <w:r>
              <w:rPr>
                <w:rFonts w:ascii="Calibri" w:hAnsi="Calibri"/>
                <w:b/>
                <w:i w:val="0"/>
                <w:color w:val="212121"/>
                <w:sz w:val="19"/>
              </w:rPr>
              <w:t>Cauda equina syndrome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Emergency complication of a large central prolapse; lumbar disc herniation is its commonest cause.</w:t>
            </w:r>
          </w:p>
          <w:p>
            <w:pPr>
              <w:spacing w:after="40" w:before="0" w:line="259" w:lineRule="auto"/>
            </w:pPr>
            <w:r>
              <w:rPr>
                <w:rFonts w:ascii="Calibri" w:hAnsi="Calibri"/>
                <w:b/>
                <w:i w:val="0"/>
                <w:color w:val="212121"/>
                <w:sz w:val="19"/>
              </w:rPr>
              <w:t>~3% of disc herniations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correct lifting technique - bend the knees and hips, keep the load close to the body, and avoid bending and twisting at the same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every 30-45 minutes and set up an ergonomic, lumbar-supported workstation and driving seat.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healthy body weight to reduce the mechanical load on the lumbar discs.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red-flag symptoms - new or worsening leg weakness, saddle numbness, or bladder/bowel changes - and seek emergency care immediately.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gently active during recovery; prolonged bed rest is not recommended for disc-related sciatica.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Professional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supervised graded exercise and core-stabilisation programme (directional-preference/McKenzie exercises, transversus abdominis and multifidus 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normal activity early within pain limits and avoid prolonged bed 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regular walking and low-impact aerobic activity (swimming, stationary cycling) as pain settles.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to hamstring and hip-flexor flexibility and posture correction under physiotherapy guidance.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disc prolapse / sciatica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herniation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Post-discectomy rehabilitation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plus twice-weekly core and back strengthening.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the trunk and hips to protect the lumbar spine during daily loading.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proper manual-handling technique and mechanical aids for heavy loads at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micro-breaks and stretch during long driving or desk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labourers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Professional drivers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calorie-appropriate, high-fibre diet to reach and keep a healthy weight and reduce spinal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calcium and vitamin D (sunlight, fortified foods, dairy/pulses) for bone and muscle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anti-inflammatory foods - fruits, vegetables, whole grains, nuts and omega-3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ultra-processed, sugary and energy-dense foods that promote weight gain.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Vitamin-D-deficient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workers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on a medium-firm mattress; side-lying with a pillow between the knees, or supine with a pillow under the knees, offloads the lumbar spine.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to improve pain tolerance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face-down (prone) sleeping, which extends and loads the lumbar spine.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evening pain adequately to reduce sleep disruption and next-day stiffness.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acute sciatica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low-back-pain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 sleepers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disc nutrition and lower the risk and severity of back pain and sciatica.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 behavioural counselling plus nicotine-replacement or pharmacotherapy.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Note that cessation also improves healing and outcomes after any spinal surgery.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back-pain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 smokers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safe limits; excess promotes weight gain, deconditioning and poor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to self-manage chronic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combine alcohol with sedating analgesics or muscle relaxants.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on analgesics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amplify pain and predict chronicity.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cognitive-behavioural strategies, pain-neuroscience education and graded activity to reduce fear-avoidance.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relaxation, mindfulness or yoga-based breathing to lower pain-related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realistic functional goals and maintain social and occupational engagement.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sciatica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fear-avoidance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disability or work loss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y.clevelandclinic.org/health/diseases/12768-herniated-disk" TargetMode="External"/><Relationship Id="rId10" Type="http://schemas.openxmlformats.org/officeDocument/2006/relationships/hyperlink" Target="https://www.who.int/news-room/fact-sheets/detail/low-back-pain" TargetMode="External"/><Relationship Id="rId11" Type="http://schemas.openxmlformats.org/officeDocument/2006/relationships/hyperlink" Target="https://www.ncbi.nlm.nih.gov/books/NBK560878/" TargetMode="External"/><Relationship Id="rId12" Type="http://schemas.openxmlformats.org/officeDocument/2006/relationships/hyperlink" Target="https://pubmed.ncbi.nlm.nih.gov/35964222/" TargetMode="External"/><Relationship Id="rId13" Type="http://schemas.openxmlformats.org/officeDocument/2006/relationships/hyperlink" Target="https://pubmed.ncbi.nlm.nih.gov/20102998/" TargetMode="External"/><Relationship Id="rId14" Type="http://schemas.openxmlformats.org/officeDocument/2006/relationships/hyperlink" Target="https://www.ncbi.nlm.nih.gov/books/NBK507908/" TargetMode="External"/><Relationship Id="rId15" Type="http://schemas.openxmlformats.org/officeDocument/2006/relationships/hyperlink" Target="https://www.ncbi.nlm.nih.gov/books/NBK5381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