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Psoriatic Arthritis</w:t>
      </w:r>
    </w:p>
    <w:p>
      <w:pPr>
        <w:spacing w:before="0" w:after="160"/>
      </w:pPr>
      <w:r>
        <w:rPr>
          <w:rFonts w:ascii="Calibri" w:hAnsi="Calibri"/>
          <w:b/>
          <w:i w:val="0"/>
          <w:color w:val="212121"/>
          <w:sz w:val="22"/>
        </w:rPr>
        <w:t xml:space="preserve">AKA </w:t>
      </w:r>
      <w:r>
        <w:rPr>
          <w:rFonts w:ascii="Calibri" w:hAnsi="Calibri"/>
          <w:b w:val="0"/>
          <w:i w:val="0"/>
          <w:color w:val="212121"/>
          <w:sz w:val="22"/>
        </w:rPr>
        <w:t>i.e., PsA, Psoriatic Arthropathy, Arthritis Psoriatica, Psoriasis Arthropathica; one of the seronegative spondyloarthritides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Psoriatic arthritis (PsA) is a chronic, immune-mediated inflammatory arthritis associated with psoriasis and belonging to the seronegative spondyloarthritis family. It characteristically affects peripheral joints (often the distal interphalangeal joints), the entheses where tendons and ligaments insert into bone, and the axial skeleton, and produces distinctive features such as dactylitis ('sausage digits'), enthesitis, and nail disease alongside the skin plaques of psoriasis. Because it is driven by the IL-23/IL-17 and TNF pathways rather than by autoantibodies, PsA is typically negative for rheumatoid factor and anti-CCP; untreated it causes erosive joint damage, new-bone formation and disability, and carries a raised burden of cardiometabolic and cardiovascular disease.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Psoriasis affects roughly 0.44% to 2.8% of Indians in hospital-based studies, with a male predominance (male-to-female ratio about 2.0-2.5:1) and onset usually in the third or fourth decade; skin disease precedes joint disease in more than 70% of patients. Psoriatic arthritis develops in an estimated 7% to 42% of people with psoriasis (most reviews cite roughly one in five to one in three), which places its general-population prevalence at about 0.1% (on the order of 1-2 per 1000). Because more than 15% of psoriasis patients have undiagnosed joint disease, and access to rheumatology care is uneven across India, a substantial share of PsA is recognised late, after erosive damage has begun.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Psoriatic arthritis is a clinical diagnosis supported by the CASPAR (ClASsification criteria for Psoriatic ARthritis): a patient with established inflammatory articular disease (peripheral joint, spine or entheseal) qualifies as having PsA when they score at least 3 points from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Evidence of psoriasis - current psoriasis on skin or scalp (2 points), OR a personal history of psoriasis (1 point), OR a family history of psoriasis in a first- or second-degree relative (1 point);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Psoriatic nail dystrophy - onycholysis, pitting or hyperkeratosis - observed on current physical examination (1 point);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negative test for rheumatoid factor (1 point) - PsA is characteristically seronegative, and anti-CCP is only rarely positive (~5%);</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Dactylitis - current swelling of an entire digit, or a history of dactylitis recorded by a rheumatologist (1 point);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Radiographic evidence of juxta-articular new-bone formation (ill-defined ossification near joint margins, excluding osteophytes) on hand or foot X-rays (1 point);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total of 3 or more points classifies PsA with a sensitivity of 91.4% and specificity of 98.7%; ultrasound or MRI can confirm enthesitis, synovitis and sacroiliitis, and radiographs may show the pathognomonic 'pencil-in-cup' erosive-proliferative deformity.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Psoriatic arthritis is classically divided into the five Moll and Wright clinical subtypes, which frequently overlap and can evolve into one another over time; contemporary GRAPPA/EULAR practice additionally describes it by disease domains (peripheral arthritis, axial disease, enthesitis, dactylitis, skin and nail disease):</w:t>
      </w:r>
    </w:p>
    <w:p>
      <w:pPr>
        <w:spacing w:before="0" w:after="80"/>
      </w:pPr>
      <w:r>
        <w:rPr>
          <w:rFonts w:ascii="Calibri" w:hAnsi="Calibri"/>
          <w:b w:val="0"/>
          <w:i w:val="0"/>
          <w:color w:val="212121"/>
          <w:sz w:val="21"/>
        </w:rPr>
        <w:t>(1) Asymmetric oligoarthritis - fewer than five joints involved in an asymmetric distribution, historically regarded as the commonest early pattern (reported in up to ~60% of some series);</w:t>
      </w:r>
    </w:p>
    <w:p>
      <w:pPr>
        <w:spacing w:before="0" w:after="80"/>
      </w:pPr>
      <w:r>
        <w:rPr>
          <w:rFonts w:ascii="Calibri" w:hAnsi="Calibri"/>
          <w:b w:val="0"/>
          <w:i w:val="0"/>
          <w:color w:val="212121"/>
          <w:sz w:val="21"/>
        </w:rPr>
        <w:t>(2) Symmetric polyarthritis - five or more joints in a symmetric distribution resembling rheumatoid arthritis but seronegative; in large modern cohorts this is often the most frequent pattern (~40%);</w:t>
      </w:r>
    </w:p>
    <w:p>
      <w:pPr>
        <w:spacing w:before="0" w:after="80"/>
      </w:pPr>
      <w:r>
        <w:rPr>
          <w:rFonts w:ascii="Calibri" w:hAnsi="Calibri"/>
          <w:b w:val="0"/>
          <w:i w:val="0"/>
          <w:color w:val="212121"/>
          <w:sz w:val="21"/>
        </w:rPr>
        <w:t>(3) Distal interphalangeal (DIP)-predominant disease - selective inflammation of the DIP joints, strongly associated with adjacent nail disease and highly characteristic of PsA;</w:t>
      </w:r>
    </w:p>
    <w:p>
      <w:pPr>
        <w:spacing w:before="0" w:after="80"/>
      </w:pPr>
      <w:r>
        <w:rPr>
          <w:rFonts w:ascii="Calibri" w:hAnsi="Calibri"/>
          <w:b w:val="0"/>
          <w:i w:val="0"/>
          <w:color w:val="212121"/>
          <w:sz w:val="21"/>
        </w:rPr>
        <w:t>(4) Spondylitis / axial disease - sacroiliitis and spondylitis (asymmetric syndesmophytes), more common in men and in HLA-B27 carriers, with axial involvement demonstrable in a large minority of patients;</w:t>
      </w:r>
    </w:p>
    <w:p>
      <w:pPr>
        <w:spacing w:before="0" w:after="80"/>
      </w:pPr>
      <w:r>
        <w:rPr>
          <w:rFonts w:ascii="Calibri" w:hAnsi="Calibri"/>
          <w:b w:val="0"/>
          <w:i w:val="0"/>
          <w:color w:val="212121"/>
          <w:sz w:val="21"/>
        </w:rPr>
        <w:t>(5) Arthritis mutilans - a rare (about 5%), severely destructive form causing osteolysis, digit shortening and 'telescoping' ('opera-glass' hand) with major deformity and disability.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Psoriasis and skin/nail disease: The single strongest risk factor; severe psoriasis, and scalp, intergluteal, perianal and nail involvement (especially nail pitting) predict progression to arthritis, which usually appears within about 7-10 years of skin onset.</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predisposition: Strong familial clustering (33-50% of patients have a first-degree relative with psoriasis or PsA) with HLA associations - HLA-C*06:02 (Cw6) with psoriasis, and HLA-B*27:05 (axial disease, enthesitis, dactylitis), HLA-B*08:01, and HLA-B*38/39 (peripheral polyarthritis).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Immune dysregulation: Activation of the IL-23/IL-17 axis and TNF-alpha at the enthesis and synovium drives inflammation, erosion and pathological new-bone formation, distinguishing PsA from the autoantibody-driven mechanism of rheumatoid arthritis.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Obesity and metabolic factors: Adipose tissue is pro-inflammatory; obesity independently increases the risk of developing PsA in people with psoriasis and reduces the likelihood and durability of treatment response.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Biomechanical stress and trauma: Physical trauma and repetitive mechanical loading at entheses (a 'deep Koebner' phenomenon) can trigger or localise disease in genetically predisposed individuals.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Environmental triggers: Infection (including streptococcal and HIV, which is associated with severe PsA), physical or emotional stress, and smoking are recognised precipitants that also worsen psoriasis and blunt treatment response.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(30-50 years)</w:t>
            </w:r>
          </w:p>
        </w:tc>
        <w:tc>
          <w:tcPr>
            <w:tcW w:type="dxa" w:w="4276"/>
            <w:vAlign w:val="top"/>
          </w:tcPr>
          <w:p>
            <w:pPr>
              <w:spacing w:after="60" w:line="259" w:lineRule="auto"/>
            </w:pPr>
            <w:r>
              <w:rPr>
                <w:rFonts w:ascii="Calibri" w:hAnsi="Calibri"/>
                <w:b w:val="0"/>
                <w:i w:val="0"/>
                <w:color w:val="212121"/>
                <w:sz w:val="19"/>
              </w:rPr>
              <w:t>PsA most often begins in the productive middle years, typically 7-10 years after psoriasis first appears, so erosive joint and enthesis damage accumulates during peak working and caregiving life. Persistent untreated inflammation in this window causes early, sometimes irreversible, loss of function.</w:t>
            </w:r>
          </w:p>
          <w:p>
            <w:pPr>
              <w:spacing w:after="40" w:before="60" w:line="259" w:lineRule="auto"/>
            </w:pPr>
            <w:r>
              <w:rPr>
                <w:rFonts w:ascii="Calibri" w:hAnsi="Calibri"/>
                <w:b w:val="0"/>
                <w:i w:val="0"/>
                <w:color w:val="212121"/>
                <w:sz w:val="19"/>
              </w:rPr>
              <w:t>Psoriatic arthritis usually develops in patients in their 30s and 40s, with joint symptoms commonly emerging between ages 30 and 50.</w:t>
            </w:r>
          </w:p>
          <w:p>
            <w:pPr>
              <w:spacing w:after="40" w:line="252" w:lineRule="auto"/>
            </w:pPr>
            <w:hyperlink r:id="rId9">
              <w:r>
                <w:rPr>
                  <w:rFonts w:ascii="Calibri" w:hAnsi="Calibri" w:cs="Calibri"/>
                  <w:sz w:val="18"/>
                  <w:color w:val="1155CC"/>
                  <w:u w:val="single"/>
                </w:rPr>
                <w:t xml:space="preserve">ncbi.nlm.nih.gov - psoriatic arthritis (StatPearls)</w:t>
              </w:r>
            </w:hyperlink>
          </w:p>
          <w:p>
            <w:pPr>
              <w:spacing w:before="60" w:after="40"/>
            </w:pPr>
            <w:r>
              <w:rPr>
                <w:rFonts w:ascii="Calibri" w:hAnsi="Calibri"/>
                <w:b w:val="0"/>
                <w:i w:val="0"/>
                <w:color w:val="5A5A5A"/>
                <w:sz w:val="18"/>
              </w:rPr>
              <w:t>#PsA  #workingage  #enthesitis  #earlyerosions  #spondyloarthritis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Disease can also begin or persist into older age, where it interacts with cardiometabolic comorbidity, polypharmacy and higher infection risk, complicating the use of immunosuppressive therapy and increasing cardiovascular vulnerability.</w:t>
            </w:r>
          </w:p>
          <w:p>
            <w:pPr>
              <w:spacing w:after="40" w:before="60" w:line="259" w:lineRule="auto"/>
            </w:pPr>
            <w:r>
              <w:rPr>
                <w:rFonts w:ascii="Calibri" w:hAnsi="Calibri"/>
                <w:b w:val="0"/>
                <w:i w:val="0"/>
                <w:color w:val="212121"/>
                <w:sz w:val="19"/>
              </w:rPr>
              <w:t>Although onset peaks in the 30s-40s, psoriatic arthritis can present at any age and frequently persists lifelong, so many patients are elderly with accumulated joint damage and comorbidity.</w:t>
            </w:r>
          </w:p>
          <w:p>
            <w:pPr>
              <w:spacing w:after="40" w:line="252" w:lineRule="auto"/>
            </w:pPr>
            <w:hyperlink r:id="rId10">
              <w:r>
                <w:rPr>
                  <w:rFonts w:ascii="Calibri" w:hAnsi="Calibri" w:cs="Calibri"/>
                  <w:sz w:val="18"/>
                  <w:color w:val="1155CC"/>
                  <w:u w:val="single"/>
                </w:rPr>
                <w:t xml:space="preserve">niams.nih.gov - psoriatic arthritis</w:t>
              </w:r>
            </w:hyperlink>
          </w:p>
          <w:p>
            <w:pPr>
              <w:spacing w:before="60" w:after="40"/>
            </w:pPr>
            <w:r>
              <w:rPr>
                <w:rFonts w:ascii="Calibri" w:hAnsi="Calibri"/>
                <w:b w:val="0"/>
                <w:i w:val="0"/>
                <w:color w:val="5A5A5A"/>
                <w:sz w:val="18"/>
              </w:rPr>
              <w:t>#elderly  #comorbidity  #polypharmacy  #cardiometabolic</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Both sexes (roughly equal)</w:t>
            </w:r>
          </w:p>
        </w:tc>
        <w:tc>
          <w:tcPr>
            <w:tcW w:type="dxa" w:w="4276"/>
            <w:vAlign w:val="top"/>
          </w:tcPr>
          <w:p>
            <w:pPr>
              <w:spacing w:after="60" w:line="259" w:lineRule="auto"/>
            </w:pPr>
            <w:r>
              <w:rPr>
                <w:rFonts w:ascii="Calibri" w:hAnsi="Calibri"/>
                <w:b w:val="0"/>
                <w:i w:val="0"/>
                <w:color w:val="212121"/>
                <w:sz w:val="19"/>
              </w:rPr>
              <w:t>Unlike rheumatoid arthritis, PsA affects men and women in roughly equal numbers, though the disease expression differs - women tend towards symmetric polyarthritis and higher reported disease impact, men towards axial and more erosive disease.</w:t>
            </w:r>
          </w:p>
          <w:p>
            <w:pPr>
              <w:spacing w:after="40" w:before="60" w:line="259" w:lineRule="auto"/>
            </w:pPr>
            <w:r>
              <w:rPr>
                <w:rFonts w:ascii="Calibri" w:hAnsi="Calibri"/>
                <w:b w:val="0"/>
                <w:i w:val="0"/>
                <w:color w:val="212121"/>
                <w:sz w:val="19"/>
              </w:rPr>
              <w:t>Psoriatic arthritis occurs about equally in men and women.</w:t>
            </w:r>
          </w:p>
          <w:p>
            <w:pPr>
              <w:spacing w:after="40" w:line="252" w:lineRule="auto"/>
            </w:pPr>
            <w:hyperlink r:id="rId9">
              <w:r>
                <w:rPr>
                  <w:rFonts w:ascii="Calibri" w:hAnsi="Calibri" w:cs="Calibri"/>
                  <w:sz w:val="18"/>
                  <w:color w:val="1155CC"/>
                  <w:u w:val="single"/>
                </w:rPr>
                <w:t xml:space="preserve">ncbi.nlm.nih.gov - psoriatic arthritis (StatPearls)</w:t>
              </w:r>
            </w:hyperlink>
          </w:p>
          <w:p>
            <w:pPr>
              <w:spacing w:before="60" w:after="40"/>
            </w:pPr>
            <w:r>
              <w:rPr>
                <w:rFonts w:ascii="Calibri" w:hAnsi="Calibri"/>
                <w:b w:val="0"/>
                <w:i w:val="0"/>
                <w:color w:val="5A5A5A"/>
                <w:sz w:val="18"/>
              </w:rPr>
              <w:t>#equalsex  #phenotype  #polyarthritis  #axial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 (HLA-B27 axial disease)</w:t>
            </w:r>
          </w:p>
        </w:tc>
        <w:tc>
          <w:tcPr>
            <w:tcW w:type="dxa" w:w="4276"/>
            <w:vAlign w:val="top"/>
          </w:tcPr>
          <w:p>
            <w:pPr>
              <w:spacing w:after="60" w:line="259" w:lineRule="auto"/>
            </w:pPr>
            <w:r>
              <w:rPr>
                <w:rFonts w:ascii="Calibri" w:hAnsi="Calibri"/>
                <w:b w:val="0"/>
                <w:i w:val="0"/>
                <w:color w:val="212121"/>
                <w:sz w:val="19"/>
              </w:rPr>
              <w:t>Men, particularly HLA-B27 carriers, are more prone to axial (spinal and sacroiliac) involvement, enthesitis and dactylitis, and to more erosive peripheral disease, which in India intersects with high male smoking rates to worsen outcomes.</w:t>
            </w:r>
          </w:p>
          <w:p>
            <w:pPr>
              <w:spacing w:after="40" w:before="60" w:line="259" w:lineRule="auto"/>
            </w:pPr>
            <w:r>
              <w:rPr>
                <w:rFonts w:ascii="Calibri" w:hAnsi="Calibri"/>
                <w:b w:val="0"/>
                <w:i w:val="0"/>
                <w:color w:val="212121"/>
                <w:sz w:val="19"/>
              </w:rPr>
              <w:t>HLA-B27 positivity is associated with axial involvement, symmetric sacroiliitis, enthesitis and dactylitis, and is present in about 20% of axial psoriatic arthritis.</w:t>
            </w:r>
          </w:p>
          <w:p>
            <w:pPr>
              <w:spacing w:after="40" w:line="252" w:lineRule="auto"/>
            </w:pPr>
            <w:hyperlink r:id="rId9">
              <w:r>
                <w:rPr>
                  <w:rFonts w:ascii="Calibri" w:hAnsi="Calibri" w:cs="Calibri"/>
                  <w:sz w:val="18"/>
                  <w:color w:val="1155CC"/>
                  <w:u w:val="single"/>
                </w:rPr>
                <w:t xml:space="preserve">ncbi.nlm.nih.gov - psoriatic arthritis (StatPearls)</w:t>
              </w:r>
            </w:hyperlink>
          </w:p>
          <w:p>
            <w:pPr>
              <w:spacing w:before="60" w:after="40"/>
            </w:pPr>
            <w:r>
              <w:rPr>
                <w:rFonts w:ascii="Calibri" w:hAnsi="Calibri"/>
                <w:b w:val="0"/>
                <w:i w:val="0"/>
                <w:color w:val="5A5A5A"/>
                <w:sz w:val="18"/>
              </w:rPr>
              <w:t>#male  #HLAB27  #sacroiliitis  #axialPsA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patients &amp; manual workers</w:t>
            </w:r>
          </w:p>
        </w:tc>
        <w:tc>
          <w:tcPr>
            <w:tcW w:type="dxa" w:w="4276"/>
            <w:vAlign w:val="top"/>
          </w:tcPr>
          <w:p>
            <w:pPr>
              <w:spacing w:after="60" w:line="259" w:lineRule="auto"/>
            </w:pPr>
            <w:r>
              <w:rPr>
                <w:rFonts w:ascii="Calibri" w:hAnsi="Calibri"/>
                <w:b w:val="0"/>
                <w:i w:val="0"/>
                <w:color w:val="212121"/>
                <w:sz w:val="19"/>
              </w:rPr>
              <w:t>Lower socioeconomic status and limited access to dermatology/rheumatology care lead to delayed recognition of joint disease; the cost of DMARDs and biologics in India means many present only after deformity and disability have developed.</w:t>
            </w:r>
          </w:p>
          <w:p>
            <w:pPr>
              <w:spacing w:after="40" w:before="60" w:line="259" w:lineRule="auto"/>
            </w:pPr>
            <w:r>
              <w:rPr>
                <w:rFonts w:ascii="Calibri" w:hAnsi="Calibri"/>
                <w:b w:val="0"/>
                <w:i w:val="0"/>
                <w:color w:val="212121"/>
                <w:sz w:val="19"/>
              </w:rPr>
              <w:t>More than 15% of people with psoriasis have undiagnosed psoriatic arthritis, and delayed diagnosis allows permanent joint damage to occur.</w:t>
            </w:r>
          </w:p>
          <w:p>
            <w:pPr>
              <w:spacing w:after="40" w:line="252" w:lineRule="auto"/>
            </w:pPr>
            <w:hyperlink r:id="rId11">
              <w:r>
                <w:rPr>
                  <w:rFonts w:ascii="Calibri" w:hAnsi="Calibri" w:cs="Calibri"/>
                  <w:sz w:val="18"/>
                  <w:color w:val="1155CC"/>
                  <w:u w:val="single"/>
                </w:rPr>
                <w:t xml:space="preserve">psoriasis.org - psoriatic arthritis</w:t>
              </w:r>
            </w:hyperlink>
          </w:p>
          <w:p>
            <w:pPr>
              <w:spacing w:before="60" w:after="40"/>
            </w:pPr>
            <w:r>
              <w:rPr>
                <w:rFonts w:ascii="Calibri" w:hAnsi="Calibri"/>
                <w:b w:val="0"/>
                <w:i w:val="0"/>
                <w:color w:val="5A5A5A"/>
                <w:sz w:val="18"/>
              </w:rPr>
              <w:t>#lowincome  #accessgap  #delayeddiagnosis  #undiagnosed</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 South Asian psoriasis patients</w:t>
            </w:r>
          </w:p>
        </w:tc>
        <w:tc>
          <w:tcPr>
            <w:tcW w:type="dxa" w:w="4276"/>
            <w:vAlign w:val="top"/>
          </w:tcPr>
          <w:p>
            <w:pPr>
              <w:spacing w:after="60" w:line="259" w:lineRule="auto"/>
            </w:pPr>
            <w:r>
              <w:rPr>
                <w:rFonts w:ascii="Calibri" w:hAnsi="Calibri"/>
                <w:b w:val="0"/>
                <w:i w:val="0"/>
                <w:color w:val="212121"/>
                <w:sz w:val="19"/>
              </w:rPr>
              <w:t>In India psoriasis affects roughly 0.44-2.8% of patients, with a marked male predominance and onset in the third-fourth decade; a sizeable minority go on to develop PsA, so the at-risk pool is large and skewed towards working-age men.</w:t>
            </w:r>
          </w:p>
          <w:p>
            <w:pPr>
              <w:spacing w:after="40" w:before="60" w:line="259" w:lineRule="auto"/>
            </w:pPr>
            <w:r>
              <w:rPr>
                <w:rFonts w:ascii="Calibri" w:hAnsi="Calibri"/>
                <w:b w:val="0"/>
                <w:i w:val="0"/>
                <w:color w:val="212121"/>
                <w:sz w:val="19"/>
              </w:rPr>
              <w:t>Psoriasis prevalence in India is about 0.44-2.8% with a male-to-female ratio of roughly 2.0-2.5:1 and onset in the third-fourth decade; PsA is estimated in 7-42% of psoriasis patients.</w:t>
            </w:r>
          </w:p>
          <w:p>
            <w:pPr>
              <w:spacing w:after="40" w:line="252" w:lineRule="auto"/>
            </w:pPr>
            <w:hyperlink r:id="rId12">
              <w:r>
                <w:rPr>
                  <w:rFonts w:ascii="Calibri" w:hAnsi="Calibri" w:cs="Calibri"/>
                  <w:sz w:val="18"/>
                  <w:color w:val="1155CC"/>
                  <w:u w:val="single"/>
                </w:rPr>
                <w:t xml:space="preserve">ijdvl.com - psoriasis in India: prevalence and pattern</w:t>
              </w:r>
            </w:hyperlink>
          </w:p>
          <w:p>
            <w:pPr>
              <w:spacing w:before="60" w:after="40"/>
            </w:pPr>
            <w:r>
              <w:rPr>
                <w:rFonts w:ascii="Calibri" w:hAnsi="Calibri"/>
                <w:b w:val="0"/>
                <w:i w:val="0"/>
                <w:color w:val="5A5A5A"/>
                <w:sz w:val="18"/>
              </w:rPr>
              <w:t>#India  #SouthAsian  #psoriasis  #malepredominance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development</w:t>
            </w:r>
          </w:p>
        </w:tc>
        <w:tc>
          <w:tcPr>
            <w:tcW w:type="dxa" w:w="2160"/>
            <w:vAlign w:val="top"/>
          </w:tcPr>
          <w:p>
            <w:pPr>
              <w:spacing w:after="40" w:before="0" w:line="259" w:lineRule="auto"/>
            </w:pPr>
            <w:r>
              <w:rPr>
                <w:rFonts w:ascii="Calibri" w:hAnsi="Calibri"/>
                <w:b w:val="0"/>
                <w:i w:val="0"/>
                <w:color w:val="212121"/>
                <w:sz w:val="19"/>
              </w:rPr>
              <w:t>Urban &amp; industrialized populations</w:t>
            </w:r>
          </w:p>
        </w:tc>
        <w:tc>
          <w:tcPr>
            <w:tcW w:type="dxa" w:w="4276"/>
            <w:vAlign w:val="top"/>
          </w:tcPr>
          <w:p>
            <w:pPr>
              <w:spacing w:after="60" w:line="259" w:lineRule="auto"/>
            </w:pPr>
            <w:r>
              <w:rPr>
                <w:rFonts w:ascii="Calibri" w:hAnsi="Calibri"/>
                <w:b w:val="0"/>
                <w:i w:val="0"/>
                <w:color w:val="212121"/>
                <w:sz w:val="19"/>
              </w:rPr>
              <w:t>Urbanisation brings higher rates of obesity, smoking, physical inactivity and metabolic syndrome - all of which increase PsA risk in people with psoriasis and worsen its cardiometabolic complications.</w:t>
            </w:r>
          </w:p>
          <w:p>
            <w:pPr>
              <w:spacing w:after="40" w:before="60" w:line="259" w:lineRule="auto"/>
            </w:pPr>
            <w:r>
              <w:rPr>
                <w:rFonts w:ascii="Calibri" w:hAnsi="Calibri"/>
                <w:b w:val="0"/>
                <w:i w:val="0"/>
                <w:color w:val="212121"/>
                <w:sz w:val="19"/>
              </w:rPr>
              <w:t>Obesity, severe psoriasis, joint trauma, infection and stressful life events are recognised risk factors that cluster in urban, industrialized settings.</w:t>
            </w:r>
          </w:p>
          <w:p>
            <w:pPr>
              <w:spacing w:after="40" w:line="252" w:lineRule="auto"/>
            </w:pPr>
            <w:hyperlink r:id="rId10">
              <w:r>
                <w:rPr>
                  <w:rFonts w:ascii="Calibri" w:hAnsi="Calibri" w:cs="Calibri"/>
                  <w:sz w:val="18"/>
                  <w:color w:val="1155CC"/>
                  <w:u w:val="single"/>
                </w:rPr>
                <w:t xml:space="preserve">niams.nih.gov - psoriatic arthritis</w:t>
              </w:r>
            </w:hyperlink>
          </w:p>
          <w:p>
            <w:pPr>
              <w:spacing w:before="60" w:after="40"/>
            </w:pPr>
            <w:r>
              <w:rPr>
                <w:rFonts w:ascii="Calibri" w:hAnsi="Calibri"/>
                <w:b w:val="0"/>
                <w:i w:val="0"/>
                <w:color w:val="5A5A5A"/>
                <w:sz w:val="18"/>
              </w:rPr>
              <w:t>#urban  #obesity  #metabolicsyndrome  #lifestyle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&amp; bidi users</w:t>
            </w:r>
          </w:p>
        </w:tc>
        <w:tc>
          <w:tcPr>
            <w:tcW w:type="dxa" w:w="4276"/>
            <w:vAlign w:val="top"/>
          </w:tcPr>
          <w:p>
            <w:pPr>
              <w:spacing w:after="60" w:line="259" w:lineRule="auto"/>
            </w:pPr>
            <w:r>
              <w:rPr>
                <w:rFonts w:ascii="Calibri" w:hAnsi="Calibri"/>
                <w:b w:val="0"/>
                <w:i w:val="0"/>
                <w:color w:val="212121"/>
                <w:sz w:val="19"/>
              </w:rPr>
              <w:t>Smoking worsens the severity of psoriasis, increases cardiovascular risk and blunts the response to TNF-inhibitor and other biologic therapy, making established PsA harder to control; it is an important, modifiable exposure in India's large male smoking population.</w:t>
            </w:r>
          </w:p>
          <w:p>
            <w:pPr>
              <w:spacing w:after="40" w:before="60" w:line="259" w:lineRule="auto"/>
            </w:pPr>
            <w:r>
              <w:rPr>
                <w:rFonts w:ascii="Calibri" w:hAnsi="Calibri"/>
                <w:b w:val="0"/>
                <w:i w:val="0"/>
                <w:color w:val="212121"/>
                <w:sz w:val="19"/>
              </w:rPr>
              <w:t>Smoking is listed among the triggering and aggravating factors for psoriatic disease and worsens complications and treatment response.</w:t>
            </w:r>
          </w:p>
          <w:p>
            <w:pPr>
              <w:spacing w:after="40" w:line="252" w:lineRule="auto"/>
            </w:pPr>
            <w:hyperlink r:id="rId13">
              <w:r>
                <w:rPr>
                  <w:rFonts w:ascii="Calibri" w:hAnsi="Calibri" w:cs="Calibri"/>
                  <w:sz w:val="18"/>
                  <w:color w:val="1155CC"/>
                  <w:u w:val="single"/>
                </w:rPr>
                <w:t xml:space="preserve">versusarthritis.org - psoriatic arthritis</w:t>
              </w:r>
            </w:hyperlink>
          </w:p>
          <w:p>
            <w:pPr>
              <w:spacing w:before="60" w:after="40"/>
            </w:pPr>
            <w:r>
              <w:rPr>
                <w:rFonts w:ascii="Calibri" w:hAnsi="Calibri"/>
                <w:b w:val="0"/>
                <w:i w:val="0"/>
                <w:color w:val="5A5A5A"/>
                <w:sz w:val="18"/>
              </w:rPr>
              <w:t>#smoking  #bidi  #biologicresponse  #cardiovascular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physical inactivity</w:t>
            </w:r>
          </w:p>
        </w:tc>
        <w:tc>
          <w:tcPr>
            <w:tcW w:type="dxa" w:w="2160"/>
            <w:vAlign w:val="top"/>
          </w:tcPr>
          <w:p>
            <w:pPr>
              <w:spacing w:after="40" w:before="0" w:line="259" w:lineRule="auto"/>
            </w:pPr>
            <w:r>
              <w:rPr>
                <w:rFonts w:ascii="Calibri" w:hAnsi="Calibri"/>
                <w:b w:val="0"/>
                <w:i w:val="0"/>
                <w:color w:val="212121"/>
                <w:sz w:val="19"/>
              </w:rPr>
              <w:t>Inactive &amp; deconditioned adults</w:t>
            </w:r>
          </w:p>
        </w:tc>
        <w:tc>
          <w:tcPr>
            <w:tcW w:type="dxa" w:w="4276"/>
            <w:vAlign w:val="top"/>
          </w:tcPr>
          <w:p>
            <w:pPr>
              <w:spacing w:after="60" w:line="259" w:lineRule="auto"/>
            </w:pPr>
            <w:r>
              <w:rPr>
                <w:rFonts w:ascii="Calibri" w:hAnsi="Calibri"/>
                <w:b w:val="0"/>
                <w:i w:val="0"/>
                <w:color w:val="212121"/>
                <w:sz w:val="19"/>
              </w:rPr>
              <w:t>Physical inactivity promotes obesity, stiffness, muscle loss and cardiovascular risk and limits functional improvement; regular low-impact exercise preserves joint mobility and muscle strength and helps the fatigue and pain of PsA.</w:t>
            </w:r>
          </w:p>
          <w:p>
            <w:pPr>
              <w:spacing w:after="40" w:before="60" w:line="259" w:lineRule="auto"/>
            </w:pPr>
            <w:r>
              <w:rPr>
                <w:rFonts w:ascii="Calibri" w:hAnsi="Calibri"/>
                <w:b w:val="0"/>
                <w:i w:val="0"/>
                <w:color w:val="212121"/>
                <w:sz w:val="19"/>
              </w:rPr>
              <w:t>Keeping physically active makes muscles strong and joints mobile and helps improve symptoms such as fatigue and pain in psoriatic arthritis.</w:t>
            </w:r>
          </w:p>
          <w:p>
            <w:pPr>
              <w:spacing w:after="40" w:line="252" w:lineRule="auto"/>
            </w:pPr>
            <w:hyperlink r:id="rId13">
              <w:r>
                <w:rPr>
                  <w:rFonts w:ascii="Calibri" w:hAnsi="Calibri" w:cs="Calibri"/>
                  <w:sz w:val="18"/>
                  <w:color w:val="1155CC"/>
                  <w:u w:val="single"/>
                </w:rPr>
                <w:t xml:space="preserve">versusarthritis.org - psoriatic arthritis</w:t>
              </w:r>
            </w:hyperlink>
          </w:p>
          <w:p>
            <w:pPr>
              <w:spacing w:before="60" w:after="40"/>
            </w:pPr>
            <w:r>
              <w:rPr>
                <w:rFonts w:ascii="Calibri" w:hAnsi="Calibri"/>
                <w:b w:val="0"/>
                <w:i w:val="0"/>
                <w:color w:val="5A5A5A"/>
                <w:sz w:val="18"/>
              </w:rPr>
              <w:t>#sedentary  #deconditioning  #jointmobility  #fatigue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drinkers on methotrexate</w:t>
            </w:r>
          </w:p>
        </w:tc>
        <w:tc>
          <w:tcPr>
            <w:tcW w:type="dxa" w:w="4276"/>
            <w:vAlign w:val="top"/>
          </w:tcPr>
          <w:p>
            <w:pPr>
              <w:spacing w:after="60" w:line="259" w:lineRule="auto"/>
            </w:pPr>
            <w:r>
              <w:rPr>
                <w:rFonts w:ascii="Calibri" w:hAnsi="Calibri"/>
                <w:b w:val="0"/>
                <w:i w:val="0"/>
                <w:color w:val="212121"/>
                <w:sz w:val="19"/>
              </w:rPr>
              <w:t>Heavy alcohol use aggravates psoriasis, compounds the liver toxicity of methotrexate and leflunomide, and adds to the risk of non-alcoholic/alcoholic fatty liver disease already elevated in PsA; it also interacts with analgesics.</w:t>
            </w:r>
          </w:p>
          <w:p>
            <w:pPr>
              <w:spacing w:after="40" w:before="60" w:line="259" w:lineRule="auto"/>
            </w:pPr>
            <w:r>
              <w:rPr>
                <w:rFonts w:ascii="Calibri" w:hAnsi="Calibri"/>
                <w:b w:val="0"/>
                <w:i w:val="0"/>
                <w:color w:val="212121"/>
                <w:sz w:val="19"/>
              </w:rPr>
              <w:t>Reducing alcohol is advised in psoriatic arthritis, and alcohol adds to the hepatotoxic risk of key disease-modifying drugs such as methotrexate.</w:t>
            </w:r>
          </w:p>
          <w:p>
            <w:pPr>
              <w:spacing w:after="40" w:line="252" w:lineRule="auto"/>
            </w:pPr>
            <w:hyperlink r:id="rId14">
              <w:r>
                <w:rPr>
                  <w:rFonts w:ascii="Calibri" w:hAnsi="Calibri" w:cs="Calibri"/>
                  <w:sz w:val="18"/>
                  <w:color w:val="1155CC"/>
                  <w:u w:val="single"/>
                </w:rPr>
                <w:t xml:space="preserve">nhs.uk - psoriatic arthritis</w:t>
              </w:r>
            </w:hyperlink>
          </w:p>
          <w:p>
            <w:pPr>
              <w:spacing w:before="60" w:after="40"/>
            </w:pPr>
            <w:r>
              <w:rPr>
                <w:rFonts w:ascii="Calibri" w:hAnsi="Calibri"/>
                <w:b w:val="0"/>
                <w:i w:val="0"/>
                <w:color w:val="5A5A5A"/>
                <w:sz w:val="18"/>
              </w:rPr>
              <w:t>#alcohol  #methotrexate  #hepatotoxicity  #NAFLD</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High-calorie, energy-dense diet</w:t>
            </w:r>
          </w:p>
        </w:tc>
        <w:tc>
          <w:tcPr>
            <w:tcW w:type="dxa" w:w="4276"/>
            <w:vAlign w:val="top"/>
          </w:tcPr>
          <w:p>
            <w:pPr>
              <w:spacing w:after="60" w:line="259" w:lineRule="auto"/>
            </w:pPr>
            <w:r>
              <w:rPr>
                <w:rFonts w:ascii="Calibri" w:hAnsi="Calibri"/>
                <w:b w:val="0"/>
                <w:i w:val="0"/>
                <w:color w:val="212121"/>
                <w:sz w:val="19"/>
              </w:rPr>
              <w:t>Adipose tissue is metabolically active and pro-inflammatory; excess weight independently increases the risk of developing PsA in people with psoriasis, worsens disease activity, loads weight-bearing joints and lowers the chance of achieving remission, while weight loss improves treatment response.</w:t>
            </w:r>
          </w:p>
          <w:p>
            <w:pPr>
              <w:spacing w:after="40" w:before="60" w:line="259" w:lineRule="auto"/>
            </w:pPr>
            <w:r>
              <w:rPr>
                <w:rFonts w:ascii="Calibri" w:hAnsi="Calibri"/>
                <w:b w:val="0"/>
                <w:i w:val="0"/>
                <w:color w:val="212121"/>
                <w:sz w:val="19"/>
              </w:rPr>
              <w:t>Obesity is an established risk factor for developing psoriatic arthritis and for a poorer response to treatment.</w:t>
            </w:r>
          </w:p>
          <w:p>
            <w:pPr>
              <w:spacing w:after="40" w:line="252" w:lineRule="auto"/>
            </w:pPr>
            <w:hyperlink r:id="rId10">
              <w:r>
                <w:rPr>
                  <w:rFonts w:ascii="Calibri" w:hAnsi="Calibri" w:cs="Calibri"/>
                  <w:sz w:val="18"/>
                  <w:color w:val="1155CC"/>
                  <w:u w:val="single"/>
                </w:rPr>
                <w:t xml:space="preserve">niams.nih.gov - psoriatic arthritis</w:t>
              </w:r>
            </w:hyperlink>
          </w:p>
          <w:p>
            <w:pPr>
              <w:spacing w:before="60" w:after="40"/>
            </w:pPr>
            <w:r>
              <w:rPr>
                <w:rFonts w:ascii="Calibri" w:hAnsi="Calibri"/>
                <w:b w:val="0"/>
                <w:i w:val="0"/>
                <w:color w:val="5A5A5A"/>
                <w:sz w:val="18"/>
              </w:rPr>
              <w:t>#obesity  #adipokines  #remissiongap  #weightbearing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 quality</w:t>
            </w:r>
          </w:p>
        </w:tc>
        <w:tc>
          <w:tcPr>
            <w:tcW w:type="dxa" w:w="2160"/>
            <w:vAlign w:val="top"/>
          </w:tcPr>
          <w:p>
            <w:pPr>
              <w:spacing w:after="40" w:before="0" w:line="259" w:lineRule="auto"/>
            </w:pPr>
            <w:r>
              <w:rPr>
                <w:rFonts w:ascii="Calibri" w:hAnsi="Calibri"/>
                <w:b w:val="0"/>
                <w:i w:val="0"/>
                <w:color w:val="212121"/>
                <w:sz w:val="19"/>
              </w:rPr>
              <w:t>Low omega-3 / high ultra-processed intake</w:t>
            </w:r>
          </w:p>
        </w:tc>
        <w:tc>
          <w:tcPr>
            <w:tcW w:type="dxa" w:w="4276"/>
            <w:vAlign w:val="top"/>
          </w:tcPr>
          <w:p>
            <w:pPr>
              <w:spacing w:after="60" w:line="259" w:lineRule="auto"/>
            </w:pPr>
            <w:r>
              <w:rPr>
                <w:rFonts w:ascii="Calibri" w:hAnsi="Calibri"/>
                <w:b w:val="0"/>
                <w:i w:val="0"/>
                <w:color w:val="212121"/>
                <w:sz w:val="19"/>
              </w:rPr>
              <w:t>Diets low in vegetables and oily fish and high in ultra-processed, high-sugar and high-fat foods provide little anti-inflammatory benefit and drive obesity and metabolic syndrome; a Mediterranean-style, weight-reducing pattern is associated with lower cardiometabolic risk and better symptom control.</w:t>
            </w:r>
          </w:p>
          <w:p>
            <w:pPr>
              <w:spacing w:after="40" w:before="60" w:line="259" w:lineRule="auto"/>
            </w:pPr>
            <w:r>
              <w:rPr>
                <w:rFonts w:ascii="Calibri" w:hAnsi="Calibri"/>
                <w:b w:val="0"/>
                <w:i w:val="0"/>
                <w:color w:val="212121"/>
                <w:sz w:val="19"/>
              </w:rPr>
              <w:t>A healthy, balanced diet low in fat, salt and sugar and maintenance of a healthy weight are recommended to support joints and heart health in psoriatic arthritis.</w:t>
            </w:r>
          </w:p>
          <w:p>
            <w:pPr>
              <w:spacing w:after="40" w:line="252" w:lineRule="auto"/>
            </w:pPr>
            <w:hyperlink r:id="rId13">
              <w:r>
                <w:rPr>
                  <w:rFonts w:ascii="Calibri" w:hAnsi="Calibri" w:cs="Calibri"/>
                  <w:sz w:val="18"/>
                  <w:color w:val="1155CC"/>
                  <w:u w:val="single"/>
                </w:rPr>
                <w:t xml:space="preserve">versusarthritis.org - psoriatic arthritis</w:t>
              </w:r>
            </w:hyperlink>
          </w:p>
          <w:p>
            <w:pPr>
              <w:spacing w:before="60" w:after="40"/>
            </w:pPr>
            <w:r>
              <w:rPr>
                <w:rFonts w:ascii="Calibri" w:hAnsi="Calibri"/>
                <w:b w:val="0"/>
                <w:i w:val="0"/>
                <w:color w:val="5A5A5A"/>
                <w:sz w:val="18"/>
              </w:rPr>
              <w:t>#omega3  #Mediterranean  #ultraprocessed  #antiinflammatory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HLA</w:t>
            </w:r>
          </w:p>
        </w:tc>
        <w:tc>
          <w:tcPr>
            <w:tcW w:type="dxa" w:w="2160"/>
            <w:vAlign w:val="top"/>
          </w:tcPr>
          <w:p>
            <w:pPr>
              <w:spacing w:after="40" w:before="0" w:line="259" w:lineRule="auto"/>
            </w:pPr>
            <w:r>
              <w:rPr>
                <w:rFonts w:ascii="Calibri" w:hAnsi="Calibri"/>
                <w:b w:val="0"/>
                <w:i w:val="0"/>
                <w:color w:val="212121"/>
                <w:sz w:val="19"/>
              </w:rPr>
              <w:t>First-degree relatives with psoriasis or PsA</w:t>
            </w:r>
          </w:p>
        </w:tc>
        <w:tc>
          <w:tcPr>
            <w:tcW w:type="dxa" w:w="4276"/>
            <w:vAlign w:val="top"/>
          </w:tcPr>
          <w:p>
            <w:pPr>
              <w:spacing w:after="60" w:line="259" w:lineRule="auto"/>
            </w:pPr>
            <w:r>
              <w:rPr>
                <w:rFonts w:ascii="Calibri" w:hAnsi="Calibri"/>
                <w:b w:val="0"/>
                <w:i w:val="0"/>
                <w:color w:val="212121"/>
                <w:sz w:val="19"/>
              </w:rPr>
              <w:t>Inherited HLA alleles (notably HLA-C*06:02, HLA-B*27:05, HLA-B*08:01 and HLA-B*38/39) and other genes strongly increase susceptibility; a first-degree relative with psoriasis or PsA substantially raises personal risk.</w:t>
            </w:r>
          </w:p>
          <w:p>
            <w:pPr>
              <w:spacing w:after="40" w:before="60" w:line="259" w:lineRule="auto"/>
            </w:pPr>
            <w:r>
              <w:rPr>
                <w:rFonts w:ascii="Calibri" w:hAnsi="Calibri"/>
                <w:b w:val="0"/>
                <w:i w:val="0"/>
                <w:color w:val="212121"/>
                <w:sz w:val="19"/>
              </w:rPr>
              <w:t>Approximately 33% to 50% of patients with psoriatic arthritis have at least one first-degree relative with psoriatic arthritis or psoriasis.</w:t>
            </w:r>
          </w:p>
          <w:p>
            <w:pPr>
              <w:spacing w:after="40" w:line="252" w:lineRule="auto"/>
            </w:pPr>
            <w:hyperlink r:id="rId9">
              <w:r>
                <w:rPr>
                  <w:rFonts w:ascii="Calibri" w:hAnsi="Calibri" w:cs="Calibri"/>
                  <w:sz w:val="18"/>
                  <w:color w:val="1155CC"/>
                  <w:u w:val="single"/>
                </w:rPr>
                <w:t xml:space="preserve">ncbi.nlm.nih.gov - psoriatic arthritis (StatPearls)</w:t>
              </w:r>
            </w:hyperlink>
          </w:p>
          <w:p>
            <w:pPr>
              <w:spacing w:before="60" w:after="40"/>
            </w:pPr>
            <w:r>
              <w:rPr>
                <w:rFonts w:ascii="Calibri" w:hAnsi="Calibri"/>
                <w:b w:val="0"/>
                <w:i w:val="0"/>
                <w:color w:val="5A5A5A"/>
                <w:sz w:val="18"/>
              </w:rPr>
              <w:t>#familyhistory  #HLAC0602  #HLAB27  #heritability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Psoriasis</w:t>
            </w:r>
          </w:p>
        </w:tc>
        <w:tc>
          <w:tcPr>
            <w:tcW w:type="dxa" w:w="2160"/>
            <w:vAlign w:val="top"/>
          </w:tcPr>
          <w:p>
            <w:pPr>
              <w:spacing w:after="40" w:before="0" w:line="259" w:lineRule="auto"/>
            </w:pPr>
            <w:r>
              <w:rPr>
                <w:rFonts w:ascii="Calibri" w:hAnsi="Calibri"/>
                <w:b w:val="0"/>
                <w:i w:val="0"/>
                <w:color w:val="212121"/>
                <w:sz w:val="19"/>
              </w:rPr>
              <w:t>Patients with psoriasis (esp. severe, nail, scalp)</w:t>
            </w:r>
          </w:p>
        </w:tc>
        <w:tc>
          <w:tcPr>
            <w:tcW w:type="dxa" w:w="4276"/>
            <w:vAlign w:val="top"/>
          </w:tcPr>
          <w:p>
            <w:pPr>
              <w:spacing w:after="60" w:line="259" w:lineRule="auto"/>
            </w:pPr>
            <w:r>
              <w:rPr>
                <w:rFonts w:ascii="Calibri" w:hAnsi="Calibri"/>
                <w:b w:val="0"/>
                <w:i w:val="0"/>
                <w:color w:val="212121"/>
                <w:sz w:val="19"/>
              </w:rPr>
              <w:t>Psoriasis is the defining risk factor - almost all PsA arises in people with, or destined to develop, psoriasis. Severe skin disease and scalp, intergluteal, perianal and nail involvement (nail pitting) mark those most likely to progress to arthritis.</w:t>
            </w:r>
          </w:p>
          <w:p>
            <w:pPr>
              <w:spacing w:after="40" w:before="60" w:line="259" w:lineRule="auto"/>
            </w:pPr>
            <w:r>
              <w:rPr>
                <w:rFonts w:ascii="Calibri" w:hAnsi="Calibri"/>
                <w:b w:val="0"/>
                <w:i w:val="0"/>
                <w:color w:val="212121"/>
                <w:sz w:val="19"/>
              </w:rPr>
              <w:t>Around one in three people with psoriasis develops psoriatic arthritis; skin disease precedes joint disease in about 68%, appears simultaneously in 15%, and follows it in 17%.</w:t>
            </w:r>
          </w:p>
          <w:p>
            <w:pPr>
              <w:spacing w:after="40" w:line="252" w:lineRule="auto"/>
            </w:pPr>
            <w:hyperlink r:id="rId15">
              <w:r>
                <w:rPr>
                  <w:rFonts w:ascii="Calibri" w:hAnsi="Calibri" w:cs="Calibri"/>
                  <w:sz w:val="18"/>
                  <w:color w:val="1155CC"/>
                  <w:u w:val="single"/>
                </w:rPr>
                <w:t xml:space="preserve">my.clevelandclinic.org - psoriatic arthritis</w:t>
              </w:r>
            </w:hyperlink>
          </w:p>
          <w:p>
            <w:pPr>
              <w:spacing w:before="60" w:after="40"/>
            </w:pPr>
            <w:r>
              <w:rPr>
                <w:rFonts w:ascii="Calibri" w:hAnsi="Calibri"/>
                <w:b w:val="0"/>
                <w:i w:val="0"/>
                <w:color w:val="5A5A5A"/>
                <w:sz w:val="18"/>
              </w:rPr>
              <w:t>#psoriasis  #nailpitting  #scalp  #skinfirst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syndrome / Obesity</w:t>
            </w:r>
          </w:p>
        </w:tc>
        <w:tc>
          <w:tcPr>
            <w:tcW w:type="dxa" w:w="2160"/>
            <w:vAlign w:val="top"/>
          </w:tcPr>
          <w:p>
            <w:pPr>
              <w:spacing w:after="40" w:before="0" w:line="259" w:lineRule="auto"/>
            </w:pPr>
            <w:r>
              <w:rPr>
                <w:rFonts w:ascii="Calibri" w:hAnsi="Calibri"/>
                <w:b w:val="0"/>
                <w:i w:val="0"/>
                <w:color w:val="212121"/>
                <w:sz w:val="19"/>
              </w:rPr>
              <w:t>Patients with metabolic syndrome</w:t>
            </w:r>
          </w:p>
        </w:tc>
        <w:tc>
          <w:tcPr>
            <w:tcW w:type="dxa" w:w="4276"/>
            <w:vAlign w:val="top"/>
          </w:tcPr>
          <w:p>
            <w:pPr>
              <w:spacing w:after="60" w:line="259" w:lineRule="auto"/>
            </w:pPr>
            <w:r>
              <w:rPr>
                <w:rFonts w:ascii="Calibri" w:hAnsi="Calibri"/>
                <w:b w:val="0"/>
                <w:i w:val="0"/>
                <w:color w:val="212121"/>
                <w:sz w:val="19"/>
              </w:rPr>
              <w:t>PsA shares inflammatory pathways with obesity, hypertension, dysglycaemia and dyslipidaemia; metabolic syndrome is markedly more common in PsA than the general population and both amplifies systemic inflammation and accelerates cardiovascular disease.</w:t>
            </w:r>
          </w:p>
          <w:p>
            <w:pPr>
              <w:spacing w:after="40" w:before="60" w:line="259" w:lineRule="auto"/>
            </w:pPr>
            <w:r>
              <w:rPr>
                <w:rFonts w:ascii="Calibri" w:hAnsi="Calibri"/>
                <w:b w:val="0"/>
                <w:i w:val="0"/>
                <w:color w:val="212121"/>
                <w:sz w:val="19"/>
              </w:rPr>
              <w:t>Hypertension, metabolic syndrome, obesity, hyperlipidaemia and cardiovascular disease are the most common comorbidities of psoriatic arthritis.</w:t>
            </w:r>
          </w:p>
          <w:p>
            <w:pPr>
              <w:spacing w:after="40" w:line="252" w:lineRule="auto"/>
            </w:pPr>
            <w:hyperlink r:id="rId9">
              <w:r>
                <w:rPr>
                  <w:rFonts w:ascii="Calibri" w:hAnsi="Calibri" w:cs="Calibri"/>
                  <w:sz w:val="18"/>
                  <w:color w:val="1155CC"/>
                  <w:u w:val="single"/>
                </w:rPr>
                <w:t xml:space="preserve">ncbi.nlm.nih.gov - psoriatic arthritis (StatPearls)</w:t>
              </w:r>
            </w:hyperlink>
          </w:p>
          <w:p>
            <w:pPr>
              <w:spacing w:before="60" w:after="40"/>
            </w:pPr>
            <w:r>
              <w:rPr>
                <w:rFonts w:ascii="Calibri" w:hAnsi="Calibri"/>
                <w:b w:val="0"/>
                <w:i w:val="0"/>
                <w:color w:val="5A5A5A"/>
                <w:sz w:val="18"/>
              </w:rPr>
              <w:t>#metabolicsyndrome  #obesity  #dyslipidemia  #inflammation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Uveitis</w:t>
            </w:r>
          </w:p>
        </w:tc>
        <w:tc>
          <w:tcPr>
            <w:tcW w:type="dxa" w:w="2160"/>
            <w:vAlign w:val="top"/>
          </w:tcPr>
          <w:p>
            <w:pPr>
              <w:spacing w:after="40" w:before="0" w:line="259" w:lineRule="auto"/>
            </w:pPr>
            <w:r>
              <w:rPr>
                <w:rFonts w:ascii="Calibri" w:hAnsi="Calibri"/>
                <w:b w:val="0"/>
                <w:i w:val="0"/>
                <w:color w:val="212121"/>
                <w:sz w:val="19"/>
              </w:rPr>
              <w:t>Patients with uveitis / spondyloarthritis features</w:t>
            </w:r>
          </w:p>
        </w:tc>
        <w:tc>
          <w:tcPr>
            <w:tcW w:type="dxa" w:w="4276"/>
            <w:vAlign w:val="top"/>
          </w:tcPr>
          <w:p>
            <w:pPr>
              <w:spacing w:after="60" w:line="259" w:lineRule="auto"/>
            </w:pPr>
            <w:r>
              <w:rPr>
                <w:rFonts w:ascii="Calibri" w:hAnsi="Calibri"/>
                <w:b w:val="0"/>
                <w:i w:val="0"/>
                <w:color w:val="212121"/>
                <w:sz w:val="19"/>
              </w:rPr>
              <w:t>Anterior uveitis is part of the spondyloarthritis spectrum and is both a comorbidity and a predictor of PsA in psoriasis patients; it can threaten sight if not recognised and treated promptly.</w:t>
            </w:r>
          </w:p>
          <w:p>
            <w:pPr>
              <w:spacing w:after="40" w:before="60" w:line="259" w:lineRule="auto"/>
            </w:pPr>
            <w:r>
              <w:rPr>
                <w:rFonts w:ascii="Calibri" w:hAnsi="Calibri"/>
                <w:b w:val="0"/>
                <w:i w:val="0"/>
                <w:color w:val="212121"/>
                <w:sz w:val="19"/>
              </w:rPr>
              <w:t>Uveitis affects about 7% of patients with psoriatic arthritis (with conjunctivitis in around 20%), and uveitis is a recognised predictor of PsA in people with psoriasis.</w:t>
            </w:r>
          </w:p>
          <w:p>
            <w:pPr>
              <w:spacing w:after="40" w:line="252" w:lineRule="auto"/>
            </w:pPr>
            <w:hyperlink r:id="rId16">
              <w:r>
                <w:rPr>
                  <w:rFonts w:ascii="Calibri" w:hAnsi="Calibri" w:cs="Calibri"/>
                  <w:sz w:val="18"/>
                  <w:color w:val="1155CC"/>
                  <w:u w:val="single"/>
                </w:rPr>
                <w:t xml:space="preserve">dermnetnz.org - psoriatic arthritis</w:t>
              </w:r>
            </w:hyperlink>
          </w:p>
          <w:p>
            <w:pPr>
              <w:spacing w:before="60" w:after="40"/>
            </w:pPr>
            <w:r>
              <w:rPr>
                <w:rFonts w:ascii="Calibri" w:hAnsi="Calibri"/>
                <w:b w:val="0"/>
                <w:i w:val="0"/>
                <w:color w:val="5A5A5A"/>
                <w:sz w:val="18"/>
              </w:rPr>
              <w:t>#uveitis  #eyeinflammation  #spondyloarthritis  #visionrisk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Inflammatory bowel disease</w:t>
            </w:r>
          </w:p>
        </w:tc>
        <w:tc>
          <w:tcPr>
            <w:tcW w:type="dxa" w:w="2160"/>
            <w:vAlign w:val="top"/>
          </w:tcPr>
          <w:p>
            <w:pPr>
              <w:spacing w:after="40" w:before="0" w:line="259" w:lineRule="auto"/>
            </w:pPr>
            <w:r>
              <w:rPr>
                <w:rFonts w:ascii="Calibri" w:hAnsi="Calibri"/>
                <w:b w:val="0"/>
                <w:i w:val="0"/>
                <w:color w:val="212121"/>
                <w:sz w:val="19"/>
              </w:rPr>
              <w:t>Patients with Crohn's disease / ulcerative colitis</w:t>
            </w:r>
          </w:p>
        </w:tc>
        <w:tc>
          <w:tcPr>
            <w:tcW w:type="dxa" w:w="4276"/>
            <w:vAlign w:val="top"/>
          </w:tcPr>
          <w:p>
            <w:pPr>
              <w:spacing w:after="60" w:line="259" w:lineRule="auto"/>
            </w:pPr>
            <w:r>
              <w:rPr>
                <w:rFonts w:ascii="Calibri" w:hAnsi="Calibri"/>
                <w:b w:val="0"/>
                <w:i w:val="0"/>
                <w:color w:val="212121"/>
                <w:sz w:val="19"/>
              </w:rPr>
              <w:t>As a spondyloarthritis, PsA shares genetic and immune (IL-23/IL-17) mechanisms with inflammatory bowel disease; coexisting Crohn's disease or colitis is more frequent and directly shapes drug choice, since some biologics treat both and others can worsen bowel disease.</w:t>
            </w:r>
          </w:p>
          <w:p>
            <w:pPr>
              <w:spacing w:after="40" w:before="60" w:line="259" w:lineRule="auto"/>
            </w:pPr>
            <w:r>
              <w:rPr>
                <w:rFonts w:ascii="Calibri" w:hAnsi="Calibri"/>
                <w:b w:val="0"/>
                <w:i w:val="0"/>
                <w:color w:val="212121"/>
                <w:sz w:val="19"/>
              </w:rPr>
              <w:t>People with psoriatic arthritis have an increased risk of inflammatory bowel disease, particularly Crohn's disease.</w:t>
            </w:r>
          </w:p>
          <w:p>
            <w:pPr>
              <w:spacing w:after="40" w:line="252" w:lineRule="auto"/>
            </w:pPr>
            <w:hyperlink r:id="rId13">
              <w:r>
                <w:rPr>
                  <w:rFonts w:ascii="Calibri" w:hAnsi="Calibri" w:cs="Calibri"/>
                  <w:sz w:val="18"/>
                  <w:color w:val="1155CC"/>
                  <w:u w:val="single"/>
                </w:rPr>
                <w:t xml:space="preserve">versusarthritis.org - psoriatic arthritis</w:t>
              </w:r>
            </w:hyperlink>
          </w:p>
          <w:p>
            <w:pPr>
              <w:spacing w:before="60" w:after="40"/>
            </w:pPr>
            <w:r>
              <w:rPr>
                <w:rFonts w:ascii="Calibri" w:hAnsi="Calibri"/>
                <w:b w:val="0"/>
                <w:i w:val="0"/>
                <w:color w:val="5A5A5A"/>
                <w:sz w:val="18"/>
              </w:rPr>
              <w:t>#IBD  #Crohns  #IL23  #spondyloarthritis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promotes obesity, stiffness, muscle loss and cardiovascular risk and limits functional recovery; regular low-impact aerobic and strengthening exercise preserves joint mobility and muscle strength and eases the pain and fatigue of PsA without accelerating joint damage.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Obesity independently increases the risk of developing PsA in psoriasis and lowers the chance of treatment response, while weight loss and a Mediterranean-style, anti-inflammatory, weight-reducing diet improve disease control and cardiometabolic risk.</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Pain, enthesitis and inflammation disrupt sleep, and poor sleep in turn amplifies pain sensitivity, fatigue and low mood; around 80% of people with arthritis report difficulty sleeping.</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aggravates psoriasis, raises cardiovascular risk and reduces the effectiveness of TNF-inhibitor and other biologic therapy, making established PsA harder to control; cessation is advised for all patients.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aggravates psoriasis and compounds the hepatotoxicity of methotrexate and leflunomide and the risk of fatty liver disease; intake should be minimised, especially on disease-modifying drugs.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and anxiety are common in PsA - driven by chronic pain, fatigue, disfiguring skin disease and disability - and are bidirectional, worsening pain perception, adherence and outcomes.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established role in PsA risk or activity; adequate fluids matter mainly for general health and for the safe use of NSAIDs and renally cleared drugs such as methotrexate.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There is no reliable evidence that caffeine influences the onset or activity of psoriatic arthritis; any effect is negligible, and caffeine near bedtime mainly matters through its impact on sleep.</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Good skin and nail care limits secondary infection of psoriatic plaques and koebnerisation, and general infection prevention is important because DMARDs and biologics are immunosuppressive; hygiene does not cause or cure the disease.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Onset and flares can be triggered by physical trauma and mechanical stress at entheses (a deep Koebner effect), infection (including streptococcal and HIV), emotional stress, smoking and abrupt withdrawal of therapy.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Posture does not cause PsA, but in axial disease good positioning, spinal extension exercises, ergonomic adaptation and joint protection reduce strain on inflamed entheses and joints and help preserve mobility and function.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 Asian-Indian)</w:t>
            </w:r>
          </w:p>
        </w:tc>
        <w:tc>
          <w:tcPr>
            <w:tcW w:type="dxa" w:w="1655"/>
            <w:vAlign w:val="top"/>
          </w:tcPr>
          <w:p>
            <w:pPr>
              <w:spacing w:after="40" w:before="0" w:line="259" w:lineRule="auto"/>
            </w:pPr>
            <w:r>
              <w:rPr>
                <w:rFonts w:ascii="Calibri" w:hAnsi="Calibri"/>
                <w:b w:val="0"/>
                <w:i w:val="0"/>
                <w:color w:val="212121"/>
                <w:sz w:val="19"/>
              </w:rPr>
              <w:t>Adults with psoriasis/PsA</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60" w:line="259" w:lineRule="auto"/>
            </w:pPr>
            <w:r>
              <w:rPr>
                <w:rFonts w:ascii="Calibri" w:hAnsi="Calibri"/>
                <w:b w:val="0"/>
                <w:i w:val="0"/>
                <w:color w:val="212121"/>
                <w:sz w:val="19"/>
              </w:rPr>
              <w:t>Obesity raises PsA risk and reduces treatment response and remission</w:t>
            </w:r>
          </w:p>
          <w:p>
            <w:pPr>
              <w:spacing w:after="40" w:line="252" w:lineRule="auto"/>
            </w:pPr>
            <w:hyperlink r:id="rId10">
              <w:r>
                <w:rPr>
                  <w:rFonts w:ascii="Calibri" w:hAnsi="Calibri" w:cs="Calibri"/>
                  <w:sz w:val="18"/>
                  <w:color w:val="1155CC"/>
                  <w:u w:val="single"/>
                </w:rPr>
                <w:t xml:space="preserve">https://www.niams.nih.gov/health-topics/psoriatic-arthritis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 aerobic + strengthening activity</w:t>
            </w:r>
          </w:p>
        </w:tc>
        <w:tc>
          <w:tcPr>
            <w:tcW w:type="dxa" w:w="1655"/>
            <w:vAlign w:val="top"/>
          </w:tcPr>
          <w:p>
            <w:pPr>
              <w:spacing w:after="40" w:before="0" w:line="259" w:lineRule="auto"/>
            </w:pPr>
            <w:r>
              <w:rPr>
                <w:rFonts w:ascii="Calibri" w:hAnsi="Calibri"/>
                <w:b w:val="0"/>
                <w:i w:val="0"/>
                <w:color w:val="212121"/>
                <w:sz w:val="19"/>
              </w:rPr>
              <w:t>Stable PsA</w:t>
            </w:r>
          </w:p>
        </w:tc>
        <w:tc>
          <w:tcPr>
            <w:tcW w:type="dxa" w:w="1512"/>
            <w:vAlign w:val="top"/>
          </w:tcPr>
          <w:p>
            <w:pPr>
              <w:spacing w:after="40" w:before="0" w:line="259" w:lineRule="auto"/>
            </w:pPr>
            <w:r>
              <w:rPr>
                <w:rFonts w:ascii="Calibri" w:hAnsi="Calibri"/>
                <w:b w:val="0"/>
                <w:i w:val="0"/>
                <w:color w:val="212121"/>
                <w:sz w:val="19"/>
              </w:rPr>
              <w:t>&gt;= 150 min/week + 2 days strengthening</w:t>
            </w:r>
          </w:p>
        </w:tc>
        <w:tc>
          <w:tcPr>
            <w:tcW w:type="dxa" w:w="1512"/>
            <w:vAlign w:val="top"/>
          </w:tcPr>
          <w:p>
            <w:pPr>
              <w:spacing w:after="40" w:before="0" w:line="259" w:lineRule="auto"/>
            </w:pPr>
            <w:r>
              <w:rPr>
                <w:rFonts w:ascii="Calibri" w:hAnsi="Calibri"/>
                <w:b w:val="0"/>
                <w:i w:val="0"/>
                <w:color w:val="212121"/>
                <w:sz w:val="19"/>
              </w:rPr>
              <w:t>&lt; 150 min/week / sedentary</w:t>
            </w:r>
          </w:p>
        </w:tc>
        <w:tc>
          <w:tcPr>
            <w:tcW w:type="dxa" w:w="1468"/>
            <w:vAlign w:val="top"/>
          </w:tcPr>
          <w:p>
            <w:pPr>
              <w:spacing w:after="60" w:line="259" w:lineRule="auto"/>
            </w:pPr>
            <w:r>
              <w:rPr>
                <w:rFonts w:ascii="Calibri" w:hAnsi="Calibri"/>
                <w:b w:val="0"/>
                <w:i w:val="0"/>
                <w:color w:val="212121"/>
                <w:sz w:val="19"/>
              </w:rPr>
              <w:t>Low-impact exercise preserves mobility and muscle and eases fatigue and pain</w:t>
            </w:r>
          </w:p>
          <w:p>
            <w:pPr>
              <w:spacing w:after="40" w:line="252" w:lineRule="auto"/>
            </w:pPr>
            <w:hyperlink r:id="rId13">
              <w:r>
                <w:rPr>
                  <w:rFonts w:ascii="Calibri" w:hAnsi="Calibri" w:cs="Calibri"/>
                  <w:sz w:val="18"/>
                  <w:color w:val="1155CC"/>
                  <w:u w:val="single"/>
                </w:rPr>
                <w:t xml:space="preserve">https://versusarthritis.org/about-arthritis/conditions/psoriatic-arthritis/</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Waist circumference (Asian cut-offs)</w:t>
            </w:r>
          </w:p>
        </w:tc>
        <w:tc>
          <w:tcPr>
            <w:tcW w:type="dxa" w:w="1655"/>
            <w:vAlign w:val="top"/>
          </w:tcPr>
          <w:p>
            <w:pPr>
              <w:spacing w:after="40" w:before="0" w:line="259" w:lineRule="auto"/>
            </w:pPr>
            <w:r>
              <w:rPr>
                <w:rFonts w:ascii="Calibri" w:hAnsi="Calibri"/>
                <w:b w:val="0"/>
                <w:i w:val="0"/>
                <w:color w:val="212121"/>
                <w:sz w:val="19"/>
              </w:rPr>
              <w:t>Adults with PsA</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&gt;= 90 cm; F &gt;= 80 cm</w:t>
            </w:r>
          </w:p>
        </w:tc>
        <w:tc>
          <w:tcPr>
            <w:tcW w:type="dxa" w:w="1468"/>
            <w:vAlign w:val="top"/>
          </w:tcPr>
          <w:p>
            <w:pPr>
              <w:spacing w:after="40" w:before="0" w:line="259" w:lineRule="auto"/>
            </w:pPr>
            <w:r>
              <w:rPr>
                <w:rFonts w:ascii="Calibri" w:hAnsi="Calibri"/>
                <w:b w:val="0"/>
                <w:i w:val="0"/>
                <w:color w:val="212121"/>
                <w:sz w:val="19"/>
              </w:rPr>
              <w:t>Central adiposity is pro-inflammatory and worsens disease activity and cardiometabolic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lipids / glucose (metabolic screen)</w:t>
            </w:r>
          </w:p>
        </w:tc>
        <w:tc>
          <w:tcPr>
            <w:tcW w:type="dxa" w:w="1655"/>
            <w:vAlign w:val="top"/>
          </w:tcPr>
          <w:p>
            <w:pPr>
              <w:spacing w:after="40" w:before="0" w:line="259" w:lineRule="auto"/>
            </w:pPr>
            <w:r>
              <w:rPr>
                <w:rFonts w:ascii="Calibri" w:hAnsi="Calibri"/>
                <w:b w:val="0"/>
                <w:i w:val="0"/>
                <w:color w:val="212121"/>
                <w:sz w:val="19"/>
              </w:rPr>
              <w:t>PsA with metabolic syndrome</w:t>
            </w:r>
          </w:p>
        </w:tc>
        <w:tc>
          <w:tcPr>
            <w:tcW w:type="dxa" w:w="1512"/>
            <w:vAlign w:val="top"/>
          </w:tcPr>
          <w:p>
            <w:pPr>
              <w:spacing w:after="40" w:before="0" w:line="259" w:lineRule="auto"/>
            </w:pPr>
            <w:r>
              <w:rPr>
                <w:rFonts w:ascii="Calibri" w:hAnsi="Calibri"/>
                <w:b w:val="0"/>
                <w:i w:val="0"/>
                <w:color w:val="212121"/>
                <w:sz w:val="19"/>
              </w:rPr>
              <w:t>LDL and fasting glucose within target</w:t>
            </w:r>
          </w:p>
        </w:tc>
        <w:tc>
          <w:tcPr>
            <w:tcW w:type="dxa" w:w="1512"/>
            <w:vAlign w:val="top"/>
          </w:tcPr>
          <w:p>
            <w:pPr>
              <w:spacing w:after="40" w:before="0" w:line="259" w:lineRule="auto"/>
            </w:pPr>
            <w:r>
              <w:rPr>
                <w:rFonts w:ascii="Calibri" w:hAnsi="Calibri"/>
                <w:b w:val="0"/>
                <w:i w:val="0"/>
                <w:color w:val="212121"/>
                <w:sz w:val="19"/>
              </w:rPr>
              <w:t>Dyslipidaemia; fasting glucose &gt;= 100 mg/dL</w:t>
            </w:r>
          </w:p>
        </w:tc>
        <w:tc>
          <w:tcPr>
            <w:tcW w:type="dxa" w:w="1468"/>
            <w:vAlign w:val="top"/>
          </w:tcPr>
          <w:p>
            <w:pPr>
              <w:spacing w:after="60" w:line="259" w:lineRule="auto"/>
            </w:pPr>
            <w:r>
              <w:rPr>
                <w:rFonts w:ascii="Calibri" w:hAnsi="Calibri"/>
                <w:b w:val="0"/>
                <w:i w:val="0"/>
                <w:color w:val="212121"/>
                <w:sz w:val="19"/>
              </w:rPr>
              <w:t>Metabolic syndrome is a common comorbidity; screen and treat to lower cardiovascular risk</w:t>
            </w:r>
          </w:p>
          <w:p>
            <w:pPr>
              <w:spacing w:after="40" w:line="252" w:lineRule="auto"/>
            </w:pPr>
            <w:hyperlink r:id="rId9">
              <w:r>
                <w:rPr>
                  <w:rFonts w:ascii="Calibri" w:hAnsi="Calibri" w:cs="Calibri"/>
                  <w:sz w:val="18"/>
                  <w:color w:val="1155CC"/>
                  <w:u w:val="single"/>
                </w:rPr>
                <w:t xml:space="preserve">https://www.ncbi.nlm.nih.gov/books/NBK547710/</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Adults with psoriatic disease</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w:t>
            </w:r>
          </w:p>
        </w:tc>
        <w:tc>
          <w:tcPr>
            <w:tcW w:type="dxa" w:w="1468"/>
            <w:vAlign w:val="top"/>
          </w:tcPr>
          <w:p>
            <w:pPr>
              <w:spacing w:after="60" w:line="259" w:lineRule="auto"/>
            </w:pPr>
            <w:r>
              <w:rPr>
                <w:rFonts w:ascii="Calibri" w:hAnsi="Calibri"/>
                <w:b w:val="0"/>
                <w:i w:val="0"/>
                <w:color w:val="212121"/>
                <w:sz w:val="19"/>
              </w:rPr>
              <w:t>Smoking aggravates psoriasis, raises CV risk and blunts biologic response</w:t>
            </w:r>
          </w:p>
          <w:p>
            <w:pPr>
              <w:spacing w:after="40" w:line="252" w:lineRule="auto"/>
            </w:pPr>
            <w:hyperlink r:id="rId13">
              <w:r>
                <w:rPr>
                  <w:rFonts w:ascii="Calibri" w:hAnsi="Calibri" w:cs="Calibri"/>
                  <w:sz w:val="18"/>
                  <w:color w:val="1155CC"/>
                  <w:u w:val="single"/>
                </w:rPr>
                <w:t xml:space="preserve">https://versusarthritis.org/about-arthritis/conditions/psoriatic-arthritis/</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(on DMARDs)</w:t>
            </w:r>
          </w:p>
        </w:tc>
        <w:tc>
          <w:tcPr>
            <w:tcW w:type="dxa" w:w="1655"/>
            <w:vAlign w:val="top"/>
          </w:tcPr>
          <w:p>
            <w:pPr>
              <w:spacing w:after="40" w:before="0" w:line="259" w:lineRule="auto"/>
            </w:pPr>
            <w:r>
              <w:rPr>
                <w:rFonts w:ascii="Calibri" w:hAnsi="Calibri"/>
                <w:b w:val="0"/>
                <w:i w:val="0"/>
                <w:color w:val="212121"/>
                <w:sz w:val="19"/>
              </w:rPr>
              <w:t>Patients on methotrexate/leflunomide</w:t>
            </w:r>
          </w:p>
        </w:tc>
        <w:tc>
          <w:tcPr>
            <w:tcW w:type="dxa" w:w="1512"/>
            <w:vAlign w:val="top"/>
          </w:tcPr>
          <w:p>
            <w:pPr>
              <w:spacing w:after="40" w:before="0" w:line="259" w:lineRule="auto"/>
            </w:pPr>
            <w:r>
              <w:rPr>
                <w:rFonts w:ascii="Calibri" w:hAnsi="Calibri"/>
                <w:b w:val="0"/>
                <w:i w:val="0"/>
                <w:color w:val="212121"/>
                <w:sz w:val="19"/>
              </w:rPr>
              <w:t>Minimal / none</w:t>
            </w:r>
          </w:p>
        </w:tc>
        <w:tc>
          <w:tcPr>
            <w:tcW w:type="dxa" w:w="1512"/>
            <w:vAlign w:val="top"/>
          </w:tcPr>
          <w:p>
            <w:pPr>
              <w:spacing w:after="40" w:before="0" w:line="259" w:lineRule="auto"/>
            </w:pPr>
            <w:r>
              <w:rPr>
                <w:rFonts w:ascii="Calibri" w:hAnsi="Calibri"/>
                <w:b w:val="0"/>
                <w:i w:val="0"/>
                <w:color w:val="212121"/>
                <w:sz w:val="19"/>
              </w:rPr>
              <w:t>Regular or heavy intake</w:t>
            </w:r>
          </w:p>
        </w:tc>
        <w:tc>
          <w:tcPr>
            <w:tcW w:type="dxa" w:w="1468"/>
            <w:vAlign w:val="top"/>
          </w:tcPr>
          <w:p>
            <w:pPr>
              <w:spacing w:after="60" w:line="259" w:lineRule="auto"/>
            </w:pPr>
            <w:r>
              <w:rPr>
                <w:rFonts w:ascii="Calibri" w:hAnsi="Calibri"/>
                <w:b w:val="0"/>
                <w:i w:val="0"/>
                <w:color w:val="212121"/>
                <w:sz w:val="19"/>
              </w:rPr>
              <w:t>Adds to DMARD hepatotoxicity and fatty-liver risk; monitor liver function</w:t>
            </w:r>
          </w:p>
          <w:p>
            <w:pPr>
              <w:spacing w:after="40" w:line="252" w:lineRule="auto"/>
            </w:pPr>
            <w:hyperlink r:id="rId14">
              <w:r>
                <w:rPr>
                  <w:rFonts w:ascii="Calibri" w:hAnsi="Calibri" w:cs="Calibri"/>
                  <w:sz w:val="18"/>
                  <w:color w:val="1155CC"/>
                  <w:u w:val="single"/>
                </w:rPr>
                <w:t xml:space="preserve">https://www.nhs.uk/conditions/psoriatic-arthritis/</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quality</w:t>
            </w:r>
          </w:p>
        </w:tc>
        <w:tc>
          <w:tcPr>
            <w:tcW w:type="dxa" w:w="1655"/>
            <w:vAlign w:val="top"/>
          </w:tcPr>
          <w:p>
            <w:pPr>
              <w:spacing w:after="40" w:before="0" w:line="259" w:lineRule="auto"/>
            </w:pPr>
            <w:r>
              <w:rPr>
                <w:rFonts w:ascii="Calibri" w:hAnsi="Calibri"/>
                <w:b w:val="0"/>
                <w:i w:val="0"/>
                <w:color w:val="212121"/>
                <w:sz w:val="19"/>
              </w:rPr>
              <w:t>Adults with PsA</w:t>
            </w:r>
          </w:p>
        </w:tc>
        <w:tc>
          <w:tcPr>
            <w:tcW w:type="dxa" w:w="1512"/>
            <w:vAlign w:val="top"/>
          </w:tcPr>
          <w:p>
            <w:pPr>
              <w:spacing w:after="40" w:before="0" w:line="259" w:lineRule="auto"/>
            </w:pPr>
            <w:r>
              <w:rPr>
                <w:rFonts w:ascii="Calibri" w:hAnsi="Calibri"/>
                <w:b w:val="0"/>
                <w:i w:val="0"/>
                <w:color w:val="212121"/>
                <w:sz w:val="19"/>
              </w:rPr>
              <w:t>7-9 hours/night, restorative</w:t>
            </w:r>
          </w:p>
        </w:tc>
        <w:tc>
          <w:tcPr>
            <w:tcW w:type="dxa" w:w="1512"/>
            <w:vAlign w:val="top"/>
          </w:tcPr>
          <w:p>
            <w:pPr>
              <w:spacing w:after="40" w:before="0" w:line="259" w:lineRule="auto"/>
            </w:pPr>
            <w:r>
              <w:rPr>
                <w:rFonts w:ascii="Calibri" w:hAnsi="Calibri"/>
                <w:b w:val="0"/>
                <w:i w:val="0"/>
                <w:color w:val="212121"/>
                <w:sz w:val="19"/>
              </w:rPr>
              <w:t>&lt; 6 hours or non-restorative</w:t>
            </w:r>
          </w:p>
        </w:tc>
        <w:tc>
          <w:tcPr>
            <w:tcW w:type="dxa" w:w="1468"/>
            <w:vAlign w:val="top"/>
          </w:tcPr>
          <w:p>
            <w:pPr>
              <w:spacing w:after="60" w:line="259" w:lineRule="auto"/>
            </w:pPr>
            <w:r>
              <w:rPr>
                <w:rFonts w:ascii="Calibri" w:hAnsi="Calibri"/>
                <w:b w:val="0"/>
                <w:i w:val="0"/>
                <w:color w:val="212121"/>
                <w:sz w:val="19"/>
              </w:rPr>
              <w:t>Around 80% of arthritis patients report sleep difficulty; poor sleep amplifies pain and fatigue</w:t>
            </w:r>
          </w:p>
          <w:p>
            <w:pPr>
              <w:spacing w:after="40" w:line="252" w:lineRule="auto"/>
            </w:pPr>
            <w:hyperlink r:id="rId13">
              <w:r>
                <w:rPr>
                  <w:rFonts w:ascii="Calibri" w:hAnsi="Calibri" w:cs="Calibri"/>
                  <w:sz w:val="18"/>
                  <w:color w:val="1155CC"/>
                  <w:u w:val="single"/>
                </w:rPr>
                <w:t xml:space="preserve">https://versusarthritis.org/about-arthritis/conditions/psoriatic-arthritis/</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(PHQ-9)</w:t>
            </w:r>
          </w:p>
        </w:tc>
        <w:tc>
          <w:tcPr>
            <w:tcW w:type="dxa" w:w="1655"/>
            <w:vAlign w:val="top"/>
          </w:tcPr>
          <w:p>
            <w:pPr>
              <w:spacing w:after="40" w:before="0" w:line="259" w:lineRule="auto"/>
            </w:pPr>
            <w:r>
              <w:rPr>
                <w:rFonts w:ascii="Calibri" w:hAnsi="Calibri"/>
                <w:b w:val="0"/>
                <w:i w:val="0"/>
                <w:color w:val="212121"/>
                <w:sz w:val="19"/>
              </w:rPr>
              <w:t>Active/chronic PsA</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&gt;= 10 (moderate or greater)</w:t>
            </w:r>
          </w:p>
        </w:tc>
        <w:tc>
          <w:tcPr>
            <w:tcW w:type="dxa" w:w="1468"/>
            <w:vAlign w:val="top"/>
          </w:tcPr>
          <w:p>
            <w:pPr>
              <w:spacing w:after="60" w:line="259" w:lineRule="auto"/>
            </w:pPr>
            <w:r>
              <w:rPr>
                <w:rFonts w:ascii="Calibri" w:hAnsi="Calibri"/>
                <w:b w:val="0"/>
                <w:i w:val="0"/>
                <w:color w:val="212121"/>
                <w:sz w:val="19"/>
              </w:rPr>
              <w:t>Depression and anxiety are common and bidirectional; they worsen pain and adherence</w:t>
            </w:r>
          </w:p>
          <w:p>
            <w:pPr>
              <w:spacing w:after="40" w:line="252" w:lineRule="auto"/>
            </w:pPr>
            <w:hyperlink r:id="rId17">
              <w:r>
                <w:rPr>
                  <w:rFonts w:ascii="Calibri" w:hAnsi="Calibri" w:cs="Calibri"/>
                  <w:sz w:val="18"/>
                  <w:color w:val="1155CC"/>
                  <w:u w:val="single"/>
                </w:rPr>
                <w:t xml:space="preserve">https://www.mayoclinic.org/diseases-conditions/psoriatic-arthritis/symptoms-causes/syc-20354076</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Morning stiffness duration</w:t>
            </w:r>
          </w:p>
        </w:tc>
        <w:tc>
          <w:tcPr>
            <w:tcW w:type="dxa" w:w="1655"/>
            <w:vAlign w:val="top"/>
          </w:tcPr>
          <w:p>
            <w:pPr>
              <w:spacing w:after="40" w:before="0" w:line="259" w:lineRule="auto"/>
            </w:pPr>
            <w:r>
              <w:rPr>
                <w:rFonts w:ascii="Calibri" w:hAnsi="Calibri"/>
                <w:b w:val="0"/>
                <w:i w:val="0"/>
                <w:color w:val="212121"/>
                <w:sz w:val="19"/>
              </w:rPr>
              <w:t>Suspected/active PsA</w:t>
            </w:r>
          </w:p>
        </w:tc>
        <w:tc>
          <w:tcPr>
            <w:tcW w:type="dxa" w:w="1512"/>
            <w:vAlign w:val="top"/>
          </w:tcPr>
          <w:p>
            <w:pPr>
              <w:spacing w:after="40" w:before="0" w:line="259" w:lineRule="auto"/>
            </w:pPr>
            <w:r>
              <w:rPr>
                <w:rFonts w:ascii="Calibri" w:hAnsi="Calibri"/>
                <w:b w:val="0"/>
                <w:i w:val="0"/>
                <w:color w:val="212121"/>
                <w:sz w:val="19"/>
              </w:rPr>
              <w:t>&lt; 15 minutes</w:t>
            </w:r>
          </w:p>
        </w:tc>
        <w:tc>
          <w:tcPr>
            <w:tcW w:type="dxa" w:w="1512"/>
            <w:vAlign w:val="top"/>
          </w:tcPr>
          <w:p>
            <w:pPr>
              <w:spacing w:after="40" w:before="0" w:line="259" w:lineRule="auto"/>
            </w:pPr>
            <w:r>
              <w:rPr>
                <w:rFonts w:ascii="Calibri" w:hAnsi="Calibri"/>
                <w:b w:val="0"/>
                <w:i w:val="0"/>
                <w:color w:val="212121"/>
                <w:sz w:val="19"/>
              </w:rPr>
              <w:t>&gt;= 30 minutes</w:t>
            </w:r>
          </w:p>
        </w:tc>
        <w:tc>
          <w:tcPr>
            <w:tcW w:type="dxa" w:w="1468"/>
            <w:vAlign w:val="top"/>
          </w:tcPr>
          <w:p>
            <w:pPr>
              <w:spacing w:after="60" w:line="259" w:lineRule="auto"/>
            </w:pPr>
            <w:r>
              <w:rPr>
                <w:rFonts w:ascii="Calibri" w:hAnsi="Calibri"/>
                <w:b w:val="0"/>
                <w:i w:val="0"/>
                <w:color w:val="212121"/>
                <w:sz w:val="19"/>
              </w:rPr>
              <w:t>Prolonged early-morning stiffness that eases with activity signals inflammatory joint disease</w:t>
            </w:r>
          </w:p>
          <w:p>
            <w:pPr>
              <w:spacing w:after="40" w:line="252" w:lineRule="auto"/>
            </w:pPr>
            <w:hyperlink r:id="rId13">
              <w:r>
                <w:rPr>
                  <w:rFonts w:ascii="Calibri" w:hAnsi="Calibri" w:cs="Calibri"/>
                  <w:sz w:val="18"/>
                  <w:color w:val="1155CC"/>
                  <w:u w:val="single"/>
                </w:rPr>
                <w:t xml:space="preserve">https://versusarthritis.org/about-arthritis/conditions/psoriatic-arthritis/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Inflammatory markers (CRP / ESR)</w:t>
            </w:r>
          </w:p>
        </w:tc>
        <w:tc>
          <w:tcPr>
            <w:tcW w:type="dxa" w:w="1655"/>
            <w:vAlign w:val="top"/>
          </w:tcPr>
          <w:p>
            <w:pPr>
              <w:spacing w:after="40" w:before="0" w:line="259" w:lineRule="auto"/>
            </w:pPr>
            <w:r>
              <w:rPr>
                <w:rFonts w:ascii="Calibri" w:hAnsi="Calibri"/>
                <w:b w:val="0"/>
                <w:i w:val="0"/>
                <w:color w:val="212121"/>
                <w:sz w:val="19"/>
              </w:rPr>
              <w:t>Patients with PsA</w:t>
            </w:r>
          </w:p>
        </w:tc>
        <w:tc>
          <w:tcPr>
            <w:tcW w:type="dxa" w:w="1512"/>
            <w:vAlign w:val="top"/>
          </w:tcPr>
          <w:p>
            <w:pPr>
              <w:spacing w:after="40" w:before="0" w:line="259" w:lineRule="auto"/>
            </w:pPr>
            <w:r>
              <w:rPr>
                <w:rFonts w:ascii="Calibri" w:hAnsi="Calibri"/>
                <w:b w:val="0"/>
                <w:i w:val="0"/>
                <w:color w:val="212121"/>
                <w:sz w:val="19"/>
              </w:rPr>
              <w:t>Normal CRP and ESR</w:t>
            </w:r>
          </w:p>
        </w:tc>
        <w:tc>
          <w:tcPr>
            <w:tcW w:type="dxa" w:w="1512"/>
            <w:vAlign w:val="top"/>
          </w:tcPr>
          <w:p>
            <w:pPr>
              <w:spacing w:after="40" w:before="0" w:line="259" w:lineRule="auto"/>
            </w:pPr>
            <w:r>
              <w:rPr>
                <w:rFonts w:ascii="Calibri" w:hAnsi="Calibri"/>
                <w:b w:val="0"/>
                <w:i w:val="0"/>
                <w:color w:val="212121"/>
                <w:sz w:val="19"/>
              </w:rPr>
              <w:t>Elevated CRP or ESR</w:t>
            </w:r>
          </w:p>
        </w:tc>
        <w:tc>
          <w:tcPr>
            <w:tcW w:type="dxa" w:w="1468"/>
            <w:vAlign w:val="top"/>
          </w:tcPr>
          <w:p>
            <w:pPr>
              <w:spacing w:after="60" w:line="259" w:lineRule="auto"/>
            </w:pPr>
            <w:r>
              <w:rPr>
                <w:rFonts w:ascii="Calibri" w:hAnsi="Calibri"/>
                <w:b w:val="0"/>
                <w:i w:val="0"/>
                <w:color w:val="212121"/>
                <w:sz w:val="19"/>
              </w:rPr>
              <w:t>Raised in only about 40% of patients, so normal values do not exclude active disease</w:t>
            </w:r>
          </w:p>
          <w:p>
            <w:pPr>
              <w:spacing w:after="40" w:line="252" w:lineRule="auto"/>
            </w:pPr>
            <w:hyperlink r:id="rId9">
              <w:r>
                <w:rPr>
                  <w:rFonts w:ascii="Calibri" w:hAnsi="Calibri" w:cs="Calibri"/>
                  <w:sz w:val="18"/>
                  <w:color w:val="1155CC"/>
                  <w:u w:val="single"/>
                </w:rPr>
                <w:t xml:space="preserve">https://www.ncbi.nlm.nih.gov/books/NBK547710/</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Skin &amp; nail care / plaque status</w:t>
            </w:r>
          </w:p>
        </w:tc>
        <w:tc>
          <w:tcPr>
            <w:tcW w:type="dxa" w:w="1655"/>
            <w:vAlign w:val="top"/>
          </w:tcPr>
          <w:p>
            <w:pPr>
              <w:spacing w:after="40" w:before="0" w:line="259" w:lineRule="auto"/>
            </w:pPr>
            <w:r>
              <w:rPr>
                <w:rFonts w:ascii="Calibri" w:hAnsi="Calibri"/>
                <w:b w:val="0"/>
                <w:i w:val="0"/>
                <w:color w:val="212121"/>
                <w:sz w:val="19"/>
              </w:rPr>
              <w:t>Psoriasis and PsA patients</w:t>
            </w:r>
          </w:p>
        </w:tc>
        <w:tc>
          <w:tcPr>
            <w:tcW w:type="dxa" w:w="1512"/>
            <w:vAlign w:val="top"/>
          </w:tcPr>
          <w:p>
            <w:pPr>
              <w:spacing w:after="40" w:before="0" w:line="259" w:lineRule="auto"/>
            </w:pPr>
            <w:r>
              <w:rPr>
                <w:rFonts w:ascii="Calibri" w:hAnsi="Calibri"/>
                <w:b w:val="0"/>
                <w:i w:val="0"/>
                <w:color w:val="212121"/>
                <w:sz w:val="19"/>
              </w:rPr>
              <w:t>Well-controlled skin, intact nails</w:t>
            </w:r>
          </w:p>
        </w:tc>
        <w:tc>
          <w:tcPr>
            <w:tcW w:type="dxa" w:w="1512"/>
            <w:vAlign w:val="top"/>
          </w:tcPr>
          <w:p>
            <w:pPr>
              <w:spacing w:after="40" w:before="0" w:line="259" w:lineRule="auto"/>
            </w:pPr>
            <w:r>
              <w:rPr>
                <w:rFonts w:ascii="Calibri" w:hAnsi="Calibri"/>
                <w:b w:val="0"/>
                <w:i w:val="0"/>
                <w:color w:val="212121"/>
                <w:sz w:val="19"/>
              </w:rPr>
              <w:t>Extensive/infected plaques, nail dystrophy</w:t>
            </w:r>
          </w:p>
        </w:tc>
        <w:tc>
          <w:tcPr>
            <w:tcW w:type="dxa" w:w="1468"/>
            <w:vAlign w:val="top"/>
          </w:tcPr>
          <w:p>
            <w:pPr>
              <w:spacing w:after="60" w:line="259" w:lineRule="auto"/>
            </w:pPr>
            <w:r>
              <w:rPr>
                <w:rFonts w:ascii="Calibri" w:hAnsi="Calibri"/>
                <w:b w:val="0"/>
                <w:i w:val="0"/>
                <w:color w:val="212121"/>
                <w:sz w:val="19"/>
              </w:rPr>
              <w:t>Nail disease occurs in 80-90% of PsA and tracks with DIP-joint involvement</w:t>
            </w:r>
          </w:p>
          <w:p>
            <w:pPr>
              <w:spacing w:after="40" w:line="252" w:lineRule="auto"/>
            </w:pPr>
            <w:hyperlink r:id="rId9">
              <w:r>
                <w:rPr>
                  <w:rFonts w:ascii="Calibri" w:hAnsi="Calibri" w:cs="Calibri"/>
                  <w:sz w:val="18"/>
                  <w:color w:val="1155CC"/>
                  <w:u w:val="single"/>
                </w:rPr>
                <w:t xml:space="preserve">https://www.ncbi.nlm.nih.gov/books/NBK547710/</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Rheumatoid Factor (RF)</w:t>
            </w:r>
          </w:p>
        </w:tc>
        <w:tc>
          <w:tcPr>
            <w:tcW w:type="dxa" w:w="892"/>
            <w:vAlign w:val="top"/>
          </w:tcPr>
          <w:p>
            <w:pPr>
              <w:spacing w:after="40" w:before="0" w:line="259" w:lineRule="auto"/>
            </w:pPr>
            <w:r>
              <w:rPr>
                <w:rFonts w:ascii="Calibri" w:hAnsi="Calibri"/>
                <w:b w:val="0"/>
                <w:i w:val="0"/>
                <w:color w:val="212121"/>
                <w:sz w:val="16"/>
              </w:rPr>
              <w:t>Autoantibody assay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(in only ~2-10%)</w:t>
            </w:r>
          </w:p>
        </w:tc>
        <w:tc>
          <w:tcPr>
            <w:tcW w:type="dxa" w:w="1036"/>
            <w:vAlign w:val="top"/>
          </w:tcPr>
          <w:p>
            <w:pPr>
              <w:spacing w:after="40" w:before="0" w:line="259" w:lineRule="auto"/>
            </w:pPr>
            <w:r>
              <w:rPr>
                <w:rFonts w:ascii="Calibri" w:hAnsi="Calibri"/>
                <w:b w:val="0"/>
                <w:i w:val="0"/>
                <w:color w:val="212121"/>
                <w:sz w:val="16"/>
              </w:rPr>
              <w:t>PsA is characteristically seronegative; a negative RF supports the diagnosis and scores a CASPAR point</w:t>
            </w:r>
          </w:p>
        </w:tc>
        <w:tc>
          <w:tcPr>
            <w:tcW w:type="dxa" w:w="1036"/>
            <w:vAlign w:val="top"/>
          </w:tcPr>
          <w:p>
            <w:pPr>
              <w:spacing w:after="40" w:before="0" w:line="259" w:lineRule="auto"/>
            </w:pPr>
            <w:r>
              <w:rPr>
                <w:rFonts w:ascii="Calibri" w:hAnsi="Calibri"/>
                <w:b w:val="0"/>
                <w:i w:val="0"/>
                <w:color w:val="212121"/>
                <w:sz w:val="16"/>
              </w:rPr>
              <w:t>Suspected PsA, seronegative inflammatory arthritis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low-titre positive can occur incidentally; interpret with the whole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Anti-CCP antibody (ACPA)</w:t>
            </w:r>
          </w:p>
        </w:tc>
        <w:tc>
          <w:tcPr>
            <w:tcW w:type="dxa" w:w="892"/>
            <w:vAlign w:val="top"/>
          </w:tcPr>
          <w:p>
            <w:pPr>
              <w:spacing w:after="40" w:before="0" w:line="259" w:lineRule="auto"/>
            </w:pPr>
            <w:r>
              <w:rPr>
                <w:rFonts w:ascii="Calibri" w:hAnsi="Calibri"/>
                <w:b w:val="0"/>
                <w:i w:val="0"/>
                <w:color w:val="212121"/>
                <w:sz w:val="16"/>
              </w:rPr>
              <w:t>Autoantibody assay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(only ~5%)</w:t>
            </w:r>
          </w:p>
        </w:tc>
        <w:tc>
          <w:tcPr>
            <w:tcW w:type="dxa" w:w="1036"/>
            <w:vAlign w:val="top"/>
          </w:tcPr>
          <w:p>
            <w:pPr>
              <w:spacing w:after="40" w:before="0" w:line="259" w:lineRule="auto"/>
            </w:pPr>
            <w:r>
              <w:rPr>
                <w:rFonts w:ascii="Calibri" w:hAnsi="Calibri"/>
                <w:b w:val="0"/>
                <w:i w:val="0"/>
                <w:color w:val="212121"/>
                <w:sz w:val="16"/>
              </w:rPr>
              <w:t>Usually negative; helps distinguish PsA from rheumatoid arthritis, though a minority are positive and may have more erosive disease</w:t>
            </w:r>
          </w:p>
        </w:tc>
        <w:tc>
          <w:tcPr>
            <w:tcW w:type="dxa" w:w="1036"/>
            <w:vAlign w:val="top"/>
          </w:tcPr>
          <w:p>
            <w:pPr>
              <w:spacing w:after="40" w:before="0" w:line="259" w:lineRule="auto"/>
            </w:pPr>
            <w:r>
              <w:rPr>
                <w:rFonts w:ascii="Calibri" w:hAnsi="Calibri"/>
                <w:b w:val="0"/>
                <w:i w:val="0"/>
                <w:color w:val="212121"/>
                <w:sz w:val="16"/>
              </w:rPr>
              <w:t>Polyarticular PsA vs RA</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Anti-CCP is only rarely present in psoriatic arthritis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CRP / ESR (acute-phase reactants)</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CRP &lt; 5 mg/L; ESR age/sex appropriate</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Reflect systemic inflammation and help monitor activity, but are raised in only about 40% of patients so normal values do not exclude active disease</w:t>
            </w:r>
          </w:p>
        </w:tc>
        <w:tc>
          <w:tcPr>
            <w:tcW w:type="dxa" w:w="1036"/>
            <w:vAlign w:val="top"/>
          </w:tcPr>
          <w:p>
            <w:pPr>
              <w:spacing w:after="40" w:before="0" w:line="259" w:lineRule="auto"/>
            </w:pPr>
            <w:r>
              <w:rPr>
                <w:rFonts w:ascii="Calibri" w:hAnsi="Calibri"/>
                <w:b w:val="0"/>
                <w:i w:val="0"/>
                <w:color w:val="212121"/>
                <w:sz w:val="16"/>
              </w:rPr>
              <w:t>Active PsA, polyarticular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Normal markers common; correlate with joint and enthesis findings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Immunogenetics</w:t>
            </w:r>
          </w:p>
        </w:tc>
        <w:tc>
          <w:tcPr>
            <w:tcW w:type="dxa" w:w="1036"/>
            <w:vAlign w:val="top"/>
          </w:tcPr>
          <w:p>
            <w:pPr>
              <w:spacing w:after="40" w:before="0" w:line="259" w:lineRule="auto"/>
            </w:pPr>
            <w:r>
              <w:rPr>
                <w:rFonts w:ascii="Calibri" w:hAnsi="Calibri"/>
                <w:b w:val="0"/>
                <w:i w:val="0"/>
                <w:color w:val="212121"/>
                <w:sz w:val="16"/>
              </w:rPr>
              <w:t>HLA-B27</w:t>
            </w:r>
          </w:p>
        </w:tc>
        <w:tc>
          <w:tcPr>
            <w:tcW w:type="dxa" w:w="892"/>
            <w:vAlign w:val="top"/>
          </w:tcPr>
          <w:p>
            <w:pPr>
              <w:spacing w:after="40" w:before="0" w:line="259" w:lineRule="auto"/>
            </w:pPr>
            <w:r>
              <w:rPr>
                <w:rFonts w:ascii="Calibri" w:hAnsi="Calibri"/>
                <w:b w:val="0"/>
                <w:i w:val="0"/>
                <w:color w:val="212121"/>
                <w:sz w:val="16"/>
              </w:rPr>
              <w:t>Tissue typing</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Associated with axial disease, sacroiliitis, enthesitis and dactylitis; present in about 20% of axial PsA</w:t>
            </w:r>
          </w:p>
        </w:tc>
        <w:tc>
          <w:tcPr>
            <w:tcW w:type="dxa" w:w="1036"/>
            <w:vAlign w:val="top"/>
          </w:tcPr>
          <w:p>
            <w:pPr>
              <w:spacing w:after="40" w:before="0" w:line="259" w:lineRule="auto"/>
            </w:pPr>
            <w:r>
              <w:rPr>
                <w:rFonts w:ascii="Calibri" w:hAnsi="Calibri"/>
                <w:b w:val="0"/>
                <w:i w:val="0"/>
                <w:color w:val="212121"/>
                <w:sz w:val="16"/>
              </w:rPr>
              <w:t>Suspected axial / spondylitic PsA</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Supports an axial phenotype but is neither necessary nor sufficient for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X-ray hands, feet &amp; pelvis</w:t>
            </w:r>
          </w:p>
        </w:tc>
        <w:tc>
          <w:tcPr>
            <w:tcW w:type="dxa" w:w="892"/>
            <w:vAlign w:val="top"/>
          </w:tcPr>
          <w:p>
            <w:pPr>
              <w:spacing w:after="40" w:before="0" w:line="259" w:lineRule="auto"/>
            </w:pPr>
            <w:r>
              <w:rPr>
                <w:rFonts w:ascii="Calibri" w:hAnsi="Calibri"/>
                <w:b w:val="0"/>
                <w:i w:val="0"/>
                <w:color w:val="212121"/>
                <w:sz w:val="16"/>
              </w:rPr>
              <w:t>Radiograph</w:t>
            </w:r>
          </w:p>
        </w:tc>
        <w:tc>
          <w:tcPr>
            <w:tcW w:type="dxa" w:w="950"/>
            <w:vAlign w:val="top"/>
          </w:tcPr>
          <w:p>
            <w:pPr>
              <w:spacing w:after="40" w:before="0" w:line="259" w:lineRule="auto"/>
            </w:pPr>
            <w:r>
              <w:rPr>
                <w:rFonts w:ascii="Calibri" w:hAnsi="Calibri"/>
                <w:b w:val="0"/>
                <w:i w:val="0"/>
                <w:color w:val="212121"/>
                <w:sz w:val="16"/>
              </w:rPr>
              <w:t>No erosion; preserved joint space</w:t>
            </w:r>
          </w:p>
        </w:tc>
        <w:tc>
          <w:tcPr>
            <w:tcW w:type="dxa" w:w="950"/>
            <w:vAlign w:val="top"/>
          </w:tcPr>
          <w:p>
            <w:pPr>
              <w:spacing w:after="40" w:before="0" w:line="259" w:lineRule="auto"/>
            </w:pPr>
            <w:r>
              <w:rPr>
                <w:rFonts w:ascii="Calibri" w:hAnsi="Calibri"/>
                <w:b w:val="0"/>
                <w:i w:val="0"/>
                <w:color w:val="212121"/>
                <w:sz w:val="16"/>
              </w:rPr>
              <w:t>Erosions with juxta-articular new-bone formation, 'pencil-in-cup', asymmetric sacroiliitis</w:t>
            </w:r>
          </w:p>
        </w:tc>
        <w:tc>
          <w:tcPr>
            <w:tcW w:type="dxa" w:w="1036"/>
            <w:vAlign w:val="top"/>
          </w:tcPr>
          <w:p>
            <w:pPr>
              <w:spacing w:after="40" w:before="0" w:line="259" w:lineRule="auto"/>
            </w:pPr>
            <w:r>
              <w:rPr>
                <w:rFonts w:ascii="Calibri" w:hAnsi="Calibri"/>
                <w:b w:val="0"/>
                <w:i w:val="0"/>
                <w:color w:val="212121"/>
                <w:sz w:val="16"/>
              </w:rPr>
              <w:t>Documents the characteristic combination of erosion and proliferation; radiographic damage appears in about 47% within the first 2 years</w:t>
            </w:r>
          </w:p>
        </w:tc>
        <w:tc>
          <w:tcPr>
            <w:tcW w:type="dxa" w:w="1036"/>
            <w:vAlign w:val="top"/>
          </w:tcPr>
          <w:p>
            <w:pPr>
              <w:spacing w:after="40" w:before="0" w:line="259" w:lineRule="auto"/>
            </w:pPr>
            <w:r>
              <w:rPr>
                <w:rFonts w:ascii="Calibri" w:hAnsi="Calibri"/>
                <w:b w:val="0"/>
                <w:i w:val="0"/>
                <w:color w:val="212121"/>
                <w:sz w:val="16"/>
              </w:rPr>
              <w:t>Established/erosive PsA, baseline assessment</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Structural</w:t>
            </w:r>
          </w:p>
        </w:tc>
        <w:tc>
          <w:tcPr>
            <w:tcW w:type="dxa" w:w="720"/>
            <w:vAlign w:val="top"/>
          </w:tcPr>
          <w:p>
            <w:pPr>
              <w:spacing w:after="40" w:before="0" w:line="259" w:lineRule="auto"/>
            </w:pPr>
            <w:r>
              <w:rPr>
                <w:rFonts w:ascii="Calibri" w:hAnsi="Calibri"/>
                <w:b w:val="0"/>
                <w:i w:val="0"/>
                <w:color w:val="212121"/>
                <w:sz w:val="16"/>
              </w:rPr>
              <w:t>New-bone formation distinguishes PsA from rheumatoid arthritis and scores a CASPAR point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Ultrasound / MRI (joints, entheses, sacroiliac)</w:t>
            </w:r>
          </w:p>
        </w:tc>
        <w:tc>
          <w:tcPr>
            <w:tcW w:type="dxa" w:w="892"/>
            <w:vAlign w:val="top"/>
          </w:tcPr>
          <w:p>
            <w:pPr>
              <w:spacing w:after="40" w:before="0" w:line="259" w:lineRule="auto"/>
            </w:pPr>
            <w:r>
              <w:rPr>
                <w:rFonts w:ascii="Calibri" w:hAnsi="Calibri"/>
                <w:b w:val="0"/>
                <w:i w:val="0"/>
                <w:color w:val="212121"/>
                <w:sz w:val="16"/>
              </w:rPr>
              <w:t>Ultrasound / MRI</w:t>
            </w:r>
          </w:p>
        </w:tc>
        <w:tc>
          <w:tcPr>
            <w:tcW w:type="dxa" w:w="950"/>
            <w:vAlign w:val="top"/>
          </w:tcPr>
          <w:p>
            <w:pPr>
              <w:spacing w:after="40" w:before="0" w:line="259" w:lineRule="auto"/>
            </w:pPr>
            <w:r>
              <w:rPr>
                <w:rFonts w:ascii="Calibri" w:hAnsi="Calibri"/>
                <w:b w:val="0"/>
                <w:i w:val="0"/>
                <w:color w:val="212121"/>
                <w:sz w:val="16"/>
              </w:rPr>
              <w:t>No synovitis, enthesitis or sacroiliitis</w:t>
            </w:r>
          </w:p>
        </w:tc>
        <w:tc>
          <w:tcPr>
            <w:tcW w:type="dxa" w:w="950"/>
            <w:vAlign w:val="top"/>
          </w:tcPr>
          <w:p>
            <w:pPr>
              <w:spacing w:after="40" w:before="0" w:line="259" w:lineRule="auto"/>
            </w:pPr>
            <w:r>
              <w:rPr>
                <w:rFonts w:ascii="Calibri" w:hAnsi="Calibri"/>
                <w:b w:val="0"/>
                <w:i w:val="0"/>
                <w:color w:val="212121"/>
                <w:sz w:val="16"/>
              </w:rPr>
              <w:t>Enthesitis, synovitis, dactylitis, bone marrow oedema, sacroiliitis</w:t>
            </w:r>
          </w:p>
        </w:tc>
        <w:tc>
          <w:tcPr>
            <w:tcW w:type="dxa" w:w="1036"/>
            <w:vAlign w:val="top"/>
          </w:tcPr>
          <w:p>
            <w:pPr>
              <w:spacing w:after="40" w:before="0" w:line="259" w:lineRule="auto"/>
            </w:pPr>
            <w:r>
              <w:rPr>
                <w:rFonts w:ascii="Calibri" w:hAnsi="Calibri"/>
                <w:b w:val="0"/>
                <w:i w:val="0"/>
                <w:color w:val="212121"/>
                <w:sz w:val="16"/>
              </w:rPr>
              <w:t>Detects subclinical enthesitis and early sacroiliitis before radiographs change; enthesitis is the predominant lesion of PsA</w:t>
            </w:r>
          </w:p>
        </w:tc>
        <w:tc>
          <w:tcPr>
            <w:tcW w:type="dxa" w:w="1036"/>
            <w:vAlign w:val="top"/>
          </w:tcPr>
          <w:p>
            <w:pPr>
              <w:spacing w:after="40" w:before="0" w:line="259" w:lineRule="auto"/>
            </w:pPr>
            <w:r>
              <w:rPr>
                <w:rFonts w:ascii="Calibri" w:hAnsi="Calibri"/>
                <w:b w:val="0"/>
                <w:i w:val="0"/>
                <w:color w:val="212121"/>
                <w:sz w:val="16"/>
              </w:rPr>
              <w:t>Early / axial / enthesitis-predominant disease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More sensitive than radiography for early and entheseal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uric acid</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Hyperuricaemia</w:t>
            </w:r>
          </w:p>
        </w:tc>
        <w:tc>
          <w:tcPr>
            <w:tcW w:type="dxa" w:w="1036"/>
            <w:vAlign w:val="top"/>
          </w:tcPr>
          <w:p>
            <w:pPr>
              <w:spacing w:after="40" w:before="0" w:line="259" w:lineRule="auto"/>
            </w:pPr>
            <w:r>
              <w:rPr>
                <w:rFonts w:ascii="Calibri" w:hAnsi="Calibri"/>
                <w:b w:val="0"/>
                <w:i w:val="0"/>
                <w:color w:val="212121"/>
                <w:sz w:val="16"/>
              </w:rPr>
              <w:t>High cell turnover from extensive psoriasis can raise urate; helps address gout, a recognised PsA comorbidity and mimic</w:t>
            </w:r>
          </w:p>
        </w:tc>
        <w:tc>
          <w:tcPr>
            <w:tcW w:type="dxa" w:w="1036"/>
            <w:vAlign w:val="top"/>
          </w:tcPr>
          <w:p>
            <w:pPr>
              <w:spacing w:after="40" w:before="0" w:line="259" w:lineRule="auto"/>
            </w:pPr>
            <w:r>
              <w:rPr>
                <w:rFonts w:ascii="Calibri" w:hAnsi="Calibri"/>
                <w:b w:val="0"/>
                <w:i w:val="0"/>
                <w:color w:val="212121"/>
                <w:sz w:val="16"/>
              </w:rPr>
              <w:t>PsA with extensive skin disease, painful first MTP</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Distinguish coexisting gout from a PsA flare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Safety / baseline</w:t>
            </w:r>
          </w:p>
        </w:tc>
        <w:tc>
          <w:tcPr>
            <w:tcW w:type="dxa" w:w="1036"/>
            <w:vAlign w:val="top"/>
          </w:tcPr>
          <w:p>
            <w:pPr>
              <w:spacing w:after="40" w:before="0" w:line="259" w:lineRule="auto"/>
            </w:pPr>
            <w:r>
              <w:rPr>
                <w:rFonts w:ascii="Calibri" w:hAnsi="Calibri"/>
                <w:b w:val="0"/>
                <w:i w:val="0"/>
                <w:color w:val="212121"/>
                <w:sz w:val="16"/>
              </w:rPr>
              <w:t>CBC, LFTs, renal function, viral screen</w:t>
            </w:r>
          </w:p>
        </w:tc>
        <w:tc>
          <w:tcPr>
            <w:tcW w:type="dxa" w:w="892"/>
            <w:vAlign w:val="top"/>
          </w:tcPr>
          <w:p>
            <w:pPr>
              <w:spacing w:after="40" w:before="0" w:line="259" w:lineRule="auto"/>
            </w:pPr>
            <w:r>
              <w:rPr>
                <w:rFonts w:ascii="Calibri" w:hAnsi="Calibri"/>
                <w:b w:val="0"/>
                <w:i w:val="0"/>
                <w:color w:val="212121"/>
                <w:sz w:val="16"/>
              </w:rPr>
              <w:t>Baseline panel</w:t>
            </w:r>
          </w:p>
        </w:tc>
        <w:tc>
          <w:tcPr>
            <w:tcW w:type="dxa" w:w="950"/>
            <w:vAlign w:val="top"/>
          </w:tcPr>
          <w:p>
            <w:pPr>
              <w:spacing w:after="40" w:before="0" w:line="259" w:lineRule="auto"/>
            </w:pPr>
            <w:r>
              <w:rPr>
                <w:rFonts w:ascii="Calibri" w:hAnsi="Calibri"/>
                <w:b w:val="0"/>
                <w:i w:val="0"/>
                <w:color w:val="212121"/>
                <w:sz w:val="16"/>
              </w:rPr>
              <w:t>Within reference range; negative viral screen</w:t>
            </w:r>
          </w:p>
        </w:tc>
        <w:tc>
          <w:tcPr>
            <w:tcW w:type="dxa" w:w="950"/>
            <w:vAlign w:val="top"/>
          </w:tcPr>
          <w:p>
            <w:pPr>
              <w:spacing w:after="40" w:before="0" w:line="259" w:lineRule="auto"/>
            </w:pPr>
            <w:r>
              <w:rPr>
                <w:rFonts w:ascii="Calibri" w:hAnsi="Calibri"/>
                <w:b w:val="0"/>
                <w:i w:val="0"/>
                <w:color w:val="212121"/>
                <w:sz w:val="16"/>
              </w:rPr>
              <w:t>Cytopenia, deranged LFTs, renal impairment, positive HBV/HCV/TB</w:t>
            </w:r>
          </w:p>
        </w:tc>
        <w:tc>
          <w:tcPr>
            <w:tcW w:type="dxa" w:w="1036"/>
            <w:vAlign w:val="top"/>
          </w:tcPr>
          <w:p>
            <w:pPr>
              <w:spacing w:after="40" w:before="0" w:line="259" w:lineRule="auto"/>
            </w:pPr>
            <w:r>
              <w:rPr>
                <w:rFonts w:ascii="Calibri" w:hAnsi="Calibri"/>
                <w:b w:val="0"/>
                <w:i w:val="0"/>
                <w:color w:val="212121"/>
                <w:sz w:val="16"/>
              </w:rPr>
              <w:t>Establishes safety before methotrexate, leflunomide or biologics and screens for latent infection needing treatment first</w:t>
            </w:r>
          </w:p>
        </w:tc>
        <w:tc>
          <w:tcPr>
            <w:tcW w:type="dxa" w:w="1036"/>
            <w:vAlign w:val="top"/>
          </w:tcPr>
          <w:p>
            <w:pPr>
              <w:spacing w:after="40" w:before="0" w:line="259" w:lineRule="auto"/>
            </w:pPr>
            <w:r>
              <w:rPr>
                <w:rFonts w:ascii="Calibri" w:hAnsi="Calibri"/>
                <w:b w:val="0"/>
                <w:i w:val="0"/>
                <w:color w:val="212121"/>
                <w:sz w:val="16"/>
              </w:rPr>
              <w:t>Patients starting DMARDs/biologics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Alcohol and fatty liver compound methotrexate hepatotoxicity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Psoriasis &amp; nail history</w:t>
            </w:r>
          </w:p>
        </w:tc>
        <w:tc>
          <w:tcPr>
            <w:tcW w:type="dxa" w:w="979"/>
            <w:vAlign w:val="top"/>
          </w:tcPr>
          <w:p>
            <w:pPr>
              <w:spacing w:after="40" w:before="0" w:line="259" w:lineRule="auto"/>
            </w:pPr>
            <w:r>
              <w:rPr>
                <w:rFonts w:ascii="Calibri" w:hAnsi="Calibri"/>
                <w:b w:val="0"/>
                <w:i w:val="0"/>
                <w:color w:val="212121"/>
                <w:sz w:val="16"/>
              </w:rPr>
              <w:t>Current or past psoriasis, nail changes</w:t>
            </w:r>
          </w:p>
        </w:tc>
        <w:tc>
          <w:tcPr>
            <w:tcW w:type="dxa" w:w="950"/>
            <w:vAlign w:val="top"/>
          </w:tcPr>
          <w:p>
            <w:pPr>
              <w:spacing w:after="40" w:before="0" w:line="259" w:lineRule="auto"/>
            </w:pPr>
            <w:r>
              <w:rPr>
                <w:rFonts w:ascii="Calibri" w:hAnsi="Calibri"/>
                <w:b w:val="0"/>
                <w:i w:val="0"/>
                <w:color w:val="212121"/>
                <w:sz w:val="16"/>
              </w:rPr>
              <w:t>No psoriasis or nail disease</w:t>
            </w:r>
          </w:p>
        </w:tc>
        <w:tc>
          <w:tcPr>
            <w:tcW w:type="dxa" w:w="950"/>
            <w:vAlign w:val="top"/>
          </w:tcPr>
          <w:p>
            <w:pPr>
              <w:spacing w:after="40" w:before="0" w:line="259" w:lineRule="auto"/>
            </w:pPr>
            <w:r>
              <w:rPr>
                <w:rFonts w:ascii="Calibri" w:hAnsi="Calibri"/>
                <w:b w:val="0"/>
                <w:i w:val="0"/>
                <w:color w:val="212121"/>
                <w:sz w:val="16"/>
              </w:rPr>
              <w:t>Current/past psoriasis, or family history; nail pitting/onycholysis</w:t>
            </w:r>
          </w:p>
        </w:tc>
        <w:tc>
          <w:tcPr>
            <w:tcW w:type="dxa" w:w="1036"/>
            <w:vAlign w:val="top"/>
          </w:tcPr>
          <w:p>
            <w:pPr>
              <w:spacing w:after="40" w:before="0" w:line="259" w:lineRule="auto"/>
            </w:pPr>
            <w:r>
              <w:rPr>
                <w:rFonts w:ascii="Calibri" w:hAnsi="Calibri"/>
                <w:b w:val="0"/>
                <w:i w:val="0"/>
                <w:color w:val="212121"/>
                <w:sz w:val="16"/>
              </w:rPr>
              <w:t>Establishes the defining association and scores the main CASPAR points</w:t>
            </w:r>
          </w:p>
        </w:tc>
        <w:tc>
          <w:tcPr>
            <w:tcW w:type="dxa" w:w="1036"/>
            <w:vAlign w:val="top"/>
          </w:tcPr>
          <w:p>
            <w:pPr>
              <w:spacing w:after="40" w:before="0" w:line="259" w:lineRule="auto"/>
            </w:pPr>
            <w:r>
              <w:rPr>
                <w:rFonts w:ascii="Calibri" w:hAnsi="Calibri"/>
                <w:b w:val="0"/>
                <w:i w:val="0"/>
                <w:color w:val="212121"/>
                <w:sz w:val="16"/>
              </w:rPr>
              <w:t>Adults with inflammatory arthritis and skin/nail disease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hidden sites - scalp, umbilicus, natal cleft, nails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Pattern of joint &amp; entheseal pain</w:t>
            </w:r>
          </w:p>
        </w:tc>
        <w:tc>
          <w:tcPr>
            <w:tcW w:type="dxa" w:w="979"/>
            <w:vAlign w:val="top"/>
          </w:tcPr>
          <w:p>
            <w:pPr>
              <w:spacing w:after="40" w:before="0" w:line="259" w:lineRule="auto"/>
            </w:pPr>
            <w:r>
              <w:rPr>
                <w:rFonts w:ascii="Calibri" w:hAnsi="Calibri"/>
                <w:b w:val="0"/>
                <w:i w:val="0"/>
                <w:color w:val="212121"/>
                <w:sz w:val="16"/>
              </w:rPr>
              <w:t>Inflammatory pain, morning stiffness, dactylitis, heel pain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Morning stiffness &gt;= 30 min easing with activity; sausage digits; Achilles/plantar pain</w:t>
            </w:r>
          </w:p>
        </w:tc>
        <w:tc>
          <w:tcPr>
            <w:tcW w:type="dxa" w:w="1036"/>
            <w:vAlign w:val="top"/>
          </w:tcPr>
          <w:p>
            <w:pPr>
              <w:spacing w:after="40" w:before="0" w:line="259" w:lineRule="auto"/>
            </w:pPr>
            <w:r>
              <w:rPr>
                <w:rFonts w:ascii="Calibri" w:hAnsi="Calibri"/>
                <w:b w:val="0"/>
                <w:i w:val="0"/>
                <w:color w:val="212121"/>
                <w:sz w:val="16"/>
              </w:rPr>
              <w:t>Identifies the inflammatory, enthesitis-and-dactylitis pattern typical of PsA</w:t>
            </w:r>
          </w:p>
        </w:tc>
        <w:tc>
          <w:tcPr>
            <w:tcW w:type="dxa" w:w="1036"/>
            <w:vAlign w:val="top"/>
          </w:tcPr>
          <w:p>
            <w:pPr>
              <w:spacing w:after="40" w:before="0" w:line="259" w:lineRule="auto"/>
            </w:pPr>
            <w:r>
              <w:rPr>
                <w:rFonts w:ascii="Calibri" w:hAnsi="Calibri"/>
                <w:b w:val="0"/>
                <w:i w:val="0"/>
                <w:color w:val="212121"/>
                <w:sz w:val="16"/>
              </w:rPr>
              <w:t>Suspected PsA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Distinguish inflammatory from mechanical (osteoarthritic) pain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trigger history</w:t>
            </w:r>
          </w:p>
        </w:tc>
        <w:tc>
          <w:tcPr>
            <w:tcW w:type="dxa" w:w="979"/>
            <w:vAlign w:val="top"/>
          </w:tcPr>
          <w:p>
            <w:pPr>
              <w:spacing w:after="40" w:before="0" w:line="259" w:lineRule="auto"/>
            </w:pPr>
            <w:r>
              <w:rPr>
                <w:rFonts w:ascii="Calibri" w:hAnsi="Calibri"/>
                <w:b w:val="0"/>
                <w:i w:val="0"/>
                <w:color w:val="212121"/>
                <w:sz w:val="16"/>
              </w:rPr>
              <w:t>Family history of psoriasis/PsA; trauma, infection, smoking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&gt;= 1 affected relative; recent trauma, infection or stressor</w:t>
            </w:r>
          </w:p>
        </w:tc>
        <w:tc>
          <w:tcPr>
            <w:tcW w:type="dxa" w:w="1036"/>
            <w:vAlign w:val="top"/>
          </w:tcPr>
          <w:p>
            <w:pPr>
              <w:spacing w:after="40" w:before="0" w:line="259" w:lineRule="auto"/>
            </w:pPr>
            <w:r>
              <w:rPr>
                <w:rFonts w:ascii="Calibri" w:hAnsi="Calibri"/>
                <w:b w:val="0"/>
                <w:i w:val="0"/>
                <w:color w:val="212121"/>
                <w:sz w:val="16"/>
              </w:rPr>
              <w:t>Captures genetic risk (33-50% have an affected first-degree relative) and provoking factors</w:t>
            </w:r>
          </w:p>
        </w:tc>
        <w:tc>
          <w:tcPr>
            <w:tcW w:type="dxa" w:w="1036"/>
            <w:vAlign w:val="top"/>
          </w:tcPr>
          <w:p>
            <w:pPr>
              <w:spacing w:after="40" w:before="0" w:line="259" w:lineRule="auto"/>
            </w:pPr>
            <w:r>
              <w:rPr>
                <w:rFonts w:ascii="Calibri" w:hAnsi="Calibri"/>
                <w:b w:val="0"/>
                <w:i w:val="0"/>
                <w:color w:val="212121"/>
                <w:sz w:val="16"/>
              </w:rPr>
              <w:t>Relatives of psoriasis/PsA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Deep Koebner - trauma can localise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Skin &amp; nail examination</w:t>
            </w:r>
          </w:p>
        </w:tc>
        <w:tc>
          <w:tcPr>
            <w:tcW w:type="dxa" w:w="979"/>
            <w:vAlign w:val="top"/>
          </w:tcPr>
          <w:p>
            <w:pPr>
              <w:spacing w:after="40" w:before="0" w:line="259" w:lineRule="auto"/>
            </w:pPr>
            <w:r>
              <w:rPr>
                <w:rFonts w:ascii="Calibri" w:hAnsi="Calibri"/>
                <w:b w:val="0"/>
                <w:i w:val="0"/>
                <w:color w:val="212121"/>
                <w:sz w:val="16"/>
              </w:rPr>
              <w:t>Plaques, scalp/natal-cleft disease, nail pitting/onycholysis</w:t>
            </w:r>
          </w:p>
        </w:tc>
        <w:tc>
          <w:tcPr>
            <w:tcW w:type="dxa" w:w="950"/>
            <w:vAlign w:val="top"/>
          </w:tcPr>
          <w:p>
            <w:pPr>
              <w:spacing w:after="40" w:before="0" w:line="259" w:lineRule="auto"/>
            </w:pPr>
            <w:r>
              <w:rPr>
                <w:rFonts w:ascii="Calibri" w:hAnsi="Calibri"/>
                <w:b w:val="0"/>
                <w:i w:val="0"/>
                <w:color w:val="212121"/>
                <w:sz w:val="16"/>
              </w:rPr>
              <w:t>Clear skin and nails</w:t>
            </w:r>
          </w:p>
        </w:tc>
        <w:tc>
          <w:tcPr>
            <w:tcW w:type="dxa" w:w="950"/>
            <w:vAlign w:val="top"/>
          </w:tcPr>
          <w:p>
            <w:pPr>
              <w:spacing w:after="40" w:before="0" w:line="259" w:lineRule="auto"/>
            </w:pPr>
            <w:r>
              <w:rPr>
                <w:rFonts w:ascii="Calibri" w:hAnsi="Calibri"/>
                <w:b w:val="0"/>
                <w:i w:val="0"/>
                <w:color w:val="212121"/>
                <w:sz w:val="16"/>
              </w:rPr>
              <w:t>Psoriatic plaques; nail pitting, onycholysis, hyperkeratosis</w:t>
            </w:r>
          </w:p>
        </w:tc>
        <w:tc>
          <w:tcPr>
            <w:tcW w:type="dxa" w:w="1036"/>
            <w:vAlign w:val="top"/>
          </w:tcPr>
          <w:p>
            <w:pPr>
              <w:spacing w:after="40" w:before="0" w:line="259" w:lineRule="auto"/>
            </w:pPr>
            <w:r>
              <w:rPr>
                <w:rFonts w:ascii="Calibri" w:hAnsi="Calibri"/>
                <w:b w:val="0"/>
                <w:i w:val="0"/>
                <w:color w:val="212121"/>
                <w:sz w:val="16"/>
              </w:rPr>
              <w:t>Confirms psoriasis and nail disease, which is present in 80-90% of PsA and predicts DIP involvement</w:t>
            </w:r>
          </w:p>
        </w:tc>
        <w:tc>
          <w:tcPr>
            <w:tcW w:type="dxa" w:w="1036"/>
            <w:vAlign w:val="top"/>
          </w:tcPr>
          <w:p>
            <w:pPr>
              <w:spacing w:after="40" w:before="0" w:line="259" w:lineRule="auto"/>
            </w:pPr>
            <w:r>
              <w:rPr>
                <w:rFonts w:ascii="Calibri" w:hAnsi="Calibri"/>
                <w:b w:val="0"/>
                <w:i w:val="0"/>
                <w:color w:val="212121"/>
                <w:sz w:val="16"/>
              </w:rPr>
              <w:t>All suspected PsA</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Examine all nails and hidden skin sites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Musculoskeletal examination</w:t>
            </w:r>
          </w:p>
        </w:tc>
        <w:tc>
          <w:tcPr>
            <w:tcW w:type="dxa" w:w="979"/>
            <w:vAlign w:val="top"/>
          </w:tcPr>
          <w:p>
            <w:pPr>
              <w:spacing w:after="40" w:before="0" w:line="259" w:lineRule="auto"/>
            </w:pPr>
            <w:r>
              <w:rPr>
                <w:rFonts w:ascii="Calibri" w:hAnsi="Calibri"/>
                <w:b w:val="0"/>
                <w:i w:val="0"/>
                <w:color w:val="212121"/>
                <w:sz w:val="16"/>
              </w:rPr>
              <w:t>Peripheral synovitis, DIP disease, dactylitis, enthesitis, spinal mobility</w:t>
            </w:r>
          </w:p>
        </w:tc>
        <w:tc>
          <w:tcPr>
            <w:tcW w:type="dxa" w:w="950"/>
            <w:vAlign w:val="top"/>
          </w:tcPr>
          <w:p>
            <w:pPr>
              <w:spacing w:after="40" w:before="0" w:line="259" w:lineRule="auto"/>
            </w:pPr>
            <w:r>
              <w:rPr>
                <w:rFonts w:ascii="Calibri" w:hAnsi="Calibri"/>
                <w:b w:val="0"/>
                <w:i w:val="0"/>
                <w:color w:val="212121"/>
                <w:sz w:val="16"/>
              </w:rPr>
              <w:t>No synovitis, enthesitis or spinal restriction</w:t>
            </w:r>
          </w:p>
        </w:tc>
        <w:tc>
          <w:tcPr>
            <w:tcW w:type="dxa" w:w="950"/>
            <w:vAlign w:val="top"/>
          </w:tcPr>
          <w:p>
            <w:pPr>
              <w:spacing w:after="40" w:before="0" w:line="259" w:lineRule="auto"/>
            </w:pPr>
            <w:r>
              <w:rPr>
                <w:rFonts w:ascii="Calibri" w:hAnsi="Calibri"/>
                <w:b w:val="0"/>
                <w:i w:val="0"/>
                <w:color w:val="212121"/>
                <w:sz w:val="16"/>
              </w:rPr>
              <w:t>Asymmetric/DIP synovitis, sausage digits, Achilles/plantar enthesitis, reduced spinal/SI mobility</w:t>
            </w:r>
          </w:p>
        </w:tc>
        <w:tc>
          <w:tcPr>
            <w:tcW w:type="dxa" w:w="1036"/>
            <w:vAlign w:val="top"/>
          </w:tcPr>
          <w:p>
            <w:pPr>
              <w:spacing w:after="40" w:before="0" w:line="259" w:lineRule="auto"/>
            </w:pPr>
            <w:r>
              <w:rPr>
                <w:rFonts w:ascii="Calibri" w:hAnsi="Calibri"/>
                <w:b w:val="0"/>
                <w:i w:val="0"/>
                <w:color w:val="212121"/>
                <w:sz w:val="16"/>
              </w:rPr>
              <w:t>Objective evidence of peripheral, entheseal and axial inflammation; enthesitis is the predominant lesion</w:t>
            </w:r>
          </w:p>
        </w:tc>
        <w:tc>
          <w:tcPr>
            <w:tcW w:type="dxa" w:w="1036"/>
            <w:vAlign w:val="top"/>
          </w:tcPr>
          <w:p>
            <w:pPr>
              <w:spacing w:after="40" w:before="0" w:line="259" w:lineRule="auto"/>
            </w:pPr>
            <w:r>
              <w:rPr>
                <w:rFonts w:ascii="Calibri" w:hAnsi="Calibri"/>
                <w:b w:val="0"/>
                <w:i w:val="0"/>
                <w:color w:val="212121"/>
                <w:sz w:val="16"/>
              </w:rPr>
              <w:t>All suspected PsA</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Record tender/swollen joint, enthesitis and dactylitis counts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Systems review</w:t>
            </w:r>
          </w:p>
        </w:tc>
        <w:tc>
          <w:tcPr>
            <w:tcW w:type="dxa" w:w="950"/>
            <w:vAlign w:val="top"/>
          </w:tcPr>
          <w:p>
            <w:pPr>
              <w:spacing w:after="40" w:before="0" w:line="259" w:lineRule="auto"/>
            </w:pPr>
            <w:r>
              <w:rPr>
                <w:rFonts w:ascii="Calibri" w:hAnsi="Calibri"/>
                <w:b w:val="0"/>
                <w:i w:val="0"/>
                <w:color w:val="212121"/>
                <w:sz w:val="16"/>
              </w:rPr>
              <w:t>Comorbidity &amp; eye screen</w:t>
            </w:r>
          </w:p>
        </w:tc>
        <w:tc>
          <w:tcPr>
            <w:tcW w:type="dxa" w:w="979"/>
            <w:vAlign w:val="top"/>
          </w:tcPr>
          <w:p>
            <w:pPr>
              <w:spacing w:after="40" w:before="0" w:line="259" w:lineRule="auto"/>
            </w:pPr>
            <w:r>
              <w:rPr>
                <w:rFonts w:ascii="Calibri" w:hAnsi="Calibri"/>
                <w:b w:val="0"/>
                <w:i w:val="0"/>
                <w:color w:val="212121"/>
                <w:sz w:val="16"/>
              </w:rPr>
              <w:t>Cardiometabolic risk, eye symptoms, bowel symptoms, mood</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Metabolic syndrome, red painful eye (uveitis), IBD symptoms, low mood</w:t>
            </w:r>
          </w:p>
        </w:tc>
        <w:tc>
          <w:tcPr>
            <w:tcW w:type="dxa" w:w="1036"/>
            <w:vAlign w:val="top"/>
          </w:tcPr>
          <w:p>
            <w:pPr>
              <w:spacing w:after="40" w:before="0" w:line="259" w:lineRule="auto"/>
            </w:pPr>
            <w:r>
              <w:rPr>
                <w:rFonts w:ascii="Calibri" w:hAnsi="Calibri"/>
                <w:b w:val="0"/>
                <w:i w:val="0"/>
                <w:color w:val="212121"/>
                <w:sz w:val="16"/>
              </w:rPr>
              <w:t>Detects the systemic comorbidities that alter management and prognosis in PsA</w:t>
            </w:r>
          </w:p>
        </w:tc>
        <w:tc>
          <w:tcPr>
            <w:tcW w:type="dxa" w:w="1036"/>
            <w:vAlign w:val="top"/>
          </w:tcPr>
          <w:p>
            <w:pPr>
              <w:spacing w:after="40" w:before="0" w:line="259" w:lineRule="auto"/>
            </w:pPr>
            <w:r>
              <w:rPr>
                <w:rFonts w:ascii="Calibri" w:hAnsi="Calibri"/>
                <w:b w:val="0"/>
                <w:i w:val="0"/>
                <w:color w:val="212121"/>
                <w:sz w:val="16"/>
              </w:rPr>
              <w:t>Established PsA</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Actively screen cardiovascular risk, uveitis, IBD and depression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Joint pain, swelling and stiffness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swelling and stiffness in one or more joints - often the fingers, toes, wrists, knees or ankles - that may be asymmetric.</w:t>
            </w:r>
          </w:p>
        </w:tc>
      </w:tr>
      <w:tr>
        <w:trPr>
          <w:cantSplit/>
        </w:trPr>
        <w:tc>
          <w:tcPr>
            <w:tcW w:type="dxa" w:w="2304"/>
            <w:vAlign w:val="top"/>
          </w:tcPr>
          <w:p>
            <w:pPr>
              <w:spacing w:after="40" w:before="0" w:line="259" w:lineRule="auto"/>
            </w:pPr>
            <w:r>
              <w:rPr>
                <w:rFonts w:ascii="Calibri" w:hAnsi="Calibri"/>
                <w:b/>
                <w:i w:val="0"/>
                <w:color w:val="212121"/>
                <w:sz w:val="19"/>
              </w:rPr>
              <w:t>Prolonged morning stiffness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Stiffness on waking lasting 30 minutes or more that eases with movement - a hallmark of inflammatory arthritis.</w:t>
            </w:r>
          </w:p>
        </w:tc>
      </w:tr>
      <w:tr>
        <w:trPr>
          <w:cantSplit/>
        </w:trPr>
        <w:tc>
          <w:tcPr>
            <w:tcW w:type="dxa" w:w="2304"/>
            <w:vAlign w:val="top"/>
          </w:tcPr>
          <w:p>
            <w:pPr>
              <w:spacing w:after="40" w:before="0" w:line="259" w:lineRule="auto"/>
            </w:pPr>
            <w:r>
              <w:rPr>
                <w:rFonts w:ascii="Calibri" w:hAnsi="Calibri"/>
                <w:b/>
                <w:i w:val="0"/>
                <w:color w:val="212121"/>
                <w:sz w:val="19"/>
              </w:rPr>
              <w:t>Dactylitis ('sausage digit')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Diffuse swelling of an entire finger or toe from combined joint and tendon-sheath inflammation - highly characteristic of PsA.</w:t>
            </w:r>
          </w:p>
        </w:tc>
      </w:tr>
      <w:tr>
        <w:trPr>
          <w:cantSplit/>
        </w:trPr>
        <w:tc>
          <w:tcPr>
            <w:tcW w:type="dxa" w:w="2304"/>
            <w:vAlign w:val="top"/>
          </w:tcPr>
          <w:p>
            <w:pPr>
              <w:spacing w:after="40" w:before="0" w:line="259" w:lineRule="auto"/>
            </w:pPr>
            <w:r>
              <w:rPr>
                <w:rFonts w:ascii="Calibri" w:hAnsi="Calibri"/>
                <w:b/>
                <w:i w:val="0"/>
                <w:color w:val="212121"/>
                <w:sz w:val="19"/>
              </w:rPr>
              <w:t>Enthesitis (heel and foot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and tenderness where tendons/ligaments attach to bone, typically the Achilles insertion and plantar fascia.</w:t>
            </w:r>
          </w:p>
        </w:tc>
      </w:tr>
      <w:tr>
        <w:trPr>
          <w:cantSplit/>
        </w:trPr>
        <w:tc>
          <w:tcPr>
            <w:tcW w:type="dxa" w:w="2304"/>
            <w:vAlign w:val="top"/>
          </w:tcPr>
          <w:p>
            <w:pPr>
              <w:spacing w:after="40" w:before="0" w:line="259" w:lineRule="auto"/>
            </w:pPr>
            <w:r>
              <w:rPr>
                <w:rFonts w:ascii="Calibri" w:hAnsi="Calibri"/>
                <w:b/>
                <w:i w:val="0"/>
                <w:color w:val="212121"/>
                <w:sz w:val="19"/>
              </w:rPr>
              <w:t>Nail changes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Pitting, onycholysis (separation from the nail bed), thickening or discoloration; nail disease is very common in PsA.</w:t>
            </w:r>
          </w:p>
        </w:tc>
      </w:tr>
      <w:tr>
        <w:trPr>
          <w:cantSplit/>
        </w:trPr>
        <w:tc>
          <w:tcPr>
            <w:tcW w:type="dxa" w:w="2304"/>
            <w:vAlign w:val="top"/>
          </w:tcPr>
          <w:p>
            <w:pPr>
              <w:spacing w:after="40" w:before="0" w:line="259" w:lineRule="auto"/>
            </w:pPr>
            <w:r>
              <w:rPr>
                <w:rFonts w:ascii="Calibri" w:hAnsi="Calibri"/>
                <w:b/>
                <w:i w:val="0"/>
                <w:color w:val="212121"/>
                <w:sz w:val="19"/>
              </w:rPr>
              <w:t>Psoriatic skin plaques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 scaly patches with silvery scale, commonly on the scalp, elbows, knees and lower back, often preceding joint symptoms.</w:t>
            </w:r>
          </w:p>
        </w:tc>
      </w:tr>
      <w:tr>
        <w:trPr>
          <w:cantSplit/>
        </w:trPr>
        <w:tc>
          <w:tcPr>
            <w:tcW w:type="dxa" w:w="2304"/>
            <w:vAlign w:val="top"/>
          </w:tcPr>
          <w:p>
            <w:pPr>
              <w:spacing w:after="40" w:before="0" w:line="259" w:lineRule="auto"/>
            </w:pPr>
            <w:r>
              <w:rPr>
                <w:rFonts w:ascii="Calibri" w:hAnsi="Calibri"/>
                <w:b/>
                <w:i w:val="0"/>
                <w:color w:val="212121"/>
                <w:sz w:val="19"/>
              </w:rPr>
              <w:t>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severe tiredness not relieved by rest, driven by systemic inflammation, pain and poor sleep.</w:t>
            </w:r>
          </w:p>
        </w:tc>
      </w:tr>
      <w:tr>
        <w:trPr>
          <w:cantSplit/>
        </w:trPr>
        <w:tc>
          <w:tcPr>
            <w:tcW w:type="dxa" w:w="2304"/>
            <w:vAlign w:val="top"/>
          </w:tcPr>
          <w:p>
            <w:pPr>
              <w:spacing w:after="40" w:before="0" w:line="259" w:lineRule="auto"/>
            </w:pPr>
            <w:r>
              <w:rPr>
                <w:rFonts w:ascii="Calibri" w:hAnsi="Calibri"/>
                <w:b/>
                <w:i w:val="0"/>
                <w:color w:val="212121"/>
                <w:sz w:val="19"/>
              </w:rPr>
              <w:t>Reduced grip and difficulty with fine tasks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Trouble gripping, buttoning or walking from finger, toe and enthesis involvement.</w:t>
            </w:r>
          </w:p>
        </w:tc>
      </w:tr>
      <w:tr>
        <w:trPr>
          <w:cantSplit/>
        </w:trPr>
        <w:tc>
          <w:tcPr>
            <w:tcW w:type="dxa" w:w="2304"/>
            <w:vAlign w:val="top"/>
          </w:tcPr>
          <w:p>
            <w:pPr>
              <w:spacing w:after="40" w:before="0" w:line="259" w:lineRule="auto"/>
            </w:pPr>
            <w:r>
              <w:rPr>
                <w:rFonts w:ascii="Calibri" w:hAnsi="Calibri"/>
                <w:b/>
                <w:i w:val="0"/>
                <w:color w:val="212121"/>
                <w:sz w:val="19"/>
              </w:rPr>
              <w:t>Inflammatory back and buttock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Axial disease causes low-back or alternating buttock pain and stiffness that improves with activity, worse in HLA-B27 carriers.</w:t>
            </w:r>
          </w:p>
        </w:tc>
      </w:tr>
      <w:tr>
        <w:trPr>
          <w:cantSplit/>
        </w:trPr>
        <w:tc>
          <w:tcPr>
            <w:tcW w:type="dxa" w:w="2304"/>
            <w:vAlign w:val="top"/>
          </w:tcPr>
          <w:p>
            <w:pPr>
              <w:spacing w:after="40" w:before="0" w:line="259" w:lineRule="auto"/>
            </w:pPr>
            <w:r>
              <w:rPr>
                <w:rFonts w:ascii="Calibri" w:hAnsi="Calibri"/>
                <w:b/>
                <w:i w:val="0"/>
                <w:color w:val="212121"/>
                <w:sz w:val="19"/>
              </w:rPr>
              <w:t>Red, painful eye with blurred vision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Anterior uveitis - a red, painful, light-sensitive eye - needs urgent care to prevent vision loss.</w:t>
            </w:r>
          </w:p>
        </w:tc>
      </w:tr>
      <w:tr>
        <w:trPr>
          <w:cantSplit/>
        </w:trPr>
        <w:tc>
          <w:tcPr>
            <w:tcW w:type="dxa" w:w="2304"/>
            <w:vAlign w:val="top"/>
          </w:tcPr>
          <w:p>
            <w:pPr>
              <w:spacing w:after="40" w:before="0" w:line="259" w:lineRule="auto"/>
            </w:pPr>
            <w:r>
              <w:rPr>
                <w:rFonts w:ascii="Calibri" w:hAnsi="Calibri"/>
                <w:b/>
                <w:i w:val="0"/>
                <w:color w:val="212121"/>
                <w:sz w:val="19"/>
              </w:rPr>
              <w:t>Low-grade fever and malaise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Constitutional features of active systemic inflammation, sometimes with reduced appetite.</w:t>
            </w:r>
          </w:p>
        </w:tc>
      </w:tr>
      <w:tr>
        <w:trPr>
          <w:cantSplit/>
        </w:trPr>
        <w:tc>
          <w:tcPr>
            <w:tcW w:type="dxa" w:w="2304"/>
            <w:vAlign w:val="top"/>
          </w:tcPr>
          <w:p>
            <w:pPr>
              <w:spacing w:after="40" w:before="0" w:line="259" w:lineRule="auto"/>
            </w:pPr>
            <w:r>
              <w:rPr>
                <w:rFonts w:ascii="Calibri" w:hAnsi="Calibri"/>
                <w:b/>
                <w:i w:val="0"/>
                <w:color w:val="212121"/>
                <w:sz w:val="19"/>
              </w:rPr>
              <w:t>Bowel symptoms (diarrhoea, abdominal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reflect associated inflammatory bowel disease, part of the spondyloarthritis spectrum.</w:t>
            </w:r>
          </w:p>
        </w:tc>
      </w:tr>
      <w:tr>
        <w:trPr>
          <w:cantSplit/>
        </w:trPr>
        <w:tc>
          <w:tcPr>
            <w:tcW w:type="dxa" w:w="2304"/>
            <w:vAlign w:val="top"/>
          </w:tcPr>
          <w:p>
            <w:pPr>
              <w:spacing w:after="40" w:before="0" w:line="259" w:lineRule="auto"/>
            </w:pPr>
            <w:r>
              <w:rPr>
                <w:rFonts w:ascii="Calibri" w:hAnsi="Calibri"/>
                <w:b/>
                <w:i w:val="0"/>
                <w:color w:val="212121"/>
                <w:sz w:val="19"/>
              </w:rPr>
              <w:t>Digit shortening and gross deformity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Arthritis mutilans causes osteolysis with 'telescoping' of digits and severe, disabling deformity.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Dactylitis (sausage digit)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Uniform swelling of a whole finger or toe - one of the most specific signs of psoriatic arthritis.</w:t>
            </w:r>
          </w:p>
        </w:tc>
      </w:tr>
      <w:tr>
        <w:trPr>
          <w:cantSplit/>
        </w:trPr>
        <w:tc>
          <w:tcPr>
            <w:tcW w:type="dxa" w:w="3456"/>
            <w:vAlign w:val="top"/>
          </w:tcPr>
          <w:p>
            <w:pPr>
              <w:spacing w:after="40" w:before="0" w:line="259" w:lineRule="auto"/>
            </w:pPr>
            <w:r>
              <w:rPr>
                <w:rFonts w:ascii="Calibri" w:hAnsi="Calibri"/>
                <w:b/>
                <w:i w:val="0"/>
                <w:color w:val="212121"/>
                <w:sz w:val="19"/>
              </w:rPr>
              <w:t>Enthesitis (Achilles / plantar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Tenderness and swelling at tendon and ligament insertions, especially the heel - the predominant lesion of PsA.</w:t>
            </w:r>
          </w:p>
        </w:tc>
      </w:tr>
      <w:tr>
        <w:trPr>
          <w:cantSplit/>
        </w:trPr>
        <w:tc>
          <w:tcPr>
            <w:tcW w:type="dxa" w:w="3456"/>
            <w:vAlign w:val="top"/>
          </w:tcPr>
          <w:p>
            <w:pPr>
              <w:spacing w:after="40" w:before="0" w:line="259" w:lineRule="auto"/>
            </w:pPr>
            <w:r>
              <w:rPr>
                <w:rFonts w:ascii="Calibri" w:hAnsi="Calibri"/>
                <w:b/>
                <w:i w:val="0"/>
                <w:color w:val="212121"/>
                <w:sz w:val="19"/>
              </w:rPr>
              <w:t>Nail pitting and onycholysis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Punctate pits, ridging, onycholysis and hyperkeratosis of the nails, present in 80-90% of patients and linked to DIP disease.</w:t>
            </w:r>
          </w:p>
        </w:tc>
      </w:tr>
      <w:tr>
        <w:trPr>
          <w:cantSplit/>
        </w:trPr>
        <w:tc>
          <w:tcPr>
            <w:tcW w:type="dxa" w:w="3456"/>
            <w:vAlign w:val="top"/>
          </w:tcPr>
          <w:p>
            <w:pPr>
              <w:spacing w:after="40" w:before="0" w:line="259" w:lineRule="auto"/>
            </w:pPr>
            <w:r>
              <w:rPr>
                <w:rFonts w:ascii="Calibri" w:hAnsi="Calibri"/>
                <w:b/>
                <w:i w:val="0"/>
                <w:color w:val="212121"/>
                <w:sz w:val="19"/>
              </w:rPr>
              <w:t>Distal interphalangeal (DIP) synovitis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Selective swelling and tenderness of the DIP joints adjacent to affected nails - characteristic of PsA.</w:t>
            </w:r>
          </w:p>
        </w:tc>
      </w:tr>
      <w:tr>
        <w:trPr>
          <w:cantSplit/>
        </w:trPr>
        <w:tc>
          <w:tcPr>
            <w:tcW w:type="dxa" w:w="3456"/>
            <w:vAlign w:val="top"/>
          </w:tcPr>
          <w:p>
            <w:pPr>
              <w:spacing w:after="40" w:before="0" w:line="259" w:lineRule="auto"/>
            </w:pPr>
            <w:r>
              <w:rPr>
                <w:rFonts w:ascii="Calibri" w:hAnsi="Calibri"/>
                <w:b/>
                <w:i w:val="0"/>
                <w:color w:val="212121"/>
                <w:sz w:val="19"/>
              </w:rPr>
              <w:t>Asymmetric oligoarthritis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Inflammation of a few joints in an asymmetric distribution, a classic early pattern.</w:t>
            </w:r>
          </w:p>
        </w:tc>
      </w:tr>
      <w:tr>
        <w:trPr>
          <w:cantSplit/>
        </w:trPr>
        <w:tc>
          <w:tcPr>
            <w:tcW w:type="dxa" w:w="3456"/>
            <w:vAlign w:val="top"/>
          </w:tcPr>
          <w:p>
            <w:pPr>
              <w:spacing w:after="40" w:before="0" w:line="259" w:lineRule="auto"/>
            </w:pPr>
            <w:r>
              <w:rPr>
                <w:rFonts w:ascii="Calibri" w:hAnsi="Calibri"/>
                <w:b/>
                <w:i w:val="0"/>
                <w:color w:val="212121"/>
                <w:sz w:val="19"/>
              </w:rPr>
              <w:t>Psoriatic skin plaques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Well-demarcated erythematous plaques with silvery scale over extensor surfaces, scalp and natal cleft.</w:t>
            </w:r>
          </w:p>
        </w:tc>
      </w:tr>
      <w:tr>
        <w:trPr>
          <w:cantSplit/>
        </w:trPr>
        <w:tc>
          <w:tcPr>
            <w:tcW w:type="dxa" w:w="3456"/>
            <w:vAlign w:val="top"/>
          </w:tcPr>
          <w:p>
            <w:pPr>
              <w:spacing w:after="40" w:before="0" w:line="259" w:lineRule="auto"/>
            </w:pPr>
            <w:r>
              <w:rPr>
                <w:rFonts w:ascii="Calibri" w:hAnsi="Calibri"/>
                <w:b/>
                <w:i w:val="0"/>
                <w:color w:val="212121"/>
                <w:sz w:val="19"/>
              </w:rPr>
              <w:t>Reduced spinal / sacroiliac mobility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Limited lumbar flexion and sacroiliac tenderness in axial disease, more common in HLA-B27 carriers.</w:t>
            </w:r>
          </w:p>
        </w:tc>
      </w:tr>
      <w:tr>
        <w:trPr>
          <w:cantSplit/>
        </w:trPr>
        <w:tc>
          <w:tcPr>
            <w:tcW w:type="dxa" w:w="3456"/>
            <w:vAlign w:val="top"/>
          </w:tcPr>
          <w:p>
            <w:pPr>
              <w:spacing w:after="40" w:before="0" w:line="259" w:lineRule="auto"/>
            </w:pPr>
            <w:r>
              <w:rPr>
                <w:rFonts w:ascii="Calibri" w:hAnsi="Calibri"/>
                <w:b/>
                <w:i w:val="0"/>
                <w:color w:val="212121"/>
                <w:sz w:val="19"/>
              </w:rPr>
              <w:t>Joint warmth and effusion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Palpable warmth and fluctuant effusion over actively inflamed joints.</w:t>
            </w:r>
          </w:p>
        </w:tc>
      </w:tr>
      <w:tr>
        <w:trPr>
          <w:cantSplit/>
        </w:trPr>
        <w:tc>
          <w:tcPr>
            <w:tcW w:type="dxa" w:w="3456"/>
            <w:vAlign w:val="top"/>
          </w:tcPr>
          <w:p>
            <w:pPr>
              <w:spacing w:after="40" w:before="0" w:line="259" w:lineRule="auto"/>
            </w:pPr>
            <w:r>
              <w:rPr>
                <w:rFonts w:ascii="Calibri" w:hAnsi="Calibri"/>
                <w:b/>
                <w:i w:val="0"/>
                <w:color w:val="212121"/>
                <w:sz w:val="19"/>
              </w:rPr>
              <w:t>Anterior uveitis (red eye)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red, painful, photophobic eye on examination - an extra-articular sign of the spondyloarthritis spectrum.</w:t>
            </w:r>
          </w:p>
        </w:tc>
      </w:tr>
      <w:tr>
        <w:trPr>
          <w:cantSplit/>
        </w:trPr>
        <w:tc>
          <w:tcPr>
            <w:tcW w:type="dxa" w:w="3456"/>
            <w:vAlign w:val="top"/>
          </w:tcPr>
          <w:p>
            <w:pPr>
              <w:spacing w:after="40" w:before="0" w:line="259" w:lineRule="auto"/>
            </w:pPr>
            <w:r>
              <w:rPr>
                <w:rFonts w:ascii="Calibri" w:hAnsi="Calibri"/>
                <w:b/>
                <w:i w:val="0"/>
                <w:color w:val="212121"/>
                <w:sz w:val="19"/>
              </w:rPr>
              <w:t>'Pencil-in-cup' deformity on X-ray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Radiographic combination of erosion and new-bone formation at a joint - a hallmark structural sign of PsA.</w:t>
            </w:r>
          </w:p>
        </w:tc>
      </w:tr>
      <w:tr>
        <w:trPr>
          <w:cantSplit/>
        </w:trPr>
        <w:tc>
          <w:tcPr>
            <w:tcW w:type="dxa" w:w="3456"/>
            <w:vAlign w:val="top"/>
          </w:tcPr>
          <w:p>
            <w:pPr>
              <w:spacing w:after="40" w:before="0" w:line="259" w:lineRule="auto"/>
            </w:pPr>
            <w:r>
              <w:rPr>
                <w:rFonts w:ascii="Calibri" w:hAnsi="Calibri"/>
                <w:b/>
                <w:i w:val="0"/>
                <w:color w:val="212121"/>
                <w:sz w:val="19"/>
              </w:rPr>
              <w:t>Telescoping ('opera-glass') digits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Osteolysis and collapse of digits in arthritis mutilans, allowing the shortened digit to be pulled back out - a sign of severe destructive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enthesitis and synovitis with pain and swelling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Dactylitis of fingers and toes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Erosive joint damage with juxta-articular new-bone formation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Distal interphalangeal joint destruction and nail dystrophy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Axial disease - sacroiliitis and spondylitis with asymmetric syndesmophytes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joint mobility and loss of hand and foot function</w:t>
            </w:r>
          </w:p>
        </w:tc>
        <w:tc>
          <w:tcPr>
            <w:tcW w:type="dxa" w:w="2980"/>
            <w:vAlign w:val="top"/>
          </w:tcPr>
          <w:p>
            <w:pPr>
              <w:spacing w:after="40" w:before="0" w:line="259" w:lineRule="auto"/>
            </w:pPr>
            <w:r>
              <w:rPr>
                <w:rFonts w:ascii="Calibri" w:hAnsi="Calibri"/>
                <w:b w:val="0"/>
                <w:i w:val="0"/>
                <w:color w:val="212121"/>
                <w:sz w:val="19"/>
              </w:rPr>
              <w:t>Direct musculoskeletal consequences of chronic immune-mediated inflammation at joints and entheses.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Arthritis mutilans (destructive osteolysis and digit telescoping)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atherosclerosis and cardiovascular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syndrome, obesity, type 2 diabetes and dyslipidaemia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Anterior uveitis and other ocular inflammation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Inflammatory bowel disease (especially Crohn's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Non-alcoholic fatty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Osteoporosis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and chronic fatigue</w:t>
            </w:r>
          </w:p>
        </w:tc>
        <w:tc>
          <w:tcPr>
            <w:tcW w:type="dxa" w:w="2980"/>
            <w:vAlign w:val="top"/>
          </w:tcPr>
          <w:p>
            <w:pPr>
              <w:spacing w:after="40" w:before="0" w:line="259" w:lineRule="auto"/>
            </w:pPr>
            <w:r>
              <w:rPr>
                <w:rFonts w:ascii="Calibri" w:hAnsi="Calibri"/>
                <w:b w:val="0"/>
                <w:i w:val="0"/>
                <w:color w:val="212121"/>
                <w:sz w:val="19"/>
              </w:rPr>
              <w:t>Systemic and extra-articular effects of sustained inflammation, shared spondyloarthritis mechanisms and therapy-related risk.</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joint destruction and severe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Gross deformity from arthritis mutilans with loss of hand/foot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joint replacement or reconstructive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vision loss from untreated uveitis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cardiovascular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 disability, social withdrawal and loss of independence</w:t>
            </w:r>
          </w:p>
        </w:tc>
        <w:tc>
          <w:tcPr>
            <w:tcW w:type="dxa" w:w="2980"/>
            <w:vAlign w:val="top"/>
          </w:tcPr>
          <w:p>
            <w:pPr>
              <w:spacing w:after="40" w:before="0" w:line="259" w:lineRule="auto"/>
            </w:pPr>
            <w:r>
              <w:rPr>
                <w:rFonts w:ascii="Calibri" w:hAnsi="Calibri"/>
                <w:b w:val="0"/>
                <w:i w:val="0"/>
                <w:color w:val="212121"/>
                <w:sz w:val="19"/>
              </w:rPr>
              <w:t>Irreversible, life-limiting outcomes of longstanding or inadequately controlled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Psoriasis (skin &amp; nail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defining association - almost all PsA occurs in people with psoriasis; skin disease precedes arthritis in about 68%, is simultaneous in 15%, and follows it in 17%, and nail disease is present in 80-90%.</w:t>
            </w:r>
          </w:p>
          <w:p>
            <w:pPr>
              <w:spacing w:after="40" w:before="0" w:line="259" w:lineRule="auto"/>
            </w:pPr>
            <w:r>
              <w:rPr>
                <w:rFonts w:ascii="Calibri" w:hAnsi="Calibri"/>
                <w:b/>
                <w:i w:val="0"/>
                <w:color w:val="212121"/>
                <w:sz w:val="19"/>
              </w:rPr>
              <w:t>~1 in 3 of psoriasis develop PsA</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systemic inflammation accelerates atherosclerosis, making cardiovascular disease a leading comorbidity and cause of premature death in PsA and compounding India's high burden of ischaemic heart disease.</w:t>
            </w:r>
          </w:p>
        </w:tc>
      </w:tr>
      <w:tr>
        <w:trPr>
          <w:cantSplit/>
        </w:trPr>
        <w:tc>
          <w:tcPr>
            <w:tcW w:type="dxa" w:w="2232"/>
            <w:vAlign w:val="top"/>
          </w:tcPr>
          <w:p>
            <w:pPr>
              <w:spacing w:after="40" w:before="0" w:line="259" w:lineRule="auto"/>
            </w:pPr>
            <w:r>
              <w:rPr>
                <w:rFonts w:ascii="Calibri" w:hAnsi="Calibri"/>
                <w:b/>
                <w:i w:val="0"/>
                <w:color w:val="212121"/>
                <w:sz w:val="19"/>
              </w:rPr>
              <w:t>Metabolic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Obesity, hypertension, dysglycaemia and dyslipidaemia cluster with PsA through shared inflammatory pathways and are among its most common comorbidities.</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Adipose-driven inflammation independently increases PsA risk in psoriasis, worsens disease activity and lowers treatment response, while weight loss improves control.</w:t>
            </w:r>
          </w:p>
        </w:tc>
      </w:tr>
      <w:tr>
        <w:trPr>
          <w:cantSplit/>
        </w:trPr>
        <w:tc>
          <w:tcPr>
            <w:tcW w:type="dxa" w:w="2232"/>
            <w:vAlign w:val="top"/>
          </w:tcPr>
          <w:p>
            <w:pPr>
              <w:spacing w:after="40" w:before="0" w:line="259" w:lineRule="auto"/>
            </w:pPr>
            <w:r>
              <w:rPr>
                <w:rFonts w:ascii="Calibri" w:hAnsi="Calibri"/>
                <w:b/>
                <w:i w:val="0"/>
                <w:color w:val="212121"/>
                <w:sz w:val="19"/>
              </w:rPr>
              <w:t>Type 2 diabetes &amp; dyslipidaemia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Inflammation, obesity and some therapies worsen insulin resistance and lipids, adding to cardiovascular risk and requiring active screening.</w:t>
            </w:r>
          </w:p>
        </w:tc>
      </w:tr>
      <w:tr>
        <w:trPr>
          <w:cantSplit/>
        </w:trPr>
        <w:tc>
          <w:tcPr>
            <w:tcW w:type="dxa" w:w="2232"/>
            <w:vAlign w:val="top"/>
          </w:tcPr>
          <w:p>
            <w:pPr>
              <w:spacing w:after="40" w:before="0" w:line="259" w:lineRule="auto"/>
            </w:pPr>
            <w:r>
              <w:rPr>
                <w:rFonts w:ascii="Calibri" w:hAnsi="Calibri"/>
                <w:b/>
                <w:i w:val="0"/>
                <w:color w:val="212121"/>
                <w:sz w:val="19"/>
              </w:rPr>
              <w:t>Anterior uveitis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Part of the spondyloarthritis spectrum; both a comorbidity and a predictor of PsA, and a threat to sight if untreated.</w:t>
            </w:r>
          </w:p>
          <w:p>
            <w:pPr>
              <w:spacing w:after="40" w:before="0" w:line="259" w:lineRule="auto"/>
            </w:pPr>
            <w:r>
              <w:rPr>
                <w:rFonts w:ascii="Calibri" w:hAnsi="Calibri"/>
                <w:b/>
                <w:i w:val="0"/>
                <w:color w:val="212121"/>
                <w:sz w:val="19"/>
              </w:rPr>
              <w:t>~7%</w:t>
            </w:r>
          </w:p>
        </w:tc>
      </w:tr>
      <w:tr>
        <w:trPr>
          <w:cantSplit/>
        </w:trPr>
        <w:tc>
          <w:tcPr>
            <w:tcW w:type="dxa" w:w="2232"/>
            <w:vAlign w:val="top"/>
          </w:tcPr>
          <w:p>
            <w:pPr>
              <w:spacing w:after="40" w:before="0" w:line="259" w:lineRule="auto"/>
            </w:pPr>
            <w:r>
              <w:rPr>
                <w:rFonts w:ascii="Calibri" w:hAnsi="Calibri"/>
                <w:b/>
                <w:i w:val="0"/>
                <w:color w:val="212121"/>
                <w:sz w:val="19"/>
              </w:rPr>
              <w:t>Inflammatory bowel disease (Crohn's, colitis)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IL-23/IL-17 genetics with PsA; coexistence directs biologic choice, since some agents treat both and others can worsen bowel disease.</w:t>
            </w:r>
          </w:p>
        </w:tc>
      </w:tr>
      <w:tr>
        <w:trPr>
          <w:cantSplit/>
        </w:trPr>
        <w:tc>
          <w:tcPr>
            <w:tcW w:type="dxa" w:w="2232"/>
            <w:vAlign w:val="top"/>
          </w:tcPr>
          <w:p>
            <w:pPr>
              <w:spacing w:after="40" w:before="0" w:line="259" w:lineRule="auto"/>
            </w:pPr>
            <w:r>
              <w:rPr>
                <w:rFonts w:ascii="Calibri" w:hAnsi="Calibri"/>
                <w:b/>
                <w:i w:val="0"/>
                <w:color w:val="212121"/>
                <w:sz w:val="19"/>
              </w:rPr>
              <w:t>Non-alcoholic fatty liver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Linked to obesity, metabolic syndrome and systemic inflammation, and important because it compounds methotrexate hepatotoxicity.</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pain, fatigue, disfiguring skin disease and disability drive a high burden of mood disorder that in turn worsens pain, adherence and outcomes.</w:t>
            </w:r>
          </w:p>
        </w:tc>
      </w:tr>
      <w:tr>
        <w:trPr>
          <w:cantSplit/>
        </w:trPr>
        <w:tc>
          <w:tcPr>
            <w:tcW w:type="dxa" w:w="2232"/>
            <w:vAlign w:val="top"/>
          </w:tcPr>
          <w:p>
            <w:pPr>
              <w:spacing w:after="40" w:before="0" w:line="259" w:lineRule="auto"/>
            </w:pPr>
            <w:r>
              <w:rPr>
                <w:rFonts w:ascii="Calibri" w:hAnsi="Calibri"/>
                <w:b/>
                <w:i w:val="0"/>
                <w:color w:val="212121"/>
                <w:sz w:val="19"/>
              </w:rPr>
              <w:t>Osteoporosis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inflammation, reduced activity and glucocorticoid use lower bone density and raise fracture risk.</w:t>
            </w:r>
          </w:p>
        </w:tc>
      </w:tr>
      <w:tr>
        <w:trPr>
          <w:cantSplit/>
        </w:trPr>
        <w:tc>
          <w:tcPr>
            <w:tcW w:type="dxa" w:w="2232"/>
            <w:vAlign w:val="top"/>
          </w:tcPr>
          <w:p>
            <w:pPr>
              <w:spacing w:after="40" w:before="0" w:line="259" w:lineRule="auto"/>
            </w:pPr>
            <w:r>
              <w:rPr>
                <w:rFonts w:ascii="Calibri" w:hAnsi="Calibri"/>
                <w:b/>
                <w:i w:val="0"/>
                <w:color w:val="212121"/>
                <w:sz w:val="19"/>
              </w:rPr>
              <w:t>Gout / hyperuricaemia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 skin-cell turnover in extensive psoriasis raises urate; gout can coexist with, and mimic, a PsA flare.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have psoriasis, recognise the early warning signs of joint disease - joint pain and swelling, morning stiffness lasting 30 minutes or more, 'sausage' swelling of a finger or toe, or persistent heel pain - and seek early rheumatology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psoriatic arthritis is a treatable systemic disease and that early treatment prevents permanent joint damage, so joint symptoms should never be dismissed as 'just wear and tear'.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nails and hidden skin sites (scalp, navel, natal cleft) checked, as nail pitting and severe or hidden psoriasis mark higher risk of arthritis.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Adhere to prescribed disease-modifying therapy and monitoring even when feeling well, and do not stop medication abruptly, which can trigger a flare.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Actively manage cardiovascular and metabolic risk (weight, blood pressure, glucose, lipids, smoking) because heart and metabolic disease are the commonest comorbidities.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urgent care for a red, painful eye (possible uveitis) and report new bowel symptoms, jaundice, fever or infection while on immunosuppressive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psoriasis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nail or severe psoriasis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members of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with PsA</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tailored exercise to preserve joint mobility, muscle strength and flexibility - it eases pain and fatigue and does not worsen joint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low-impact aerobic activity (walking, cycling, swimming/hydrotherapy) with strengthening and range-of-motion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spinal extension and posture exercises if you have axial (back) involvement, and hand exercises for finger and DIP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Balance activity with rest during flares, easing intensity when joints or entheses are acutely inflamed.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 with a physiotherapist or occupational therapist for an individualised programme, joint protection and assistive aids.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axial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Post-flare rehabilitation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at least 150 minutes/week of moderate activity plus twice-weekly strengthening to maintain a healthy weight and lower inflammatory and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inactivity and sedentary time, which promote stiffness, weight gain and metabolic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to a healthy weight, since obesity increases the risk of developing PsA in people with psoriasis and reduces treatment response.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cardiovascularly fit to offset the raised heart-disease risk associated with psoriatic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psoriasis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metabolic syndrome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healthy, balanced, largely plant-based diet low in fat, salt and sugar to support the joints, heart and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Emphasise vegetables, fruit, whole grains, pulses and omega-3 sources (oily fish, or flaxseed/walnuts for vegetarians) for their anti-inflammatory benefit.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Reach and maintain a healthy weight, since losing excess weight improves symptoms and treatment response in psoriatic arthritis.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foods, sugary drinks and excess red/processed meat that promote obesity, metabolic syndrome and inflammation.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calcium and vitamin D to protect muscle and bone, correcting the common Indian vitamin-D deficiency.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psoriasis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high cardiovascular risk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as around 80% of arthritis patients struggle with sleep and poor sleep worsens pain and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evening pain, itch and inflammation adequately so discomfort does not disrupt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with a dark, quiet bedroom and a calming, screen-free wind-down routine.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caffeine and alcohol close to bedtime, and use warmth and supportive positioning to ease night-time joint discomfort.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PsA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sleepers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depression/anxiety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(cigarettes and bidis) - it aggravates psoriasis, raises cardiovascular risk and reduces the effectiveness of biologic (TNF-inhibitor)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 behavioural counselling plus nicotine replacement or pharmacotherapy.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aggravates psoriatic disease and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weight, blood-pressure and lipid control to reduce overall cardiometabolic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Bidi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psoriasis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biologics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to a minimum, particularly while taking methotrexate or leflunomide, to protect the liver.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alcohol aggravates psoriasis and adds to the risk of fatty liver disease common in psoriatic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scheduled liver-function monitoring while on disease-modifying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combining alcohol with NSAIDs or other analgesics.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methotrexate/leflunomide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fatty liver disease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are common in PsA and worsen pain, fatigue and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cognitive-behavioural strategies, pain-coping skills, mindfulness, relaxation or yoga-based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psychological impact of visible skin and nail disease and joint deformity, and seek professional support when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Join patient-support or peer groups to reduce isolation and improve self-management.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pain, fatigue and sleep together, as they reinforce low mood in a bidirectional loop.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active/chronic PsA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visible skin disease or deformity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treatment adherers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47710/" TargetMode="External"/><Relationship Id="rId10" Type="http://schemas.openxmlformats.org/officeDocument/2006/relationships/hyperlink" Target="https://www.niams.nih.gov/health-topics/psoriatic-arthritis" TargetMode="External"/><Relationship Id="rId11" Type="http://schemas.openxmlformats.org/officeDocument/2006/relationships/hyperlink" Target="https://www.psoriasis.org/psoriatic-arthritis/" TargetMode="External"/><Relationship Id="rId12" Type="http://schemas.openxmlformats.org/officeDocument/2006/relationships/hyperlink" Target="https://ijdvl.com/psoriasis-in-india-prevalence-and-pattern/" TargetMode="External"/><Relationship Id="rId13" Type="http://schemas.openxmlformats.org/officeDocument/2006/relationships/hyperlink" Target="https://versusarthritis.org/about-arthritis/conditions/psoriatic-arthritis/" TargetMode="External"/><Relationship Id="rId14" Type="http://schemas.openxmlformats.org/officeDocument/2006/relationships/hyperlink" Target="https://www.nhs.uk/conditions/psoriatic-arthritis/" TargetMode="External"/><Relationship Id="rId15" Type="http://schemas.openxmlformats.org/officeDocument/2006/relationships/hyperlink" Target="https://my.clevelandclinic.org/health/diseases/13286-psoriatic-arthritis" TargetMode="External"/><Relationship Id="rId16" Type="http://schemas.openxmlformats.org/officeDocument/2006/relationships/hyperlink" Target="https://dermnetnz.org/topics/psoriatic-arthritis" TargetMode="External"/><Relationship Id="rId17" Type="http://schemas.openxmlformats.org/officeDocument/2006/relationships/hyperlink" Target="https://www.mayoclinic.org/diseases-conditions/psoriatic-arthritis/symptoms-causes/syc-203540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