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Systemic Lupus Erythematosus</w:t>
      </w:r>
    </w:p>
    <w:p>
      <w:pPr>
        <w:spacing w:before="0" w:after="160"/>
      </w:pPr>
      <w:r>
        <w:rPr>
          <w:rFonts w:ascii="Calibri" w:hAnsi="Calibri"/>
          <w:b/>
          <w:i w:val="0"/>
          <w:color w:val="212121"/>
          <w:sz w:val="22"/>
        </w:rPr>
        <w:t xml:space="preserve">AKA </w:t>
      </w:r>
      <w:r>
        <w:rPr>
          <w:rFonts w:ascii="Calibri" w:hAnsi="Calibri"/>
          <w:b w:val="0"/>
          <w:i w:val="0"/>
          <w:color w:val="212121"/>
          <w:sz w:val="22"/>
        </w:rPr>
        <w:t>i.e., SLE, Lupus, Systemic Lupus, Disseminated lupus erythematosus; classic cutaneous sign historically called the “butterfly” or “wolf-bite” rash</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Systemic lupus erythematosus (SLE) is a chronic, relapsing–remitting, multisystem autoimmune disease in which a breakdown of immune self-tolerance leads to the production of antinuclear and other autoantibodies, immune-complex deposition and type-I-interferon–driven inflammation that can damage almost any organ — skin, joints, kidneys, blood cells, serous membranes, heart, lungs and nervous system. It runs a highly variable course of flares and remissions and predominantly affects women of reproductive age. Diagnosis rests on a combination of characteristic clinical features and autoantibodies (especially a positive antinuclear antibody), and disease severity ranges from mild mucocutaneous and joint disease to life-threatening lupus nephritis, cytopenias and neuropsychiatric involvement.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Systemic lupus erythematosus affects on the order of 0.03–0.1% of the population (roughly 72–74 per 100,000 globally), and is one of the commoner systemic autoimmune rheumatic diseases seen at Indian tertiary and rheumatology centres. It shows a striking female preponderance of about 9:1 and clusters in women of reproductive age (15–45 years). People of South Asian and other Asian ancestry carry a higher risk and tend to develop more severe disease — particularly lupus nephritis — than White populations, and Indian cohorts describe frequent renal, haematological and vascular involvement, with infection a leading cause of death.</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SLE is diagnosed clinically by combining typical multisystem features with supportive autoantibodies and evidence of organ involvement; no single test is diagnostic. Classification criteria — the 2019 EULAR/ACR criteria (which require a positive antinuclear antibody as an obligatory entry criterion), the 2012 SLICC criteria and the older 1997 revised ACR criteria — are used to standardise diagnosis and research, while renal biopsy classifies lupus nephritis: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2019 EULAR/ACR classification: an obligatory entry criterion of ANA ≥ 1:80 on HEp-2 cells (ever), followed by additively weighted criteria across seven clinical domains (constitutional, haematological, neuropsychiatric, mucocutaneous, serosal, musculoskeletal, renal) and three immunological domains (antiphospholipid antibodies, complement proteins, SLE-specific antibodies); a total of ≥ 10 points with at least one clinical criterion classifies SLE (about 96% sensitivity, 93% specificity).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Only the highest-weighted criterion in each domain is counted, and a criterion is not counted if there is a more likely explanation than SLE.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SLE-specific antibodies: anti-double-stranded DNA (anti-dsDNA) and/or anti-Smith (anti-Sm) — highly specific and, for anti-dsDNA, often correlating with disease (especially renal) activity.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Complement: low C3 and/or C4 (consumption by immune complexes) supports active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Renal domain: proteinuria &gt; 0.5 g/24 h (or spot urine protein–creatinine ratio) and, ideally, a kidney biopsy showing ISN/RPS class II–VI lupus nephritis.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Haematological criteria: autoimmune haemolytic anaemia, leukopenia/lymphopenia, or thrombocytopenia.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Older frameworks: the 1997 revised ACR criteria require ≥ 4 of 11 features (malar rash, discoid rash, photosensitivity, oral ulcers, arthritis, serositis, renal, neurological, haematological, immunological, positive ANA); the 2012 SLICC criteria require ≥ 4 criteria including ≥ 1 clinical and ≥ 1 immunological, or biopsy-proven lupus nephritis with a positive ANA or anti-dsDNA.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Lupus erythematosus spans a spectrum from skin-limited to severe multisystem disease; the main clinical categories and the histological grading of renal involvement are:</w:t>
      </w:r>
    </w:p>
    <w:p>
      <w:pPr>
        <w:spacing w:before="0" w:after="80"/>
      </w:pPr>
      <w:r>
        <w:rPr>
          <w:rFonts w:ascii="Calibri" w:hAnsi="Calibri"/>
          <w:b w:val="0"/>
          <w:i w:val="0"/>
          <w:color w:val="212121"/>
          <w:sz w:val="21"/>
        </w:rPr>
        <w:t>(1) Systemic lupus erythematosus (SLE) — the classic multisystem autoimmune disease with autoantibodies and variable involvement of skin, joints, kidneys, blood, serosa and the nervous system, running a relapsing–remitting course;</w:t>
      </w:r>
    </w:p>
    <w:p>
      <w:pPr>
        <w:spacing w:before="0" w:after="80"/>
      </w:pPr>
      <w:r>
        <w:rPr>
          <w:rFonts w:ascii="Calibri" w:hAnsi="Calibri"/>
          <w:b w:val="0"/>
          <w:i w:val="0"/>
          <w:color w:val="212121"/>
          <w:sz w:val="21"/>
        </w:rPr>
        <w:t>(2) Cutaneous lupus erythematosus (skin-predominant) — including acute cutaneous LE (the malar/“butterfly” rash), subacute cutaneous LE (often anti-Ro/SSA positive and photosensitive) and chronic cutaneous LE (discoid lupus), which may be isolated or part of SLE;</w:t>
      </w:r>
    </w:p>
    <w:p>
      <w:pPr>
        <w:spacing w:before="0" w:after="80"/>
      </w:pPr>
      <w:r>
        <w:rPr>
          <w:rFonts w:ascii="Calibri" w:hAnsi="Calibri"/>
          <w:b w:val="0"/>
          <w:i w:val="0"/>
          <w:color w:val="212121"/>
          <w:sz w:val="21"/>
        </w:rPr>
        <w:t>(3) Drug-induced lupus erythematosus — a lupus-like syndrome (arthralgia, serositis, fever) triggered by drugs such as hydralazine, procainamide, isoniazid, minocycline and anti-TNF agents, typically anti-histone-antibody positive and reversible on stopping the drug;</w:t>
      </w:r>
    </w:p>
    <w:p>
      <w:pPr>
        <w:spacing w:before="0" w:after="80"/>
      </w:pPr>
      <w:r>
        <w:rPr>
          <w:rFonts w:ascii="Calibri" w:hAnsi="Calibri"/>
          <w:b w:val="0"/>
          <w:i w:val="0"/>
          <w:color w:val="212121"/>
          <w:sz w:val="21"/>
        </w:rPr>
        <w:t>(4) Neonatal lupus erythematosus — passive transfer of maternal anti-Ro/SSA (and anti-La/SSB) antibodies causing transient rash and cytopenias and, importantly, permanent congenital complete heart block;</w:t>
      </w:r>
    </w:p>
    <w:p>
      <w:pPr>
        <w:spacing w:before="0" w:after="80"/>
      </w:pPr>
      <w:r>
        <w:rPr>
          <w:rFonts w:ascii="Calibri" w:hAnsi="Calibri"/>
          <w:b w:val="0"/>
          <w:i w:val="0"/>
          <w:color w:val="212121"/>
          <w:sz w:val="21"/>
        </w:rPr>
        <w:t>(5) Lupus nephritis (ISN/RPS classes I–VI) — the histological severity classification of renal disease, from minimal mesangial (I) and mesangial proliferative (II) through focal (III) and diffuse (IV) proliferative and membranous (V) to advanced sclerosing (VI) nephritis, which governs treatment and prognosis.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SLE is strongly heritable and polygenic — HLA class II alleles, interferon-pathway genes (IRF5, STAT4), and especially early-complement-component deficiencies (C1q, C2, C4) confer risk by impairing clearance of apoptotic and immune-complex material.</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Female sex and hormonal factors: The overwhelming female preponderance (≈9:1) and reproductive-age peak implicate oestrogen and X-chromosome dosage in loss of immune tolerance.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Ultraviolet (sunlight) exposure: UV radiation increases keratinocyte apoptosis and autoantigen exposure, and is a well-established trigger of both cutaneous and systemic flares (photosensitivity).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Infections: Epstein–Barr virus (and other viruses) may initiate autoimmunity through molecular mimicry and chronic immune activation.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Drugs and environmental exposures: Certain drugs (hydralazine, procainamide, isoniazid, minocycline, anti-TNF agents) cause drug-induced lupus, while silica dust, cigarette smoking and low vitamin D are associated with disease onset or activity.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Immune dysregulation: Defective clearance of apoptotic cells, autoantibody–immune-complex formation, complement consumption and a dominant type-I-interferon signature drive tissue inflammation and damage.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Women of reproductive age (15–45 years)</w:t>
            </w:r>
          </w:p>
        </w:tc>
        <w:tc>
          <w:tcPr>
            <w:tcW w:type="dxa" w:w="4276"/>
            <w:vAlign w:val="top"/>
          </w:tcPr>
          <w:p>
            <w:pPr>
              <w:spacing w:after="60" w:line="259" w:lineRule="auto"/>
            </w:pPr>
            <w:r>
              <w:rPr>
                <w:rFonts w:ascii="Calibri" w:hAnsi="Calibri"/>
                <w:b w:val="0"/>
                <w:i w:val="0"/>
                <w:color w:val="212121"/>
                <w:sz w:val="19"/>
              </w:rPr>
              <w:t>SLE characteristically begins in the childbearing years, when oestrogen exposure is highest. Most diagnoses cluster in this window, and disease activity often intersects with pregnancy and fertility decisions.</w:t>
            </w:r>
          </w:p>
          <w:p>
            <w:pPr>
              <w:spacing w:after="40" w:before="60" w:line="259" w:lineRule="auto"/>
            </w:pPr>
            <w:r>
              <w:rPr>
                <w:rFonts w:ascii="Calibri" w:hAnsi="Calibri"/>
                <w:b w:val="0"/>
                <w:i w:val="0"/>
                <w:color w:val="212121"/>
                <w:sz w:val="19"/>
              </w:rPr>
              <w:t>Lupus is most often diagnosed between the ages of 15 and 44 years, predominantly in women.</w:t>
            </w:r>
          </w:p>
          <w:p>
            <w:pPr>
              <w:spacing w:after="40" w:line="252" w:lineRule="auto"/>
            </w:pPr>
            <w:hyperlink r:id="rId9">
              <w:r>
                <w:rPr>
                  <w:rFonts w:ascii="Calibri" w:hAnsi="Calibri" w:cs="Calibri"/>
                  <w:sz w:val="18"/>
                  <w:color w:val="1155CC"/>
                  <w:u w:val="single"/>
                </w:rPr>
                <w:t xml:space="preserve">lupus.org — lupus facts and statistics</w:t>
              </w:r>
            </w:hyperlink>
          </w:p>
          <w:p>
            <w:pPr>
              <w:spacing w:before="60" w:after="40"/>
            </w:pPr>
            <w:r>
              <w:rPr>
                <w:rFonts w:ascii="Calibri" w:hAnsi="Calibri"/>
                <w:b w:val="0"/>
                <w:i w:val="0"/>
                <w:color w:val="5A5A5A"/>
                <w:sz w:val="18"/>
              </w:rPr>
              <w:t>#reproductiveage  #women  #oestrogen  #childbearing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(late-onset SLE)</w:t>
            </w:r>
          </w:p>
        </w:tc>
        <w:tc>
          <w:tcPr>
            <w:tcW w:type="dxa" w:w="4276"/>
            <w:vAlign w:val="top"/>
          </w:tcPr>
          <w:p>
            <w:pPr>
              <w:spacing w:after="60" w:line="259" w:lineRule="auto"/>
            </w:pPr>
            <w:r>
              <w:rPr>
                <w:rFonts w:ascii="Calibri" w:hAnsi="Calibri"/>
                <w:b w:val="0"/>
                <w:i w:val="0"/>
                <w:color w:val="212121"/>
                <w:sz w:val="19"/>
              </w:rPr>
              <w:t>Late-onset SLE (after ~50 years) is less common, has a narrower female-to-male gap and often presents atypically — more serositis, lung and constitutional features but less nephritis — which delays diagnosis.</w:t>
            </w:r>
          </w:p>
          <w:p>
            <w:pPr>
              <w:spacing w:after="40" w:before="60" w:line="259" w:lineRule="auto"/>
            </w:pPr>
            <w:r>
              <w:rPr>
                <w:rFonts w:ascii="Calibri" w:hAnsi="Calibri"/>
                <w:b w:val="0"/>
                <w:i w:val="0"/>
                <w:color w:val="212121"/>
                <w:sz w:val="19"/>
              </w:rPr>
              <w:t>Late-onset lupus is increasingly recognised and tends to present with a milder renal but more insidious, easily-missed picture, lengthening diagnostic delay.</w:t>
            </w:r>
          </w:p>
          <w:p>
            <w:pPr>
              <w:spacing w:before="60" w:after="40"/>
            </w:pPr>
            <w:r>
              <w:rPr>
                <w:rFonts w:ascii="Calibri" w:hAnsi="Calibri"/>
                <w:b w:val="0"/>
                <w:i w:val="0"/>
                <w:color w:val="5A5A5A"/>
                <w:sz w:val="18"/>
              </w:rPr>
              <w:t>#lateonset  #atypical  #delayeddiagnosis</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Female sex is the single strongest demographic risk factor, reflecting oestrogen effects and X-chromosome gene dosage on immune tolerance.</w:t>
            </w:r>
          </w:p>
          <w:p>
            <w:pPr>
              <w:spacing w:after="40" w:before="60" w:line="259" w:lineRule="auto"/>
            </w:pPr>
            <w:r>
              <w:rPr>
                <w:rFonts w:ascii="Calibri" w:hAnsi="Calibri"/>
                <w:b w:val="0"/>
                <w:i w:val="0"/>
                <w:color w:val="212121"/>
                <w:sz w:val="19"/>
              </w:rPr>
              <w:t>About 9 out of 10 adults with lupus are women (female-to-male ratio roughly 9:1).</w:t>
            </w:r>
          </w:p>
          <w:p>
            <w:pPr>
              <w:spacing w:after="40" w:line="252" w:lineRule="auto"/>
            </w:pPr>
            <w:hyperlink r:id="rId9">
              <w:r>
                <w:rPr>
                  <w:rFonts w:ascii="Calibri" w:hAnsi="Calibri" w:cs="Calibri"/>
                  <w:sz w:val="18"/>
                  <w:color w:val="1155CC"/>
                  <w:u w:val="single"/>
                </w:rPr>
                <w:t xml:space="preserve">lupus.org — lupus facts and statistics</w:t>
              </w:r>
            </w:hyperlink>
          </w:p>
          <w:p>
            <w:pPr>
              <w:spacing w:before="60" w:after="40"/>
            </w:pPr>
            <w:r>
              <w:rPr>
                <w:rFonts w:ascii="Calibri" w:hAnsi="Calibri"/>
                <w:b w:val="0"/>
                <w:i w:val="0"/>
                <w:color w:val="5A5A5A"/>
                <w:sz w:val="18"/>
              </w:rPr>
              <w:t>#female  #9to1  #hormonal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Although uncommon, SLE in men tends to run a more severe course, with higher rates of renal, serosal and vascular disease; Indian series of male SLE confirm this heavier organ burden.</w:t>
            </w:r>
          </w:p>
          <w:p>
            <w:pPr>
              <w:spacing w:after="40" w:before="60" w:line="259" w:lineRule="auto"/>
            </w:pPr>
            <w:r>
              <w:rPr>
                <w:rFonts w:ascii="Calibri" w:hAnsi="Calibri"/>
                <w:b w:val="0"/>
                <w:i w:val="0"/>
                <w:color w:val="212121"/>
                <w:sz w:val="19"/>
              </w:rPr>
              <w:t>Lupus in men is less frequent but tends to be more severe; Indian studies specifically characterise the distinct, often more aggressive clinical and serological profile of male SLE.</w:t>
            </w:r>
          </w:p>
          <w:p>
            <w:pPr>
              <w:spacing w:after="40" w:line="252" w:lineRule="auto"/>
            </w:pPr>
            <w:hyperlink r:id="rId10">
              <w:r>
                <w:rPr>
                  <w:rFonts w:ascii="Calibri" w:hAnsi="Calibri" w:cs="Calibri"/>
                  <w:sz w:val="18"/>
                  <w:color w:val="1155CC"/>
                  <w:u w:val="single"/>
                </w:rPr>
                <w:t xml:space="preserve">pubmed.ncbi.nlm.nih.gov/40200610 — male SLE in India</w:t>
              </w:r>
            </w:hyperlink>
          </w:p>
          <w:p>
            <w:pPr>
              <w:spacing w:before="60" w:after="40"/>
            </w:pPr>
            <w:r>
              <w:rPr>
                <w:rFonts w:ascii="Calibri" w:hAnsi="Calibri"/>
                <w:b w:val="0"/>
                <w:i w:val="0"/>
                <w:color w:val="5A5A5A"/>
                <w:sz w:val="18"/>
              </w:rPr>
              <w:t>#male  #severe  #organdamage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low-awareness groups</w:t>
            </w:r>
          </w:p>
        </w:tc>
        <w:tc>
          <w:tcPr>
            <w:tcW w:type="dxa" w:w="4276"/>
            <w:vAlign w:val="top"/>
          </w:tcPr>
          <w:p>
            <w:pPr>
              <w:spacing w:after="60" w:line="259" w:lineRule="auto"/>
            </w:pPr>
            <w:r>
              <w:rPr>
                <w:rFonts w:ascii="Calibri" w:hAnsi="Calibri"/>
                <w:b w:val="0"/>
                <w:i w:val="0"/>
                <w:color w:val="212121"/>
                <w:sz w:val="19"/>
              </w:rPr>
              <w:t>Limited access to specialist rheumatology and serological testing, poor health literacy and the protean early symptoms of lupus cause late presentation, undertreated flares and worse outcomes.</w:t>
            </w:r>
          </w:p>
          <w:p>
            <w:pPr>
              <w:spacing w:after="40" w:before="60" w:line="259" w:lineRule="auto"/>
            </w:pPr>
            <w:r>
              <w:rPr>
                <w:rFonts w:ascii="Calibri" w:hAnsi="Calibri"/>
                <w:b w:val="0"/>
                <w:i w:val="0"/>
                <w:color w:val="212121"/>
                <w:sz w:val="19"/>
              </w:rPr>
              <w:t>Poor access to care, delayed diagnosis and non-adherence to treatment are recognised drivers of worse outcomes and premature death in lupus.</w:t>
            </w:r>
          </w:p>
          <w:p>
            <w:pPr>
              <w:spacing w:before="60" w:after="40"/>
            </w:pPr>
            <w:r>
              <w:rPr>
                <w:rFonts w:ascii="Calibri" w:hAnsi="Calibri"/>
                <w:b w:val="0"/>
                <w:i w:val="0"/>
                <w:color w:val="5A5A5A"/>
                <w:sz w:val="18"/>
              </w:rPr>
              <w:t>#accesstocare  #awareness  #delay  #adherence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 / Indian ancestry</w:t>
            </w:r>
          </w:p>
        </w:tc>
        <w:tc>
          <w:tcPr>
            <w:tcW w:type="dxa" w:w="4276"/>
            <w:vAlign w:val="top"/>
          </w:tcPr>
          <w:p>
            <w:pPr>
              <w:spacing w:after="60" w:line="259" w:lineRule="auto"/>
            </w:pPr>
            <w:r>
              <w:rPr>
                <w:rFonts w:ascii="Calibri" w:hAnsi="Calibri"/>
                <w:b w:val="0"/>
                <w:i w:val="0"/>
                <w:color w:val="212121"/>
                <w:sz w:val="19"/>
              </w:rPr>
              <w:t>People of South Asian and other Asian ancestry have a higher risk of SLE and of more severe disease — particularly lupus nephritis — than White populations, with earlier onset and greater organ damage.</w:t>
            </w:r>
          </w:p>
          <w:p>
            <w:pPr>
              <w:spacing w:after="40" w:before="60" w:line="259" w:lineRule="auto"/>
            </w:pPr>
            <w:r>
              <w:rPr>
                <w:rFonts w:ascii="Calibri" w:hAnsi="Calibri"/>
                <w:b w:val="0"/>
                <w:i w:val="0"/>
                <w:color w:val="212121"/>
                <w:sz w:val="19"/>
              </w:rPr>
              <w:t>Lupus is more common in people of Asian (including South Asian), African and Indigenous American descent than in White people, with earlier onset and greater severity.</w:t>
            </w:r>
          </w:p>
          <w:p>
            <w:pPr>
              <w:spacing w:after="40" w:line="252" w:lineRule="auto"/>
            </w:pPr>
            <w:hyperlink r:id="rId11">
              <w:r>
                <w:rPr>
                  <w:rFonts w:ascii="Calibri" w:hAnsi="Calibri" w:cs="Calibri"/>
                  <w:sz w:val="18"/>
                  <w:color w:val="1155CC"/>
                  <w:u w:val="single"/>
                </w:rPr>
                <w:t xml:space="preserve">niams.nih.gov — lupus</w:t>
              </w:r>
            </w:hyperlink>
          </w:p>
          <w:p>
            <w:pPr>
              <w:spacing w:before="60" w:after="40"/>
            </w:pPr>
            <w:r>
              <w:rPr>
                <w:rFonts w:ascii="Calibri" w:hAnsi="Calibri"/>
                <w:b w:val="0"/>
                <w:i w:val="0"/>
                <w:color w:val="5A5A5A"/>
                <w:sz w:val="18"/>
              </w:rPr>
              <w:t>#southasian  #asianancestry  #nephritis  #severe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Regional (India)</w:t>
            </w:r>
          </w:p>
        </w:tc>
        <w:tc>
          <w:tcPr>
            <w:tcW w:type="dxa" w:w="2160"/>
            <w:vAlign w:val="top"/>
          </w:tcPr>
          <w:p>
            <w:pPr>
              <w:spacing w:after="40" w:before="0" w:line="259" w:lineRule="auto"/>
            </w:pPr>
            <w:r>
              <w:rPr>
                <w:rFonts w:ascii="Calibri" w:hAnsi="Calibri"/>
                <w:b w:val="0"/>
                <w:i w:val="0"/>
                <w:color w:val="212121"/>
                <w:sz w:val="19"/>
              </w:rPr>
              <w:t>Indian SLE cohorts (INSPIRE)</w:t>
            </w:r>
          </w:p>
        </w:tc>
        <w:tc>
          <w:tcPr>
            <w:tcW w:type="dxa" w:w="4276"/>
            <w:vAlign w:val="top"/>
          </w:tcPr>
          <w:p>
            <w:pPr>
              <w:spacing w:after="60" w:line="259" w:lineRule="auto"/>
            </w:pPr>
            <w:r>
              <w:rPr>
                <w:rFonts w:ascii="Calibri" w:hAnsi="Calibri"/>
                <w:b w:val="0"/>
                <w:i w:val="0"/>
                <w:color w:val="212121"/>
                <w:sz w:val="19"/>
              </w:rPr>
              <w:t>Large multicentre Indian inception cohorts describe frequent renal, haematological and vascular involvement; critical peripheral (digital) ischaemia is notably more common in Indian SLE than in many Western series.</w:t>
            </w:r>
          </w:p>
          <w:p>
            <w:pPr>
              <w:spacing w:after="40" w:before="60" w:line="259" w:lineRule="auto"/>
            </w:pPr>
            <w:r>
              <w:rPr>
                <w:rFonts w:ascii="Calibri" w:hAnsi="Calibri"/>
                <w:b w:val="0"/>
                <w:i w:val="0"/>
                <w:color w:val="212121"/>
                <w:sz w:val="19"/>
              </w:rPr>
              <w:t>In the Indian SLE Inception cohort for Research (INSPIRE), critical peripheral ischaemia was found at a higher prevalence than typically reported elsewhere.</w:t>
            </w:r>
          </w:p>
          <w:p>
            <w:pPr>
              <w:spacing w:after="40" w:line="252" w:lineRule="auto"/>
            </w:pPr>
            <w:hyperlink r:id="rId12">
              <w:r>
                <w:rPr>
                  <w:rFonts w:ascii="Calibri" w:hAnsi="Calibri" w:cs="Calibri"/>
                  <w:sz w:val="18"/>
                  <w:color w:val="1155CC"/>
                  <w:u w:val="single"/>
                </w:rPr>
                <w:t xml:space="preserve">pubmed.ncbi.nlm.nih.gov/38922692 — INSPIRE Indian SLE cohort</w:t>
              </w:r>
            </w:hyperlink>
          </w:p>
          <w:p>
            <w:pPr>
              <w:spacing w:before="60" w:after="40"/>
            </w:pPr>
            <w:r>
              <w:rPr>
                <w:rFonts w:ascii="Calibri" w:hAnsi="Calibri"/>
                <w:b w:val="0"/>
                <w:i w:val="0"/>
                <w:color w:val="5A5A5A"/>
                <w:sz w:val="18"/>
              </w:rPr>
              <w:t>#india  #inspire  #peripheralischaemia  #vasculitis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Ultraviolet / sun exposure</w:t>
            </w:r>
          </w:p>
        </w:tc>
        <w:tc>
          <w:tcPr>
            <w:tcW w:type="dxa" w:w="2160"/>
            <w:vAlign w:val="top"/>
          </w:tcPr>
          <w:p>
            <w:pPr>
              <w:spacing w:after="40" w:before="0" w:line="259" w:lineRule="auto"/>
            </w:pPr>
            <w:r>
              <w:rPr>
                <w:rFonts w:ascii="Calibri" w:hAnsi="Calibri"/>
                <w:b w:val="0"/>
                <w:i w:val="0"/>
                <w:color w:val="212121"/>
                <w:sz w:val="19"/>
              </w:rPr>
              <w:t>Outdoor workers, photosensitive patients</w:t>
            </w:r>
          </w:p>
        </w:tc>
        <w:tc>
          <w:tcPr>
            <w:tcW w:type="dxa" w:w="4276"/>
            <w:vAlign w:val="top"/>
          </w:tcPr>
          <w:p>
            <w:pPr>
              <w:spacing w:after="60" w:line="259" w:lineRule="auto"/>
            </w:pPr>
            <w:r>
              <w:rPr>
                <w:rFonts w:ascii="Calibri" w:hAnsi="Calibri"/>
                <w:b w:val="0"/>
                <w:i w:val="0"/>
                <w:color w:val="212121"/>
                <w:sz w:val="19"/>
              </w:rPr>
              <w:t>UV light drives keratinocyte apoptosis and autoantigen exposure, precipitating cutaneous and systemic flares. India's high ambient sunlight makes photoprotection especially important for outdoor workers and farmers.</w:t>
            </w:r>
          </w:p>
          <w:p>
            <w:pPr>
              <w:spacing w:after="40" w:before="60" w:line="259" w:lineRule="auto"/>
            </w:pPr>
            <w:r>
              <w:rPr>
                <w:rFonts w:ascii="Calibri" w:hAnsi="Calibri"/>
                <w:b w:val="0"/>
                <w:i w:val="0"/>
                <w:color w:val="212121"/>
                <w:sz w:val="19"/>
              </w:rPr>
              <w:t>Ultraviolet radiation and sun exposure are well-known triggers of SLE flares; photosensitivity is present in the great majority of patients.</w:t>
            </w:r>
          </w:p>
          <w:p>
            <w:pPr>
              <w:spacing w:after="40" w:line="252" w:lineRule="auto"/>
            </w:pPr>
            <w:hyperlink r:id="rId13">
              <w:r>
                <w:rPr>
                  <w:rFonts w:ascii="Calibri" w:hAnsi="Calibri" w:cs="Calibri"/>
                  <w:sz w:val="18"/>
                  <w:color w:val="1155CC"/>
                  <w:u w:val="single"/>
                </w:rPr>
                <w:t xml:space="preserve">ncbi.nlm.nih.gov/books/NBK535405 — StatPearls: SLE</w:t>
              </w:r>
            </w:hyperlink>
          </w:p>
          <w:p>
            <w:pPr>
              <w:spacing w:before="60" w:after="40"/>
            </w:pPr>
            <w:r>
              <w:rPr>
                <w:rFonts w:ascii="Calibri" w:hAnsi="Calibri"/>
                <w:b w:val="0"/>
                <w:i w:val="0"/>
                <w:color w:val="5A5A5A"/>
                <w:sz w:val="18"/>
              </w:rPr>
              <w:t>#uvlight  #photosensitivity  #flaretrigger  #sunexposure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Cigarette smoking is associated with developing SLE, with more active cutaneous disease and higher overall activity, and it blunts the efficacy of hydroxychloroquine — the cornerstone antimalarial therapy.</w:t>
            </w:r>
          </w:p>
          <w:p>
            <w:pPr>
              <w:spacing w:after="40" w:before="60" w:line="259" w:lineRule="auto"/>
            </w:pPr>
            <w:r>
              <w:rPr>
                <w:rFonts w:ascii="Calibri" w:hAnsi="Calibri"/>
                <w:b w:val="0"/>
                <w:i w:val="0"/>
                <w:color w:val="212121"/>
                <w:sz w:val="19"/>
              </w:rPr>
              <w:t>Smoking is a recognised environmental risk factor for SLE and reduces the effectiveness of antimalarial (hydroxychloroquine) treatment.</w:t>
            </w:r>
          </w:p>
          <w:p>
            <w:pPr>
              <w:spacing w:after="40" w:line="252" w:lineRule="auto"/>
            </w:pPr>
            <w:hyperlink r:id="rId13">
              <w:r>
                <w:rPr>
                  <w:rFonts w:ascii="Calibri" w:hAnsi="Calibri" w:cs="Calibri"/>
                  <w:sz w:val="18"/>
                  <w:color w:val="1155CC"/>
                  <w:u w:val="single"/>
                </w:rPr>
                <w:t xml:space="preserve">ncbi.nlm.nih.gov/books/NBK535405 — StatPearls: SLE</w:t>
              </w:r>
            </w:hyperlink>
          </w:p>
          <w:p>
            <w:pPr>
              <w:spacing w:before="60" w:after="40"/>
            </w:pPr>
            <w:r>
              <w:rPr>
                <w:rFonts w:ascii="Calibri" w:hAnsi="Calibri"/>
                <w:b w:val="0"/>
                <w:i w:val="0"/>
                <w:color w:val="5A5A5A"/>
                <w:sz w:val="18"/>
              </w:rPr>
              <w:t>#smoking  #cutaneouslupus  #hydroxychloroquine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 on immunosuppressants</w:t>
            </w:r>
          </w:p>
        </w:tc>
        <w:tc>
          <w:tcPr>
            <w:tcW w:type="dxa" w:w="4276"/>
            <w:vAlign w:val="top"/>
          </w:tcPr>
          <w:p>
            <w:pPr>
              <w:spacing w:after="60" w:line="259" w:lineRule="auto"/>
            </w:pPr>
            <w:r>
              <w:rPr>
                <w:rFonts w:ascii="Calibri" w:hAnsi="Calibri"/>
                <w:b w:val="0"/>
                <w:i w:val="0"/>
                <w:color w:val="212121"/>
                <w:sz w:val="19"/>
              </w:rPr>
              <w:t>Excess alcohol interacts with key lupus drugs — methotrexate and azathioprine (hepatotoxicity) and NSAIDs (gastrointestinal bleeding) — and worsens the osteoporosis of chronic steroid use.</w:t>
            </w:r>
          </w:p>
          <w:p>
            <w:pPr>
              <w:spacing w:after="40" w:before="60" w:line="259" w:lineRule="auto"/>
            </w:pPr>
            <w:r>
              <w:rPr>
                <w:rFonts w:ascii="Calibri" w:hAnsi="Calibri"/>
                <w:b w:val="0"/>
                <w:i w:val="0"/>
                <w:color w:val="212121"/>
                <w:sz w:val="19"/>
              </w:rPr>
              <w:t>Alcohol excess compounds drug hepatotoxicity and steroid-related bone loss in patients on lupus therapy.</w:t>
            </w:r>
          </w:p>
          <w:p>
            <w:pPr>
              <w:spacing w:before="60" w:after="40"/>
            </w:pPr>
            <w:r>
              <w:rPr>
                <w:rFonts w:ascii="Calibri" w:hAnsi="Calibri"/>
                <w:b w:val="0"/>
                <w:i w:val="0"/>
                <w:color w:val="5A5A5A"/>
                <w:sz w:val="18"/>
              </w:rPr>
              <w:t>#alcohol  #druginteraction  #hepatotoxicity  #boneloss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deconditioning</w:t>
            </w:r>
          </w:p>
        </w:tc>
        <w:tc>
          <w:tcPr>
            <w:tcW w:type="dxa" w:w="2160"/>
            <w:vAlign w:val="top"/>
          </w:tcPr>
          <w:p>
            <w:pPr>
              <w:spacing w:after="40" w:before="0" w:line="259" w:lineRule="auto"/>
            </w:pPr>
            <w:r>
              <w:rPr>
                <w:rFonts w:ascii="Calibri" w:hAnsi="Calibri"/>
                <w:b w:val="0"/>
                <w:i w:val="0"/>
                <w:color w:val="212121"/>
                <w:sz w:val="19"/>
              </w:rPr>
              <w:t>Fatigued, inactive patients</w:t>
            </w:r>
          </w:p>
        </w:tc>
        <w:tc>
          <w:tcPr>
            <w:tcW w:type="dxa" w:w="4276"/>
            <w:vAlign w:val="top"/>
          </w:tcPr>
          <w:p>
            <w:pPr>
              <w:spacing w:after="60" w:line="259" w:lineRule="auto"/>
            </w:pPr>
            <w:r>
              <w:rPr>
                <w:rFonts w:ascii="Calibri" w:hAnsi="Calibri"/>
                <w:b w:val="0"/>
                <w:i w:val="0"/>
                <w:color w:val="212121"/>
                <w:sz w:val="19"/>
              </w:rPr>
              <w:t>Fatigue is near-universal in SLE and promotes inactivity and deconditioning, which in turn worsen fatigue, mood, cardiovascular risk and quality of life; graded exercise is safe and beneficial.</w:t>
            </w:r>
          </w:p>
          <w:p>
            <w:pPr>
              <w:spacing w:after="40" w:before="60" w:line="259" w:lineRule="auto"/>
            </w:pPr>
            <w:r>
              <w:rPr>
                <w:rFonts w:ascii="Calibri" w:hAnsi="Calibri"/>
                <w:b w:val="0"/>
                <w:i w:val="0"/>
                <w:color w:val="212121"/>
                <w:sz w:val="19"/>
              </w:rPr>
              <w:t>Fatigue affects the majority of people with SLE and, with inactivity, amplifies cardiovascular and psychological morbidity.</w:t>
            </w:r>
          </w:p>
          <w:p>
            <w:pPr>
              <w:spacing w:before="60" w:after="40"/>
            </w:pPr>
            <w:r>
              <w:rPr>
                <w:rFonts w:ascii="Calibri" w:hAnsi="Calibri"/>
                <w:b w:val="0"/>
                <w:i w:val="0"/>
                <w:color w:val="5A5A5A"/>
                <w:sz w:val="18"/>
              </w:rPr>
              <w:t>#fatigue  #deconditioning  #sedentary  #cvrisk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Vitamin D deficiency</w:t>
            </w:r>
          </w:p>
        </w:tc>
        <w:tc>
          <w:tcPr>
            <w:tcW w:type="dxa" w:w="2160"/>
            <w:vAlign w:val="top"/>
          </w:tcPr>
          <w:p>
            <w:pPr>
              <w:spacing w:after="40" w:before="0" w:line="259" w:lineRule="auto"/>
            </w:pPr>
            <w:r>
              <w:rPr>
                <w:rFonts w:ascii="Calibri" w:hAnsi="Calibri"/>
                <w:b w:val="0"/>
                <w:i w:val="0"/>
                <w:color w:val="212121"/>
                <w:sz w:val="19"/>
              </w:rPr>
              <w:t>Photoprotected / deficient patients</w:t>
            </w:r>
          </w:p>
        </w:tc>
        <w:tc>
          <w:tcPr>
            <w:tcW w:type="dxa" w:w="4276"/>
            <w:vAlign w:val="top"/>
          </w:tcPr>
          <w:p>
            <w:pPr>
              <w:spacing w:after="60" w:line="259" w:lineRule="auto"/>
            </w:pPr>
            <w:r>
              <w:rPr>
                <w:rFonts w:ascii="Calibri" w:hAnsi="Calibri"/>
                <w:b w:val="0"/>
                <w:i w:val="0"/>
                <w:color w:val="212121"/>
                <w:sz w:val="19"/>
              </w:rPr>
              <w:t>Low vitamin D — very common in India and compounded by the sun avoidance lupus patients must practise — is linked with higher disease activity and adverse bone and immune effects.</w:t>
            </w:r>
          </w:p>
          <w:p>
            <w:pPr>
              <w:spacing w:after="40" w:before="60" w:line="259" w:lineRule="auto"/>
            </w:pPr>
            <w:r>
              <w:rPr>
                <w:rFonts w:ascii="Calibri" w:hAnsi="Calibri"/>
                <w:b w:val="0"/>
                <w:i w:val="0"/>
                <w:color w:val="212121"/>
                <w:sz w:val="19"/>
              </w:rPr>
              <w:t>Vitamin D deficiency is associated with SLE and higher disease activity, and is aggravated by the necessary photoprotection.</w:t>
            </w:r>
          </w:p>
          <w:p>
            <w:pPr>
              <w:spacing w:before="60" w:after="40"/>
            </w:pPr>
            <w:r>
              <w:rPr>
                <w:rFonts w:ascii="Calibri" w:hAnsi="Calibri"/>
                <w:b w:val="0"/>
                <w:i w:val="0"/>
                <w:color w:val="5A5A5A"/>
                <w:sz w:val="18"/>
              </w:rPr>
              <w:t>#vitamind  #photoprotection  #diseaseactivity  #bonehealth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Alfalfa / high L-canavanine intake</w:t>
            </w:r>
          </w:p>
        </w:tc>
        <w:tc>
          <w:tcPr>
            <w:tcW w:type="dxa" w:w="2160"/>
            <w:vAlign w:val="top"/>
          </w:tcPr>
          <w:p>
            <w:pPr>
              <w:spacing w:after="40" w:before="0" w:line="259" w:lineRule="auto"/>
            </w:pPr>
            <w:r>
              <w:rPr>
                <w:rFonts w:ascii="Calibri" w:hAnsi="Calibri"/>
                <w:b w:val="0"/>
                <w:i w:val="0"/>
                <w:color w:val="212121"/>
                <w:sz w:val="19"/>
              </w:rPr>
              <w:t>Alfalfa-sprout &amp; supplement users</w:t>
            </w:r>
          </w:p>
        </w:tc>
        <w:tc>
          <w:tcPr>
            <w:tcW w:type="dxa" w:w="4276"/>
            <w:vAlign w:val="top"/>
          </w:tcPr>
          <w:p>
            <w:pPr>
              <w:spacing w:after="60" w:line="259" w:lineRule="auto"/>
            </w:pPr>
            <w:r>
              <w:rPr>
                <w:rFonts w:ascii="Calibri" w:hAnsi="Calibri"/>
                <w:b w:val="0"/>
                <w:i w:val="0"/>
                <w:color w:val="212121"/>
                <w:sz w:val="19"/>
              </w:rPr>
              <w:t>Alfalfa sprouts and seeds contain L-canavanine, an amino acid that can trigger lupus-like activity and flares; a pro-inflammatory, high-salt diet also worsens hypertension and nephritis.</w:t>
            </w:r>
          </w:p>
          <w:p>
            <w:pPr>
              <w:spacing w:after="40" w:before="60" w:line="259" w:lineRule="auto"/>
            </w:pPr>
            <w:r>
              <w:rPr>
                <w:rFonts w:ascii="Calibri" w:hAnsi="Calibri"/>
                <w:b w:val="0"/>
                <w:i w:val="0"/>
                <w:color w:val="212121"/>
                <w:sz w:val="19"/>
              </w:rPr>
              <w:t>Alfalfa (a source of L-canavanine) has been associated with induction or flare of lupus and is generally avoided by patients.</w:t>
            </w:r>
          </w:p>
          <w:p>
            <w:pPr>
              <w:spacing w:before="60" w:after="40"/>
            </w:pPr>
            <w:r>
              <w:rPr>
                <w:rFonts w:ascii="Calibri" w:hAnsi="Calibri"/>
                <w:b w:val="0"/>
                <w:i w:val="0"/>
                <w:color w:val="5A5A5A"/>
                <w:sz w:val="18"/>
              </w:rPr>
              <w:t>#alfalfa  #lcanavanine  #flaretrigger  #diet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SLE / autoimmunity</w:t>
            </w:r>
          </w:p>
        </w:tc>
        <w:tc>
          <w:tcPr>
            <w:tcW w:type="dxa" w:w="4276"/>
            <w:vAlign w:val="top"/>
          </w:tcPr>
          <w:p>
            <w:pPr>
              <w:spacing w:after="60" w:line="259" w:lineRule="auto"/>
            </w:pPr>
            <w:r>
              <w:rPr>
                <w:rFonts w:ascii="Calibri" w:hAnsi="Calibri"/>
                <w:b w:val="0"/>
                <w:i w:val="0"/>
                <w:color w:val="212121"/>
                <w:sz w:val="19"/>
              </w:rPr>
              <w:t>SLE clusters in families and shares susceptibility with other autoimmune diseases; a family history of lupus or autoimmunity substantially increases individual risk.</w:t>
            </w:r>
          </w:p>
          <w:p>
            <w:pPr>
              <w:spacing w:after="40" w:before="60" w:line="259" w:lineRule="auto"/>
            </w:pPr>
            <w:r>
              <w:rPr>
                <w:rFonts w:ascii="Calibri" w:hAnsi="Calibri"/>
                <w:b w:val="0"/>
                <w:i w:val="0"/>
                <w:color w:val="212121"/>
                <w:sz w:val="19"/>
              </w:rPr>
              <w:t>Having a close relative with lupus or another autoimmune disease increases the risk of developing SLE.</w:t>
            </w:r>
          </w:p>
          <w:p>
            <w:pPr>
              <w:spacing w:after="40" w:line="252" w:lineRule="auto"/>
            </w:pPr>
            <w:hyperlink r:id="rId11">
              <w:r>
                <w:rPr>
                  <w:rFonts w:ascii="Calibri" w:hAnsi="Calibri" w:cs="Calibri"/>
                  <w:sz w:val="18"/>
                  <w:color w:val="1155CC"/>
                  <w:u w:val="single"/>
                </w:rPr>
                <w:t xml:space="preserve">niams.nih.gov — lupus</w:t>
              </w:r>
            </w:hyperlink>
          </w:p>
          <w:p>
            <w:pPr>
              <w:spacing w:before="60" w:after="40"/>
            </w:pPr>
            <w:r>
              <w:rPr>
                <w:rFonts w:ascii="Calibri" w:hAnsi="Calibri"/>
                <w:b w:val="0"/>
                <w:i w:val="0"/>
                <w:color w:val="5A5A5A"/>
                <w:sz w:val="18"/>
              </w:rPr>
              <w:t>#familyhistory  #heritable  #autoimmunity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Complement deficiency / monogenic lupus</w:t>
            </w:r>
          </w:p>
        </w:tc>
        <w:tc>
          <w:tcPr>
            <w:tcW w:type="dxa" w:w="2160"/>
            <w:vAlign w:val="top"/>
          </w:tcPr>
          <w:p>
            <w:pPr>
              <w:spacing w:after="40" w:before="0" w:line="259" w:lineRule="auto"/>
            </w:pPr>
            <w:r>
              <w:rPr>
                <w:rFonts w:ascii="Calibri" w:hAnsi="Calibri"/>
                <w:b w:val="0"/>
                <w:i w:val="0"/>
                <w:color w:val="212121"/>
                <w:sz w:val="19"/>
              </w:rPr>
              <w:t>Early-onset &amp; paediatric lupus</w:t>
            </w:r>
          </w:p>
        </w:tc>
        <w:tc>
          <w:tcPr>
            <w:tcW w:type="dxa" w:w="4276"/>
            <w:vAlign w:val="top"/>
          </w:tcPr>
          <w:p>
            <w:pPr>
              <w:spacing w:after="60" w:line="259" w:lineRule="auto"/>
            </w:pPr>
            <w:r>
              <w:rPr>
                <w:rFonts w:ascii="Calibri" w:hAnsi="Calibri"/>
                <w:b w:val="0"/>
                <w:i w:val="0"/>
                <w:color w:val="212121"/>
                <w:sz w:val="19"/>
              </w:rPr>
              <w:t>Homozygous early-complement (C1q, C2, C4) deficiencies and other monogenic defects cause early-onset, often severe lupus; Indian paediatric series highlight monogenic lupus and a heavy lupus-nephritis burden.</w:t>
            </w:r>
          </w:p>
          <w:p>
            <w:pPr>
              <w:spacing w:after="40" w:before="60" w:line="259" w:lineRule="auto"/>
            </w:pPr>
            <w:r>
              <w:rPr>
                <w:rFonts w:ascii="Calibri" w:hAnsi="Calibri"/>
                <w:b w:val="0"/>
                <w:i w:val="0"/>
                <w:color w:val="212121"/>
                <w:sz w:val="19"/>
              </w:rPr>
              <w:t>Indian studies of juvenile SLE emphasise monogenic lupus and a high frequency of lupus nephritis in children.</w:t>
            </w:r>
          </w:p>
          <w:p>
            <w:pPr>
              <w:spacing w:after="40" w:line="252" w:lineRule="auto"/>
            </w:pPr>
            <w:hyperlink r:id="rId14">
              <w:r>
                <w:rPr>
                  <w:rFonts w:ascii="Calibri" w:hAnsi="Calibri" w:cs="Calibri"/>
                  <w:sz w:val="18"/>
                  <w:color w:val="1155CC"/>
                  <w:u w:val="single"/>
                </w:rPr>
                <w:t xml:space="preserve">pubmed.ncbi.nlm.nih.gov/39180524 — juvenile SLE &amp; lupus nephritis, India</w:t>
              </w:r>
            </w:hyperlink>
          </w:p>
          <w:p>
            <w:pPr>
              <w:spacing w:before="60" w:after="40"/>
            </w:pPr>
            <w:r>
              <w:rPr>
                <w:rFonts w:ascii="Calibri" w:hAnsi="Calibri"/>
                <w:b w:val="0"/>
                <w:i w:val="0"/>
                <w:color w:val="5A5A5A"/>
                <w:sz w:val="18"/>
              </w:rPr>
              <w:t>#complement  #monogeniclupus  #paediatric  #nephritis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Lupus nephritis</w:t>
            </w:r>
          </w:p>
        </w:tc>
        <w:tc>
          <w:tcPr>
            <w:tcW w:type="dxa" w:w="2160"/>
            <w:vAlign w:val="top"/>
          </w:tcPr>
          <w:p>
            <w:pPr>
              <w:spacing w:after="40" w:before="0" w:line="259" w:lineRule="auto"/>
            </w:pPr>
            <w:r>
              <w:rPr>
                <w:rFonts w:ascii="Calibri" w:hAnsi="Calibri"/>
                <w:b w:val="0"/>
                <w:i w:val="0"/>
                <w:color w:val="212121"/>
                <w:sz w:val="19"/>
              </w:rPr>
              <w:t>SLE with renal involvement</w:t>
            </w:r>
          </w:p>
        </w:tc>
        <w:tc>
          <w:tcPr>
            <w:tcW w:type="dxa" w:w="4276"/>
            <w:vAlign w:val="top"/>
          </w:tcPr>
          <w:p>
            <w:pPr>
              <w:spacing w:after="60" w:line="259" w:lineRule="auto"/>
            </w:pPr>
            <w:r>
              <w:rPr>
                <w:rFonts w:ascii="Calibri" w:hAnsi="Calibri"/>
                <w:b w:val="0"/>
                <w:i w:val="0"/>
                <w:color w:val="212121"/>
                <w:sz w:val="19"/>
              </w:rPr>
              <w:t>Immune-complex glomerulonephritis is one of the most serious manifestations, driving hypertension, proteinuria and progression to kidney failure; it is disproportionately frequent and severe in South Asians.</w:t>
            </w:r>
          </w:p>
          <w:p>
            <w:pPr>
              <w:spacing w:after="40" w:before="60" w:line="259" w:lineRule="auto"/>
            </w:pPr>
            <w:r>
              <w:rPr>
                <w:rFonts w:ascii="Calibri" w:hAnsi="Calibri"/>
                <w:b w:val="0"/>
                <w:i w:val="0"/>
                <w:color w:val="212121"/>
                <w:sz w:val="19"/>
              </w:rPr>
              <w:t>Lupus nephritis occurs in roughly half of SLE patients and is a leading determinant of morbidity and mortality, with 5–15% progressing to end-stage kidney disease within a decade.</w:t>
            </w:r>
          </w:p>
          <w:p>
            <w:pPr>
              <w:spacing w:after="40" w:line="252" w:lineRule="auto"/>
            </w:pPr>
            <w:hyperlink r:id="rId13">
              <w:r>
                <w:rPr>
                  <w:rFonts w:ascii="Calibri" w:hAnsi="Calibri" w:cs="Calibri"/>
                  <w:sz w:val="18"/>
                  <w:color w:val="1155CC"/>
                  <w:u w:val="single"/>
                </w:rPr>
                <w:t xml:space="preserve">ncbi.nlm.nih.gov/books/NBK535405 — StatPearls: SLE</w:t>
              </w:r>
            </w:hyperlink>
          </w:p>
          <w:p>
            <w:pPr>
              <w:spacing w:before="60" w:after="40"/>
            </w:pPr>
            <w:r>
              <w:rPr>
                <w:rFonts w:ascii="Calibri" w:hAnsi="Calibri"/>
                <w:b w:val="0"/>
                <w:i w:val="0"/>
                <w:color w:val="5A5A5A"/>
                <w:sz w:val="18"/>
              </w:rPr>
              <w:t>#lupusnephritis  #kidney  #proteinuria  #eskd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Antiphospholipid syndrome</w:t>
            </w:r>
          </w:p>
        </w:tc>
        <w:tc>
          <w:tcPr>
            <w:tcW w:type="dxa" w:w="2160"/>
            <w:vAlign w:val="top"/>
          </w:tcPr>
          <w:p>
            <w:pPr>
              <w:spacing w:after="40" w:before="0" w:line="259" w:lineRule="auto"/>
            </w:pPr>
            <w:r>
              <w:rPr>
                <w:rFonts w:ascii="Calibri" w:hAnsi="Calibri"/>
                <w:b w:val="0"/>
                <w:i w:val="0"/>
                <w:color w:val="212121"/>
                <w:sz w:val="19"/>
              </w:rPr>
              <w:t>SLE with antiphospholipid antibodies</w:t>
            </w:r>
          </w:p>
        </w:tc>
        <w:tc>
          <w:tcPr>
            <w:tcW w:type="dxa" w:w="4276"/>
            <w:vAlign w:val="top"/>
          </w:tcPr>
          <w:p>
            <w:pPr>
              <w:spacing w:after="60" w:line="259" w:lineRule="auto"/>
            </w:pPr>
            <w:r>
              <w:rPr>
                <w:rFonts w:ascii="Calibri" w:hAnsi="Calibri"/>
                <w:b w:val="0"/>
                <w:i w:val="0"/>
                <w:color w:val="212121"/>
                <w:sz w:val="19"/>
              </w:rPr>
              <w:t>A large minority of lupus patients carry antiphospholipid antibodies, predisposing to venous and arterial thrombosis, recurrent pregnancy loss and, rarely, catastrophic APS — markedly altering management.</w:t>
            </w:r>
          </w:p>
          <w:p>
            <w:pPr>
              <w:spacing w:after="40" w:before="60" w:line="259" w:lineRule="auto"/>
            </w:pPr>
            <w:r>
              <w:rPr>
                <w:rFonts w:ascii="Calibri" w:hAnsi="Calibri"/>
                <w:b w:val="0"/>
                <w:i w:val="0"/>
                <w:color w:val="212121"/>
                <w:sz w:val="19"/>
              </w:rPr>
              <w:t>Antiphospholipid antibodies are common in SLE and, when clinically expressed, cause thrombosis and pregnancy morbidity that mandate anticoagulation.</w:t>
            </w:r>
          </w:p>
          <w:p>
            <w:pPr>
              <w:spacing w:before="60" w:after="40"/>
            </w:pPr>
            <w:r>
              <w:rPr>
                <w:rFonts w:ascii="Calibri" w:hAnsi="Calibri"/>
                <w:b w:val="0"/>
                <w:i w:val="0"/>
                <w:color w:val="5A5A5A"/>
                <w:sz w:val="18"/>
              </w:rPr>
              <w:t>#antiphospholipid  #thrombosis  #pregnancyloss  #anticoagulation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Accelerated cardiovascular disease</w:t>
            </w:r>
          </w:p>
        </w:tc>
        <w:tc>
          <w:tcPr>
            <w:tcW w:type="dxa" w:w="2160"/>
            <w:vAlign w:val="top"/>
          </w:tcPr>
          <w:p>
            <w:pPr>
              <w:spacing w:after="40" w:before="0" w:line="259" w:lineRule="auto"/>
            </w:pPr>
            <w:r>
              <w:rPr>
                <w:rFonts w:ascii="Calibri" w:hAnsi="Calibri"/>
                <w:b w:val="0"/>
                <w:i w:val="0"/>
                <w:color w:val="212121"/>
                <w:sz w:val="19"/>
              </w:rPr>
              <w:t>Long-standing SLE</w:t>
            </w:r>
          </w:p>
        </w:tc>
        <w:tc>
          <w:tcPr>
            <w:tcW w:type="dxa" w:w="4276"/>
            <w:vAlign w:val="top"/>
          </w:tcPr>
          <w:p>
            <w:pPr>
              <w:spacing w:after="60" w:line="259" w:lineRule="auto"/>
            </w:pPr>
            <w:r>
              <w:rPr>
                <w:rFonts w:ascii="Calibri" w:hAnsi="Calibri"/>
                <w:b w:val="0"/>
                <w:i w:val="0"/>
                <w:color w:val="212121"/>
                <w:sz w:val="19"/>
              </w:rPr>
              <w:t>Chronic inflammation, corticosteroids, hypertension and renal disease accelerate atherosclerosis, so premature coronary and cerebrovascular disease is a leading late cause of death.</w:t>
            </w:r>
          </w:p>
          <w:p>
            <w:pPr>
              <w:spacing w:after="40" w:before="60" w:line="259" w:lineRule="auto"/>
            </w:pPr>
            <w:r>
              <w:rPr>
                <w:rFonts w:ascii="Calibri" w:hAnsi="Calibri"/>
                <w:b w:val="0"/>
                <w:i w:val="0"/>
                <w:color w:val="212121"/>
                <w:sz w:val="19"/>
              </w:rPr>
              <w:t>Cardiovascular disease accounts for a large share of late deaths in SLE, with risk several-fold above the general population.</w:t>
            </w:r>
          </w:p>
          <w:p>
            <w:pPr>
              <w:spacing w:after="40" w:line="252" w:lineRule="auto"/>
            </w:pPr>
            <w:hyperlink r:id="rId13">
              <w:r>
                <w:rPr>
                  <w:rFonts w:ascii="Calibri" w:hAnsi="Calibri" w:cs="Calibri"/>
                  <w:sz w:val="18"/>
                  <w:color w:val="1155CC"/>
                  <w:u w:val="single"/>
                </w:rPr>
                <w:t xml:space="preserve">ncbi.nlm.nih.gov/books/NBK535405 — StatPearls: SLE</w:t>
              </w:r>
            </w:hyperlink>
          </w:p>
          <w:p>
            <w:pPr>
              <w:spacing w:before="60" w:after="40"/>
            </w:pPr>
            <w:r>
              <w:rPr>
                <w:rFonts w:ascii="Calibri" w:hAnsi="Calibri"/>
                <w:b w:val="0"/>
                <w:i w:val="0"/>
                <w:color w:val="5A5A5A"/>
                <w:sz w:val="18"/>
              </w:rPr>
              <w:t>#atherosclerosis  #cvd  #prematuredeath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Infection (on immunosuppression)</w:t>
            </w:r>
          </w:p>
        </w:tc>
        <w:tc>
          <w:tcPr>
            <w:tcW w:type="dxa" w:w="2160"/>
            <w:vAlign w:val="top"/>
          </w:tcPr>
          <w:p>
            <w:pPr>
              <w:spacing w:after="40" w:before="0" w:line="259" w:lineRule="auto"/>
            </w:pPr>
            <w:r>
              <w:rPr>
                <w:rFonts w:ascii="Calibri" w:hAnsi="Calibri"/>
                <w:b w:val="0"/>
                <w:i w:val="0"/>
                <w:color w:val="212121"/>
                <w:sz w:val="19"/>
              </w:rPr>
              <w:t>SLE on steroids/immunosuppressants</w:t>
            </w:r>
          </w:p>
        </w:tc>
        <w:tc>
          <w:tcPr>
            <w:tcW w:type="dxa" w:w="4276"/>
            <w:vAlign w:val="top"/>
          </w:tcPr>
          <w:p>
            <w:pPr>
              <w:spacing w:after="60" w:line="259" w:lineRule="auto"/>
            </w:pPr>
            <w:r>
              <w:rPr>
                <w:rFonts w:ascii="Calibri" w:hAnsi="Calibri"/>
                <w:b w:val="0"/>
                <w:i w:val="0"/>
                <w:color w:val="212121"/>
                <w:sz w:val="19"/>
              </w:rPr>
              <w:t>Immune dysfunction plus immunosuppressive therapy makes infection a dominant cause of hospital mortality in Indian SLE, where tuberculosis and other endemic infections add to the risk.</w:t>
            </w:r>
          </w:p>
          <w:p>
            <w:pPr>
              <w:spacing w:after="40" w:before="60" w:line="259" w:lineRule="auto"/>
            </w:pPr>
            <w:r>
              <w:rPr>
                <w:rFonts w:ascii="Calibri" w:hAnsi="Calibri"/>
                <w:b w:val="0"/>
                <w:i w:val="0"/>
                <w:color w:val="212121"/>
                <w:sz w:val="19"/>
              </w:rPr>
              <w:t>Infection is among the leading causes of death in Indian SLE inpatients, reflecting both the disease and its immunosuppressive treatment.</w:t>
            </w:r>
          </w:p>
          <w:p>
            <w:pPr>
              <w:spacing w:after="40" w:line="252" w:lineRule="auto"/>
            </w:pPr>
            <w:hyperlink r:id="rId15">
              <w:r>
                <w:rPr>
                  <w:rFonts w:ascii="Calibri" w:hAnsi="Calibri" w:cs="Calibri"/>
                  <w:sz w:val="18"/>
                  <w:color w:val="1155CC"/>
                  <w:u w:val="single"/>
                </w:rPr>
                <w:t xml:space="preserve">pubmed.ncbi.nlm.nih.gov/40664670 — SLE inpatient mortality, India</w:t>
              </w:r>
            </w:hyperlink>
          </w:p>
          <w:p>
            <w:pPr>
              <w:spacing w:before="60" w:after="40"/>
            </w:pPr>
            <w:r>
              <w:rPr>
                <w:rFonts w:ascii="Calibri" w:hAnsi="Calibri"/>
                <w:b w:val="0"/>
                <w:i w:val="0"/>
                <w:color w:val="5A5A5A"/>
                <w:sz w:val="18"/>
              </w:rPr>
              <w:t>#infection  #immunosuppression  #tuberculosis  #mortality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Graded aerobic and strengthening exercise is safe in SLE and reduces fatigue, improves cardiovascular fitness, mood and quality of life; inactivity worsens fatigue, deconditioning and the already-elevated cardiovascular risk. It does not provoke disease flares.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Anti-inflammatory, low-salt diets support blood-pressure and renal control in lupus nephritis, while adequate vitamin D/calcium protect bone; alfalfa (L-canavanine) and excess salt or saturated fat can aggravate disease. No diet cures SLE, but weight and cardiometabolic control matter.</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sleep and insomnia are very common in SLE and bidirectionally worsen fatigue, pain, mood and perceived disease activity; sleep disturbance may herald or accompany flares.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linked to developing SLE, to more active cutaneous and overall disease, to accelerated cardiovascular risk, and it reduces the efficacy of hydroxychloroquine — the key background antimalarial — making cessation a high-impact intervention.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Excess alcohol interacts with core lupus drugs (methotrexate/azathioprine hepatotoxicity, NSAID gastrointestinal bleeding) and compounds steroid-related bone loss; very light intake has no established benefit and is best minimised on treatment.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and anxiety are substantially more common in SLE than in the general population and interact bidirectionally with fatigue, pain and disease activity; primary neuropsychiatric lupus can itself cause mood disorder, cognitive dysfunction, psychosis and seizures.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health and the renal safety of NSAIDs, and matters in patients with lupus nephritis or on nephrotoxic drugs, but there is no direct effect on disease activity.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effect on SLE disease activity; excessive caffeine can worsen sleep and anxiety, indirectly relevant to the fatigue and mood problems common in lupus.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General, oral, skin and food hygiene and up-to-date vaccination reduce infection — a leading cause of death in immunosuppressed SLE patients — though hygiene has no role in the primary autoimmune process.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Ultraviolet (sun) exposure, infections, certain drugs, physical/emotional stress, and pregnancy or the post-partum period are well-recognised triggers of lupus flares; photoprotection and infection prevention are central to reducing flares.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Photoprotection (sunscreen SPF)</w:t>
            </w:r>
          </w:p>
        </w:tc>
        <w:tc>
          <w:tcPr>
            <w:tcW w:type="dxa" w:w="1655"/>
            <w:vAlign w:val="top"/>
          </w:tcPr>
          <w:p>
            <w:pPr>
              <w:spacing w:after="40" w:before="0" w:line="259" w:lineRule="auto"/>
            </w:pPr>
            <w:r>
              <w:rPr>
                <w:rFonts w:ascii="Calibri" w:hAnsi="Calibri"/>
                <w:b w:val="0"/>
                <w:i w:val="0"/>
                <w:color w:val="212121"/>
                <w:sz w:val="19"/>
              </w:rPr>
              <w:t>All SLE patients</w:t>
            </w:r>
          </w:p>
        </w:tc>
        <w:tc>
          <w:tcPr>
            <w:tcW w:type="dxa" w:w="1512"/>
            <w:vAlign w:val="top"/>
          </w:tcPr>
          <w:p>
            <w:pPr>
              <w:spacing w:after="40" w:before="0" w:line="259" w:lineRule="auto"/>
            </w:pPr>
            <w:r>
              <w:rPr>
                <w:rFonts w:ascii="Calibri" w:hAnsi="Calibri"/>
                <w:b w:val="0"/>
                <w:i w:val="0"/>
                <w:color w:val="212121"/>
                <w:sz w:val="19"/>
              </w:rPr>
              <w:t>Broad-spectrum SPF ≥ 50, reapplied; sun avoidance</w:t>
            </w:r>
          </w:p>
        </w:tc>
        <w:tc>
          <w:tcPr>
            <w:tcW w:type="dxa" w:w="1512"/>
            <w:vAlign w:val="top"/>
          </w:tcPr>
          <w:p>
            <w:pPr>
              <w:spacing w:after="40" w:before="0" w:line="259" w:lineRule="auto"/>
            </w:pPr>
            <w:r>
              <w:rPr>
                <w:rFonts w:ascii="Calibri" w:hAnsi="Calibri"/>
                <w:b w:val="0"/>
                <w:i w:val="0"/>
                <w:color w:val="212121"/>
                <w:sz w:val="19"/>
              </w:rPr>
              <w:t>Unprotected midday UV exposure</w:t>
            </w:r>
          </w:p>
        </w:tc>
        <w:tc>
          <w:tcPr>
            <w:tcW w:type="dxa" w:w="1468"/>
            <w:vAlign w:val="top"/>
          </w:tcPr>
          <w:p>
            <w:pPr>
              <w:spacing w:after="60" w:line="259" w:lineRule="auto"/>
            </w:pPr>
            <w:r>
              <w:rPr>
                <w:rFonts w:ascii="Calibri" w:hAnsi="Calibri"/>
                <w:b w:val="0"/>
                <w:i w:val="0"/>
                <w:color w:val="212121"/>
                <w:sz w:val="19"/>
              </w:rPr>
              <w:t>UV is a major, avoidable flare trigger; photosensitivity is near-universal</w:t>
            </w:r>
          </w:p>
          <w:p>
            <w:pPr>
              <w:spacing w:after="40" w:line="252" w:lineRule="auto"/>
            </w:pPr>
            <w:hyperlink r:id="rId13">
              <w:r>
                <w:rPr>
                  <w:rFonts w:ascii="Calibri" w:hAnsi="Calibri" w:cs="Calibri"/>
                  <w:sz w:val="18"/>
                  <w:color w:val="1155CC"/>
                  <w:u w:val="single"/>
                </w:rPr>
                <w:t xml:space="preserve">https://www.ncbi.nlm.nih.gov/books/NBK535405/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Anti-dsDNA titre</w:t>
            </w:r>
          </w:p>
        </w:tc>
        <w:tc>
          <w:tcPr>
            <w:tcW w:type="dxa" w:w="1655"/>
            <w:vAlign w:val="top"/>
          </w:tcPr>
          <w:p>
            <w:pPr>
              <w:spacing w:after="40" w:before="0" w:line="259" w:lineRule="auto"/>
            </w:pPr>
            <w:r>
              <w:rPr>
                <w:rFonts w:ascii="Calibri" w:hAnsi="Calibri"/>
                <w:b w:val="0"/>
                <w:i w:val="0"/>
                <w:color w:val="212121"/>
                <w:sz w:val="19"/>
              </w:rPr>
              <w:t>SLE, esp. renal disease</w:t>
            </w:r>
          </w:p>
        </w:tc>
        <w:tc>
          <w:tcPr>
            <w:tcW w:type="dxa" w:w="1512"/>
            <w:vAlign w:val="top"/>
          </w:tcPr>
          <w:p>
            <w:pPr>
              <w:spacing w:after="40" w:before="0" w:line="259" w:lineRule="auto"/>
            </w:pPr>
            <w:r>
              <w:rPr>
                <w:rFonts w:ascii="Calibri" w:hAnsi="Calibri"/>
                <w:b w:val="0"/>
                <w:i w:val="0"/>
                <w:color w:val="212121"/>
                <w:sz w:val="19"/>
              </w:rPr>
              <w:t>Low / not rising</w:t>
            </w:r>
          </w:p>
        </w:tc>
        <w:tc>
          <w:tcPr>
            <w:tcW w:type="dxa" w:w="1512"/>
            <w:vAlign w:val="top"/>
          </w:tcPr>
          <w:p>
            <w:pPr>
              <w:spacing w:after="40" w:before="0" w:line="259" w:lineRule="auto"/>
            </w:pPr>
            <w:r>
              <w:rPr>
                <w:rFonts w:ascii="Calibri" w:hAnsi="Calibri"/>
                <w:b w:val="0"/>
                <w:i w:val="0"/>
                <w:color w:val="212121"/>
                <w:sz w:val="19"/>
              </w:rPr>
              <w:t>Rising titre</w:t>
            </w:r>
          </w:p>
        </w:tc>
        <w:tc>
          <w:tcPr>
            <w:tcW w:type="dxa" w:w="1468"/>
            <w:vAlign w:val="top"/>
          </w:tcPr>
          <w:p>
            <w:pPr>
              <w:spacing w:after="40" w:before="0" w:line="259" w:lineRule="auto"/>
            </w:pPr>
            <w:r>
              <w:rPr>
                <w:rFonts w:ascii="Calibri" w:hAnsi="Calibri"/>
                <w:b w:val="0"/>
                <w:i w:val="0"/>
                <w:color w:val="212121"/>
                <w:sz w:val="19"/>
              </w:rPr>
              <w:t>Often tracks disease (renal) activity and impending flare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Complement C3 / C4</w:t>
            </w:r>
          </w:p>
        </w:tc>
        <w:tc>
          <w:tcPr>
            <w:tcW w:type="dxa" w:w="1655"/>
            <w:vAlign w:val="top"/>
          </w:tcPr>
          <w:p>
            <w:pPr>
              <w:spacing w:after="40" w:before="0" w:line="259" w:lineRule="auto"/>
            </w:pPr>
            <w:r>
              <w:rPr>
                <w:rFonts w:ascii="Calibri" w:hAnsi="Calibri"/>
                <w:b w:val="0"/>
                <w:i w:val="0"/>
                <w:color w:val="212121"/>
                <w:sz w:val="19"/>
              </w:rPr>
              <w:t>Active or renal SLE</w:t>
            </w:r>
          </w:p>
        </w:tc>
        <w:tc>
          <w:tcPr>
            <w:tcW w:type="dxa" w:w="1512"/>
            <w:vAlign w:val="top"/>
          </w:tcPr>
          <w:p>
            <w:pPr>
              <w:spacing w:after="40" w:before="0" w:line="259" w:lineRule="auto"/>
            </w:pPr>
            <w:r>
              <w:rPr>
                <w:rFonts w:ascii="Calibri" w:hAnsi="Calibri"/>
                <w:b w:val="0"/>
                <w:i w:val="0"/>
                <w:color w:val="212121"/>
                <w:sz w:val="19"/>
              </w:rPr>
              <w:t>Within normal range</w:t>
            </w:r>
          </w:p>
        </w:tc>
        <w:tc>
          <w:tcPr>
            <w:tcW w:type="dxa" w:w="1512"/>
            <w:vAlign w:val="top"/>
          </w:tcPr>
          <w:p>
            <w:pPr>
              <w:spacing w:after="40" w:before="0" w:line="259" w:lineRule="auto"/>
            </w:pPr>
            <w:r>
              <w:rPr>
                <w:rFonts w:ascii="Calibri" w:hAnsi="Calibri"/>
                <w:b w:val="0"/>
                <w:i w:val="0"/>
                <w:color w:val="212121"/>
                <w:sz w:val="19"/>
              </w:rPr>
              <w:t>Falling C3/C4</w:t>
            </w:r>
          </w:p>
        </w:tc>
        <w:tc>
          <w:tcPr>
            <w:tcW w:type="dxa" w:w="1468"/>
            <w:vAlign w:val="top"/>
          </w:tcPr>
          <w:p>
            <w:pPr>
              <w:spacing w:after="40" w:before="0" w:line="259" w:lineRule="auto"/>
            </w:pPr>
            <w:r>
              <w:rPr>
                <w:rFonts w:ascii="Calibri" w:hAnsi="Calibri"/>
                <w:b w:val="0"/>
                <w:i w:val="0"/>
                <w:color w:val="212121"/>
                <w:sz w:val="19"/>
              </w:rPr>
              <w:t>Low complement reflects immune-complex consumption in active disease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SLEDAI-2K disease-activity score</w:t>
            </w:r>
          </w:p>
        </w:tc>
        <w:tc>
          <w:tcPr>
            <w:tcW w:type="dxa" w:w="1655"/>
            <w:vAlign w:val="top"/>
          </w:tcPr>
          <w:p>
            <w:pPr>
              <w:spacing w:after="40" w:before="0" w:line="259" w:lineRule="auto"/>
            </w:pPr>
            <w:r>
              <w:rPr>
                <w:rFonts w:ascii="Calibri" w:hAnsi="Calibri"/>
                <w:b w:val="0"/>
                <w:i w:val="0"/>
                <w:color w:val="212121"/>
                <w:sz w:val="19"/>
              </w:rPr>
              <w:t>All SLE patients</w:t>
            </w:r>
          </w:p>
        </w:tc>
        <w:tc>
          <w:tcPr>
            <w:tcW w:type="dxa" w:w="1512"/>
            <w:vAlign w:val="top"/>
          </w:tcPr>
          <w:p>
            <w:pPr>
              <w:spacing w:after="40" w:before="0" w:line="259" w:lineRule="auto"/>
            </w:pPr>
            <w:r>
              <w:rPr>
                <w:rFonts w:ascii="Calibri" w:hAnsi="Calibri"/>
                <w:b w:val="0"/>
                <w:i w:val="0"/>
                <w:color w:val="212121"/>
                <w:sz w:val="19"/>
              </w:rPr>
              <w:t>Low / remission</w:t>
            </w:r>
          </w:p>
        </w:tc>
        <w:tc>
          <w:tcPr>
            <w:tcW w:type="dxa" w:w="1512"/>
            <w:vAlign w:val="top"/>
          </w:tcPr>
          <w:p>
            <w:pPr>
              <w:spacing w:after="40" w:before="0" w:line="259" w:lineRule="auto"/>
            </w:pPr>
            <w:r>
              <w:rPr>
                <w:rFonts w:ascii="Calibri" w:hAnsi="Calibri"/>
                <w:b w:val="0"/>
                <w:i w:val="0"/>
                <w:color w:val="212121"/>
                <w:sz w:val="19"/>
              </w:rPr>
              <w:t>Rising score</w:t>
            </w:r>
          </w:p>
        </w:tc>
        <w:tc>
          <w:tcPr>
            <w:tcW w:type="dxa" w:w="1468"/>
            <w:vAlign w:val="top"/>
          </w:tcPr>
          <w:p>
            <w:pPr>
              <w:spacing w:after="40" w:before="0" w:line="259" w:lineRule="auto"/>
            </w:pPr>
            <w:r>
              <w:rPr>
                <w:rFonts w:ascii="Calibri" w:hAnsi="Calibri"/>
                <w:b w:val="0"/>
                <w:i w:val="0"/>
                <w:color w:val="212121"/>
                <w:sz w:val="19"/>
              </w:rPr>
              <w:t>Standard composite index guiding treatment escalation</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Photoprotected/Indian patients</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w:t>
            </w:r>
          </w:p>
        </w:tc>
        <w:tc>
          <w:tcPr>
            <w:tcW w:type="dxa" w:w="1468"/>
            <w:vAlign w:val="top"/>
          </w:tcPr>
          <w:p>
            <w:pPr>
              <w:spacing w:after="40" w:before="0" w:line="259" w:lineRule="auto"/>
            </w:pPr>
            <w:r>
              <w:rPr>
                <w:rFonts w:ascii="Calibri" w:hAnsi="Calibri"/>
                <w:b w:val="0"/>
                <w:i w:val="0"/>
                <w:color w:val="212121"/>
                <w:sz w:val="19"/>
              </w:rPr>
              <w:t>Deficiency common with sun avoidance; supplement to protect bone/immune health</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salt &amp; blood pressure</w:t>
            </w:r>
          </w:p>
        </w:tc>
        <w:tc>
          <w:tcPr>
            <w:tcW w:type="dxa" w:w="1655"/>
            <w:vAlign w:val="top"/>
          </w:tcPr>
          <w:p>
            <w:pPr>
              <w:spacing w:after="40" w:before="0" w:line="259" w:lineRule="auto"/>
            </w:pPr>
            <w:r>
              <w:rPr>
                <w:rFonts w:ascii="Calibri" w:hAnsi="Calibri"/>
                <w:b w:val="0"/>
                <w:i w:val="0"/>
                <w:color w:val="212121"/>
                <w:sz w:val="19"/>
              </w:rPr>
              <w:t>Lupus nephritis / hypertension</w:t>
            </w:r>
          </w:p>
        </w:tc>
        <w:tc>
          <w:tcPr>
            <w:tcW w:type="dxa" w:w="1512"/>
            <w:vAlign w:val="top"/>
          </w:tcPr>
          <w:p>
            <w:pPr>
              <w:spacing w:after="40" w:before="0" w:line="259" w:lineRule="auto"/>
            </w:pPr>
            <w:r>
              <w:rPr>
                <w:rFonts w:ascii="Calibri" w:hAnsi="Calibri"/>
                <w:b w:val="0"/>
                <w:i w:val="0"/>
                <w:color w:val="212121"/>
                <w:sz w:val="19"/>
              </w:rPr>
              <w:t>BP &lt; 130/80; low-salt diet</w:t>
            </w:r>
          </w:p>
        </w:tc>
        <w:tc>
          <w:tcPr>
            <w:tcW w:type="dxa" w:w="1512"/>
            <w:vAlign w:val="top"/>
          </w:tcPr>
          <w:p>
            <w:pPr>
              <w:spacing w:after="40" w:before="0" w:line="259" w:lineRule="auto"/>
            </w:pPr>
            <w:r>
              <w:rPr>
                <w:rFonts w:ascii="Calibri" w:hAnsi="Calibri"/>
                <w:b w:val="0"/>
                <w:i w:val="0"/>
                <w:color w:val="212121"/>
                <w:sz w:val="19"/>
              </w:rPr>
              <w:t>BP ≥ 140/90; high salt</w:t>
            </w:r>
          </w:p>
        </w:tc>
        <w:tc>
          <w:tcPr>
            <w:tcW w:type="dxa" w:w="1468"/>
            <w:vAlign w:val="top"/>
          </w:tcPr>
          <w:p>
            <w:pPr>
              <w:spacing w:after="40" w:before="0" w:line="259" w:lineRule="auto"/>
            </w:pPr>
            <w:r>
              <w:rPr>
                <w:rFonts w:ascii="Calibri" w:hAnsi="Calibri"/>
                <w:b w:val="0"/>
                <w:i w:val="0"/>
                <w:color w:val="212121"/>
                <w:sz w:val="19"/>
              </w:rPr>
              <w:t>Tight BP control slows renal progression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Urine protein–creatinine ratio (UPCR)</w:t>
            </w:r>
          </w:p>
        </w:tc>
        <w:tc>
          <w:tcPr>
            <w:tcW w:type="dxa" w:w="1655"/>
            <w:vAlign w:val="top"/>
          </w:tcPr>
          <w:p>
            <w:pPr>
              <w:spacing w:after="40" w:before="0" w:line="259" w:lineRule="auto"/>
            </w:pPr>
            <w:r>
              <w:rPr>
                <w:rFonts w:ascii="Calibri" w:hAnsi="Calibri"/>
                <w:b w:val="0"/>
                <w:i w:val="0"/>
                <w:color w:val="212121"/>
                <w:sz w:val="19"/>
              </w:rPr>
              <w:t>Renal SLE</w:t>
            </w:r>
          </w:p>
        </w:tc>
        <w:tc>
          <w:tcPr>
            <w:tcW w:type="dxa" w:w="1512"/>
            <w:vAlign w:val="top"/>
          </w:tcPr>
          <w:p>
            <w:pPr>
              <w:spacing w:after="40" w:before="0" w:line="259" w:lineRule="auto"/>
            </w:pPr>
            <w:r>
              <w:rPr>
                <w:rFonts w:ascii="Calibri" w:hAnsi="Calibri"/>
                <w:b w:val="0"/>
                <w:i w:val="0"/>
                <w:color w:val="212121"/>
                <w:sz w:val="19"/>
              </w:rPr>
              <w:t>&lt; 0.5 g/g</w:t>
            </w:r>
          </w:p>
        </w:tc>
        <w:tc>
          <w:tcPr>
            <w:tcW w:type="dxa" w:w="1512"/>
            <w:vAlign w:val="top"/>
          </w:tcPr>
          <w:p>
            <w:pPr>
              <w:spacing w:after="40" w:before="0" w:line="259" w:lineRule="auto"/>
            </w:pPr>
            <w:r>
              <w:rPr>
                <w:rFonts w:ascii="Calibri" w:hAnsi="Calibri"/>
                <w:b w:val="0"/>
                <w:i w:val="0"/>
                <w:color w:val="212121"/>
                <w:sz w:val="19"/>
              </w:rPr>
              <w:t>≥ 0.5 g/g</w:t>
            </w:r>
          </w:p>
        </w:tc>
        <w:tc>
          <w:tcPr>
            <w:tcW w:type="dxa" w:w="1468"/>
            <w:vAlign w:val="top"/>
          </w:tcPr>
          <w:p>
            <w:pPr>
              <w:spacing w:after="40" w:before="0" w:line="259" w:lineRule="auto"/>
            </w:pPr>
            <w:r>
              <w:rPr>
                <w:rFonts w:ascii="Calibri" w:hAnsi="Calibri"/>
                <w:b w:val="0"/>
                <w:i w:val="0"/>
                <w:color w:val="212121"/>
                <w:sz w:val="19"/>
              </w:rPr>
              <w:t>Screens for and monitors lupus nephritis</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with SLE</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(obese)</w:t>
            </w:r>
          </w:p>
        </w:tc>
        <w:tc>
          <w:tcPr>
            <w:tcW w:type="dxa" w:w="1468"/>
            <w:vAlign w:val="top"/>
          </w:tcPr>
          <w:p>
            <w:pPr>
              <w:spacing w:after="40" w:before="0" w:line="259" w:lineRule="auto"/>
            </w:pPr>
            <w:r>
              <w:rPr>
                <w:rFonts w:ascii="Calibri" w:hAnsi="Calibri"/>
                <w:b w:val="0"/>
                <w:i w:val="0"/>
                <w:color w:val="212121"/>
                <w:sz w:val="19"/>
              </w:rPr>
              <w:t>Weight control lowers cardiovascular and metabolic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Fatigued/sedentary patients</w:t>
            </w:r>
          </w:p>
        </w:tc>
        <w:tc>
          <w:tcPr>
            <w:tcW w:type="dxa" w:w="1512"/>
            <w:vAlign w:val="top"/>
          </w:tcPr>
          <w:p>
            <w:pPr>
              <w:spacing w:after="40" w:before="0" w:line="259" w:lineRule="auto"/>
            </w:pPr>
            <w:r>
              <w:rPr>
                <w:rFonts w:ascii="Calibri" w:hAnsi="Calibri"/>
                <w:b w:val="0"/>
                <w:i w:val="0"/>
                <w:color w:val="212121"/>
                <w:sz w:val="19"/>
              </w:rPr>
              <w:t>≥ 150 min/week (graded)</w:t>
            </w:r>
          </w:p>
        </w:tc>
        <w:tc>
          <w:tcPr>
            <w:tcW w:type="dxa" w:w="1512"/>
            <w:vAlign w:val="top"/>
          </w:tcPr>
          <w:p>
            <w:pPr>
              <w:spacing w:after="40" w:before="0" w:line="259" w:lineRule="auto"/>
            </w:pPr>
            <w:r>
              <w:rPr>
                <w:rFonts w:ascii="Calibri" w:hAnsi="Calibri"/>
                <w:b w:val="0"/>
                <w:i w:val="0"/>
                <w:color w:val="212121"/>
                <w:sz w:val="19"/>
              </w:rPr>
              <w:t>Largely inactive</w:t>
            </w:r>
          </w:p>
        </w:tc>
        <w:tc>
          <w:tcPr>
            <w:tcW w:type="dxa" w:w="1468"/>
            <w:vAlign w:val="top"/>
          </w:tcPr>
          <w:p>
            <w:pPr>
              <w:spacing w:after="40" w:before="0" w:line="259" w:lineRule="auto"/>
            </w:pPr>
            <w:r>
              <w:rPr>
                <w:rFonts w:ascii="Calibri" w:hAnsi="Calibri"/>
                <w:b w:val="0"/>
                <w:i w:val="0"/>
                <w:color w:val="212121"/>
                <w:sz w:val="19"/>
              </w:rPr>
              <w:t>Exercise reduces fatigue and CV risk without provoking flares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Smokers with SLE</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Any smoking worsens disease and blunts hydroxychloroquine efficacy</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Patients on MTX/azathioprine/NSAIDs</w:t>
            </w:r>
          </w:p>
        </w:tc>
        <w:tc>
          <w:tcPr>
            <w:tcW w:type="dxa" w:w="1512"/>
            <w:vAlign w:val="top"/>
          </w:tcPr>
          <w:p>
            <w:pPr>
              <w:spacing w:after="40" w:before="0" w:line="259" w:lineRule="auto"/>
            </w:pPr>
            <w:r>
              <w:rPr>
                <w:rFonts w:ascii="Calibri" w:hAnsi="Calibri"/>
                <w:b w:val="0"/>
                <w:i w:val="0"/>
                <w:color w:val="212121"/>
                <w:sz w:val="19"/>
              </w:rPr>
              <w:t>Minimal; alcohol-free days</w:t>
            </w:r>
          </w:p>
        </w:tc>
        <w:tc>
          <w:tcPr>
            <w:tcW w:type="dxa" w:w="1512"/>
            <w:vAlign w:val="top"/>
          </w:tcPr>
          <w:p>
            <w:pPr>
              <w:spacing w:after="40" w:before="0" w:line="259" w:lineRule="auto"/>
            </w:pPr>
            <w:r>
              <w:rPr>
                <w:rFonts w:ascii="Calibri" w:hAnsi="Calibri"/>
                <w:b w:val="0"/>
                <w:i w:val="0"/>
                <w:color w:val="212121"/>
                <w:sz w:val="19"/>
              </w:rPr>
              <w:t>Regular/heavy intake</w:t>
            </w:r>
          </w:p>
        </w:tc>
        <w:tc>
          <w:tcPr>
            <w:tcW w:type="dxa" w:w="1468"/>
            <w:vAlign w:val="top"/>
          </w:tcPr>
          <w:p>
            <w:pPr>
              <w:spacing w:after="40" w:before="0" w:line="259" w:lineRule="auto"/>
            </w:pPr>
            <w:r>
              <w:rPr>
                <w:rFonts w:ascii="Calibri" w:hAnsi="Calibri"/>
                <w:b w:val="0"/>
                <w:i w:val="0"/>
                <w:color w:val="212121"/>
                <w:sz w:val="19"/>
              </w:rPr>
              <w:t>Aggravates drug hepatotoxicity and GI bleeding</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All SLE patients</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w:t>
            </w:r>
          </w:p>
        </w:tc>
        <w:tc>
          <w:tcPr>
            <w:tcW w:type="dxa" w:w="1468"/>
            <w:vAlign w:val="top"/>
          </w:tcPr>
          <w:p>
            <w:pPr>
              <w:spacing w:after="40" w:before="0" w:line="259" w:lineRule="auto"/>
            </w:pPr>
            <w:r>
              <w:rPr>
                <w:rFonts w:ascii="Calibri" w:hAnsi="Calibri"/>
                <w:b w:val="0"/>
                <w:i w:val="0"/>
                <w:color w:val="212121"/>
                <w:sz w:val="19"/>
              </w:rPr>
              <w:t>Depression/anxiety are common and bidirectionally worsen outcomes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quality</w:t>
            </w:r>
          </w:p>
        </w:tc>
        <w:tc>
          <w:tcPr>
            <w:tcW w:type="dxa" w:w="1655"/>
            <w:vAlign w:val="top"/>
          </w:tcPr>
          <w:p>
            <w:pPr>
              <w:spacing w:after="40" w:before="0" w:line="259" w:lineRule="auto"/>
            </w:pPr>
            <w:r>
              <w:rPr>
                <w:rFonts w:ascii="Calibri" w:hAnsi="Calibri"/>
                <w:b w:val="0"/>
                <w:i w:val="0"/>
                <w:color w:val="212121"/>
                <w:sz w:val="19"/>
              </w:rPr>
              <w:t>Fatigued patients</w:t>
            </w:r>
          </w:p>
        </w:tc>
        <w:tc>
          <w:tcPr>
            <w:tcW w:type="dxa" w:w="1512"/>
            <w:vAlign w:val="top"/>
          </w:tcPr>
          <w:p>
            <w:pPr>
              <w:spacing w:after="40" w:before="0" w:line="259" w:lineRule="auto"/>
            </w:pPr>
            <w:r>
              <w:rPr>
                <w:rFonts w:ascii="Calibri" w:hAnsi="Calibri"/>
                <w:b w:val="0"/>
                <w:i w:val="0"/>
                <w:color w:val="212121"/>
                <w:sz w:val="19"/>
              </w:rPr>
              <w:t>7–9 h, restorative</w:t>
            </w:r>
          </w:p>
        </w:tc>
        <w:tc>
          <w:tcPr>
            <w:tcW w:type="dxa" w:w="1512"/>
            <w:vAlign w:val="top"/>
          </w:tcPr>
          <w:p>
            <w:pPr>
              <w:spacing w:after="40" w:before="0" w:line="259" w:lineRule="auto"/>
            </w:pPr>
            <w:r>
              <w:rPr>
                <w:rFonts w:ascii="Calibri" w:hAnsi="Calibri"/>
                <w:b w:val="0"/>
                <w:i w:val="0"/>
                <w:color w:val="212121"/>
                <w:sz w:val="19"/>
              </w:rPr>
              <w:t>&lt; 6 h or poor quality</w:t>
            </w:r>
          </w:p>
        </w:tc>
        <w:tc>
          <w:tcPr>
            <w:tcW w:type="dxa" w:w="1468"/>
            <w:vAlign w:val="top"/>
          </w:tcPr>
          <w:p>
            <w:pPr>
              <w:spacing w:after="40" w:before="0" w:line="259" w:lineRule="auto"/>
            </w:pPr>
            <w:r>
              <w:rPr>
                <w:rFonts w:ascii="Calibri" w:hAnsi="Calibri"/>
                <w:b w:val="0"/>
                <w:i w:val="0"/>
                <w:color w:val="212121"/>
                <w:sz w:val="19"/>
              </w:rPr>
              <w:t>Poor sleep amplifies fatigue, pain and mood disturbance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Antinuclear antibody (ANA, HEp-2)</w:t>
            </w:r>
          </w:p>
        </w:tc>
        <w:tc>
          <w:tcPr>
            <w:tcW w:type="dxa" w:w="892"/>
            <w:vAlign w:val="top"/>
          </w:tcPr>
          <w:p>
            <w:pPr>
              <w:spacing w:after="40" w:before="0" w:line="259" w:lineRule="auto"/>
            </w:pPr>
            <w:r>
              <w:rPr>
                <w:rFonts w:ascii="Calibri" w:hAnsi="Calibri"/>
                <w:b w:val="0"/>
                <w:i w:val="0"/>
                <w:color w:val="212121"/>
                <w:sz w:val="16"/>
              </w:rPr>
              <w:t>Autoantibody screen</w:t>
            </w:r>
          </w:p>
        </w:tc>
        <w:tc>
          <w:tcPr>
            <w:tcW w:type="dxa" w:w="950"/>
            <w:vAlign w:val="top"/>
          </w:tcPr>
          <w:p>
            <w:pPr>
              <w:spacing w:after="40" w:before="0" w:line="259" w:lineRule="auto"/>
            </w:pPr>
            <w:r>
              <w:rPr>
                <w:rFonts w:ascii="Calibri" w:hAnsi="Calibri"/>
                <w:b w:val="0"/>
                <w:i w:val="0"/>
                <w:color w:val="212121"/>
                <w:sz w:val="16"/>
              </w:rPr>
              <w:t>Negative (&lt; 1:80)</w:t>
            </w:r>
          </w:p>
        </w:tc>
        <w:tc>
          <w:tcPr>
            <w:tcW w:type="dxa" w:w="950"/>
            <w:vAlign w:val="top"/>
          </w:tcPr>
          <w:p>
            <w:pPr>
              <w:spacing w:after="40" w:before="0" w:line="259" w:lineRule="auto"/>
            </w:pPr>
            <w:r>
              <w:rPr>
                <w:rFonts w:ascii="Calibri" w:hAnsi="Calibri"/>
                <w:b w:val="0"/>
                <w:i w:val="0"/>
                <w:color w:val="212121"/>
                <w:sz w:val="16"/>
              </w:rPr>
              <w:t>≥ 1:80 (positive)</w:t>
            </w:r>
          </w:p>
        </w:tc>
        <w:tc>
          <w:tcPr>
            <w:tcW w:type="dxa" w:w="1036"/>
            <w:vAlign w:val="top"/>
          </w:tcPr>
          <w:p>
            <w:pPr>
              <w:spacing w:after="40" w:before="0" w:line="259" w:lineRule="auto"/>
            </w:pPr>
            <w:r>
              <w:rPr>
                <w:rFonts w:ascii="Calibri" w:hAnsi="Calibri"/>
                <w:b w:val="0"/>
                <w:i w:val="0"/>
                <w:color w:val="212121"/>
                <w:sz w:val="16"/>
              </w:rPr>
              <w:t>Highly sensitive screening test and the obligatory entry criterion for 2019 EULAR/ACR classification; a negative ANA makes SLE unlikely.</w:t>
            </w:r>
          </w:p>
        </w:tc>
        <w:tc>
          <w:tcPr>
            <w:tcW w:type="dxa" w:w="1036"/>
            <w:vAlign w:val="top"/>
          </w:tcPr>
          <w:p>
            <w:pPr>
              <w:spacing w:after="40" w:before="0" w:line="259" w:lineRule="auto"/>
            </w:pPr>
            <w:r>
              <w:rPr>
                <w:rFonts w:ascii="Calibri" w:hAnsi="Calibri"/>
                <w:b w:val="0"/>
                <w:i w:val="0"/>
                <w:color w:val="212121"/>
                <w:sz w:val="16"/>
              </w:rPr>
              <w:t>Suspected SLE, multisystem/autoimmune presentation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entry criterion</w:t>
            </w:r>
          </w:p>
        </w:tc>
        <w:tc>
          <w:tcPr>
            <w:tcW w:type="dxa" w:w="720"/>
            <w:vAlign w:val="top"/>
          </w:tcPr>
          <w:p>
            <w:pPr>
              <w:spacing w:after="40" w:before="0" w:line="259" w:lineRule="auto"/>
            </w:pPr>
            <w:r>
              <w:rPr>
                <w:rFonts w:ascii="Calibri" w:hAnsi="Calibri"/>
                <w:b w:val="0"/>
                <w:i w:val="0"/>
                <w:color w:val="212121"/>
                <w:sz w:val="16"/>
              </w:rPr>
              <w:t>Sensitive but not specific — positive in many healthy people and other conditions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Anti-dsDNA &amp; anti-Sm antibodies</w:t>
            </w:r>
          </w:p>
        </w:tc>
        <w:tc>
          <w:tcPr>
            <w:tcW w:type="dxa" w:w="892"/>
            <w:vAlign w:val="top"/>
          </w:tcPr>
          <w:p>
            <w:pPr>
              <w:spacing w:after="40" w:before="0" w:line="259" w:lineRule="auto"/>
            </w:pPr>
            <w:r>
              <w:rPr>
                <w:rFonts w:ascii="Calibri" w:hAnsi="Calibri"/>
                <w:b w:val="0"/>
                <w:i w:val="0"/>
                <w:color w:val="212121"/>
                <w:sz w:val="16"/>
              </w:rPr>
              <w:t>SLE-specific antibodies</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Highly specific for SLE; anti-dsDNA often correlates with disease and renal activity and is useful for monitoring.</w:t>
            </w:r>
          </w:p>
        </w:tc>
        <w:tc>
          <w:tcPr>
            <w:tcW w:type="dxa" w:w="1036"/>
            <w:vAlign w:val="top"/>
          </w:tcPr>
          <w:p>
            <w:pPr>
              <w:spacing w:after="40" w:before="0" w:line="259" w:lineRule="auto"/>
            </w:pPr>
            <w:r>
              <w:rPr>
                <w:rFonts w:ascii="Calibri" w:hAnsi="Calibri"/>
                <w:b w:val="0"/>
                <w:i w:val="0"/>
                <w:color w:val="212121"/>
                <w:sz w:val="16"/>
              </w:rPr>
              <w:t>ANA-positive patients, suspected/known SLE, nephritis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Anti-Sm is very specific but insensitive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Complement C3 &amp; C4</w:t>
            </w:r>
          </w:p>
        </w:tc>
        <w:tc>
          <w:tcPr>
            <w:tcW w:type="dxa" w:w="892"/>
            <w:vAlign w:val="top"/>
          </w:tcPr>
          <w:p>
            <w:pPr>
              <w:spacing w:after="40" w:before="0" w:line="259" w:lineRule="auto"/>
            </w:pPr>
            <w:r>
              <w:rPr>
                <w:rFonts w:ascii="Calibri" w:hAnsi="Calibri"/>
                <w:b w:val="0"/>
                <w:i w:val="0"/>
                <w:color w:val="212121"/>
                <w:sz w:val="16"/>
              </w:rPr>
              <w:t>Serum complement</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Low C3 and/or C4</w:t>
            </w:r>
          </w:p>
        </w:tc>
        <w:tc>
          <w:tcPr>
            <w:tcW w:type="dxa" w:w="1036"/>
            <w:vAlign w:val="top"/>
          </w:tcPr>
          <w:p>
            <w:pPr>
              <w:spacing w:after="40" w:before="0" w:line="259" w:lineRule="auto"/>
            </w:pPr>
            <w:r>
              <w:rPr>
                <w:rFonts w:ascii="Calibri" w:hAnsi="Calibri"/>
                <w:b w:val="0"/>
                <w:i w:val="0"/>
                <w:color w:val="212121"/>
                <w:sz w:val="16"/>
              </w:rPr>
              <w:t>Low complement indicates consumption by immune complexes and supports active disease, especially nephritis.</w:t>
            </w:r>
          </w:p>
        </w:tc>
        <w:tc>
          <w:tcPr>
            <w:tcW w:type="dxa" w:w="1036"/>
            <w:vAlign w:val="top"/>
          </w:tcPr>
          <w:p>
            <w:pPr>
              <w:spacing w:after="40" w:before="0" w:line="259" w:lineRule="auto"/>
            </w:pPr>
            <w:r>
              <w:rPr>
                <w:rFonts w:ascii="Calibri" w:hAnsi="Calibri"/>
                <w:b w:val="0"/>
                <w:i w:val="0"/>
                <w:color w:val="212121"/>
                <w:sz w:val="16"/>
              </w:rPr>
              <w:t>Active SLE, lupus nephritis, 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Trend over time is more useful than a single value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Urinalysis</w:t>
            </w:r>
          </w:p>
        </w:tc>
        <w:tc>
          <w:tcPr>
            <w:tcW w:type="dxa" w:w="1036"/>
            <w:vAlign w:val="top"/>
          </w:tcPr>
          <w:p>
            <w:pPr>
              <w:spacing w:after="40" w:before="0" w:line="259" w:lineRule="auto"/>
            </w:pPr>
            <w:r>
              <w:rPr>
                <w:rFonts w:ascii="Calibri" w:hAnsi="Calibri"/>
                <w:b w:val="0"/>
                <w:i w:val="0"/>
                <w:color w:val="212121"/>
                <w:sz w:val="16"/>
              </w:rPr>
              <w:t>Urine protein &amp; active sediment</w:t>
            </w:r>
          </w:p>
        </w:tc>
        <w:tc>
          <w:tcPr>
            <w:tcW w:type="dxa" w:w="892"/>
            <w:vAlign w:val="top"/>
          </w:tcPr>
          <w:p>
            <w:pPr>
              <w:spacing w:after="40" w:before="0" w:line="259" w:lineRule="auto"/>
            </w:pPr>
            <w:r>
              <w:rPr>
                <w:rFonts w:ascii="Calibri" w:hAnsi="Calibri"/>
                <w:b w:val="0"/>
                <w:i w:val="0"/>
                <w:color w:val="212121"/>
                <w:sz w:val="16"/>
              </w:rPr>
              <w:t>Urinalysis + UPCR</w:t>
            </w:r>
          </w:p>
        </w:tc>
        <w:tc>
          <w:tcPr>
            <w:tcW w:type="dxa" w:w="950"/>
            <w:vAlign w:val="top"/>
          </w:tcPr>
          <w:p>
            <w:pPr>
              <w:spacing w:after="40" w:before="0" w:line="259" w:lineRule="auto"/>
            </w:pPr>
            <w:r>
              <w:rPr>
                <w:rFonts w:ascii="Calibri" w:hAnsi="Calibri"/>
                <w:b w:val="0"/>
                <w:i w:val="0"/>
                <w:color w:val="212121"/>
                <w:sz w:val="16"/>
              </w:rPr>
              <w:t>No proteinuria/casts</w:t>
            </w:r>
          </w:p>
        </w:tc>
        <w:tc>
          <w:tcPr>
            <w:tcW w:type="dxa" w:w="950"/>
            <w:vAlign w:val="top"/>
          </w:tcPr>
          <w:p>
            <w:pPr>
              <w:spacing w:after="40" w:before="0" w:line="259" w:lineRule="auto"/>
            </w:pPr>
            <w:r>
              <w:rPr>
                <w:rFonts w:ascii="Calibri" w:hAnsi="Calibri"/>
                <w:b w:val="0"/>
                <w:i w:val="0"/>
                <w:color w:val="212121"/>
                <w:sz w:val="16"/>
              </w:rPr>
              <w:t>Proteinuria (UPCR ≥ 0.5 g/g), red cells/cellular casts</w:t>
            </w:r>
          </w:p>
        </w:tc>
        <w:tc>
          <w:tcPr>
            <w:tcW w:type="dxa" w:w="1036"/>
            <w:vAlign w:val="top"/>
          </w:tcPr>
          <w:p>
            <w:pPr>
              <w:spacing w:after="40" w:before="0" w:line="259" w:lineRule="auto"/>
            </w:pPr>
            <w:r>
              <w:rPr>
                <w:rFonts w:ascii="Calibri" w:hAnsi="Calibri"/>
                <w:b w:val="0"/>
                <w:i w:val="0"/>
                <w:color w:val="212121"/>
                <w:sz w:val="16"/>
              </w:rPr>
              <w:t>Detects lupus nephritis; an active urinary sediment and proteinuria are indications for renal biopsy.</w:t>
            </w:r>
          </w:p>
        </w:tc>
        <w:tc>
          <w:tcPr>
            <w:tcW w:type="dxa" w:w="1036"/>
            <w:vAlign w:val="top"/>
          </w:tcPr>
          <w:p>
            <w:pPr>
              <w:spacing w:after="40" w:before="0" w:line="259" w:lineRule="auto"/>
            </w:pPr>
            <w:r>
              <w:rPr>
                <w:rFonts w:ascii="Calibri" w:hAnsi="Calibri"/>
                <w:b w:val="0"/>
                <w:i w:val="0"/>
                <w:color w:val="212121"/>
                <w:sz w:val="16"/>
              </w:rPr>
              <w:t>All SLE patients (baseline &amp; monitoring)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 / high</w:t>
            </w:r>
          </w:p>
        </w:tc>
        <w:tc>
          <w:tcPr>
            <w:tcW w:type="dxa" w:w="720"/>
            <w:vAlign w:val="top"/>
          </w:tcPr>
          <w:p>
            <w:pPr>
              <w:spacing w:after="40" w:before="0" w:line="259" w:lineRule="auto"/>
            </w:pPr>
            <w:r>
              <w:rPr>
                <w:rFonts w:ascii="Calibri" w:hAnsi="Calibri"/>
                <w:b w:val="0"/>
                <w:i w:val="0"/>
                <w:color w:val="212121"/>
                <w:sz w:val="16"/>
              </w:rPr>
              <w:t>Cheap, non-invasive and central to renal surveillance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 / cytopenias</w:t>
            </w:r>
          </w:p>
        </w:tc>
        <w:tc>
          <w:tcPr>
            <w:tcW w:type="dxa" w:w="950"/>
            <w:vAlign w:val="top"/>
          </w:tcPr>
          <w:p>
            <w:pPr>
              <w:spacing w:after="40" w:before="0" w:line="259" w:lineRule="auto"/>
            </w:pPr>
            <w:r>
              <w:rPr>
                <w:rFonts w:ascii="Calibri" w:hAnsi="Calibri"/>
                <w:b w:val="0"/>
                <w:i w:val="0"/>
                <w:color w:val="212121"/>
                <w:sz w:val="16"/>
              </w:rPr>
              <w:t>Normal counts</w:t>
            </w:r>
          </w:p>
        </w:tc>
        <w:tc>
          <w:tcPr>
            <w:tcW w:type="dxa" w:w="950"/>
            <w:vAlign w:val="top"/>
          </w:tcPr>
          <w:p>
            <w:pPr>
              <w:spacing w:after="40" w:before="0" w:line="259" w:lineRule="auto"/>
            </w:pPr>
            <w:r>
              <w:rPr>
                <w:rFonts w:ascii="Calibri" w:hAnsi="Calibri"/>
                <w:b w:val="0"/>
                <w:i w:val="0"/>
                <w:color w:val="212121"/>
                <w:sz w:val="16"/>
              </w:rPr>
              <w:t>Haemolytic anaemia, leukopenia/lymphopenia, thrombocytopenia</w:t>
            </w:r>
          </w:p>
        </w:tc>
        <w:tc>
          <w:tcPr>
            <w:tcW w:type="dxa" w:w="1036"/>
            <w:vAlign w:val="top"/>
          </w:tcPr>
          <w:p>
            <w:pPr>
              <w:spacing w:after="40" w:before="0" w:line="259" w:lineRule="auto"/>
            </w:pPr>
            <w:r>
              <w:rPr>
                <w:rFonts w:ascii="Calibri" w:hAnsi="Calibri"/>
                <w:b w:val="0"/>
                <w:i w:val="0"/>
                <w:color w:val="212121"/>
                <w:sz w:val="16"/>
              </w:rPr>
              <w:t>Cytopenias are classification criteria and reflect immune-mediated destruction and disease activity.</w:t>
            </w:r>
          </w:p>
        </w:tc>
        <w:tc>
          <w:tcPr>
            <w:tcW w:type="dxa" w:w="1036"/>
            <w:vAlign w:val="top"/>
          </w:tcPr>
          <w:p>
            <w:pPr>
              <w:spacing w:after="40" w:before="0" w:line="259" w:lineRule="auto"/>
            </w:pPr>
            <w:r>
              <w:rPr>
                <w:rFonts w:ascii="Calibri" w:hAnsi="Calibri"/>
                <w:b w:val="0"/>
                <w:i w:val="0"/>
                <w:color w:val="212121"/>
                <w:sz w:val="16"/>
              </w:rPr>
              <w:t>All SLE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Also required as a baseline before immunosuppressive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Renal biopsy (ISN/RPS class)</w:t>
            </w:r>
          </w:p>
        </w:tc>
        <w:tc>
          <w:tcPr>
            <w:tcW w:type="dxa" w:w="892"/>
            <w:vAlign w:val="top"/>
          </w:tcPr>
          <w:p>
            <w:pPr>
              <w:spacing w:after="40" w:before="0" w:line="259" w:lineRule="auto"/>
            </w:pPr>
            <w:r>
              <w:rPr>
                <w:rFonts w:ascii="Calibri" w:hAnsi="Calibri"/>
                <w:b w:val="0"/>
                <w:i w:val="0"/>
                <w:color w:val="212121"/>
                <w:sz w:val="16"/>
              </w:rPr>
              <w:t>Lupus nephritis grading</w:t>
            </w:r>
          </w:p>
        </w:tc>
        <w:tc>
          <w:tcPr>
            <w:tcW w:type="dxa" w:w="950"/>
            <w:vAlign w:val="top"/>
          </w:tcPr>
          <w:p>
            <w:pPr>
              <w:spacing w:after="40" w:before="0" w:line="259" w:lineRule="auto"/>
            </w:pPr>
            <w:r>
              <w:rPr>
                <w:rFonts w:ascii="Calibri" w:hAnsi="Calibri"/>
                <w:b w:val="0"/>
                <w:i w:val="0"/>
                <w:color w:val="212121"/>
                <w:sz w:val="16"/>
              </w:rPr>
              <w:t>No immune-complex nephritis</w:t>
            </w:r>
          </w:p>
        </w:tc>
        <w:tc>
          <w:tcPr>
            <w:tcW w:type="dxa" w:w="950"/>
            <w:vAlign w:val="top"/>
          </w:tcPr>
          <w:p>
            <w:pPr>
              <w:spacing w:after="40" w:before="0" w:line="259" w:lineRule="auto"/>
            </w:pPr>
            <w:r>
              <w:rPr>
                <w:rFonts w:ascii="Calibri" w:hAnsi="Calibri"/>
                <w:b w:val="0"/>
                <w:i w:val="0"/>
                <w:color w:val="212121"/>
                <w:sz w:val="16"/>
              </w:rPr>
              <w:t>ISN/RPS class II–VI lupus nephritis</w:t>
            </w:r>
          </w:p>
        </w:tc>
        <w:tc>
          <w:tcPr>
            <w:tcW w:type="dxa" w:w="1036"/>
            <w:vAlign w:val="top"/>
          </w:tcPr>
          <w:p>
            <w:pPr>
              <w:spacing w:after="40" w:before="0" w:line="259" w:lineRule="auto"/>
            </w:pPr>
            <w:r>
              <w:rPr>
                <w:rFonts w:ascii="Calibri" w:hAnsi="Calibri"/>
                <w:b w:val="0"/>
                <w:i w:val="0"/>
                <w:color w:val="212121"/>
                <w:sz w:val="16"/>
              </w:rPr>
              <w:t>Defines the histological class, activity and chronicity of lupus nephritis and guides immunosuppressive therapy.</w:t>
            </w:r>
          </w:p>
        </w:tc>
        <w:tc>
          <w:tcPr>
            <w:tcW w:type="dxa" w:w="1036"/>
            <w:vAlign w:val="top"/>
          </w:tcPr>
          <w:p>
            <w:pPr>
              <w:spacing w:after="40" w:before="0" w:line="259" w:lineRule="auto"/>
            </w:pPr>
            <w:r>
              <w:rPr>
                <w:rFonts w:ascii="Calibri" w:hAnsi="Calibri"/>
                <w:b w:val="0"/>
                <w:i w:val="0"/>
                <w:color w:val="212121"/>
                <w:sz w:val="16"/>
              </w:rPr>
              <w:t>SLE with proteinuria/active sediment or rising creatinine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(definitive) for LN</w:t>
            </w:r>
          </w:p>
        </w:tc>
        <w:tc>
          <w:tcPr>
            <w:tcW w:type="dxa" w:w="720"/>
            <w:vAlign w:val="top"/>
          </w:tcPr>
          <w:p>
            <w:pPr>
              <w:spacing w:after="40" w:before="0" w:line="259" w:lineRule="auto"/>
            </w:pPr>
            <w:r>
              <w:rPr>
                <w:rFonts w:ascii="Calibri" w:hAnsi="Calibri"/>
                <w:b w:val="0"/>
                <w:i w:val="0"/>
                <w:color w:val="212121"/>
                <w:sz w:val="16"/>
              </w:rPr>
              <w:t>Class governs treatment intensity and prognosis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Antiphospholipid antibodies</w:t>
            </w:r>
          </w:p>
        </w:tc>
        <w:tc>
          <w:tcPr>
            <w:tcW w:type="dxa" w:w="892"/>
            <w:vAlign w:val="top"/>
          </w:tcPr>
          <w:p>
            <w:pPr>
              <w:spacing w:after="40" w:before="0" w:line="259" w:lineRule="auto"/>
            </w:pPr>
            <w:r>
              <w:rPr>
                <w:rFonts w:ascii="Calibri" w:hAnsi="Calibri"/>
                <w:b w:val="0"/>
                <w:i w:val="0"/>
                <w:color w:val="212121"/>
                <w:sz w:val="16"/>
              </w:rPr>
              <w:t>aPL panel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Lupus anticoagulant, anticardiolipin or anti-β2-glycoprotein-I positive (persistent)</w:t>
            </w:r>
          </w:p>
        </w:tc>
        <w:tc>
          <w:tcPr>
            <w:tcW w:type="dxa" w:w="1036"/>
            <w:vAlign w:val="top"/>
          </w:tcPr>
          <w:p>
            <w:pPr>
              <w:spacing w:after="40" w:before="0" w:line="259" w:lineRule="auto"/>
            </w:pPr>
            <w:r>
              <w:rPr>
                <w:rFonts w:ascii="Calibri" w:hAnsi="Calibri"/>
                <w:b w:val="0"/>
                <w:i w:val="0"/>
                <w:color w:val="212121"/>
                <w:sz w:val="16"/>
              </w:rPr>
              <w:t>Identifies antiphospholipid syndrome risk — thrombosis and pregnancy morbidity — altering anticoagulation and pregnancy care.</w:t>
            </w:r>
          </w:p>
        </w:tc>
        <w:tc>
          <w:tcPr>
            <w:tcW w:type="dxa" w:w="1036"/>
            <w:vAlign w:val="top"/>
          </w:tcPr>
          <w:p>
            <w:pPr>
              <w:spacing w:after="40" w:before="0" w:line="259" w:lineRule="auto"/>
            </w:pPr>
            <w:r>
              <w:rPr>
                <w:rFonts w:ascii="Calibri" w:hAnsi="Calibri"/>
                <w:b w:val="0"/>
                <w:i w:val="0"/>
                <w:color w:val="212121"/>
                <w:sz w:val="16"/>
              </w:rPr>
              <w:t>All SLE at baseline, thrombosis, pregnancy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Confirm persistence on repeat testing ≥ 12 weeks apart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ESR / CRP</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ESR normal-for-age; CRP &lt; 5 mg/L</w:t>
            </w:r>
          </w:p>
        </w:tc>
        <w:tc>
          <w:tcPr>
            <w:tcW w:type="dxa" w:w="950"/>
            <w:vAlign w:val="top"/>
          </w:tcPr>
          <w:p>
            <w:pPr>
              <w:spacing w:after="40" w:before="0" w:line="259" w:lineRule="auto"/>
            </w:pPr>
            <w:r>
              <w:rPr>
                <w:rFonts w:ascii="Calibri" w:hAnsi="Calibri"/>
                <w:b w:val="0"/>
                <w:i w:val="0"/>
                <w:color w:val="212121"/>
                <w:sz w:val="16"/>
              </w:rPr>
              <w:t>Raised ESR (often), CRP variable</w:t>
            </w:r>
          </w:p>
        </w:tc>
        <w:tc>
          <w:tcPr>
            <w:tcW w:type="dxa" w:w="1036"/>
            <w:vAlign w:val="top"/>
          </w:tcPr>
          <w:p>
            <w:pPr>
              <w:spacing w:after="40" w:before="0" w:line="259" w:lineRule="auto"/>
            </w:pPr>
            <w:r>
              <w:rPr>
                <w:rFonts w:ascii="Calibri" w:hAnsi="Calibri"/>
                <w:b w:val="0"/>
                <w:i w:val="0"/>
                <w:color w:val="212121"/>
                <w:sz w:val="16"/>
              </w:rPr>
              <w:t>ESR often rises with activity while CRP is frequently normal — a disproportionately high CRP should prompt a search for infection.</w:t>
            </w:r>
          </w:p>
        </w:tc>
        <w:tc>
          <w:tcPr>
            <w:tcW w:type="dxa" w:w="1036"/>
            <w:vAlign w:val="top"/>
          </w:tcPr>
          <w:p>
            <w:pPr>
              <w:spacing w:after="40" w:before="0" w:line="259" w:lineRule="auto"/>
            </w:pPr>
            <w:r>
              <w:rPr>
                <w:rFonts w:ascii="Calibri" w:hAnsi="Calibri"/>
                <w:b w:val="0"/>
                <w:i w:val="0"/>
                <w:color w:val="212121"/>
                <w:sz w:val="16"/>
              </w:rPr>
              <w:t>Active disease vs suspected infection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High CRP in a febrile SLE patient suggests infection rather than flare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Fatigue, photosensitive rash, joint pain, oral ulcers, hair loss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The multisystem symptom cluster raises suspicion of SLE and drives serological testing.</w:t>
            </w:r>
          </w:p>
        </w:tc>
        <w:tc>
          <w:tcPr>
            <w:tcW w:type="dxa" w:w="1036"/>
            <w:vAlign w:val="top"/>
          </w:tcPr>
          <w:p>
            <w:pPr>
              <w:spacing w:after="40" w:before="0" w:line="259" w:lineRule="auto"/>
            </w:pPr>
            <w:r>
              <w:rPr>
                <w:rFonts w:ascii="Calibri" w:hAnsi="Calibri"/>
                <w:b w:val="0"/>
                <w:i w:val="0"/>
                <w:color w:val="212121"/>
                <w:sz w:val="16"/>
              </w:rPr>
              <w:t>Young women with multisystem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sun sensitivity and painless oral ulcers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&amp; drug history</w:t>
            </w:r>
          </w:p>
        </w:tc>
        <w:tc>
          <w:tcPr>
            <w:tcW w:type="dxa" w:w="979"/>
            <w:vAlign w:val="top"/>
          </w:tcPr>
          <w:p>
            <w:pPr>
              <w:spacing w:after="40" w:before="0" w:line="259" w:lineRule="auto"/>
            </w:pPr>
            <w:r>
              <w:rPr>
                <w:rFonts w:ascii="Calibri" w:hAnsi="Calibri"/>
                <w:b w:val="0"/>
                <w:i w:val="0"/>
                <w:color w:val="212121"/>
                <w:sz w:val="16"/>
              </w:rPr>
              <w:t>Sun exposure, recent infection, culprit drugs, pregnancy</w:t>
            </w:r>
          </w:p>
        </w:tc>
        <w:tc>
          <w:tcPr>
            <w:tcW w:type="dxa" w:w="950"/>
            <w:vAlign w:val="top"/>
          </w:tcPr>
          <w:p>
            <w:pPr>
              <w:spacing w:after="40" w:before="0" w:line="259" w:lineRule="auto"/>
            </w:pPr>
            <w:r>
              <w:rPr>
                <w:rFonts w:ascii="Calibri" w:hAnsi="Calibri"/>
                <w:b w:val="0"/>
                <w:i w:val="0"/>
                <w:color w:val="212121"/>
                <w:sz w:val="16"/>
              </w:rPr>
              <w:t>No triggers</w:t>
            </w:r>
          </w:p>
        </w:tc>
        <w:tc>
          <w:tcPr>
            <w:tcW w:type="dxa" w:w="950"/>
            <w:vAlign w:val="top"/>
          </w:tcPr>
          <w:p>
            <w:pPr>
              <w:spacing w:after="40" w:before="0" w:line="259" w:lineRule="auto"/>
            </w:pPr>
            <w:r>
              <w:rPr>
                <w:rFonts w:ascii="Calibri" w:hAnsi="Calibri"/>
                <w:b w:val="0"/>
                <w:i w:val="0"/>
                <w:color w:val="212121"/>
                <w:sz w:val="16"/>
              </w:rPr>
              <w:t>Identifiable trigger present</w:t>
            </w:r>
          </w:p>
        </w:tc>
        <w:tc>
          <w:tcPr>
            <w:tcW w:type="dxa" w:w="1036"/>
            <w:vAlign w:val="top"/>
          </w:tcPr>
          <w:p>
            <w:pPr>
              <w:spacing w:after="40" w:before="0" w:line="259" w:lineRule="auto"/>
            </w:pPr>
            <w:r>
              <w:rPr>
                <w:rFonts w:ascii="Calibri" w:hAnsi="Calibri"/>
                <w:b w:val="0"/>
                <w:i w:val="0"/>
                <w:color w:val="212121"/>
                <w:sz w:val="16"/>
              </w:rPr>
              <w:t>Establishes flare precipitants and screens for drug-induced lupus (hydralazine, procainamide, isoniazid, minocycline, anti-TNF).</w:t>
            </w:r>
          </w:p>
        </w:tc>
        <w:tc>
          <w:tcPr>
            <w:tcW w:type="dxa" w:w="1036"/>
            <w:vAlign w:val="top"/>
          </w:tcPr>
          <w:p>
            <w:pPr>
              <w:spacing w:after="40" w:before="0" w:line="259" w:lineRule="auto"/>
            </w:pPr>
            <w:r>
              <w:rPr>
                <w:rFonts w:ascii="Calibri" w:hAnsi="Calibri"/>
                <w:b w:val="0"/>
                <w:i w:val="0"/>
                <w:color w:val="212121"/>
                <w:sz w:val="16"/>
              </w:rPr>
              <w:t>Patients on culprit drugs, peripartum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support</w:t>
            </w:r>
          </w:p>
        </w:tc>
        <w:tc>
          <w:tcPr>
            <w:tcW w:type="dxa" w:w="720"/>
            <w:vAlign w:val="top"/>
          </w:tcPr>
          <w:p>
            <w:pPr>
              <w:spacing w:after="40" w:before="0" w:line="259" w:lineRule="auto"/>
            </w:pPr>
            <w:r>
              <w:rPr>
                <w:rFonts w:ascii="Calibri" w:hAnsi="Calibri"/>
                <w:b w:val="0"/>
                <w:i w:val="0"/>
                <w:color w:val="212121"/>
                <w:sz w:val="16"/>
              </w:rPr>
              <w:t>Drug-induced lupus is usually anti-histone positive and reversible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&amp; thrombosis history</w:t>
            </w:r>
          </w:p>
        </w:tc>
        <w:tc>
          <w:tcPr>
            <w:tcW w:type="dxa" w:w="979"/>
            <w:vAlign w:val="top"/>
          </w:tcPr>
          <w:p>
            <w:pPr>
              <w:spacing w:after="40" w:before="0" w:line="259" w:lineRule="auto"/>
            </w:pPr>
            <w:r>
              <w:rPr>
                <w:rFonts w:ascii="Calibri" w:hAnsi="Calibri"/>
                <w:b w:val="0"/>
                <w:i w:val="0"/>
                <w:color w:val="212121"/>
                <w:sz w:val="16"/>
              </w:rPr>
              <w:t>Recurrent miscarriage, venous/arterial thrombosis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Points to antiphospholipid syndrome and shapes anticoagulation and pregnancy management.</w:t>
            </w:r>
          </w:p>
        </w:tc>
        <w:tc>
          <w:tcPr>
            <w:tcW w:type="dxa" w:w="1036"/>
            <w:vAlign w:val="top"/>
          </w:tcPr>
          <w:p>
            <w:pPr>
              <w:spacing w:after="40" w:before="0" w:line="259" w:lineRule="auto"/>
            </w:pPr>
            <w:r>
              <w:rPr>
                <w:rFonts w:ascii="Calibri" w:hAnsi="Calibri"/>
                <w:b w:val="0"/>
                <w:i w:val="0"/>
                <w:color w:val="212121"/>
                <w:sz w:val="16"/>
              </w:rPr>
              <w:t>Women with pregnancy loss, patients with thrombosis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Prompts antiphospholipid antibody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Mucocutaneous examination</w:t>
            </w:r>
          </w:p>
        </w:tc>
        <w:tc>
          <w:tcPr>
            <w:tcW w:type="dxa" w:w="979"/>
            <w:vAlign w:val="top"/>
          </w:tcPr>
          <w:p>
            <w:pPr>
              <w:spacing w:after="40" w:before="0" w:line="259" w:lineRule="auto"/>
            </w:pPr>
            <w:r>
              <w:rPr>
                <w:rFonts w:ascii="Calibri" w:hAnsi="Calibri"/>
                <w:b w:val="0"/>
                <w:i w:val="0"/>
                <w:color w:val="212121"/>
                <w:sz w:val="16"/>
              </w:rPr>
              <w:t>Malar rash, discoid plaques, oral ulcers, non-scarring alopecia</w:t>
            </w:r>
          </w:p>
        </w:tc>
        <w:tc>
          <w:tcPr>
            <w:tcW w:type="dxa" w:w="950"/>
            <w:vAlign w:val="top"/>
          </w:tcPr>
          <w:p>
            <w:pPr>
              <w:spacing w:after="40" w:before="0" w:line="259" w:lineRule="auto"/>
            </w:pPr>
            <w:r>
              <w:rPr>
                <w:rFonts w:ascii="Calibri" w:hAnsi="Calibri"/>
                <w:b w:val="0"/>
                <w:i w:val="0"/>
                <w:color w:val="212121"/>
                <w:sz w:val="16"/>
              </w:rPr>
              <w:t>Normal skin/mucosa</w:t>
            </w:r>
          </w:p>
        </w:tc>
        <w:tc>
          <w:tcPr>
            <w:tcW w:type="dxa" w:w="950"/>
            <w:vAlign w:val="top"/>
          </w:tcPr>
          <w:p>
            <w:pPr>
              <w:spacing w:after="40" w:before="0" w:line="259" w:lineRule="auto"/>
            </w:pPr>
            <w:r>
              <w:rPr>
                <w:rFonts w:ascii="Calibri" w:hAnsi="Calibri"/>
                <w:b w:val="0"/>
                <w:i w:val="0"/>
                <w:color w:val="212121"/>
                <w:sz w:val="16"/>
              </w:rPr>
              <w:t>Any characteristic lesion</w:t>
            </w:r>
          </w:p>
        </w:tc>
        <w:tc>
          <w:tcPr>
            <w:tcW w:type="dxa" w:w="1036"/>
            <w:vAlign w:val="top"/>
          </w:tcPr>
          <w:p>
            <w:pPr>
              <w:spacing w:after="40" w:before="0" w:line="259" w:lineRule="auto"/>
            </w:pPr>
            <w:r>
              <w:rPr>
                <w:rFonts w:ascii="Calibri" w:hAnsi="Calibri"/>
                <w:b w:val="0"/>
                <w:i w:val="0"/>
                <w:color w:val="212121"/>
                <w:sz w:val="16"/>
              </w:rPr>
              <w:t>The malar (“butterfly”) rash sparing the nasolabial folds, discoid lesions, palatal ulcers and diffuse hair thinning are characteristic clues.</w:t>
            </w:r>
          </w:p>
        </w:tc>
        <w:tc>
          <w:tcPr>
            <w:tcW w:type="dxa" w:w="1036"/>
            <w:vAlign w:val="top"/>
          </w:tcPr>
          <w:p>
            <w:pPr>
              <w:spacing w:after="40" w:before="0" w:line="259" w:lineRule="auto"/>
            </w:pPr>
            <w:r>
              <w:rPr>
                <w:rFonts w:ascii="Calibri" w:hAnsi="Calibri"/>
                <w:b w:val="0"/>
                <w:i w:val="0"/>
                <w:color w:val="212121"/>
                <w:sz w:val="16"/>
              </w:rPr>
              <w:t>Patients with facial rash or hair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Malar rash characteristically spares the nasolabial folds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Joint examination</w:t>
            </w:r>
          </w:p>
        </w:tc>
        <w:tc>
          <w:tcPr>
            <w:tcW w:type="dxa" w:w="979"/>
            <w:vAlign w:val="top"/>
          </w:tcPr>
          <w:p>
            <w:pPr>
              <w:spacing w:after="40" w:before="0" w:line="259" w:lineRule="auto"/>
            </w:pPr>
            <w:r>
              <w:rPr>
                <w:rFonts w:ascii="Calibri" w:hAnsi="Calibri"/>
                <w:b w:val="0"/>
                <w:i w:val="0"/>
                <w:color w:val="212121"/>
                <w:sz w:val="16"/>
              </w:rPr>
              <w:t>Symmetric small-joint arthritis / Jaccoud's</w:t>
            </w:r>
          </w:p>
        </w:tc>
        <w:tc>
          <w:tcPr>
            <w:tcW w:type="dxa" w:w="950"/>
            <w:vAlign w:val="top"/>
          </w:tcPr>
          <w:p>
            <w:pPr>
              <w:spacing w:after="40" w:before="0" w:line="259" w:lineRule="auto"/>
            </w:pPr>
            <w:r>
              <w:rPr>
                <w:rFonts w:ascii="Calibri" w:hAnsi="Calibri"/>
                <w:b w:val="0"/>
                <w:i w:val="0"/>
                <w:color w:val="212121"/>
                <w:sz w:val="16"/>
              </w:rPr>
              <w:t>No synovitis</w:t>
            </w:r>
          </w:p>
        </w:tc>
        <w:tc>
          <w:tcPr>
            <w:tcW w:type="dxa" w:w="950"/>
            <w:vAlign w:val="top"/>
          </w:tcPr>
          <w:p>
            <w:pPr>
              <w:spacing w:after="40" w:before="0" w:line="259" w:lineRule="auto"/>
            </w:pPr>
            <w:r>
              <w:rPr>
                <w:rFonts w:ascii="Calibri" w:hAnsi="Calibri"/>
                <w:b w:val="0"/>
                <w:i w:val="0"/>
                <w:color w:val="212121"/>
                <w:sz w:val="16"/>
              </w:rPr>
              <w:t>Tender/swollen joints; reducible deformity</w:t>
            </w:r>
          </w:p>
        </w:tc>
        <w:tc>
          <w:tcPr>
            <w:tcW w:type="dxa" w:w="1036"/>
            <w:vAlign w:val="top"/>
          </w:tcPr>
          <w:p>
            <w:pPr>
              <w:spacing w:after="40" w:before="0" w:line="259" w:lineRule="auto"/>
            </w:pPr>
            <w:r>
              <w:rPr>
                <w:rFonts w:ascii="Calibri" w:hAnsi="Calibri"/>
                <w:b w:val="0"/>
                <w:i w:val="0"/>
                <w:color w:val="212121"/>
                <w:sz w:val="16"/>
              </w:rPr>
              <w:t>Lupus arthritis is typically non-erosive; Jaccoud's arthropathy causes reducible deformities without erosions.</w:t>
            </w:r>
          </w:p>
        </w:tc>
        <w:tc>
          <w:tcPr>
            <w:tcW w:type="dxa" w:w="1036"/>
            <w:vAlign w:val="top"/>
          </w:tcPr>
          <w:p>
            <w:pPr>
              <w:spacing w:after="40" w:before="0" w:line="259" w:lineRule="auto"/>
            </w:pPr>
            <w:r>
              <w:rPr>
                <w:rFonts w:ascii="Calibri" w:hAnsi="Calibri"/>
                <w:b w:val="0"/>
                <w:i w:val="0"/>
                <w:color w:val="212121"/>
                <w:sz w:val="16"/>
              </w:rPr>
              <w:t>Patients with polyarthralgia</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Usually non-erosive, distinguishing it from rheumatoid arthritis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Cardiorespiratory examination</w:t>
            </w:r>
          </w:p>
        </w:tc>
        <w:tc>
          <w:tcPr>
            <w:tcW w:type="dxa" w:w="979"/>
            <w:vAlign w:val="top"/>
          </w:tcPr>
          <w:p>
            <w:pPr>
              <w:spacing w:after="40" w:before="0" w:line="259" w:lineRule="auto"/>
            </w:pPr>
            <w:r>
              <w:rPr>
                <w:rFonts w:ascii="Calibri" w:hAnsi="Calibri"/>
                <w:b w:val="0"/>
                <w:i w:val="0"/>
                <w:color w:val="212121"/>
                <w:sz w:val="16"/>
              </w:rPr>
              <w:t>Pleural/pericardial rub, effusion signs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Rub or effusion present</w:t>
            </w:r>
          </w:p>
        </w:tc>
        <w:tc>
          <w:tcPr>
            <w:tcW w:type="dxa" w:w="1036"/>
            <w:vAlign w:val="top"/>
          </w:tcPr>
          <w:p>
            <w:pPr>
              <w:spacing w:after="40" w:before="0" w:line="259" w:lineRule="auto"/>
            </w:pPr>
            <w:r>
              <w:rPr>
                <w:rFonts w:ascii="Calibri" w:hAnsi="Calibri"/>
                <w:b w:val="0"/>
                <w:i w:val="0"/>
                <w:color w:val="212121"/>
                <w:sz w:val="16"/>
              </w:rPr>
              <w:t>Serositis (pleuritis/pericarditis) is a common criterion and cause of chest pain in SLE.</w:t>
            </w:r>
          </w:p>
        </w:tc>
        <w:tc>
          <w:tcPr>
            <w:tcW w:type="dxa" w:w="1036"/>
            <w:vAlign w:val="top"/>
          </w:tcPr>
          <w:p>
            <w:pPr>
              <w:spacing w:after="40" w:before="0" w:line="259" w:lineRule="auto"/>
            </w:pPr>
            <w:r>
              <w:rPr>
                <w:rFonts w:ascii="Calibri" w:hAnsi="Calibri"/>
                <w:b w:val="0"/>
                <w:i w:val="0"/>
                <w:color w:val="212121"/>
                <w:sz w:val="16"/>
              </w:rPr>
              <w:t>Patients with pleuritic chest pain/dyspnoea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Consider tamponade with a large pericardial effusion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Peripheral vascular &amp; neuro exam</w:t>
            </w:r>
          </w:p>
        </w:tc>
        <w:tc>
          <w:tcPr>
            <w:tcW w:type="dxa" w:w="979"/>
            <w:vAlign w:val="top"/>
          </w:tcPr>
          <w:p>
            <w:pPr>
              <w:spacing w:after="40" w:before="0" w:line="259" w:lineRule="auto"/>
            </w:pPr>
            <w:r>
              <w:rPr>
                <w:rFonts w:ascii="Calibri" w:hAnsi="Calibri"/>
                <w:b w:val="0"/>
                <w:i w:val="0"/>
                <w:color w:val="212121"/>
                <w:sz w:val="16"/>
              </w:rPr>
              <w:t>Raynaud's, digital ischaemia, focal deficit/cognition</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Colour change, digital ulcers, deficit or altered cognition</w:t>
            </w:r>
          </w:p>
        </w:tc>
        <w:tc>
          <w:tcPr>
            <w:tcW w:type="dxa" w:w="1036"/>
            <w:vAlign w:val="top"/>
          </w:tcPr>
          <w:p>
            <w:pPr>
              <w:spacing w:after="40" w:before="0" w:line="259" w:lineRule="auto"/>
            </w:pPr>
            <w:r>
              <w:rPr>
                <w:rFonts w:ascii="Calibri" w:hAnsi="Calibri"/>
                <w:b w:val="0"/>
                <w:i w:val="0"/>
                <w:color w:val="212121"/>
                <w:sz w:val="16"/>
              </w:rPr>
              <w:t>Detects vasculopathy (notably common in Indian cohorts) and neuropsychiatric lupus.</w:t>
            </w:r>
          </w:p>
        </w:tc>
        <w:tc>
          <w:tcPr>
            <w:tcW w:type="dxa" w:w="1036"/>
            <w:vAlign w:val="top"/>
          </w:tcPr>
          <w:p>
            <w:pPr>
              <w:spacing w:after="40" w:before="0" w:line="259" w:lineRule="auto"/>
            </w:pPr>
            <w:r>
              <w:rPr>
                <w:rFonts w:ascii="Calibri" w:hAnsi="Calibri"/>
                <w:b w:val="0"/>
                <w:i w:val="0"/>
                <w:color w:val="212121"/>
                <w:sz w:val="16"/>
              </w:rPr>
              <w:t>Patients with cold-induced colour change or neurological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Digital ischaemia warrants urgent assessment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Profound, near-universal tiredness that is a major driver of reduced quality of life.</w:t>
            </w:r>
          </w:p>
        </w:tc>
      </w:tr>
      <w:tr>
        <w:trPr>
          <w:cantSplit/>
        </w:trPr>
        <w:tc>
          <w:tcPr>
            <w:tcW w:type="dxa" w:w="2304"/>
            <w:vAlign w:val="top"/>
          </w:tcPr>
          <w:p>
            <w:pPr>
              <w:spacing w:after="40" w:before="0" w:line="259" w:lineRule="auto"/>
            </w:pPr>
            <w:r>
              <w:rPr>
                <w:rFonts w:ascii="Calibri" w:hAnsi="Calibri"/>
                <w:b/>
                <w:i w:val="0"/>
                <w:color w:val="212121"/>
                <w:sz w:val="19"/>
              </w:rPr>
              <w:t>Joint pain &amp; stiffness (arthralgia/arthritis)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Symmetric, typically non-erosive small-joint pain and morning stiffness.</w:t>
            </w:r>
          </w:p>
        </w:tc>
      </w:tr>
      <w:tr>
        <w:trPr>
          <w:cantSplit/>
        </w:trPr>
        <w:tc>
          <w:tcPr>
            <w:tcW w:type="dxa" w:w="2304"/>
            <w:vAlign w:val="top"/>
          </w:tcPr>
          <w:p>
            <w:pPr>
              <w:spacing w:after="40" w:before="0" w:line="259" w:lineRule="auto"/>
            </w:pPr>
            <w:r>
              <w:rPr>
                <w:rFonts w:ascii="Calibri" w:hAnsi="Calibri"/>
                <w:b/>
                <w:i w:val="0"/>
                <w:color w:val="212121"/>
                <w:sz w:val="19"/>
              </w:rPr>
              <w:t>Photosensitive / malar (butterfly) rash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Facial rash over cheeks and nasal bridge that flares after sun exposure.</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Low-grade fever of active disease — but always exclude infection first.</w:t>
            </w:r>
          </w:p>
        </w:tc>
      </w:tr>
      <w:tr>
        <w:trPr>
          <w:cantSplit/>
        </w:trPr>
        <w:tc>
          <w:tcPr>
            <w:tcW w:type="dxa" w:w="2304"/>
            <w:vAlign w:val="top"/>
          </w:tcPr>
          <w:p>
            <w:pPr>
              <w:spacing w:after="40" w:before="0" w:line="259" w:lineRule="auto"/>
            </w:pPr>
            <w:r>
              <w:rPr>
                <w:rFonts w:ascii="Calibri" w:hAnsi="Calibri"/>
                <w:b/>
                <w:i w:val="0"/>
                <w:color w:val="212121"/>
                <w:sz w:val="19"/>
              </w:rPr>
              <w:t>Oral or nasal ulcers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Characteristically painless ulcers, often on the hard palate.</w:t>
            </w:r>
          </w:p>
        </w:tc>
      </w:tr>
      <w:tr>
        <w:trPr>
          <w:cantSplit/>
        </w:trPr>
        <w:tc>
          <w:tcPr>
            <w:tcW w:type="dxa" w:w="2304"/>
            <w:vAlign w:val="top"/>
          </w:tcPr>
          <w:p>
            <w:pPr>
              <w:spacing w:after="40" w:before="0" w:line="259" w:lineRule="auto"/>
            </w:pPr>
            <w:r>
              <w:rPr>
                <w:rFonts w:ascii="Calibri" w:hAnsi="Calibri"/>
                <w:b/>
                <w:i w:val="0"/>
                <w:color w:val="212121"/>
                <w:sz w:val="19"/>
              </w:rPr>
              <w:t>Hair loss (non-scarring alopecia)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Diffuse thinning or patchy hair loss that often recovers with disease control.</w:t>
            </w:r>
          </w:p>
        </w:tc>
      </w:tr>
      <w:tr>
        <w:trPr>
          <w:cantSplit/>
        </w:trPr>
        <w:tc>
          <w:tcPr>
            <w:tcW w:type="dxa" w:w="2304"/>
            <w:vAlign w:val="top"/>
          </w:tcPr>
          <w:p>
            <w:pPr>
              <w:spacing w:after="40" w:before="0" w:line="259" w:lineRule="auto"/>
            </w:pPr>
            <w:r>
              <w:rPr>
                <w:rFonts w:ascii="Calibri" w:hAnsi="Calibri"/>
                <w:b/>
                <w:i w:val="0"/>
                <w:color w:val="212121"/>
                <w:sz w:val="19"/>
              </w:rPr>
              <w:t>Raynaud's phenomenon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Cold- or stress-induced white/blue colour change of the fingers and toes.</w:t>
            </w:r>
          </w:p>
        </w:tc>
      </w:tr>
      <w:tr>
        <w:trPr>
          <w:cantSplit/>
        </w:trPr>
        <w:tc>
          <w:tcPr>
            <w:tcW w:type="dxa" w:w="2304"/>
            <w:vAlign w:val="top"/>
          </w:tcPr>
          <w:p>
            <w:pPr>
              <w:spacing w:after="40" w:before="0" w:line="259" w:lineRule="auto"/>
            </w:pPr>
            <w:r>
              <w:rPr>
                <w:rFonts w:ascii="Calibri" w:hAnsi="Calibri"/>
                <w:b/>
                <w:i w:val="0"/>
                <w:color w:val="212121"/>
                <w:sz w:val="19"/>
              </w:rPr>
              <w:t>Pleuritic chest pain / breathlessness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pleuritis or pericarditis (serositis).</w:t>
            </w:r>
          </w:p>
        </w:tc>
      </w:tr>
      <w:tr>
        <w:trPr>
          <w:cantSplit/>
        </w:trPr>
        <w:tc>
          <w:tcPr>
            <w:tcW w:type="dxa" w:w="2304"/>
            <w:vAlign w:val="top"/>
          </w:tcPr>
          <w:p>
            <w:pPr>
              <w:spacing w:after="40" w:before="0" w:line="259" w:lineRule="auto"/>
            </w:pPr>
            <w:r>
              <w:rPr>
                <w:rFonts w:ascii="Calibri" w:hAnsi="Calibri"/>
                <w:b/>
                <w:i w:val="0"/>
                <w:color w:val="212121"/>
                <w:sz w:val="19"/>
              </w:rPr>
              <w:t>Myalgia &amp; generalised body 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Muscle pain accompanying systemic inflammation and fatigue.</w:t>
            </w:r>
          </w:p>
        </w:tc>
      </w:tr>
      <w:tr>
        <w:trPr>
          <w:cantSplit/>
        </w:trPr>
        <w:tc>
          <w:tcPr>
            <w:tcW w:type="dxa" w:w="2304"/>
            <w:vAlign w:val="top"/>
          </w:tcPr>
          <w:p>
            <w:pPr>
              <w:spacing w:after="40" w:before="0" w:line="259" w:lineRule="auto"/>
            </w:pPr>
            <w:r>
              <w:rPr>
                <w:rFonts w:ascii="Calibri" w:hAnsi="Calibri"/>
                <w:b/>
                <w:i w:val="0"/>
                <w:color w:val="212121"/>
                <w:sz w:val="19"/>
              </w:rPr>
              <w:t>Weight loss &amp; poor appetite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Constitutional features of active systemic disease.</w:t>
            </w:r>
          </w:p>
        </w:tc>
      </w:tr>
      <w:tr>
        <w:trPr>
          <w:cantSplit/>
        </w:trPr>
        <w:tc>
          <w:tcPr>
            <w:tcW w:type="dxa" w:w="2304"/>
            <w:vAlign w:val="top"/>
          </w:tcPr>
          <w:p>
            <w:pPr>
              <w:spacing w:after="40" w:before="0" w:line="259" w:lineRule="auto"/>
            </w:pPr>
            <w:r>
              <w:rPr>
                <w:rFonts w:ascii="Calibri" w:hAnsi="Calibri"/>
                <w:b/>
                <w:i w:val="0"/>
                <w:color w:val="212121"/>
                <w:sz w:val="19"/>
              </w:rPr>
              <w:t>Frothy urine / leg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proteinuria from lupus nephritis and warrants urgent evaluation.</w:t>
            </w:r>
          </w:p>
        </w:tc>
      </w:tr>
      <w:tr>
        <w:trPr>
          <w:cantSplit/>
        </w:trPr>
        <w:tc>
          <w:tcPr>
            <w:tcW w:type="dxa" w:w="2304"/>
            <w:vAlign w:val="top"/>
          </w:tcPr>
          <w:p>
            <w:pPr>
              <w:spacing w:after="40" w:before="0" w:line="259" w:lineRule="auto"/>
            </w:pPr>
            <w:r>
              <w:rPr>
                <w:rFonts w:ascii="Calibri" w:hAnsi="Calibri"/>
                <w:b/>
                <w:i w:val="0"/>
                <w:color w:val="212121"/>
                <w:sz w:val="19"/>
              </w:rPr>
              <w:t>Headache, poor concentration, low mood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reflect neuropsychiatric lupus or coexisting depression/anxiety.</w:t>
            </w:r>
          </w:p>
        </w:tc>
      </w:tr>
      <w:tr>
        <w:trPr>
          <w:cantSplit/>
        </w:trPr>
        <w:tc>
          <w:tcPr>
            <w:tcW w:type="dxa" w:w="2304"/>
            <w:vAlign w:val="top"/>
          </w:tcPr>
          <w:p>
            <w:pPr>
              <w:spacing w:after="40" w:before="0" w:line="259" w:lineRule="auto"/>
            </w:pPr>
            <w:r>
              <w:rPr>
                <w:rFonts w:ascii="Calibri" w:hAnsi="Calibri"/>
                <w:b/>
                <w:i w:val="0"/>
                <w:color w:val="212121"/>
                <w:sz w:val="19"/>
              </w:rPr>
              <w:t>Recurrent miscarriage or thrombosis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Points to associated antiphospholipid syndrome.</w:t>
            </w:r>
          </w:p>
        </w:tc>
      </w:tr>
      <w:tr>
        <w:trPr>
          <w:cantSplit/>
        </w:trPr>
        <w:tc>
          <w:tcPr>
            <w:tcW w:type="dxa" w:w="2304"/>
            <w:vAlign w:val="top"/>
          </w:tcPr>
          <w:p>
            <w:pPr>
              <w:spacing w:after="40" w:before="0" w:line="259" w:lineRule="auto"/>
            </w:pPr>
            <w:r>
              <w:rPr>
                <w:rFonts w:ascii="Calibri" w:hAnsi="Calibri"/>
                <w:b/>
                <w:i w:val="0"/>
                <w:color w:val="212121"/>
                <w:sz w:val="19"/>
              </w:rPr>
              <w:t>Seizures or psychosis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neuropsychiatric lupus requiring urgent treatment.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Malar (butterfly) rash sparing nasolabial folds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Fixed erythema over the cheeks and nasal bridge, sparing the folds — a hallmark sign.</w:t>
            </w:r>
          </w:p>
        </w:tc>
      </w:tr>
      <w:tr>
        <w:trPr>
          <w:cantSplit/>
        </w:trPr>
        <w:tc>
          <w:tcPr>
            <w:tcW w:type="dxa" w:w="3456"/>
            <w:vAlign w:val="top"/>
          </w:tcPr>
          <w:p>
            <w:pPr>
              <w:spacing w:after="40" w:before="0" w:line="259" w:lineRule="auto"/>
            </w:pPr>
            <w:r>
              <w:rPr>
                <w:rFonts w:ascii="Calibri" w:hAnsi="Calibri"/>
                <w:b/>
                <w:i w:val="0"/>
                <w:color w:val="212121"/>
                <w:sz w:val="19"/>
              </w:rPr>
              <w:t>Discoid plaques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Scaly, scarring, hyperpigmented/atrophic plaques of chronic cutaneous lupus.</w:t>
            </w:r>
          </w:p>
        </w:tc>
      </w:tr>
      <w:tr>
        <w:trPr>
          <w:cantSplit/>
        </w:trPr>
        <w:tc>
          <w:tcPr>
            <w:tcW w:type="dxa" w:w="3456"/>
            <w:vAlign w:val="top"/>
          </w:tcPr>
          <w:p>
            <w:pPr>
              <w:spacing w:after="40" w:before="0" w:line="259" w:lineRule="auto"/>
            </w:pPr>
            <w:r>
              <w:rPr>
                <w:rFonts w:ascii="Calibri" w:hAnsi="Calibri"/>
                <w:b/>
                <w:i w:val="0"/>
                <w:color w:val="212121"/>
                <w:sz w:val="19"/>
              </w:rPr>
              <w:t>Painless oral/palatal ulcers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Often on the hard palate; easily missed unless specifically examined.</w:t>
            </w:r>
          </w:p>
        </w:tc>
      </w:tr>
      <w:tr>
        <w:trPr>
          <w:cantSplit/>
        </w:trPr>
        <w:tc>
          <w:tcPr>
            <w:tcW w:type="dxa" w:w="3456"/>
            <w:vAlign w:val="top"/>
          </w:tcPr>
          <w:p>
            <w:pPr>
              <w:spacing w:after="40" w:before="0" w:line="259" w:lineRule="auto"/>
            </w:pPr>
            <w:r>
              <w:rPr>
                <w:rFonts w:ascii="Calibri" w:hAnsi="Calibri"/>
                <w:b/>
                <w:i w:val="0"/>
                <w:color w:val="212121"/>
                <w:sz w:val="19"/>
              </w:rPr>
              <w:t>Non-scarring alopecia / “lupus hair”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thinning with fragile frontal hairs.</w:t>
            </w:r>
          </w:p>
        </w:tc>
      </w:tr>
      <w:tr>
        <w:trPr>
          <w:cantSplit/>
        </w:trPr>
        <w:tc>
          <w:tcPr>
            <w:tcW w:type="dxa" w:w="3456"/>
            <w:vAlign w:val="top"/>
          </w:tcPr>
          <w:p>
            <w:pPr>
              <w:spacing w:after="40" w:before="0" w:line="259" w:lineRule="auto"/>
            </w:pPr>
            <w:r>
              <w:rPr>
                <w:rFonts w:ascii="Calibri" w:hAnsi="Calibri"/>
                <w:b/>
                <w:i w:val="0"/>
                <w:color w:val="212121"/>
                <w:sz w:val="19"/>
              </w:rPr>
              <w:t>Non-erosive synovitis / Jaccoud's arthropathy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 swollen joints; late reducible deformities without X-ray erosions.</w:t>
            </w:r>
          </w:p>
        </w:tc>
      </w:tr>
      <w:tr>
        <w:trPr>
          <w:cantSplit/>
        </w:trPr>
        <w:tc>
          <w:tcPr>
            <w:tcW w:type="dxa" w:w="3456"/>
            <w:vAlign w:val="top"/>
          </w:tcPr>
          <w:p>
            <w:pPr>
              <w:spacing w:after="40" w:before="0" w:line="259" w:lineRule="auto"/>
            </w:pPr>
            <w:r>
              <w:rPr>
                <w:rFonts w:ascii="Calibri" w:hAnsi="Calibri"/>
                <w:b/>
                <w:i w:val="0"/>
                <w:color w:val="212121"/>
                <w:sz w:val="19"/>
              </w:rPr>
              <w:t>Pleural / pericardial rub</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Auscultatory sign of serositis.</w:t>
            </w:r>
          </w:p>
        </w:tc>
      </w:tr>
      <w:tr>
        <w:trPr>
          <w:cantSplit/>
        </w:trPr>
        <w:tc>
          <w:tcPr>
            <w:tcW w:type="dxa" w:w="3456"/>
            <w:vAlign w:val="top"/>
          </w:tcPr>
          <w:p>
            <w:pPr>
              <w:spacing w:after="40" w:before="0" w:line="259" w:lineRule="auto"/>
            </w:pPr>
            <w:r>
              <w:rPr>
                <w:rFonts w:ascii="Calibri" w:hAnsi="Calibri"/>
                <w:b/>
                <w:i w:val="0"/>
                <w:color w:val="212121"/>
                <w:sz w:val="19"/>
              </w:rPr>
              <w:t>Peripheral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nephrotic-range proteinuria in lupus nephritis.</w:t>
            </w:r>
          </w:p>
        </w:tc>
      </w:tr>
      <w:tr>
        <w:trPr>
          <w:cantSplit/>
        </w:trPr>
        <w:tc>
          <w:tcPr>
            <w:tcW w:type="dxa" w:w="3456"/>
            <w:vAlign w:val="top"/>
          </w:tcPr>
          <w:p>
            <w:pPr>
              <w:spacing w:after="40" w:before="0" w:line="259" w:lineRule="auto"/>
            </w:pPr>
            <w:r>
              <w:rPr>
                <w:rFonts w:ascii="Calibri" w:hAnsi="Calibri"/>
                <w:b/>
                <w:i w:val="0"/>
                <w:color w:val="212121"/>
                <w:sz w:val="19"/>
              </w:rPr>
              <w:t>Raynaud's colour change / digital ischaemia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Biphasic/triphasic colour change; digital ulcers or gangrene in severe vasculopathy.</w:t>
            </w:r>
          </w:p>
        </w:tc>
      </w:tr>
      <w:tr>
        <w:trPr>
          <w:cantSplit/>
        </w:trPr>
        <w:tc>
          <w:tcPr>
            <w:tcW w:type="dxa" w:w="3456"/>
            <w:vAlign w:val="top"/>
          </w:tcPr>
          <w:p>
            <w:pPr>
              <w:spacing w:after="40" w:before="0" w:line="259" w:lineRule="auto"/>
            </w:pPr>
            <w:r>
              <w:rPr>
                <w:rFonts w:ascii="Calibri" w:hAnsi="Calibri"/>
                <w:b/>
                <w:i w:val="0"/>
                <w:color w:val="212121"/>
                <w:sz w:val="19"/>
              </w:rPr>
              <w:t>Livedo reticularis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Mottled, net-like skin discolouration — associated with antiphospholipid antibodies.</w:t>
            </w:r>
          </w:p>
        </w:tc>
      </w:tr>
      <w:tr>
        <w:trPr>
          <w:cantSplit/>
        </w:trPr>
        <w:tc>
          <w:tcPr>
            <w:tcW w:type="dxa" w:w="3456"/>
            <w:vAlign w:val="top"/>
          </w:tcPr>
          <w:p>
            <w:pPr>
              <w:spacing w:after="40" w:before="0" w:line="259" w:lineRule="auto"/>
            </w:pPr>
            <w:r>
              <w:rPr>
                <w:rFonts w:ascii="Calibri" w:hAnsi="Calibri"/>
                <w:b/>
                <w:i w:val="0"/>
                <w:color w:val="212121"/>
                <w:sz w:val="19"/>
              </w:rPr>
              <w:t>Pallor / petechiae (cytopenias)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anaemia or thrombocytopenia.</w:t>
            </w:r>
          </w:p>
        </w:tc>
      </w:tr>
      <w:tr>
        <w:trPr>
          <w:cantSplit/>
        </w:trPr>
        <w:tc>
          <w:tcPr>
            <w:tcW w:type="dxa" w:w="3456"/>
            <w:vAlign w:val="top"/>
          </w:tcPr>
          <w:p>
            <w:pPr>
              <w:spacing w:after="40" w:before="0" w:line="259" w:lineRule="auto"/>
            </w:pPr>
            <w:r>
              <w:rPr>
                <w:rFonts w:ascii="Calibri" w:hAnsi="Calibri"/>
                <w:b/>
                <w:i w:val="0"/>
                <w:color w:val="212121"/>
                <w:sz w:val="19"/>
              </w:rPr>
              <w:t>Generalised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Soft, non-tender nodes during active disease.</w:t>
            </w:r>
          </w:p>
        </w:tc>
      </w:tr>
      <w:tr>
        <w:trPr>
          <w:cantSplit/>
        </w:trPr>
        <w:tc>
          <w:tcPr>
            <w:tcW w:type="dxa" w:w="3456"/>
            <w:vAlign w:val="top"/>
          </w:tcPr>
          <w:p>
            <w:pPr>
              <w:spacing w:after="40" w:before="0" w:line="259" w:lineRule="auto"/>
            </w:pPr>
            <w:r>
              <w:rPr>
                <w:rFonts w:ascii="Calibri" w:hAnsi="Calibri"/>
                <w:b/>
                <w:i w:val="0"/>
                <w:color w:val="212121"/>
                <w:sz w:val="19"/>
              </w:rPr>
              <w:t>Focal neurological deficit / altered cognition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Manifestation of neuropsychiatric lupus or lupus-related stroke.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Lupus nephritis (immune-complex glomerulonephritis)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Autoimmune cytopenias (haemolytic anaemia, thrombocytopenia, leukopenia)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Serositis (pleuritis, pericarditis)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Neuropsychiatric lupus (seizures, psychosis, cognitive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cutaneous and musculoskeletal disease with fatigue</w:t>
            </w:r>
          </w:p>
        </w:tc>
        <w:tc>
          <w:tcPr>
            <w:tcW w:type="dxa" w:w="2980"/>
            <w:vAlign w:val="top"/>
          </w:tcPr>
          <w:p>
            <w:pPr>
              <w:spacing w:after="40" w:before="0" w:line="259" w:lineRule="auto"/>
            </w:pPr>
            <w:r>
              <w:rPr>
                <w:rFonts w:ascii="Calibri" w:hAnsi="Calibri"/>
                <w:b w:val="0"/>
                <w:i w:val="0"/>
                <w:color w:val="212121"/>
                <w:sz w:val="19"/>
              </w:rPr>
              <w:t>Direct consequences of autoantibody–immune-complex deposition and interferon-driven inflammation during active disease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Antiphospholipid syndrome: venous/arterial thrombosis and pregnancy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atherosclerosis and premature coronary/cerebrovascular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Serious infections (bacterial, tuberculosis, opportunistic) from disease and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Corticosteroid morbidity: osteoporosis, avascular necrosis, diabetes, cataract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involvement: pleuritis, pneumonitis, interstitial lung disease, pulmonary hypertension, shrinking-lung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pre-eclampsia, fetal loss, neonatal lupus / congenital heart block</w:t>
            </w:r>
          </w:p>
        </w:tc>
        <w:tc>
          <w:tcPr>
            <w:tcW w:type="dxa" w:w="2980"/>
            <w:vAlign w:val="top"/>
          </w:tcPr>
          <w:p>
            <w:pPr>
              <w:spacing w:after="40" w:before="0" w:line="259" w:lineRule="auto"/>
            </w:pPr>
            <w:r>
              <w:rPr>
                <w:rFonts w:ascii="Calibri" w:hAnsi="Calibri"/>
                <w:b w:val="0"/>
                <w:i w:val="0"/>
                <w:color w:val="212121"/>
                <w:sz w:val="19"/>
              </w:rPr>
              <w:t>Arise from chronic inflammation, thrombotic risk, long-term therapy and shared systemic pathology over years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kidney disease requiring dialysis or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Stroke or myocardial infarction with lasting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neuropsychiatric deficits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Digital gangrene / amputation from severe vasculopathy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Cumulative organ damage, work disability and premature death</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uncontrolled or 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Lupus nephritis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Immune-complex glomerulonephritis is one of the most serious organ manifestations, driving hypertension, proteinuria and progression to kidney failure; disproportionately frequent and severe in South Asians.</w:t>
            </w:r>
          </w:p>
          <w:p>
            <w:pPr>
              <w:spacing w:after="40" w:before="0" w:line="259" w:lineRule="auto"/>
            </w:pPr>
            <w:r>
              <w:rPr>
                <w:rFonts w:ascii="Calibri" w:hAnsi="Calibri"/>
                <w:b/>
                <w:i w:val="0"/>
                <w:color w:val="212121"/>
                <w:sz w:val="19"/>
              </w:rPr>
              <w:t>~50% of SLE patients</w:t>
            </w:r>
          </w:p>
        </w:tc>
      </w:tr>
      <w:tr>
        <w:trPr>
          <w:cantSplit/>
        </w:trPr>
        <w:tc>
          <w:tcPr>
            <w:tcW w:type="dxa" w:w="2232"/>
            <w:vAlign w:val="top"/>
          </w:tcPr>
          <w:p>
            <w:pPr>
              <w:spacing w:after="40" w:before="0" w:line="259" w:lineRule="auto"/>
            </w:pPr>
            <w:r>
              <w:rPr>
                <w:rFonts w:ascii="Calibri" w:hAnsi="Calibri"/>
                <w:b/>
                <w:i w:val="0"/>
                <w:color w:val="212121"/>
                <w:sz w:val="19"/>
              </w:rPr>
              <w:t>Antiphospholipid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Antiphospholipid antibodies predispose to venous/arterial thrombosis, recurrent pregnancy loss and, rarely, catastrophic APS — mandating anticoagulation and altered pregnancy care.</w:t>
            </w:r>
          </w:p>
          <w:p>
            <w:pPr>
              <w:spacing w:after="40" w:before="0" w:line="259" w:lineRule="auto"/>
            </w:pPr>
            <w:r>
              <w:rPr>
                <w:rFonts w:ascii="Calibri" w:hAnsi="Calibri"/>
                <w:b/>
                <w:i w:val="0"/>
                <w:color w:val="212121"/>
                <w:sz w:val="19"/>
              </w:rPr>
              <w:t>aPL positive in ~30–40%</w:t>
            </w:r>
          </w:p>
        </w:tc>
      </w:tr>
      <w:tr>
        <w:trPr>
          <w:cantSplit/>
        </w:trPr>
        <w:tc>
          <w:tcPr>
            <w:tcW w:type="dxa" w:w="2232"/>
            <w:vAlign w:val="top"/>
          </w:tcPr>
          <w:p>
            <w:pPr>
              <w:spacing w:after="40" w:before="0" w:line="259" w:lineRule="auto"/>
            </w:pPr>
            <w:r>
              <w:rPr>
                <w:rFonts w:ascii="Calibri" w:hAnsi="Calibri"/>
                <w:b/>
                <w:i w:val="0"/>
                <w:color w:val="212121"/>
                <w:sz w:val="19"/>
              </w:rPr>
              <w:t>Accelerated cardiovascular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inflammation, steroids, hypertension and renal disease accelerate atherosclerosis, making premature coronary and cerebrovascular disease a leading late cause of death.</w:t>
            </w:r>
          </w:p>
        </w:tc>
      </w:tr>
      <w:tr>
        <w:trPr>
          <w:cantSplit/>
        </w:trPr>
        <w:tc>
          <w:tcPr>
            <w:tcW w:type="dxa" w:w="2232"/>
            <w:vAlign w:val="top"/>
          </w:tcPr>
          <w:p>
            <w:pPr>
              <w:spacing w:after="40" w:before="0" w:line="259" w:lineRule="auto"/>
            </w:pPr>
            <w:r>
              <w:rPr>
                <w:rFonts w:ascii="Calibri" w:hAnsi="Calibri"/>
                <w:b/>
                <w:i w:val="0"/>
                <w:color w:val="212121"/>
                <w:sz w:val="19"/>
              </w:rPr>
              <w:t>Serious infection (incl. tuberculosis)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Immune dysfunction plus immunosuppression makes infection a dominant cause of hospital mortality in Indian SLE, where tuberculosis is endemic.</w:t>
            </w:r>
          </w:p>
        </w:tc>
      </w:tr>
      <w:tr>
        <w:trPr>
          <w:cantSplit/>
        </w:trPr>
        <w:tc>
          <w:tcPr>
            <w:tcW w:type="dxa" w:w="2232"/>
            <w:vAlign w:val="top"/>
          </w:tcPr>
          <w:p>
            <w:pPr>
              <w:spacing w:after="40" w:before="0" w:line="259" w:lineRule="auto"/>
            </w:pPr>
            <w:r>
              <w:rPr>
                <w:rFonts w:ascii="Calibri" w:hAnsi="Calibri"/>
                <w:b/>
                <w:i w:val="0"/>
                <w:color w:val="212121"/>
                <w:sz w:val="19"/>
              </w:rPr>
              <w:t>Autoimmune thyroid disease (hypothyroidism)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autoimmune predisposition; hypothyroidism and thyroid autoantibodies are commoner in SLE and can mimic or compound fatigue and weight change.</w:t>
            </w:r>
          </w:p>
        </w:tc>
      </w:tr>
      <w:tr>
        <w:trPr>
          <w:cantSplit/>
        </w:trPr>
        <w:tc>
          <w:tcPr>
            <w:tcW w:type="dxa" w:w="2232"/>
            <w:vAlign w:val="top"/>
          </w:tcPr>
          <w:p>
            <w:pPr>
              <w:spacing w:after="40" w:before="0" w:line="259" w:lineRule="auto"/>
            </w:pPr>
            <w:r>
              <w:rPr>
                <w:rFonts w:ascii="Calibri" w:hAnsi="Calibri"/>
                <w:b/>
                <w:i w:val="0"/>
                <w:color w:val="212121"/>
                <w:sz w:val="19"/>
              </w:rPr>
              <w:t>Secondary Sjögren's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Overlapping autoimmunity causes dry eyes and mouth (sicca) and anti-Ro/La antibodies, adding to symptom burden and neonatal-lupus risk.</w:t>
            </w:r>
          </w:p>
        </w:tc>
      </w:tr>
      <w:tr>
        <w:trPr>
          <w:cantSplit/>
        </w:trPr>
        <w:tc>
          <w:tcPr>
            <w:tcW w:type="dxa" w:w="2232"/>
            <w:vAlign w:val="top"/>
          </w:tcPr>
          <w:p>
            <w:pPr>
              <w:spacing w:after="40" w:before="0" w:line="259" w:lineRule="auto"/>
            </w:pPr>
            <w:r>
              <w:rPr>
                <w:rFonts w:ascii="Calibri" w:hAnsi="Calibri"/>
                <w:b/>
                <w:i w:val="0"/>
                <w:color w:val="212121"/>
                <w:sz w:val="19"/>
              </w:rPr>
              <w:t>Osteoporosis &amp; avascular necrosis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Long-term corticosteroids, inflammation and photoprotection-related vitamin D deficiency reduce bone density and cause avascular necrosis.</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illness, fatigue and neuropsychiatric involvement drive mood disorder, which bidirectionally worsens perceived activity, adherence and outcomes.</w:t>
            </w:r>
          </w:p>
        </w:tc>
      </w:tr>
      <w:tr>
        <w:trPr>
          <w:cantSplit/>
        </w:trPr>
        <w:tc>
          <w:tcPr>
            <w:tcW w:type="dxa" w:w="2232"/>
            <w:vAlign w:val="top"/>
          </w:tcPr>
          <w:p>
            <w:pPr>
              <w:spacing w:after="40" w:before="0" w:line="259" w:lineRule="auto"/>
            </w:pPr>
            <w:r>
              <w:rPr>
                <w:rFonts w:ascii="Calibri" w:hAnsi="Calibri"/>
                <w:b/>
                <w:i w:val="0"/>
                <w:color w:val="212121"/>
                <w:sz w:val="19"/>
              </w:rPr>
              <w:t>Fibromyalgia / chronic widespread pain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co-exists in Indian SLE patients and inflates disease-activity assessment, complicating the distinction of true inflammation from pain amplification.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lupus is a chronic relapsing–remitting autoimmune disease of flares and remissions, and that consistent follow-up and medication adherence — especially hydroxychloroquine — prevent flares and organ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strict sun protection every day: broad-spectrum SPF ≥ 50 sunscreen, protective clothing, wide-brimmed hats and avoiding peak midday sun, because ultraviolet light is a major flare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promptly report warning features of serious flares: frothy urine or leg swelling (kidney), pleuritic chest pain or breathlessness (serositis), seizures, confusion or severe headache (neuropsychiatric), and unusual bruising or bleeding (cytopenias).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infection — the leading cause of death in immunosuppressed lupus — through hand and food hygiene, safe water, and staying up to date with recommended (inactivated) vaccinations before/with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pregnancy for a period of stable, quiescent disease with the rheumatology team; disclose antiphospholipid and anti-Ro/La status because of thrombosis and neonatal-heart-block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monitoring of blood pressure, urine protein, blood counts, complement and anti-dsDNA, and have annual eye checks while on hydroxychloroquine.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SLE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immunosuppressants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SLE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graded aerobic exercise (walking, cycling, swimming) to reduce the profound fatigue of lupus and improve mood and fitness — exercise is safe and does not provoke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light resistance and flexibility work to preserve muscle and bone, particularly for patients on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up gradually and pace activity around fatigue and disease activity, resting appropriately during acute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indoor or shaded, early-morning or evening activity to combine exercise with sun avoidance.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Stable SLE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 150 minutes/week of moderate activity to lower the elevated cardiovascular risk of lupus.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body weight in the healthy range to reduce hypertension, diabetes and cardiovascular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regular movement breaks and avoid prolonged inactivity that worsens deconditioning.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Long-standing SLE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anti-inflammatory diet rich in vegetables, fruit, whole grains/millets, pulses and omega-3 sources (fish, flaxseed).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low-salt diet if there is hypertension or lupus nephritis, to protect the kidneys and control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and vitamin D (diet, safe supplementation) to counter steroid- and photoprotection-related bone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alfalfa sprouts/seeds (L-canavanine) and limit ultra-processed, high-salt and high-saturated-fat foods that aggravate cardiometabolic and renal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nephritis/hypertension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SLE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good sleep hygiene to reduce the fatigue and pain amplification common in lupus.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pain, night symptoms and mood disturbance that fragment sleep, and review medications (e.g. steroid timing) that impair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review if new or worsening sleep disturbance accompanies other features of a flare.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steroids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it worsens cutaneous and overall disease activity, accelerates cardiovascular risk, and reduces the efficacy of hydroxychloroquine.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pharmacotherapy) with a firm quit date.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adds to the already-elevated cardiovascular and pulmonary risk in lupus.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 with SLE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hydroxychloroquine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cutaneous lupus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to a minimum, especially on methotrexate or azathioprine (liver toxicity) and NSAIDs (gastrointestinal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several alcohol-free days each week and stay within national low-risk limits.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disease flares and when liver enzymes or blood counts are deranged.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MTX/azathioprine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NSAIDs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in lupus and bidirectionally worsen fatigue, adherence and disease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Distinguish reactive mood disorder from primary neuropsychiatric lupus, escalating to the rheumatology team when organic features (seizures, psychosis, cognitive decline) appear.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behavioural therapy, relaxation, pacing and peer/support groups to build coping and resilience.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continued social, educational and occupational participation with appropriate workplace adjustments.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neuropsychiatric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women with SLE</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upus.org/resources/lupus-facts-and-statistics" TargetMode="External"/><Relationship Id="rId10" Type="http://schemas.openxmlformats.org/officeDocument/2006/relationships/hyperlink" Target="https://pubmed.ncbi.nlm.nih.gov/40200610/" TargetMode="External"/><Relationship Id="rId11" Type="http://schemas.openxmlformats.org/officeDocument/2006/relationships/hyperlink" Target="https://www.niams.nih.gov/health-topics/lupus" TargetMode="External"/><Relationship Id="rId12" Type="http://schemas.openxmlformats.org/officeDocument/2006/relationships/hyperlink" Target="https://pubmed.ncbi.nlm.nih.gov/38922692/" TargetMode="External"/><Relationship Id="rId13" Type="http://schemas.openxmlformats.org/officeDocument/2006/relationships/hyperlink" Target="https://www.ncbi.nlm.nih.gov/books/NBK535405/" TargetMode="External"/><Relationship Id="rId14" Type="http://schemas.openxmlformats.org/officeDocument/2006/relationships/hyperlink" Target="https://pubmed.ncbi.nlm.nih.gov/39180524/" TargetMode="External"/><Relationship Id="rId15" Type="http://schemas.openxmlformats.org/officeDocument/2006/relationships/hyperlink" Target="https://pubmed.ncbi.nlm.nih.gov/406646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