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Systemic Sclerosis / Scleroderma</w:t>
      </w:r>
    </w:p>
    <w:p>
      <w:pPr>
        <w:spacing w:before="0" w:after="160"/>
      </w:pPr>
      <w:r>
        <w:rPr>
          <w:rFonts w:ascii="Calibri" w:hAnsi="Calibri"/>
          <w:b/>
          <w:i w:val="0"/>
          <w:color w:val="212121"/>
          <w:sz w:val="22"/>
        </w:rPr>
        <w:t xml:space="preserve">AKA </w:t>
      </w:r>
      <w:r>
        <w:rPr>
          <w:rFonts w:ascii="Calibri" w:hAnsi="Calibri"/>
          <w:b w:val="0"/>
          <w:i w:val="0"/>
          <w:color w:val="212121"/>
          <w:sz w:val="22"/>
        </w:rPr>
        <w:t>i.e., SSc, Scleroderma, Progressive systemic sclerosis (PSS); the skin-limited form was historically called CREST syndrome (Calcinosis, Raynaud's, Esophageal dysmotility, Sclerodactyly, Telangiectasia); lay term “hard-skin” disease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Systemic sclerosis (SSc), commonly called scleroderma, is a chronic multisystem autoimmune connective-tissue disease defined by a triad of immune activation with characteristic autoantibodies, small-vessel vasculopathy, and progressive fibrosis of the skin and internal organs. Excess collagen and extracellular-matrix deposition thickens and hardens the skin and can scar the lungs, gastrointestinal tract, heart and kidneys. The disease ranges from limited cutaneous SSc (skin thickening restricted to areas distal to the elbows and knees plus the face, with a slower course) to diffuse cutaneous SSc (widespread skin involvement with early internal-organ disease). It predominantly affects women in midlife and carries the highest disease-specific mortality of the connective-tissue diseases, driven chiefly by interstitial lung disease and pulmonary arterial hypertension.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Systemic sclerosis is an uncommon but serious autoimmune connective-tissue disease, with a global prevalence of roughly 38–341 per million and an annual incidence of about 8–56 per million, and it is one of the systemic autoimmune rheumatic diseases regularly referred to Indian rheumatology and dermatology tertiary centres. It shows a marked female preponderance of about 3–5 women to every man and typically begins in midlife (commonly 30–50 years). Large Asian-Indian cohorts describe a distinctive clinical and autoantibody profile, with a substantial burden of diffuse cutaneous disease and interstitial lung disease, which — together with pulmonary arterial hypertension — makes SSc the connective-tissue disorder with the highest case-specific mortality.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Systemic sclerosis is diagnosed clinically by combining characteristic skin and vascular features with SSc-specific autoantibodies, nailfold capillaroscopy and evidence of internal-organ involvement; the 2013 ACR/EULAR classification criteria are used to standardise diagnosis and research. A single sufficient criterion — bilateral skin thickening of the fingers extending proximal to the metacarpophalangeal joints — classifies SSc outright; otherwise additively weighted items are summed, and a total score ≥ 9 classifies the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Skin thickening of the fingers of both hands extending proximal to the metacarpophalangeal (MCP) joints — sufficient alone (weight 9).</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Skin thickening of the fingers (count only the higher score): puffy fingers (2) or sclerodactyly of the fingers distal to the MCPs but proximal to the PIP joints (4).</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Fingertip lesions (count only the higher score): digital-tip ulcers (2) or fingertip pitting scars (3).</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Telangiectasia (2); abnormal nailfold capillaries on capillaroscopy (2).</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Pulmonary arterial hypertension and/or interstitial lung disease (maximum 2).</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Raynaud's phenomenon (3).</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SSc-related autoantibodies — anti-centromere, anti-topoisomerase I (anti-Scl-70) and/or anti-RNA polymerase III (maximum 3).</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investigations: a positive antinuclear antibody (ANA, present in &gt; 90%), an “SSc pattern” on nailfold capillaroscopy, high-resolution CT of the chest for ILD, pulmonary function tests (FVC, DLCO), and echocardiography or right-heart catheterisation for pulmonary hypertension.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Scleroderma spans skin-limited (localized) forms through to multisystem systemic sclerosis; the principal clinical categories, defined by the extent of skin involvement, associated autoantibodies and organ pattern, are:</w:t>
      </w:r>
    </w:p>
    <w:p>
      <w:pPr>
        <w:spacing w:before="0" w:after="80"/>
      </w:pPr>
      <w:r>
        <w:rPr>
          <w:rFonts w:ascii="Calibri" w:hAnsi="Calibri"/>
          <w:b w:val="0"/>
          <w:i w:val="0"/>
          <w:color w:val="212121"/>
          <w:sz w:val="21"/>
        </w:rPr>
        <w:t>(1) Limited cutaneous systemic sclerosis (lcSSc) — skin thickening confined to areas distal to the elbows and knees plus the face; typically long-standing Raynaud's, anti-centromere antibodies and a slower course, with pulmonary arterial hypertension and calcinosis developing late; encompasses the historical CREST syndrome (Calcinosis, Raynaud's, Esophageal dysmotility, Sclerodactyly, Telangiectasia);</w:t>
      </w:r>
    </w:p>
    <w:p>
      <w:pPr>
        <w:spacing w:before="0" w:after="80"/>
      </w:pPr>
      <w:r>
        <w:rPr>
          <w:rFonts w:ascii="Calibri" w:hAnsi="Calibri"/>
          <w:b w:val="0"/>
          <w:i w:val="0"/>
          <w:color w:val="212121"/>
          <w:sz w:val="21"/>
        </w:rPr>
        <w:t>(2) Diffuse cutaneous systemic sclerosis (dcSSc) — rapidly progressive skin thickening extending proximal to the elbows and knees and onto the trunk, associated with anti-topoisomerase I (anti-Scl-70) or anti-RNA polymerase III antibodies and early internal-organ disease (interstitial lung disease, scleroderma renal crisis, cardiac involvement);</w:t>
      </w:r>
    </w:p>
    <w:p>
      <w:pPr>
        <w:spacing w:before="0" w:after="80"/>
      </w:pPr>
      <w:r>
        <w:rPr>
          <w:rFonts w:ascii="Calibri" w:hAnsi="Calibri"/>
          <w:b w:val="0"/>
          <w:i w:val="0"/>
          <w:color w:val="212121"/>
          <w:sz w:val="21"/>
        </w:rPr>
        <w:t>(3) Systemic sclerosis sine scleroderma — characteristic vascular, serological and internal-organ features of SSc without clinically apparent skin thickening;</w:t>
      </w:r>
    </w:p>
    <w:p>
      <w:pPr>
        <w:spacing w:before="0" w:after="80"/>
      </w:pPr>
      <w:r>
        <w:rPr>
          <w:rFonts w:ascii="Calibri" w:hAnsi="Calibri"/>
          <w:b w:val="0"/>
          <w:i w:val="0"/>
          <w:color w:val="212121"/>
          <w:sz w:val="21"/>
        </w:rPr>
        <w:t>(4) Overlap syndromes and mixed connective-tissue disease — SSc features coexisting with another connective-tissue disease (inflammatory myositis, systemic lupus erythematosus or rheumatoid arthritis), including anti-U1-RNP-positive mixed connective-tissue disease;</w:t>
      </w:r>
    </w:p>
    <w:p>
      <w:pPr>
        <w:spacing w:before="0" w:after="80"/>
      </w:pPr>
      <w:r>
        <w:rPr>
          <w:rFonts w:ascii="Calibri" w:hAnsi="Calibri"/>
          <w:b w:val="0"/>
          <w:i w:val="0"/>
          <w:color w:val="212121"/>
          <w:sz w:val="21"/>
        </w:rPr>
        <w:t>(5) Localized scleroderma (morphea and linear scleroderma) — fibrosis limited to the skin and subcutaneous tissue without Raynaud's, vasculopathy or internal-organ involvement; a distinct entity that must be differentiated from systemic sclerosis (linear scleroderma typically presents in children).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SSc is not directly inherited but shows familial clustering and strong HLA associations (e.g. HLA-DRB1, HLA-DPB1) and non-HLA immune-gene variants that shape autoantibody specificity and organ pattern.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Immune dysregulation and autoimmunity: activation of T and B cells, characteristic autoantibodies (anti-topoisomerase I, anti-centromere, anti-RNA polymerase III) and cytokine networks (especially TGF-β) drive the fibrotic process.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Vasculopathy: early endothelial injury produces Raynaud's phenomenon and an obliterative small-vessel disease that precedes and underlies tissue fibrosis and complications such as digital ulcers, pulmonary hypertension and renal crisis.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Fibrosis: aberrant fibroblast/myofibroblast activation causes excessive collagen and extracellular-matrix deposition, hardening skin and scarring internal organs.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Environmental and occupational exposures: silica dust (stone quarrying, mining, agate grinding, construction, sandblasting), organic solvents and vinyl chloride are associated with SSc and are relevant to many Indian occupational settings.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Female sex and hormonal factors: the strong female preponderance and midlife onset implicate hormonal and X-chromosome influences on immune tolerance.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Drugs and toxins: agents such as bleomycin (and, as fibrosing mimics, gadolinium-associated nephrogenic systemic fibrosis and toxic-oil/rapeseed exposures) can induce scleroderma-like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(midlife, 30–50 years)</w:t>
            </w:r>
          </w:p>
        </w:tc>
        <w:tc>
          <w:tcPr>
            <w:tcW w:type="dxa" w:w="4276"/>
            <w:vAlign w:val="top"/>
          </w:tcPr>
          <w:p>
            <w:pPr>
              <w:spacing w:after="60" w:line="259" w:lineRule="auto"/>
            </w:pPr>
            <w:r>
              <w:rPr>
                <w:rFonts w:ascii="Calibri" w:hAnsi="Calibri"/>
                <w:b w:val="0"/>
                <w:i w:val="0"/>
                <w:color w:val="212121"/>
                <w:sz w:val="19"/>
              </w:rPr>
              <w:t>SSc characteristically begins in the working, childbearing years. Onset in midlife means fibrotic and vascular damage accumulates during peak occupational and family life, and early Raynaud's may precede diagnosis by years.</w:t>
            </w:r>
          </w:p>
          <w:p>
            <w:pPr>
              <w:spacing w:after="40" w:before="60" w:line="259" w:lineRule="auto"/>
            </w:pPr>
            <w:r>
              <w:rPr>
                <w:rFonts w:ascii="Calibri" w:hAnsi="Calibri"/>
                <w:b w:val="0"/>
                <w:i w:val="0"/>
                <w:color w:val="212121"/>
                <w:sz w:val="19"/>
              </w:rPr>
              <w:t>Scleroderma usually appears between the ages of 30 and 50 and is far more common in adults than in children.</w:t>
            </w:r>
          </w:p>
          <w:p>
            <w:pPr>
              <w:spacing w:after="40" w:line="252" w:lineRule="auto"/>
            </w:pPr>
            <w:hyperlink r:id="rId9">
              <w:r>
                <w:rPr>
                  <w:rFonts w:ascii="Calibri" w:hAnsi="Calibri" w:cs="Calibri"/>
                  <w:sz w:val="18"/>
                  <w:color w:val="1155CC"/>
                  <w:u w:val="single"/>
                </w:rPr>
                <w:t xml:space="preserve">niams.nih.gov — scleroderma</w:t>
              </w:r>
            </w:hyperlink>
          </w:p>
          <w:p>
            <w:pPr>
              <w:spacing w:before="60" w:after="40"/>
            </w:pPr>
            <w:r>
              <w:rPr>
                <w:rFonts w:ascii="Calibri" w:hAnsi="Calibri"/>
                <w:b w:val="0"/>
                <w:i w:val="0"/>
                <w:color w:val="5A5A5A"/>
                <w:sz w:val="18"/>
              </w:rPr>
              <w:t>#midlife  #workingage  #raynaudsfirst  #adults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(late-onset SSc)</w:t>
            </w:r>
          </w:p>
        </w:tc>
        <w:tc>
          <w:tcPr>
            <w:tcW w:type="dxa" w:w="4276"/>
            <w:vAlign w:val="top"/>
          </w:tcPr>
          <w:p>
            <w:pPr>
              <w:spacing w:after="60" w:line="259" w:lineRule="auto"/>
            </w:pPr>
            <w:r>
              <w:rPr>
                <w:rFonts w:ascii="Calibri" w:hAnsi="Calibri"/>
                <w:b w:val="0"/>
                <w:i w:val="0"/>
                <w:color w:val="212121"/>
                <w:sz w:val="19"/>
              </w:rPr>
              <w:t>Late-onset disease is associated with a higher frequency of pulmonary arterial hypertension and cardiac involvement, more comorbidity and poorer tolerance of immunosuppression, which worsens prognosis.</w:t>
            </w:r>
          </w:p>
          <w:p>
            <w:pPr>
              <w:spacing w:after="40" w:before="60" w:line="259" w:lineRule="auto"/>
            </w:pPr>
            <w:r>
              <w:rPr>
                <w:rFonts w:ascii="Calibri" w:hAnsi="Calibri"/>
                <w:b w:val="0"/>
                <w:i w:val="0"/>
                <w:color w:val="212121"/>
                <w:sz w:val="19"/>
              </w:rPr>
              <w:t>Peak onset falls around 45–64 years; older age at onset is linked with more pulmonary vascular disease and higher mortality.</w:t>
            </w:r>
          </w:p>
          <w:p>
            <w:pPr>
              <w:spacing w:after="40" w:line="252" w:lineRule="auto"/>
            </w:pPr>
            <w:hyperlink r:id="rId10">
              <w:r>
                <w:rPr>
                  <w:rFonts w:ascii="Calibri" w:hAnsi="Calibri" w:cs="Calibri"/>
                  <w:sz w:val="18"/>
                  <w:color w:val="1155CC"/>
                  <w:u w:val="single"/>
                </w:rPr>
                <w:t xml:space="preserve">ncbi.nlm.nih.gov/books/NBK430875 — StatPearls: Systemic Sclerosis</w:t>
              </w:r>
            </w:hyperlink>
          </w:p>
          <w:p>
            <w:pPr>
              <w:spacing w:before="60" w:after="40"/>
            </w:pPr>
            <w:r>
              <w:rPr>
                <w:rFonts w:ascii="Calibri" w:hAnsi="Calibri"/>
                <w:b w:val="0"/>
                <w:i w:val="0"/>
                <w:color w:val="5A5A5A"/>
                <w:sz w:val="18"/>
              </w:rPr>
              <w:t>#lateonset  #pah  #cardiac  #comorbidity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Female sex is the single strongest demographic risk factor, reflecting hormonal and X-chromosome influences on immune tolerance; most patients seen at Indian centres are women.</w:t>
            </w:r>
          </w:p>
          <w:p>
            <w:pPr>
              <w:spacing w:after="40" w:before="60" w:line="259" w:lineRule="auto"/>
            </w:pPr>
            <w:r>
              <w:rPr>
                <w:rFonts w:ascii="Calibri" w:hAnsi="Calibri"/>
                <w:b w:val="0"/>
                <w:i w:val="0"/>
                <w:color w:val="212121"/>
                <w:sz w:val="19"/>
              </w:rPr>
              <w:t>Scleroderma is roughly three-to-four times (up to about five times) more common in women than in men.</w:t>
            </w:r>
          </w:p>
          <w:p>
            <w:pPr>
              <w:spacing w:after="40" w:line="252" w:lineRule="auto"/>
            </w:pPr>
            <w:hyperlink r:id="rId11">
              <w:r>
                <w:rPr>
                  <w:rFonts w:ascii="Calibri" w:hAnsi="Calibri" w:cs="Calibri"/>
                  <w:sz w:val="18"/>
                  <w:color w:val="1155CC"/>
                  <w:u w:val="single"/>
                </w:rPr>
                <w:t xml:space="preserve">rarediseases.org — scleroderma</w:t>
              </w:r>
            </w:hyperlink>
          </w:p>
          <w:p>
            <w:pPr>
              <w:spacing w:before="60" w:after="40"/>
            </w:pPr>
            <w:r>
              <w:rPr>
                <w:rFonts w:ascii="Calibri" w:hAnsi="Calibri"/>
                <w:b w:val="0"/>
                <w:i w:val="0"/>
                <w:color w:val="5A5A5A"/>
                <w:sz w:val="18"/>
              </w:rPr>
              <w:t>#female  #hormonal  #5to1  #predominance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Although uncommon, SSc in men tends to run a more severe course with more diffuse skin disease, interstitial lung disease and pulmonary hypertension, and a worse prognosis; Indian series specifically characterise this heavier male disease burden.</w:t>
            </w:r>
          </w:p>
          <w:p>
            <w:pPr>
              <w:spacing w:after="40" w:before="60" w:line="259" w:lineRule="auto"/>
            </w:pPr>
            <w:r>
              <w:rPr>
                <w:rFonts w:ascii="Calibri" w:hAnsi="Calibri"/>
                <w:b w:val="0"/>
                <w:i w:val="0"/>
                <w:color w:val="212121"/>
                <w:sz w:val="19"/>
              </w:rPr>
              <w:t>Indian studies of systemic sclerosis in males describe a distinct, often more aggressive clinical and organ-involvement profile.</w:t>
            </w:r>
          </w:p>
          <w:p>
            <w:pPr>
              <w:spacing w:after="40" w:line="252" w:lineRule="auto"/>
            </w:pPr>
            <w:hyperlink r:id="rId12">
              <w:r>
                <w:rPr>
                  <w:rFonts w:ascii="Calibri" w:hAnsi="Calibri" w:cs="Calibri"/>
                  <w:sz w:val="18"/>
                  <w:color w:val="1155CC"/>
                  <w:u w:val="single"/>
                </w:rPr>
                <w:t xml:space="preserve">pubmed.ncbi.nlm.nih.gov/38572051 — SSc in males (India)</w:t>
              </w:r>
            </w:hyperlink>
          </w:p>
          <w:p>
            <w:pPr>
              <w:spacing w:before="60" w:after="40"/>
            </w:pPr>
            <w:r>
              <w:rPr>
                <w:rFonts w:ascii="Calibri" w:hAnsi="Calibri"/>
                <w:b w:val="0"/>
                <w:i w:val="0"/>
                <w:color w:val="5A5A5A"/>
                <w:sz w:val="18"/>
              </w:rPr>
              <w:t>#male  #severe  #ild  #worseprognosis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low-awareness groups</w:t>
            </w:r>
          </w:p>
        </w:tc>
        <w:tc>
          <w:tcPr>
            <w:tcW w:type="dxa" w:w="4276"/>
            <w:vAlign w:val="top"/>
          </w:tcPr>
          <w:p>
            <w:pPr>
              <w:spacing w:after="60" w:line="259" w:lineRule="auto"/>
            </w:pPr>
            <w:r>
              <w:rPr>
                <w:rFonts w:ascii="Calibri" w:hAnsi="Calibri"/>
                <w:b w:val="0"/>
                <w:i w:val="0"/>
                <w:color w:val="212121"/>
                <w:sz w:val="19"/>
              </w:rPr>
              <w:t>Limited access to rheumatology, capillaroscopy, autoantibody testing and HRCT, plus low awareness of Raynaud's as a warning sign, leads to late presentation with advanced skin and lung disease and under-treated organ complications.</w:t>
            </w:r>
          </w:p>
          <w:p>
            <w:pPr>
              <w:spacing w:after="40" w:before="60" w:line="259" w:lineRule="auto"/>
            </w:pPr>
            <w:r>
              <w:rPr>
                <w:rFonts w:ascii="Calibri" w:hAnsi="Calibri"/>
                <w:b w:val="0"/>
                <w:i w:val="0"/>
                <w:color w:val="212121"/>
                <w:sz w:val="19"/>
              </w:rPr>
              <w:t>Delayed diagnosis and limited access to specialist care and disease-modifying therapy are recognised drivers of worse outcomes in scleroderma.</w:t>
            </w:r>
          </w:p>
          <w:p>
            <w:pPr>
              <w:spacing w:before="60" w:after="40"/>
            </w:pPr>
            <w:r>
              <w:rPr>
                <w:rFonts w:ascii="Calibri" w:hAnsi="Calibri"/>
                <w:b w:val="0"/>
                <w:i w:val="0"/>
                <w:color w:val="5A5A5A"/>
                <w:sz w:val="18"/>
              </w:rPr>
              <w:t>#accesstocare  #awareness  #latediagnosis  #advancedild</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 Asian / Indian ancestry</w:t>
            </w:r>
          </w:p>
        </w:tc>
        <w:tc>
          <w:tcPr>
            <w:tcW w:type="dxa" w:w="4276"/>
            <w:vAlign w:val="top"/>
          </w:tcPr>
          <w:p>
            <w:pPr>
              <w:spacing w:after="60" w:line="259" w:lineRule="auto"/>
            </w:pPr>
            <w:r>
              <w:rPr>
                <w:rFonts w:ascii="Calibri" w:hAnsi="Calibri"/>
                <w:b w:val="0"/>
                <w:i w:val="0"/>
                <w:color w:val="212121"/>
                <w:sz w:val="19"/>
              </w:rPr>
              <w:t>People of South Asian ancestry are described as having a distinctive scleroderma phenotype, and a large Asian-Indian cohort documented a characteristic clinical and autoantibody profile with a notable burden of diffuse disease and lung involvement.</w:t>
            </w:r>
          </w:p>
          <w:p>
            <w:pPr>
              <w:spacing w:after="40" w:before="60" w:line="259" w:lineRule="auto"/>
            </w:pPr>
            <w:r>
              <w:rPr>
                <w:rFonts w:ascii="Calibri" w:hAnsi="Calibri"/>
                <w:b w:val="0"/>
                <w:i w:val="0"/>
                <w:color w:val="212121"/>
                <w:sz w:val="19"/>
              </w:rPr>
              <w:t>A large Asian-Indian scleroderma cohort described a unique clinical and autoantibody profile compared with Western populations.</w:t>
            </w:r>
          </w:p>
          <w:p>
            <w:pPr>
              <w:spacing w:after="40" w:line="252" w:lineRule="auto"/>
            </w:pPr>
            <w:hyperlink r:id="rId13">
              <w:r>
                <w:rPr>
                  <w:rFonts w:ascii="Calibri" w:hAnsi="Calibri" w:cs="Calibri"/>
                  <w:sz w:val="18"/>
                  <w:color w:val="1155CC"/>
                  <w:u w:val="single"/>
                </w:rPr>
                <w:t xml:space="preserve">pubmed.ncbi.nlm.nih.gov/31309339 — large Asian Indian SSc cohort</w:t>
              </w:r>
            </w:hyperlink>
          </w:p>
          <w:p>
            <w:pPr>
              <w:spacing w:before="60" w:after="40"/>
            </w:pPr>
            <w:r>
              <w:rPr>
                <w:rFonts w:ascii="Calibri" w:hAnsi="Calibri"/>
                <w:b w:val="0"/>
                <w:i w:val="0"/>
                <w:color w:val="5A5A5A"/>
                <w:sz w:val="18"/>
              </w:rPr>
              <w:t>#southasian  #indianancestry  #autoantibodyprofile  #diffuse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Regional (India)</w:t>
            </w:r>
          </w:p>
        </w:tc>
        <w:tc>
          <w:tcPr>
            <w:tcW w:type="dxa" w:w="2160"/>
            <w:vAlign w:val="top"/>
          </w:tcPr>
          <w:p>
            <w:pPr>
              <w:spacing w:after="40" w:before="0" w:line="259" w:lineRule="auto"/>
            </w:pPr>
            <w:r>
              <w:rPr>
                <w:rFonts w:ascii="Calibri" w:hAnsi="Calibri"/>
                <w:b w:val="0"/>
                <w:i w:val="0"/>
                <w:color w:val="212121"/>
                <w:sz w:val="19"/>
              </w:rPr>
              <w:t>Indian tertiary-centre cohorts</w:t>
            </w:r>
          </w:p>
        </w:tc>
        <w:tc>
          <w:tcPr>
            <w:tcW w:type="dxa" w:w="4276"/>
            <w:vAlign w:val="top"/>
          </w:tcPr>
          <w:p>
            <w:pPr>
              <w:spacing w:after="60" w:line="259" w:lineRule="auto"/>
            </w:pPr>
            <w:r>
              <w:rPr>
                <w:rFonts w:ascii="Calibri" w:hAnsi="Calibri"/>
                <w:b w:val="0"/>
                <w:i w:val="0"/>
                <w:color w:val="212121"/>
                <w:sz w:val="19"/>
              </w:rPr>
              <w:t>North-Indian cross-sectional studies confirm a high frequency of diffuse cutaneous disease, anti-topoisomerase I positivity and interstitial lung disease, so ILD screening is especially important in Indian patients.</w:t>
            </w:r>
          </w:p>
          <w:p>
            <w:pPr>
              <w:spacing w:after="40" w:before="60" w:line="259" w:lineRule="auto"/>
            </w:pPr>
            <w:r>
              <w:rPr>
                <w:rFonts w:ascii="Calibri" w:hAnsi="Calibri"/>
                <w:b w:val="0"/>
                <w:i w:val="0"/>
                <w:color w:val="212121"/>
                <w:sz w:val="19"/>
              </w:rPr>
              <w:t>A cross-sectional North-India study characterised the clinical and autoantibody profile of systemic sclerosis, highlighting frequent diffuse disease and lung involvement.</w:t>
            </w:r>
          </w:p>
          <w:p>
            <w:pPr>
              <w:spacing w:after="40" w:line="252" w:lineRule="auto"/>
            </w:pPr>
            <w:hyperlink r:id="rId14">
              <w:r>
                <w:rPr>
                  <w:rFonts w:ascii="Calibri" w:hAnsi="Calibri" w:cs="Calibri"/>
                  <w:sz w:val="18"/>
                  <w:color w:val="1155CC"/>
                  <w:u w:val="single"/>
                </w:rPr>
                <w:t xml:space="preserve">pubmed.ncbi.nlm.nih.gov/37436007 — North India SSc profile</w:t>
              </w:r>
            </w:hyperlink>
          </w:p>
          <w:p>
            <w:pPr>
              <w:spacing w:before="60" w:after="40"/>
            </w:pPr>
            <w:r>
              <w:rPr>
                <w:rFonts w:ascii="Calibri" w:hAnsi="Calibri"/>
                <w:b w:val="0"/>
                <w:i w:val="0"/>
                <w:color w:val="5A5A5A"/>
                <w:sz w:val="18"/>
              </w:rPr>
              <w:t>#india  #northindia  #antiscl70  #ildscreening</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Occupational silica / solvent exposure</w:t>
            </w:r>
          </w:p>
        </w:tc>
        <w:tc>
          <w:tcPr>
            <w:tcW w:type="dxa" w:w="2160"/>
            <w:vAlign w:val="top"/>
          </w:tcPr>
          <w:p>
            <w:pPr>
              <w:spacing w:after="40" w:before="0" w:line="259" w:lineRule="auto"/>
            </w:pPr>
            <w:r>
              <w:rPr>
                <w:rFonts w:ascii="Calibri" w:hAnsi="Calibri"/>
                <w:b w:val="0"/>
                <w:i w:val="0"/>
                <w:color w:val="212121"/>
                <w:sz w:val="19"/>
              </w:rPr>
              <w:t>Miners, stone/agate &amp; construction workers</w:t>
            </w:r>
          </w:p>
        </w:tc>
        <w:tc>
          <w:tcPr>
            <w:tcW w:type="dxa" w:w="4276"/>
            <w:vAlign w:val="top"/>
          </w:tcPr>
          <w:p>
            <w:pPr>
              <w:spacing w:after="60" w:line="259" w:lineRule="auto"/>
            </w:pPr>
            <w:r>
              <w:rPr>
                <w:rFonts w:ascii="Calibri" w:hAnsi="Calibri"/>
                <w:b w:val="0"/>
                <w:i w:val="0"/>
                <w:color w:val="212121"/>
                <w:sz w:val="19"/>
              </w:rPr>
              <w:t>Inhaled crystalline silica and organic solvents are established environmental triggers of SSc (silica-associated scleroderma). This is highly relevant in India, where stone quarrying, agate grinding, sandblasting, mining and construction expose large numbers of mostly male workers.</w:t>
            </w:r>
          </w:p>
          <w:p>
            <w:pPr>
              <w:spacing w:after="40" w:before="60" w:line="259" w:lineRule="auto"/>
            </w:pPr>
            <w:r>
              <w:rPr>
                <w:rFonts w:ascii="Calibri" w:hAnsi="Calibri"/>
                <w:b w:val="0"/>
                <w:i w:val="0"/>
                <w:color w:val="212121"/>
                <w:sz w:val="19"/>
              </w:rPr>
              <w:t>Workplace exposure to certain dusts, chemicals and solvents is a recognised environmental risk factor for scleroderma.</w:t>
            </w:r>
          </w:p>
          <w:p>
            <w:pPr>
              <w:spacing w:after="40" w:line="252" w:lineRule="auto"/>
            </w:pPr>
            <w:hyperlink r:id="rId15">
              <w:r>
                <w:rPr>
                  <w:rFonts w:ascii="Calibri" w:hAnsi="Calibri" w:cs="Calibri"/>
                  <w:sz w:val="18"/>
                  <w:color w:val="1155CC"/>
                  <w:u w:val="single"/>
                </w:rPr>
                <w:t xml:space="preserve">mayoclinic.org — scleroderma (risk factors)</w:t>
              </w:r>
            </w:hyperlink>
          </w:p>
          <w:p>
            <w:pPr>
              <w:spacing w:before="60" w:after="40"/>
            </w:pPr>
            <w:r>
              <w:rPr>
                <w:rFonts w:ascii="Calibri" w:hAnsi="Calibri"/>
                <w:b w:val="0"/>
                <w:i w:val="0"/>
                <w:color w:val="5A5A5A"/>
                <w:sz w:val="18"/>
              </w:rPr>
              <w:t>#silica  #occupational  #solvents  #agate  #dcSSc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with Raynaud's</w:t>
            </w:r>
          </w:p>
        </w:tc>
        <w:tc>
          <w:tcPr>
            <w:tcW w:type="dxa" w:w="4276"/>
            <w:vAlign w:val="top"/>
          </w:tcPr>
          <w:p>
            <w:pPr>
              <w:spacing w:after="60" w:line="259" w:lineRule="auto"/>
            </w:pPr>
            <w:r>
              <w:rPr>
                <w:rFonts w:ascii="Calibri" w:hAnsi="Calibri"/>
                <w:b w:val="0"/>
                <w:i w:val="0"/>
                <w:color w:val="212121"/>
                <w:sz w:val="19"/>
              </w:rPr>
              <w:t>Nicotine causes vasoconstriction that aggravates Raynaud's phenomenon and the obliterative vasculopathy of SSc, increasing the risk of painful digital ulcers, critical ischaemia and gangrene, and adding to cardiovascular and pulmonary risk.</w:t>
            </w:r>
          </w:p>
          <w:p>
            <w:pPr>
              <w:spacing w:after="40" w:before="60" w:line="259" w:lineRule="auto"/>
            </w:pPr>
            <w:r>
              <w:rPr>
                <w:rFonts w:ascii="Calibri" w:hAnsi="Calibri"/>
                <w:b w:val="0"/>
                <w:i w:val="0"/>
                <w:color w:val="212121"/>
                <w:sz w:val="19"/>
              </w:rPr>
              <w:t>Smoking worsens the peripheral vasculopathy of scleroderma and is associated with more severe digital ischaemia; cessation is strongly advised.</w:t>
            </w:r>
          </w:p>
          <w:p>
            <w:pPr>
              <w:spacing w:before="60" w:after="40"/>
            </w:pPr>
            <w:r>
              <w:rPr>
                <w:rFonts w:ascii="Calibri" w:hAnsi="Calibri"/>
                <w:b w:val="0"/>
                <w:i w:val="0"/>
                <w:color w:val="5A5A5A"/>
                <w:sz w:val="18"/>
              </w:rPr>
              <w:t>#smoking  #vasoconstriction  #digitalulcers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drinkers on immunosuppressants</w:t>
            </w:r>
          </w:p>
        </w:tc>
        <w:tc>
          <w:tcPr>
            <w:tcW w:type="dxa" w:w="4276"/>
            <w:vAlign w:val="top"/>
          </w:tcPr>
          <w:p>
            <w:pPr>
              <w:spacing w:after="60" w:line="259" w:lineRule="auto"/>
            </w:pPr>
            <w:r>
              <w:rPr>
                <w:rFonts w:ascii="Calibri" w:hAnsi="Calibri"/>
                <w:b w:val="0"/>
                <w:i w:val="0"/>
                <w:color w:val="212121"/>
                <w:sz w:val="19"/>
              </w:rPr>
              <w:t>Excess alcohol relaxes the lower oesophageal sphincter and worsens the reflux of SSc oesophageal dysmotility, and interacts with key drugs (methotrexate/immunosuppressant hepatotoxicity, NSAID gastrointestinal bleeding).</w:t>
            </w:r>
          </w:p>
          <w:p>
            <w:pPr>
              <w:spacing w:after="40" w:before="60" w:line="259" w:lineRule="auto"/>
            </w:pPr>
            <w:r>
              <w:rPr>
                <w:rFonts w:ascii="Calibri" w:hAnsi="Calibri"/>
                <w:b w:val="0"/>
                <w:i w:val="0"/>
                <w:color w:val="212121"/>
                <w:sz w:val="19"/>
              </w:rPr>
              <w:t>Alcohol aggravates gastro-oesophageal reflux and compounds drug hepatotoxicity in patients on scleroderma therapy.</w:t>
            </w:r>
          </w:p>
          <w:p>
            <w:pPr>
              <w:spacing w:before="60" w:after="40"/>
            </w:pPr>
            <w:r>
              <w:rPr>
                <w:rFonts w:ascii="Calibri" w:hAnsi="Calibri"/>
                <w:b w:val="0"/>
                <w:i w:val="0"/>
                <w:color w:val="5A5A5A"/>
                <w:sz w:val="18"/>
              </w:rPr>
              <w:t>#alcohol  #reflux  #druginteraction  #hepatotoxicity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Cold exposure / sedentary</w:t>
            </w:r>
          </w:p>
        </w:tc>
        <w:tc>
          <w:tcPr>
            <w:tcW w:type="dxa" w:w="2160"/>
            <w:vAlign w:val="top"/>
          </w:tcPr>
          <w:p>
            <w:pPr>
              <w:spacing w:after="40" w:before="0" w:line="259" w:lineRule="auto"/>
            </w:pPr>
            <w:r>
              <w:rPr>
                <w:rFonts w:ascii="Calibri" w:hAnsi="Calibri"/>
                <w:b w:val="0"/>
                <w:i w:val="0"/>
                <w:color w:val="212121"/>
                <w:sz w:val="19"/>
              </w:rPr>
              <w:t>Cold-climate workers, inactive/deconditioned patients</w:t>
            </w:r>
          </w:p>
        </w:tc>
        <w:tc>
          <w:tcPr>
            <w:tcW w:type="dxa" w:w="4276"/>
            <w:vAlign w:val="top"/>
          </w:tcPr>
          <w:p>
            <w:pPr>
              <w:spacing w:after="60" w:line="259" w:lineRule="auto"/>
            </w:pPr>
            <w:r>
              <w:rPr>
                <w:rFonts w:ascii="Calibri" w:hAnsi="Calibri"/>
                <w:b w:val="0"/>
                <w:i w:val="0"/>
                <w:color w:val="212121"/>
                <w:sz w:val="19"/>
              </w:rPr>
              <w:t>Cold and emotional stress precipitate Raynaud's attacks and digital ischaemia, while inactivity accelerates joint contractures, loss of hand and mouth function and cardiopulmonary deconditioning in an already fibrotic patient.</w:t>
            </w:r>
          </w:p>
          <w:p>
            <w:pPr>
              <w:spacing w:after="40" w:before="60" w:line="259" w:lineRule="auto"/>
            </w:pPr>
            <w:r>
              <w:rPr>
                <w:rFonts w:ascii="Calibri" w:hAnsi="Calibri"/>
                <w:b w:val="0"/>
                <w:i w:val="0"/>
                <w:color w:val="212121"/>
                <w:sz w:val="19"/>
              </w:rPr>
              <w:t>Raynaud's phenomenon, triggered by cold and stress, is present in over 95% of people with systemic sclerosis.</w:t>
            </w:r>
          </w:p>
          <w:p>
            <w:pPr>
              <w:spacing w:after="40" w:line="252" w:lineRule="auto"/>
            </w:pPr>
            <w:hyperlink r:id="rId10">
              <w:r>
                <w:rPr>
                  <w:rFonts w:ascii="Calibri" w:hAnsi="Calibri" w:cs="Calibri"/>
                  <w:sz w:val="18"/>
                  <w:color w:val="1155CC"/>
                  <w:u w:val="single"/>
                </w:rPr>
                <w:t xml:space="preserve">ncbi.nlm.nih.gov/books/NBK430875 — StatPearls: Systemic Sclerosis</w:t>
              </w:r>
            </w:hyperlink>
          </w:p>
          <w:p>
            <w:pPr>
              <w:spacing w:before="60" w:after="40"/>
            </w:pPr>
            <w:r>
              <w:rPr>
                <w:rFonts w:ascii="Calibri" w:hAnsi="Calibri"/>
                <w:b w:val="0"/>
                <w:i w:val="0"/>
                <w:color w:val="5A5A5A"/>
                <w:sz w:val="18"/>
              </w:rPr>
              <w:t>#cold  #raynauds  #contractures  #deconditioning</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Malnutrition / low body weight</w:t>
            </w:r>
          </w:p>
        </w:tc>
        <w:tc>
          <w:tcPr>
            <w:tcW w:type="dxa" w:w="2160"/>
            <w:vAlign w:val="top"/>
          </w:tcPr>
          <w:p>
            <w:pPr>
              <w:spacing w:after="40" w:before="0" w:line="259" w:lineRule="auto"/>
            </w:pPr>
            <w:r>
              <w:rPr>
                <w:rFonts w:ascii="Calibri" w:hAnsi="Calibri"/>
                <w:b w:val="0"/>
                <w:i w:val="0"/>
                <w:color w:val="212121"/>
                <w:sz w:val="19"/>
              </w:rPr>
              <w:t>Patients with GI involvement</w:t>
            </w:r>
          </w:p>
        </w:tc>
        <w:tc>
          <w:tcPr>
            <w:tcW w:type="dxa" w:w="4276"/>
            <w:vAlign w:val="top"/>
          </w:tcPr>
          <w:p>
            <w:pPr>
              <w:spacing w:after="60" w:line="259" w:lineRule="auto"/>
            </w:pPr>
            <w:r>
              <w:rPr>
                <w:rFonts w:ascii="Calibri" w:hAnsi="Calibri"/>
                <w:b w:val="0"/>
                <w:i w:val="0"/>
                <w:color w:val="212121"/>
                <w:sz w:val="19"/>
              </w:rPr>
              <w:t>Oesophageal and small-bowel dysmotility, reflux, early satiety, malabsorption and small-intestinal bacterial overgrowth cause weight loss and micronutrient deficiency; low BMI is a marker of severe gut disease and predicts worse outcomes.</w:t>
            </w:r>
          </w:p>
          <w:p>
            <w:pPr>
              <w:spacing w:after="40" w:before="60" w:line="259" w:lineRule="auto"/>
            </w:pPr>
            <w:r>
              <w:rPr>
                <w:rFonts w:ascii="Calibri" w:hAnsi="Calibri"/>
                <w:b w:val="0"/>
                <w:i w:val="0"/>
                <w:color w:val="212121"/>
                <w:sz w:val="19"/>
              </w:rPr>
              <w:t>Gastrointestinal involvement affects up to 90% of SSc patients and frequently causes reflux, malabsorption and weight loss.</w:t>
            </w:r>
          </w:p>
          <w:p>
            <w:pPr>
              <w:spacing w:after="40" w:line="252" w:lineRule="auto"/>
            </w:pPr>
            <w:hyperlink r:id="rId10">
              <w:r>
                <w:rPr>
                  <w:rFonts w:ascii="Calibri" w:hAnsi="Calibri" w:cs="Calibri"/>
                  <w:sz w:val="18"/>
                  <w:color w:val="1155CC"/>
                  <w:u w:val="single"/>
                </w:rPr>
                <w:t xml:space="preserve">ncbi.nlm.nih.gov/books/NBK430875 — StatPearls: Systemic Sclerosis</w:t>
              </w:r>
            </w:hyperlink>
          </w:p>
          <w:p>
            <w:pPr>
              <w:spacing w:before="60" w:after="40"/>
            </w:pPr>
            <w:r>
              <w:rPr>
                <w:rFonts w:ascii="Calibri" w:hAnsi="Calibri"/>
                <w:b w:val="0"/>
                <w:i w:val="0"/>
                <w:color w:val="5A5A5A"/>
                <w:sz w:val="18"/>
              </w:rPr>
              <w:t>#malnutrition  #lowbmi  #malabsorption  #sibo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Vitamin D deficiency</w:t>
            </w:r>
          </w:p>
        </w:tc>
        <w:tc>
          <w:tcPr>
            <w:tcW w:type="dxa" w:w="2160"/>
            <w:vAlign w:val="top"/>
          </w:tcPr>
          <w:p>
            <w:pPr>
              <w:spacing w:after="40" w:before="0" w:line="259" w:lineRule="auto"/>
            </w:pPr>
            <w:r>
              <w:rPr>
                <w:rFonts w:ascii="Calibri" w:hAnsi="Calibri"/>
                <w:b w:val="0"/>
                <w:i w:val="0"/>
                <w:color w:val="212121"/>
                <w:sz w:val="19"/>
              </w:rPr>
              <w:t>Housebound / GI-affected patients</w:t>
            </w:r>
          </w:p>
        </w:tc>
        <w:tc>
          <w:tcPr>
            <w:tcW w:type="dxa" w:w="4276"/>
            <w:vAlign w:val="top"/>
          </w:tcPr>
          <w:p>
            <w:pPr>
              <w:spacing w:after="60" w:line="259" w:lineRule="auto"/>
            </w:pPr>
            <w:r>
              <w:rPr>
                <w:rFonts w:ascii="Calibri" w:hAnsi="Calibri"/>
                <w:b w:val="0"/>
                <w:i w:val="0"/>
                <w:color w:val="212121"/>
                <w:sz w:val="19"/>
              </w:rPr>
              <w:t>Vitamin D deficiency is very common in India and is compounded in SSc by reduced outdoor activity, malabsorption and steroid use, adversely affecting bone health and possibly immune regulation.</w:t>
            </w:r>
          </w:p>
          <w:p>
            <w:pPr>
              <w:spacing w:after="40" w:before="60" w:line="259" w:lineRule="auto"/>
            </w:pPr>
            <w:r>
              <w:rPr>
                <w:rFonts w:ascii="Calibri" w:hAnsi="Calibri"/>
                <w:b w:val="0"/>
                <w:i w:val="0"/>
                <w:color w:val="212121"/>
                <w:sz w:val="19"/>
              </w:rPr>
              <w:t>Vitamin D deficiency is frequent in connective-tissue disease and is aggravated by malabsorption and reduced sun exposure.</w:t>
            </w:r>
          </w:p>
          <w:p>
            <w:pPr>
              <w:spacing w:before="60" w:after="40"/>
            </w:pPr>
            <w:r>
              <w:rPr>
                <w:rFonts w:ascii="Calibri" w:hAnsi="Calibri"/>
                <w:b w:val="0"/>
                <w:i w:val="0"/>
                <w:color w:val="5A5A5A"/>
                <w:sz w:val="18"/>
              </w:rPr>
              <w:t>#vitamind  #malabsorption  #bonehealth  #india</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SSc / autoimmunity</w:t>
            </w:r>
          </w:p>
        </w:tc>
        <w:tc>
          <w:tcPr>
            <w:tcW w:type="dxa" w:w="4276"/>
            <w:vAlign w:val="top"/>
          </w:tcPr>
          <w:p>
            <w:pPr>
              <w:spacing w:after="60" w:line="259" w:lineRule="auto"/>
            </w:pPr>
            <w:r>
              <w:rPr>
                <w:rFonts w:ascii="Calibri" w:hAnsi="Calibri"/>
                <w:b w:val="0"/>
                <w:i w:val="0"/>
                <w:color w:val="212121"/>
                <w:sz w:val="19"/>
              </w:rPr>
              <w:t>SSc clusters in families and shares susceptibility with other autoimmune diseases; although not directly inherited, a family history of scleroderma or autoimmunity increases individual risk.</w:t>
            </w:r>
          </w:p>
          <w:p>
            <w:pPr>
              <w:spacing w:after="40" w:before="60" w:line="259" w:lineRule="auto"/>
            </w:pPr>
            <w:r>
              <w:rPr>
                <w:rFonts w:ascii="Calibri" w:hAnsi="Calibri"/>
                <w:b w:val="0"/>
                <w:i w:val="0"/>
                <w:color w:val="212121"/>
                <w:sz w:val="19"/>
              </w:rPr>
              <w:t>Scleroderma is not passed directly from parent to child, but a family history of the disease or of autoimmunity raises risk.</w:t>
            </w:r>
          </w:p>
          <w:p>
            <w:pPr>
              <w:spacing w:after="40" w:line="252" w:lineRule="auto"/>
            </w:pPr>
            <w:hyperlink r:id="rId9">
              <w:r>
                <w:rPr>
                  <w:rFonts w:ascii="Calibri" w:hAnsi="Calibri" w:cs="Calibri"/>
                  <w:sz w:val="18"/>
                  <w:color w:val="1155CC"/>
                  <w:u w:val="single"/>
                </w:rPr>
                <w:t xml:space="preserve">niams.nih.gov — scleroderma</w:t>
              </w:r>
            </w:hyperlink>
          </w:p>
          <w:p>
            <w:pPr>
              <w:spacing w:before="60" w:after="40"/>
            </w:pPr>
            <w:r>
              <w:rPr>
                <w:rFonts w:ascii="Calibri" w:hAnsi="Calibri"/>
                <w:b w:val="0"/>
                <w:i w:val="0"/>
                <w:color w:val="5A5A5A"/>
                <w:sz w:val="18"/>
              </w:rPr>
              <w:t>#familyhistory  #autoimmunity  #hla  #susceptibility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Autoantibody / HLA subtype</w:t>
            </w:r>
          </w:p>
        </w:tc>
        <w:tc>
          <w:tcPr>
            <w:tcW w:type="dxa" w:w="2160"/>
            <w:vAlign w:val="top"/>
          </w:tcPr>
          <w:p>
            <w:pPr>
              <w:spacing w:after="40" w:before="0" w:line="259" w:lineRule="auto"/>
            </w:pPr>
            <w:r>
              <w:rPr>
                <w:rFonts w:ascii="Calibri" w:hAnsi="Calibri"/>
                <w:b w:val="0"/>
                <w:i w:val="0"/>
                <w:color w:val="212121"/>
                <w:sz w:val="19"/>
              </w:rPr>
              <w:t>Anti-Scl-70 &amp; anti-RNA polymerase III positive</w:t>
            </w:r>
          </w:p>
        </w:tc>
        <w:tc>
          <w:tcPr>
            <w:tcW w:type="dxa" w:w="4276"/>
            <w:vAlign w:val="top"/>
          </w:tcPr>
          <w:p>
            <w:pPr>
              <w:spacing w:after="60" w:line="259" w:lineRule="auto"/>
            </w:pPr>
            <w:r>
              <w:rPr>
                <w:rFonts w:ascii="Calibri" w:hAnsi="Calibri"/>
                <w:b w:val="0"/>
                <w:i w:val="0"/>
                <w:color w:val="212121"/>
                <w:sz w:val="19"/>
              </w:rPr>
              <w:t>Specific autoantibodies stratify risk: anti-topoisomerase I (Scl-70) predicts diffuse disease and interstitial lung disease, and anti-RNA polymerase III predicts rapidly progressive skin disease, scleroderma renal crisis and associated malignancy.</w:t>
            </w:r>
          </w:p>
          <w:p>
            <w:pPr>
              <w:spacing w:after="40" w:before="60" w:line="259" w:lineRule="auto"/>
            </w:pPr>
            <w:r>
              <w:rPr>
                <w:rFonts w:ascii="Calibri" w:hAnsi="Calibri"/>
                <w:b w:val="0"/>
                <w:i w:val="0"/>
                <w:color w:val="212121"/>
                <w:sz w:val="19"/>
              </w:rPr>
              <w:t>SSc-specific autoantibodies are found in about 60–70% of patients and are largely mutually exclusive, each marking a distinct organ and prognostic pattern.</w:t>
            </w:r>
          </w:p>
          <w:p>
            <w:pPr>
              <w:spacing w:after="40" w:line="252" w:lineRule="auto"/>
            </w:pPr>
            <w:hyperlink r:id="rId10">
              <w:r>
                <w:rPr>
                  <w:rFonts w:ascii="Calibri" w:hAnsi="Calibri" w:cs="Calibri"/>
                  <w:sz w:val="18"/>
                  <w:color w:val="1155CC"/>
                  <w:u w:val="single"/>
                </w:rPr>
                <w:t xml:space="preserve">ncbi.nlm.nih.gov/books/NBK430875 — StatPearls: Systemic Sclerosis</w:t>
              </w:r>
            </w:hyperlink>
          </w:p>
          <w:p>
            <w:pPr>
              <w:spacing w:before="60" w:after="40"/>
            </w:pPr>
            <w:r>
              <w:rPr>
                <w:rFonts w:ascii="Calibri" w:hAnsi="Calibri"/>
                <w:b w:val="0"/>
                <w:i w:val="0"/>
                <w:color w:val="5A5A5A"/>
                <w:sz w:val="18"/>
              </w:rPr>
              <w:t>#antiScl70  #antiRNApolIII  #anticentromere  #prognosis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Interstitial lung disease</w:t>
            </w:r>
          </w:p>
        </w:tc>
        <w:tc>
          <w:tcPr>
            <w:tcW w:type="dxa" w:w="2160"/>
            <w:vAlign w:val="top"/>
          </w:tcPr>
          <w:p>
            <w:pPr>
              <w:spacing w:after="40" w:before="0" w:line="259" w:lineRule="auto"/>
            </w:pPr>
            <w:r>
              <w:rPr>
                <w:rFonts w:ascii="Calibri" w:hAnsi="Calibri"/>
                <w:b w:val="0"/>
                <w:i w:val="0"/>
                <w:color w:val="212121"/>
                <w:sz w:val="19"/>
              </w:rPr>
              <w:t>SSc with lung involvement</w:t>
            </w:r>
          </w:p>
        </w:tc>
        <w:tc>
          <w:tcPr>
            <w:tcW w:type="dxa" w:w="4276"/>
            <w:vAlign w:val="top"/>
          </w:tcPr>
          <w:p>
            <w:pPr>
              <w:spacing w:after="60" w:line="259" w:lineRule="auto"/>
            </w:pPr>
            <w:r>
              <w:rPr>
                <w:rFonts w:ascii="Calibri" w:hAnsi="Calibri"/>
                <w:b w:val="0"/>
                <w:i w:val="0"/>
                <w:color w:val="212121"/>
                <w:sz w:val="19"/>
              </w:rPr>
              <w:t>Fibrosing lung disease (usually an NSIP pattern) is the leading cause of death in SSc; it is commonest in diffuse, anti-Scl-70-positive disease and prominent in Indian cohorts, mandating early HRCT and pulmonary-function screening.</w:t>
            </w:r>
          </w:p>
          <w:p>
            <w:pPr>
              <w:spacing w:after="40" w:before="60" w:line="259" w:lineRule="auto"/>
            </w:pPr>
            <w:r>
              <w:rPr>
                <w:rFonts w:ascii="Calibri" w:hAnsi="Calibri"/>
                <w:b w:val="0"/>
                <w:i w:val="0"/>
                <w:color w:val="212121"/>
                <w:sz w:val="19"/>
              </w:rPr>
              <w:t>Interstitial lung disease is clinically evident in about 50% of SSc patients (and up to ~80% at autopsy) and is the leading cause of scleroderma death.</w:t>
            </w:r>
          </w:p>
          <w:p>
            <w:pPr>
              <w:spacing w:after="40" w:line="252" w:lineRule="auto"/>
            </w:pPr>
            <w:hyperlink r:id="rId10">
              <w:r>
                <w:rPr>
                  <w:rFonts w:ascii="Calibri" w:hAnsi="Calibri" w:cs="Calibri"/>
                  <w:sz w:val="18"/>
                  <w:color w:val="1155CC"/>
                  <w:u w:val="single"/>
                </w:rPr>
                <w:t xml:space="preserve">ncbi.nlm.nih.gov/books/NBK430875 — StatPearls: Systemic Sclerosis</w:t>
              </w:r>
            </w:hyperlink>
          </w:p>
          <w:p>
            <w:pPr>
              <w:spacing w:before="60" w:after="40"/>
            </w:pPr>
            <w:r>
              <w:rPr>
                <w:rFonts w:ascii="Calibri" w:hAnsi="Calibri"/>
                <w:b w:val="0"/>
                <w:i w:val="0"/>
                <w:color w:val="5A5A5A"/>
                <w:sz w:val="18"/>
              </w:rPr>
              <w:t>#ild  #pulmonaryfibrosis  #nsip  #leadingcauseofdeath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Pulmonary arterial hypertension</w:t>
            </w:r>
          </w:p>
        </w:tc>
        <w:tc>
          <w:tcPr>
            <w:tcW w:type="dxa" w:w="2160"/>
            <w:vAlign w:val="top"/>
          </w:tcPr>
          <w:p>
            <w:pPr>
              <w:spacing w:after="40" w:before="0" w:line="259" w:lineRule="auto"/>
            </w:pPr>
            <w:r>
              <w:rPr>
                <w:rFonts w:ascii="Calibri" w:hAnsi="Calibri"/>
                <w:b w:val="0"/>
                <w:i w:val="0"/>
                <w:color w:val="212121"/>
                <w:sz w:val="19"/>
              </w:rPr>
              <w:t>Long-standing limited SSc</w:t>
            </w:r>
          </w:p>
        </w:tc>
        <w:tc>
          <w:tcPr>
            <w:tcW w:type="dxa" w:w="4276"/>
            <w:vAlign w:val="top"/>
          </w:tcPr>
          <w:p>
            <w:pPr>
              <w:spacing w:after="60" w:line="259" w:lineRule="auto"/>
            </w:pPr>
            <w:r>
              <w:rPr>
                <w:rFonts w:ascii="Calibri" w:hAnsi="Calibri"/>
                <w:b w:val="0"/>
                <w:i w:val="0"/>
                <w:color w:val="212121"/>
                <w:sz w:val="19"/>
              </w:rPr>
              <w:t>Obliterative pulmonary vasculopathy raises pulmonary artery pressure, causing progressive breathlessness and right-heart failure; it is a major cause of death, characteristically complicating long-standing limited cutaneous disease.</w:t>
            </w:r>
          </w:p>
          <w:p>
            <w:pPr>
              <w:spacing w:after="40" w:before="60" w:line="259" w:lineRule="auto"/>
            </w:pPr>
            <w:r>
              <w:rPr>
                <w:rFonts w:ascii="Calibri" w:hAnsi="Calibri"/>
                <w:b w:val="0"/>
                <w:i w:val="0"/>
                <w:color w:val="212121"/>
                <w:sz w:val="19"/>
              </w:rPr>
              <w:t>Pulmonary hypertension affects roughly 30–50% of SSc patients across the disease spectrum and is a leading cause of mortality.</w:t>
            </w:r>
          </w:p>
          <w:p>
            <w:pPr>
              <w:spacing w:after="40" w:line="252" w:lineRule="auto"/>
            </w:pPr>
            <w:hyperlink r:id="rId10">
              <w:r>
                <w:rPr>
                  <w:rFonts w:ascii="Calibri" w:hAnsi="Calibri" w:cs="Calibri"/>
                  <w:sz w:val="18"/>
                  <w:color w:val="1155CC"/>
                  <w:u w:val="single"/>
                </w:rPr>
                <w:t xml:space="preserve">ncbi.nlm.nih.gov/books/NBK430875 — StatPearls: Systemic Sclerosis</w:t>
              </w:r>
            </w:hyperlink>
          </w:p>
          <w:p>
            <w:pPr>
              <w:spacing w:before="60" w:after="40"/>
            </w:pPr>
            <w:r>
              <w:rPr>
                <w:rFonts w:ascii="Calibri" w:hAnsi="Calibri"/>
                <w:b w:val="0"/>
                <w:i w:val="0"/>
                <w:color w:val="5A5A5A"/>
                <w:sz w:val="18"/>
              </w:rPr>
              <w:t>#pah  #rightheartfailure  #limitedSSc  #breathlessness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Scleroderma renal crisis</w:t>
            </w:r>
          </w:p>
        </w:tc>
        <w:tc>
          <w:tcPr>
            <w:tcW w:type="dxa" w:w="2160"/>
            <w:vAlign w:val="top"/>
          </w:tcPr>
          <w:p>
            <w:pPr>
              <w:spacing w:after="40" w:before="0" w:line="259" w:lineRule="auto"/>
            </w:pPr>
            <w:r>
              <w:rPr>
                <w:rFonts w:ascii="Calibri" w:hAnsi="Calibri"/>
                <w:b w:val="0"/>
                <w:i w:val="0"/>
                <w:color w:val="212121"/>
                <w:sz w:val="19"/>
              </w:rPr>
              <w:t>Early diffuse, anti-RNA pol III positive</w:t>
            </w:r>
          </w:p>
        </w:tc>
        <w:tc>
          <w:tcPr>
            <w:tcW w:type="dxa" w:w="4276"/>
            <w:vAlign w:val="top"/>
          </w:tcPr>
          <w:p>
            <w:pPr>
              <w:spacing w:after="60" w:line="259" w:lineRule="auto"/>
            </w:pPr>
            <w:r>
              <w:rPr>
                <w:rFonts w:ascii="Calibri" w:hAnsi="Calibri"/>
                <w:b w:val="0"/>
                <w:i w:val="0"/>
                <w:color w:val="212121"/>
                <w:sz w:val="19"/>
              </w:rPr>
              <w:t>An abrupt malignant hypertension with acute kidney injury and microangiopathic haemolysis, typically in early diffuse disease and precipitated by high-dose corticosteroids; it is a treatable emergency managed with ACE inhibitors.</w:t>
            </w:r>
          </w:p>
          <w:p>
            <w:pPr>
              <w:spacing w:after="40" w:before="60" w:line="259" w:lineRule="auto"/>
            </w:pPr>
            <w:r>
              <w:rPr>
                <w:rFonts w:ascii="Calibri" w:hAnsi="Calibri"/>
                <w:b w:val="0"/>
                <w:i w:val="0"/>
                <w:color w:val="212121"/>
                <w:sz w:val="19"/>
              </w:rPr>
              <w:t>Scleroderma renal crisis occurs in about 10% of patients; once almost always fatal, one-year survival now exceeds 85% with prompt ACE-inhibitor therapy.</w:t>
            </w:r>
          </w:p>
          <w:p>
            <w:pPr>
              <w:spacing w:after="40" w:line="252" w:lineRule="auto"/>
            </w:pPr>
            <w:hyperlink r:id="rId10">
              <w:r>
                <w:rPr>
                  <w:rFonts w:ascii="Calibri" w:hAnsi="Calibri" w:cs="Calibri"/>
                  <w:sz w:val="18"/>
                  <w:color w:val="1155CC"/>
                  <w:u w:val="single"/>
                </w:rPr>
                <w:t xml:space="preserve">ncbi.nlm.nih.gov/books/NBK430875 — StatPearls: Systemic Sclerosis</w:t>
              </w:r>
            </w:hyperlink>
          </w:p>
          <w:p>
            <w:pPr>
              <w:spacing w:before="60" w:after="40"/>
            </w:pPr>
            <w:r>
              <w:rPr>
                <w:rFonts w:ascii="Calibri" w:hAnsi="Calibri"/>
                <w:b w:val="0"/>
                <w:i w:val="0"/>
                <w:color w:val="5A5A5A"/>
                <w:sz w:val="18"/>
              </w:rPr>
              <w:t>#renalcrisis  #aceinhibitor  #steroidrisk  #emergency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GERD / oesophageal dysmotility</w:t>
            </w:r>
          </w:p>
        </w:tc>
        <w:tc>
          <w:tcPr>
            <w:tcW w:type="dxa" w:w="2160"/>
            <w:vAlign w:val="top"/>
          </w:tcPr>
          <w:p>
            <w:pPr>
              <w:spacing w:after="40" w:before="0" w:line="259" w:lineRule="auto"/>
            </w:pPr>
            <w:r>
              <w:rPr>
                <w:rFonts w:ascii="Calibri" w:hAnsi="Calibri"/>
                <w:b w:val="0"/>
                <w:i w:val="0"/>
                <w:color w:val="212121"/>
                <w:sz w:val="19"/>
              </w:rPr>
              <w:t>Almost all SSc patients</w:t>
            </w:r>
          </w:p>
        </w:tc>
        <w:tc>
          <w:tcPr>
            <w:tcW w:type="dxa" w:w="4276"/>
            <w:vAlign w:val="top"/>
          </w:tcPr>
          <w:p>
            <w:pPr>
              <w:spacing w:after="60" w:line="259" w:lineRule="auto"/>
            </w:pPr>
            <w:r>
              <w:rPr>
                <w:rFonts w:ascii="Calibri" w:hAnsi="Calibri"/>
                <w:b w:val="0"/>
                <w:i w:val="0"/>
                <w:color w:val="212121"/>
                <w:sz w:val="19"/>
              </w:rPr>
              <w:t>Fibrosis and neuromyopathic damage of the oesophagus cause near-universal reflux and dysphagia, predisposing to strictures, aspiration (which can worsen ILD), Barrett's oesophagus and gastric antral vascular ectasia.</w:t>
            </w:r>
          </w:p>
          <w:p>
            <w:pPr>
              <w:spacing w:after="40" w:before="60" w:line="259" w:lineRule="auto"/>
            </w:pPr>
            <w:r>
              <w:rPr>
                <w:rFonts w:ascii="Calibri" w:hAnsi="Calibri"/>
                <w:b w:val="0"/>
                <w:i w:val="0"/>
                <w:color w:val="212121"/>
                <w:sz w:val="19"/>
              </w:rPr>
              <w:t>Oesophageal dysmotility affects up to 90% of SSc patients, and gastrointestinal involvement is almost universal.</w:t>
            </w:r>
          </w:p>
          <w:p>
            <w:pPr>
              <w:spacing w:after="40" w:line="252" w:lineRule="auto"/>
            </w:pPr>
            <w:hyperlink r:id="rId10">
              <w:r>
                <w:rPr>
                  <w:rFonts w:ascii="Calibri" w:hAnsi="Calibri" w:cs="Calibri"/>
                  <w:sz w:val="18"/>
                  <w:color w:val="1155CC"/>
                  <w:u w:val="single"/>
                </w:rPr>
                <w:t xml:space="preserve">ncbi.nlm.nih.gov/books/NBK430875 — StatPearls: Systemic Sclerosis</w:t>
              </w:r>
            </w:hyperlink>
          </w:p>
          <w:p>
            <w:pPr>
              <w:spacing w:before="60" w:after="40"/>
            </w:pPr>
            <w:r>
              <w:rPr>
                <w:rFonts w:ascii="Calibri" w:hAnsi="Calibri"/>
                <w:b w:val="0"/>
                <w:i w:val="0"/>
                <w:color w:val="5A5A5A"/>
                <w:sz w:val="18"/>
              </w:rPr>
              <w:t>#gerd  #dysphagia  #dysmotility  #aspiration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stretching, hand and mouth-opening exercises and graded aerobic activity preserve joint range, skin flexibility and cardiopulmonary fitness and help prevent the contractures and microstomia of progressive fibrosis; inactivity accelerates contractures and deconditioning. Exercise does not cause or worsen the underlying disease.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Small, frequent, low-acid meals eaten upright help control the near-universal reflux and dysmotility, while attention to protein, calorie and micronutrient intake counters the malnutrition of gut involvement; no diet cures SSc but nutritional support materially affects outcome.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Nocturnal acid reflux, breathlessness, pain and Raynaud's frequently fragment sleep; poor sleep worsens the fatigue and low mood that are common and disabling in scleroderma. Elevating the head of the bed improves both reflux and sleep.</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causes vasoconstriction that aggravates Raynaud's, digital ulcers and critical ischaemia, adds to cardiovascular risk and is detrimental in lung disease, making cessation a high-impact intervention in SSc.</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relaxes the lower oesophageal sphincter and worsens the reflux of SSc, and interacts with immunosuppressants (hepatotoxicity) and NSAIDs (gastrointestinal bleeding); intake is best minimised, especially on therapy.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anxiety and body-image distress are common in scleroderma because of chronic pain, fatigue, disfiguring skin and facial change, disability and sexual dysfunction, and interact bidirectionally with pain and perceived disease activity.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health, mucosal moisture and the renal safety of NSAIDs, and matters where dysphagia limits intake or renal function is impaired, but it has no direct effect on the fibrotic disease process.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can cause mild peripheral vasoconstriction that may aggravate Raynaud's, and it worsens reflux and sleep; effects on the disease itself are negligible and intake need only be moderated.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Meticulous skin and digital-ulcer care prevents secondary infection and gangrene, and good oral/dental hygiene is important given microstomia and reduced saliva; up-to-date vaccination reduces infection risk in patients on immunosuppression.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Cold exposure and emotional stress precipitate Raynaud's attacks and digital ischaemia; high-dose corticosteroids can trigger scleroderma renal crisis; and occupational silica/solvent exposure and infections can provoke or worsen disease — all are avoidable or modifiable triggers.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Remaining upright for 2–3 hours after meals and elevating the head of the bed reduce reflux and aspiration risk, and regular positioning and splinting help limit joint contractures; posture does not influence the underlying autoimmunity.</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Cold / thermal protection</w:t>
            </w:r>
          </w:p>
        </w:tc>
        <w:tc>
          <w:tcPr>
            <w:tcW w:type="dxa" w:w="1655"/>
            <w:vAlign w:val="top"/>
          </w:tcPr>
          <w:p>
            <w:pPr>
              <w:spacing w:after="40" w:before="0" w:line="259" w:lineRule="auto"/>
            </w:pPr>
            <w:r>
              <w:rPr>
                <w:rFonts w:ascii="Calibri" w:hAnsi="Calibri"/>
                <w:b w:val="0"/>
                <w:i w:val="0"/>
                <w:color w:val="212121"/>
                <w:sz w:val="19"/>
              </w:rPr>
              <w:t>All SSc patients with Raynaud's</w:t>
            </w:r>
          </w:p>
        </w:tc>
        <w:tc>
          <w:tcPr>
            <w:tcW w:type="dxa" w:w="1512"/>
            <w:vAlign w:val="top"/>
          </w:tcPr>
          <w:p>
            <w:pPr>
              <w:spacing w:after="40" w:before="0" w:line="259" w:lineRule="auto"/>
            </w:pPr>
            <w:r>
              <w:rPr>
                <w:rFonts w:ascii="Calibri" w:hAnsi="Calibri"/>
                <w:b w:val="0"/>
                <w:i w:val="0"/>
                <w:color w:val="212121"/>
                <w:sz w:val="19"/>
              </w:rPr>
              <w:t>Warm core &amp; extremities; avoid cold exposure</w:t>
            </w:r>
          </w:p>
        </w:tc>
        <w:tc>
          <w:tcPr>
            <w:tcW w:type="dxa" w:w="1512"/>
            <w:vAlign w:val="top"/>
          </w:tcPr>
          <w:p>
            <w:pPr>
              <w:spacing w:after="40" w:before="0" w:line="259" w:lineRule="auto"/>
            </w:pPr>
            <w:r>
              <w:rPr>
                <w:rFonts w:ascii="Calibri" w:hAnsi="Calibri"/>
                <w:b w:val="0"/>
                <w:i w:val="0"/>
                <w:color w:val="212121"/>
                <w:sz w:val="19"/>
              </w:rPr>
              <w:t>Cold exposure; smoking; stress</w:t>
            </w:r>
          </w:p>
        </w:tc>
        <w:tc>
          <w:tcPr>
            <w:tcW w:type="dxa" w:w="1468"/>
            <w:vAlign w:val="top"/>
          </w:tcPr>
          <w:p>
            <w:pPr>
              <w:spacing w:after="60" w:line="259" w:lineRule="auto"/>
            </w:pPr>
            <w:r>
              <w:rPr>
                <w:rFonts w:ascii="Calibri" w:hAnsi="Calibri"/>
                <w:b w:val="0"/>
                <w:i w:val="0"/>
                <w:color w:val="212121"/>
                <w:sz w:val="19"/>
              </w:rPr>
              <w:t>Cold and stress precipitate Raynaud's and digital ulcers</w:t>
            </w:r>
          </w:p>
          <w:p>
            <w:pPr>
              <w:spacing w:after="40" w:line="252" w:lineRule="auto"/>
            </w:pPr>
            <w:hyperlink r:id="rId10">
              <w:r>
                <w:rPr>
                  <w:rFonts w:ascii="Calibri" w:hAnsi="Calibri" w:cs="Calibri"/>
                  <w:sz w:val="18"/>
                  <w:color w:val="1155CC"/>
                  <w:u w:val="single"/>
                </w:rPr>
                <w:t xml:space="preserve">https://www.ncbi.nlm.nih.gov/books/NBK430875/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Modified Rodnan Skin Score (mRSS)</w:t>
            </w:r>
          </w:p>
        </w:tc>
        <w:tc>
          <w:tcPr>
            <w:tcW w:type="dxa" w:w="1655"/>
            <w:vAlign w:val="top"/>
          </w:tcPr>
          <w:p>
            <w:pPr>
              <w:spacing w:after="40" w:before="0" w:line="259" w:lineRule="auto"/>
            </w:pPr>
            <w:r>
              <w:rPr>
                <w:rFonts w:ascii="Calibri" w:hAnsi="Calibri"/>
                <w:b w:val="0"/>
                <w:i w:val="0"/>
                <w:color w:val="212121"/>
                <w:sz w:val="19"/>
              </w:rPr>
              <w:t>All SSc, esp. diffuse</w:t>
            </w:r>
          </w:p>
        </w:tc>
        <w:tc>
          <w:tcPr>
            <w:tcW w:type="dxa" w:w="1512"/>
            <w:vAlign w:val="top"/>
          </w:tcPr>
          <w:p>
            <w:pPr>
              <w:spacing w:after="40" w:before="0" w:line="259" w:lineRule="auto"/>
            </w:pPr>
            <w:r>
              <w:rPr>
                <w:rFonts w:ascii="Calibri" w:hAnsi="Calibri"/>
                <w:b w:val="0"/>
                <w:i w:val="0"/>
                <w:color w:val="212121"/>
                <w:sz w:val="19"/>
              </w:rPr>
              <w:t>Low / stable</w:t>
            </w:r>
          </w:p>
        </w:tc>
        <w:tc>
          <w:tcPr>
            <w:tcW w:type="dxa" w:w="1512"/>
            <w:vAlign w:val="top"/>
          </w:tcPr>
          <w:p>
            <w:pPr>
              <w:spacing w:after="40" w:before="0" w:line="259" w:lineRule="auto"/>
            </w:pPr>
            <w:r>
              <w:rPr>
                <w:rFonts w:ascii="Calibri" w:hAnsi="Calibri"/>
                <w:b w:val="0"/>
                <w:i w:val="0"/>
                <w:color w:val="212121"/>
                <w:sz w:val="19"/>
              </w:rPr>
              <w:t>Rising score</w:t>
            </w:r>
          </w:p>
        </w:tc>
        <w:tc>
          <w:tcPr>
            <w:tcW w:type="dxa" w:w="1468"/>
            <w:vAlign w:val="top"/>
          </w:tcPr>
          <w:p>
            <w:pPr>
              <w:spacing w:after="40" w:before="0" w:line="259" w:lineRule="auto"/>
            </w:pPr>
            <w:r>
              <w:rPr>
                <w:rFonts w:ascii="Calibri" w:hAnsi="Calibri"/>
                <w:b w:val="0"/>
                <w:i w:val="0"/>
                <w:color w:val="212121"/>
                <w:sz w:val="19"/>
              </w:rPr>
              <w:t>Bedside measure of skin thickness tracking disease progression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FVC &amp; DLCO (pulmonary function)</w:t>
            </w:r>
          </w:p>
        </w:tc>
        <w:tc>
          <w:tcPr>
            <w:tcW w:type="dxa" w:w="1655"/>
            <w:vAlign w:val="top"/>
          </w:tcPr>
          <w:p>
            <w:pPr>
              <w:spacing w:after="40" w:before="0" w:line="259" w:lineRule="auto"/>
            </w:pPr>
            <w:r>
              <w:rPr>
                <w:rFonts w:ascii="Calibri" w:hAnsi="Calibri"/>
                <w:b w:val="0"/>
                <w:i w:val="0"/>
                <w:color w:val="212121"/>
                <w:sz w:val="19"/>
              </w:rPr>
              <w:t>All SSc (ILD/PAH surveillance)</w:t>
            </w:r>
          </w:p>
        </w:tc>
        <w:tc>
          <w:tcPr>
            <w:tcW w:type="dxa" w:w="1512"/>
            <w:vAlign w:val="top"/>
          </w:tcPr>
          <w:p>
            <w:pPr>
              <w:spacing w:after="40" w:before="0" w:line="259" w:lineRule="auto"/>
            </w:pPr>
            <w:r>
              <w:rPr>
                <w:rFonts w:ascii="Calibri" w:hAnsi="Calibri"/>
                <w:b w:val="0"/>
                <w:i w:val="0"/>
                <w:color w:val="212121"/>
                <w:sz w:val="19"/>
              </w:rPr>
              <w:t>Normal, stable</w:t>
            </w:r>
          </w:p>
        </w:tc>
        <w:tc>
          <w:tcPr>
            <w:tcW w:type="dxa" w:w="1512"/>
            <w:vAlign w:val="top"/>
          </w:tcPr>
          <w:p>
            <w:pPr>
              <w:spacing w:after="40" w:before="0" w:line="259" w:lineRule="auto"/>
            </w:pPr>
            <w:r>
              <w:rPr>
                <w:rFonts w:ascii="Calibri" w:hAnsi="Calibri"/>
                <w:b w:val="0"/>
                <w:i w:val="0"/>
                <w:color w:val="212121"/>
                <w:sz w:val="19"/>
              </w:rPr>
              <w:t>Falling FVC; isolated low DLCO</w:t>
            </w:r>
          </w:p>
        </w:tc>
        <w:tc>
          <w:tcPr>
            <w:tcW w:type="dxa" w:w="1468"/>
            <w:vAlign w:val="top"/>
          </w:tcPr>
          <w:p>
            <w:pPr>
              <w:spacing w:after="60" w:line="259" w:lineRule="auto"/>
            </w:pPr>
            <w:r>
              <w:rPr>
                <w:rFonts w:ascii="Calibri" w:hAnsi="Calibri"/>
                <w:b w:val="0"/>
                <w:i w:val="0"/>
                <w:color w:val="212121"/>
                <w:sz w:val="19"/>
              </w:rPr>
              <w:t>Declining FVC signals ILD; isolated low DLCO flags pulmonary hypertension</w:t>
            </w:r>
          </w:p>
          <w:p>
            <w:pPr>
              <w:spacing w:after="40" w:line="252" w:lineRule="auto"/>
            </w:pPr>
            <w:hyperlink r:id="rId10">
              <w:r>
                <w:rPr>
                  <w:rFonts w:ascii="Calibri" w:hAnsi="Calibri" w:cs="Calibri"/>
                  <w:sz w:val="18"/>
                  <w:color w:val="1155CC"/>
                  <w:u w:val="single"/>
                </w:rPr>
                <w:t xml:space="preserve">https://www.ncbi.nlm.nih.gov/books/NBK430875/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Blood pressure (renal-crisis watch)</w:t>
            </w:r>
          </w:p>
        </w:tc>
        <w:tc>
          <w:tcPr>
            <w:tcW w:type="dxa" w:w="1655"/>
            <w:vAlign w:val="top"/>
          </w:tcPr>
          <w:p>
            <w:pPr>
              <w:spacing w:after="40" w:before="0" w:line="259" w:lineRule="auto"/>
            </w:pPr>
            <w:r>
              <w:rPr>
                <w:rFonts w:ascii="Calibri" w:hAnsi="Calibri"/>
                <w:b w:val="0"/>
                <w:i w:val="0"/>
                <w:color w:val="212121"/>
                <w:sz w:val="19"/>
              </w:rPr>
              <w:t>Early diffuse SSc</w:t>
            </w:r>
          </w:p>
        </w:tc>
        <w:tc>
          <w:tcPr>
            <w:tcW w:type="dxa" w:w="1512"/>
            <w:vAlign w:val="top"/>
          </w:tcPr>
          <w:p>
            <w:pPr>
              <w:spacing w:after="40" w:before="0" w:line="259" w:lineRule="auto"/>
            </w:pPr>
            <w:r>
              <w:rPr>
                <w:rFonts w:ascii="Calibri" w:hAnsi="Calibri"/>
                <w:b w:val="0"/>
                <w:i w:val="0"/>
                <w:color w:val="212121"/>
                <w:sz w:val="19"/>
              </w:rPr>
              <w:t>&lt; 130/80 mmHg</w:t>
            </w:r>
          </w:p>
        </w:tc>
        <w:tc>
          <w:tcPr>
            <w:tcW w:type="dxa" w:w="1512"/>
            <w:vAlign w:val="top"/>
          </w:tcPr>
          <w:p>
            <w:pPr>
              <w:spacing w:after="40" w:before="0" w:line="259" w:lineRule="auto"/>
            </w:pPr>
            <w:r>
              <w:rPr>
                <w:rFonts w:ascii="Calibri" w:hAnsi="Calibri"/>
                <w:b w:val="0"/>
                <w:i w:val="0"/>
                <w:color w:val="212121"/>
                <w:sz w:val="19"/>
              </w:rPr>
              <w:t>Abrupt rise / new hypertension</w:t>
            </w:r>
          </w:p>
        </w:tc>
        <w:tc>
          <w:tcPr>
            <w:tcW w:type="dxa" w:w="1468"/>
            <w:vAlign w:val="top"/>
          </w:tcPr>
          <w:p>
            <w:pPr>
              <w:spacing w:after="60" w:line="259" w:lineRule="auto"/>
            </w:pPr>
            <w:r>
              <w:rPr>
                <w:rFonts w:ascii="Calibri" w:hAnsi="Calibri"/>
                <w:b w:val="0"/>
                <w:i w:val="0"/>
                <w:color w:val="212121"/>
                <w:sz w:val="19"/>
              </w:rPr>
              <w:t>New hypertension may herald scleroderma renal crisis — urgent</w:t>
            </w:r>
          </w:p>
          <w:p>
            <w:pPr>
              <w:spacing w:after="40" w:line="252" w:lineRule="auto"/>
            </w:pPr>
            <w:hyperlink r:id="rId10">
              <w:r>
                <w:rPr>
                  <w:rFonts w:ascii="Calibri" w:hAnsi="Calibri" w:cs="Calibri"/>
                  <w:sz w:val="18"/>
                  <w:color w:val="1155CC"/>
                  <w:u w:val="single"/>
                </w:rPr>
                <w:t xml:space="preserve">https://www.ncbi.nlm.nih.gov/books/NBK430875/</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Hand &amp; mouth range-of-motion</w:t>
            </w:r>
          </w:p>
        </w:tc>
        <w:tc>
          <w:tcPr>
            <w:tcW w:type="dxa" w:w="1655"/>
            <w:vAlign w:val="top"/>
          </w:tcPr>
          <w:p>
            <w:pPr>
              <w:spacing w:after="40" w:before="0" w:line="259" w:lineRule="auto"/>
            </w:pPr>
            <w:r>
              <w:rPr>
                <w:rFonts w:ascii="Calibri" w:hAnsi="Calibri"/>
                <w:b w:val="0"/>
                <w:i w:val="0"/>
                <w:color w:val="212121"/>
                <w:sz w:val="19"/>
              </w:rPr>
              <w:t>Patients with skin/joint tightening</w:t>
            </w:r>
          </w:p>
        </w:tc>
        <w:tc>
          <w:tcPr>
            <w:tcW w:type="dxa" w:w="1512"/>
            <w:vAlign w:val="top"/>
          </w:tcPr>
          <w:p>
            <w:pPr>
              <w:spacing w:after="40" w:before="0" w:line="259" w:lineRule="auto"/>
            </w:pPr>
            <w:r>
              <w:rPr>
                <w:rFonts w:ascii="Calibri" w:hAnsi="Calibri"/>
                <w:b w:val="0"/>
                <w:i w:val="0"/>
                <w:color w:val="212121"/>
                <w:sz w:val="19"/>
              </w:rPr>
              <w:t>Maintained ROM; daily exercises</w:t>
            </w:r>
          </w:p>
        </w:tc>
        <w:tc>
          <w:tcPr>
            <w:tcW w:type="dxa" w:w="1512"/>
            <w:vAlign w:val="top"/>
          </w:tcPr>
          <w:p>
            <w:pPr>
              <w:spacing w:after="40" w:before="0" w:line="259" w:lineRule="auto"/>
            </w:pPr>
            <w:r>
              <w:rPr>
                <w:rFonts w:ascii="Calibri" w:hAnsi="Calibri"/>
                <w:b w:val="0"/>
                <w:i w:val="0"/>
                <w:color w:val="212121"/>
                <w:sz w:val="19"/>
              </w:rPr>
              <w:t>Progressive contracture / microstomia</w:t>
            </w:r>
          </w:p>
        </w:tc>
        <w:tc>
          <w:tcPr>
            <w:tcW w:type="dxa" w:w="1468"/>
            <w:vAlign w:val="top"/>
          </w:tcPr>
          <w:p>
            <w:pPr>
              <w:spacing w:after="40" w:before="0" w:line="259" w:lineRule="auto"/>
            </w:pPr>
            <w:r>
              <w:rPr>
                <w:rFonts w:ascii="Calibri" w:hAnsi="Calibri"/>
                <w:b w:val="0"/>
                <w:i w:val="0"/>
                <w:color w:val="212121"/>
                <w:sz w:val="19"/>
              </w:rPr>
              <w:t>Daily stretching preserves hand and mouth function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Patients with GI involvement</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(undernutrition)</w:t>
            </w:r>
          </w:p>
        </w:tc>
        <w:tc>
          <w:tcPr>
            <w:tcW w:type="dxa" w:w="1468"/>
            <w:vAlign w:val="top"/>
          </w:tcPr>
          <w:p>
            <w:pPr>
              <w:spacing w:after="40" w:before="0" w:line="259" w:lineRule="auto"/>
            </w:pPr>
            <w:r>
              <w:rPr>
                <w:rFonts w:ascii="Calibri" w:hAnsi="Calibri"/>
                <w:b w:val="0"/>
                <w:i w:val="0"/>
                <w:color w:val="212121"/>
                <w:sz w:val="19"/>
              </w:rPr>
              <w:t>Low BMI marks severe gut disease and predicts worse outcome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Reflux control (small, upright meals)</w:t>
            </w:r>
          </w:p>
        </w:tc>
        <w:tc>
          <w:tcPr>
            <w:tcW w:type="dxa" w:w="1655"/>
            <w:vAlign w:val="top"/>
          </w:tcPr>
          <w:p>
            <w:pPr>
              <w:spacing w:after="40" w:before="0" w:line="259" w:lineRule="auto"/>
            </w:pPr>
            <w:r>
              <w:rPr>
                <w:rFonts w:ascii="Calibri" w:hAnsi="Calibri"/>
                <w:b w:val="0"/>
                <w:i w:val="0"/>
                <w:color w:val="212121"/>
                <w:sz w:val="19"/>
              </w:rPr>
              <w:t>SSc with GERD/dysmotility</w:t>
            </w:r>
          </w:p>
        </w:tc>
        <w:tc>
          <w:tcPr>
            <w:tcW w:type="dxa" w:w="1512"/>
            <w:vAlign w:val="top"/>
          </w:tcPr>
          <w:p>
            <w:pPr>
              <w:spacing w:after="40" w:before="0" w:line="259" w:lineRule="auto"/>
            </w:pPr>
            <w:r>
              <w:rPr>
                <w:rFonts w:ascii="Calibri" w:hAnsi="Calibri"/>
                <w:b w:val="0"/>
                <w:i w:val="0"/>
                <w:color w:val="212121"/>
                <w:sz w:val="19"/>
              </w:rPr>
              <w:t>Symptom-free on PPI + measures</w:t>
            </w:r>
          </w:p>
        </w:tc>
        <w:tc>
          <w:tcPr>
            <w:tcW w:type="dxa" w:w="1512"/>
            <w:vAlign w:val="top"/>
          </w:tcPr>
          <w:p>
            <w:pPr>
              <w:spacing w:after="40" w:before="0" w:line="259" w:lineRule="auto"/>
            </w:pPr>
            <w:r>
              <w:rPr>
                <w:rFonts w:ascii="Calibri" w:hAnsi="Calibri"/>
                <w:b w:val="0"/>
                <w:i w:val="0"/>
                <w:color w:val="212121"/>
                <w:sz w:val="19"/>
              </w:rPr>
              <w:t>Persistent reflux/dysphagia</w:t>
            </w:r>
          </w:p>
        </w:tc>
        <w:tc>
          <w:tcPr>
            <w:tcW w:type="dxa" w:w="1468"/>
            <w:vAlign w:val="top"/>
          </w:tcPr>
          <w:p>
            <w:pPr>
              <w:spacing w:after="40" w:before="0" w:line="259" w:lineRule="auto"/>
            </w:pPr>
            <w:r>
              <w:rPr>
                <w:rFonts w:ascii="Calibri" w:hAnsi="Calibri"/>
                <w:b w:val="0"/>
                <w:i w:val="0"/>
                <w:color w:val="212121"/>
                <w:sz w:val="19"/>
              </w:rPr>
              <w:t>Reduces strictures and aspiration that can worsen ILD</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25-hydroxyvitamin D</w:t>
            </w:r>
          </w:p>
        </w:tc>
        <w:tc>
          <w:tcPr>
            <w:tcW w:type="dxa" w:w="1655"/>
            <w:vAlign w:val="top"/>
          </w:tcPr>
          <w:p>
            <w:pPr>
              <w:spacing w:after="40" w:before="0" w:line="259" w:lineRule="auto"/>
            </w:pPr>
            <w:r>
              <w:rPr>
                <w:rFonts w:ascii="Calibri" w:hAnsi="Calibri"/>
                <w:b w:val="0"/>
                <w:i w:val="0"/>
                <w:color w:val="212121"/>
                <w:sz w:val="19"/>
              </w:rPr>
              <w:t>Housebound / malabsorptive patients</w:t>
            </w:r>
          </w:p>
        </w:tc>
        <w:tc>
          <w:tcPr>
            <w:tcW w:type="dxa" w:w="1512"/>
            <w:vAlign w:val="top"/>
          </w:tcPr>
          <w:p>
            <w:pPr>
              <w:spacing w:after="40" w:before="0" w:line="259" w:lineRule="auto"/>
            </w:pPr>
            <w:r>
              <w:rPr>
                <w:rFonts w:ascii="Calibri" w:hAnsi="Calibri"/>
                <w:b w:val="0"/>
                <w:i w:val="0"/>
                <w:color w:val="212121"/>
                <w:sz w:val="19"/>
              </w:rPr>
              <w:t>≥ 30 ng/mL</w:t>
            </w:r>
          </w:p>
        </w:tc>
        <w:tc>
          <w:tcPr>
            <w:tcW w:type="dxa" w:w="1512"/>
            <w:vAlign w:val="top"/>
          </w:tcPr>
          <w:p>
            <w:pPr>
              <w:spacing w:after="40" w:before="0" w:line="259" w:lineRule="auto"/>
            </w:pPr>
            <w:r>
              <w:rPr>
                <w:rFonts w:ascii="Calibri" w:hAnsi="Calibri"/>
                <w:b w:val="0"/>
                <w:i w:val="0"/>
                <w:color w:val="212121"/>
                <w:sz w:val="19"/>
              </w:rPr>
              <w:t>&lt; 20 ng/mL</w:t>
            </w:r>
          </w:p>
        </w:tc>
        <w:tc>
          <w:tcPr>
            <w:tcW w:type="dxa" w:w="1468"/>
            <w:vAlign w:val="top"/>
          </w:tcPr>
          <w:p>
            <w:pPr>
              <w:spacing w:after="40" w:before="0" w:line="259" w:lineRule="auto"/>
            </w:pPr>
            <w:r>
              <w:rPr>
                <w:rFonts w:ascii="Calibri" w:hAnsi="Calibri"/>
                <w:b w:val="0"/>
                <w:i w:val="0"/>
                <w:color w:val="212121"/>
                <w:sz w:val="19"/>
              </w:rPr>
              <w:t>Deficiency common with malabsorption and steroid use</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Smokers with SSc</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Any smoking worsens digital ischaemia and vascular disease</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Patients on immunosuppressants/NSAIDs</w:t>
            </w:r>
          </w:p>
        </w:tc>
        <w:tc>
          <w:tcPr>
            <w:tcW w:type="dxa" w:w="1512"/>
            <w:vAlign w:val="top"/>
          </w:tcPr>
          <w:p>
            <w:pPr>
              <w:spacing w:after="40" w:before="0" w:line="259" w:lineRule="auto"/>
            </w:pPr>
            <w:r>
              <w:rPr>
                <w:rFonts w:ascii="Calibri" w:hAnsi="Calibri"/>
                <w:b w:val="0"/>
                <w:i w:val="0"/>
                <w:color w:val="212121"/>
                <w:sz w:val="19"/>
              </w:rPr>
              <w:t>Minimal; alcohol-free days</w:t>
            </w:r>
          </w:p>
        </w:tc>
        <w:tc>
          <w:tcPr>
            <w:tcW w:type="dxa" w:w="1512"/>
            <w:vAlign w:val="top"/>
          </w:tcPr>
          <w:p>
            <w:pPr>
              <w:spacing w:after="40" w:before="0" w:line="259" w:lineRule="auto"/>
            </w:pPr>
            <w:r>
              <w:rPr>
                <w:rFonts w:ascii="Calibri" w:hAnsi="Calibri"/>
                <w:b w:val="0"/>
                <w:i w:val="0"/>
                <w:color w:val="212121"/>
                <w:sz w:val="19"/>
              </w:rPr>
              <w:t>Regular/heavy intake</w:t>
            </w:r>
          </w:p>
        </w:tc>
        <w:tc>
          <w:tcPr>
            <w:tcW w:type="dxa" w:w="1468"/>
            <w:vAlign w:val="top"/>
          </w:tcPr>
          <w:p>
            <w:pPr>
              <w:spacing w:after="40" w:before="0" w:line="259" w:lineRule="auto"/>
            </w:pPr>
            <w:r>
              <w:rPr>
                <w:rFonts w:ascii="Calibri" w:hAnsi="Calibri"/>
                <w:b w:val="0"/>
                <w:i w:val="0"/>
                <w:color w:val="212121"/>
                <w:sz w:val="19"/>
              </w:rPr>
              <w:t>Aggravates reflux and drug hepatotoxicity/GI bleeding</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 (PHQ-9)</w:t>
            </w:r>
          </w:p>
        </w:tc>
        <w:tc>
          <w:tcPr>
            <w:tcW w:type="dxa" w:w="1655"/>
            <w:vAlign w:val="top"/>
          </w:tcPr>
          <w:p>
            <w:pPr>
              <w:spacing w:after="40" w:before="0" w:line="259" w:lineRule="auto"/>
            </w:pPr>
            <w:r>
              <w:rPr>
                <w:rFonts w:ascii="Calibri" w:hAnsi="Calibri"/>
                <w:b w:val="0"/>
                <w:i w:val="0"/>
                <w:color w:val="212121"/>
                <w:sz w:val="19"/>
              </w:rPr>
              <w:t>All SSc patients</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 10 (moderate+)</w:t>
            </w:r>
          </w:p>
        </w:tc>
        <w:tc>
          <w:tcPr>
            <w:tcW w:type="dxa" w:w="1468"/>
            <w:vAlign w:val="top"/>
          </w:tcPr>
          <w:p>
            <w:pPr>
              <w:spacing w:after="40" w:before="0" w:line="259" w:lineRule="auto"/>
            </w:pPr>
            <w:r>
              <w:rPr>
                <w:rFonts w:ascii="Calibri" w:hAnsi="Calibri"/>
                <w:b w:val="0"/>
                <w:i w:val="0"/>
                <w:color w:val="212121"/>
                <w:sz w:val="19"/>
              </w:rPr>
              <w:t>Depression/anxiety and body-image distress are common</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Head-of-bed elevation &amp; sleep quality</w:t>
            </w:r>
          </w:p>
        </w:tc>
        <w:tc>
          <w:tcPr>
            <w:tcW w:type="dxa" w:w="1655"/>
            <w:vAlign w:val="top"/>
          </w:tcPr>
          <w:p>
            <w:pPr>
              <w:spacing w:after="40" w:before="0" w:line="259" w:lineRule="auto"/>
            </w:pPr>
            <w:r>
              <w:rPr>
                <w:rFonts w:ascii="Calibri" w:hAnsi="Calibri"/>
                <w:b w:val="0"/>
                <w:i w:val="0"/>
                <w:color w:val="212121"/>
                <w:sz w:val="19"/>
              </w:rPr>
              <w:t>Patients with reflux/dyspnoea</w:t>
            </w:r>
          </w:p>
        </w:tc>
        <w:tc>
          <w:tcPr>
            <w:tcW w:type="dxa" w:w="1512"/>
            <w:vAlign w:val="top"/>
          </w:tcPr>
          <w:p>
            <w:pPr>
              <w:spacing w:after="40" w:before="0" w:line="259" w:lineRule="auto"/>
            </w:pPr>
            <w:r>
              <w:rPr>
                <w:rFonts w:ascii="Calibri" w:hAnsi="Calibri"/>
                <w:b w:val="0"/>
                <w:i w:val="0"/>
                <w:color w:val="212121"/>
                <w:sz w:val="19"/>
              </w:rPr>
              <w:t>Elevated head; 7–9 h restorative</w:t>
            </w:r>
          </w:p>
        </w:tc>
        <w:tc>
          <w:tcPr>
            <w:tcW w:type="dxa" w:w="1512"/>
            <w:vAlign w:val="top"/>
          </w:tcPr>
          <w:p>
            <w:pPr>
              <w:spacing w:after="40" w:before="0" w:line="259" w:lineRule="auto"/>
            </w:pPr>
            <w:r>
              <w:rPr>
                <w:rFonts w:ascii="Calibri" w:hAnsi="Calibri"/>
                <w:b w:val="0"/>
                <w:i w:val="0"/>
                <w:color w:val="212121"/>
                <w:sz w:val="19"/>
              </w:rPr>
              <w:t>Nocturnal reflux; &lt; 6 h</w:t>
            </w:r>
          </w:p>
        </w:tc>
        <w:tc>
          <w:tcPr>
            <w:tcW w:type="dxa" w:w="1468"/>
            <w:vAlign w:val="top"/>
          </w:tcPr>
          <w:p>
            <w:pPr>
              <w:spacing w:after="40" w:before="0" w:line="259" w:lineRule="auto"/>
            </w:pPr>
            <w:r>
              <w:rPr>
                <w:rFonts w:ascii="Calibri" w:hAnsi="Calibri"/>
                <w:b w:val="0"/>
                <w:i w:val="0"/>
                <w:color w:val="212121"/>
                <w:sz w:val="19"/>
              </w:rPr>
              <w:t>Positioning reduces reflux/aspiration and improves sleep</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Antinuclear antibody (ANA, HEp-2)</w:t>
            </w:r>
          </w:p>
        </w:tc>
        <w:tc>
          <w:tcPr>
            <w:tcW w:type="dxa" w:w="892"/>
            <w:vAlign w:val="top"/>
          </w:tcPr>
          <w:p>
            <w:pPr>
              <w:spacing w:after="40" w:before="0" w:line="259" w:lineRule="auto"/>
            </w:pPr>
            <w:r>
              <w:rPr>
                <w:rFonts w:ascii="Calibri" w:hAnsi="Calibri"/>
                <w:b w:val="0"/>
                <w:i w:val="0"/>
                <w:color w:val="212121"/>
                <w:sz w:val="16"/>
              </w:rPr>
              <w:t>Autoantibody screen</w:t>
            </w:r>
          </w:p>
        </w:tc>
        <w:tc>
          <w:tcPr>
            <w:tcW w:type="dxa" w:w="950"/>
            <w:vAlign w:val="top"/>
          </w:tcPr>
          <w:p>
            <w:pPr>
              <w:spacing w:after="40" w:before="0" w:line="259" w:lineRule="auto"/>
            </w:pPr>
            <w:r>
              <w:rPr>
                <w:rFonts w:ascii="Calibri" w:hAnsi="Calibri"/>
                <w:b w:val="0"/>
                <w:i w:val="0"/>
                <w:color w:val="212121"/>
                <w:sz w:val="16"/>
              </w:rPr>
              <w:t>Negative (&lt; 1:80)</w:t>
            </w:r>
          </w:p>
        </w:tc>
        <w:tc>
          <w:tcPr>
            <w:tcW w:type="dxa" w:w="950"/>
            <w:vAlign w:val="top"/>
          </w:tcPr>
          <w:p>
            <w:pPr>
              <w:spacing w:after="40" w:before="0" w:line="259" w:lineRule="auto"/>
            </w:pPr>
            <w:r>
              <w:rPr>
                <w:rFonts w:ascii="Calibri" w:hAnsi="Calibri"/>
                <w:b w:val="0"/>
                <w:i w:val="0"/>
                <w:color w:val="212121"/>
                <w:sz w:val="16"/>
              </w:rPr>
              <w:t>Positive — often nucleolar, centromere or speckled pattern</w:t>
            </w:r>
          </w:p>
        </w:tc>
        <w:tc>
          <w:tcPr>
            <w:tcW w:type="dxa" w:w="1036"/>
            <w:vAlign w:val="top"/>
          </w:tcPr>
          <w:p>
            <w:pPr>
              <w:spacing w:after="40" w:before="0" w:line="259" w:lineRule="auto"/>
            </w:pPr>
            <w:r>
              <w:rPr>
                <w:rFonts w:ascii="Calibri" w:hAnsi="Calibri"/>
                <w:b w:val="0"/>
                <w:i w:val="0"/>
                <w:color w:val="212121"/>
                <w:sz w:val="16"/>
              </w:rPr>
              <w:t>Positive in &gt; 90% of SSc; a sensitive screen whose immunofluorescence pattern directs specific-antibody testing.</w:t>
            </w:r>
          </w:p>
        </w:tc>
        <w:tc>
          <w:tcPr>
            <w:tcW w:type="dxa" w:w="1036"/>
            <w:vAlign w:val="top"/>
          </w:tcPr>
          <w:p>
            <w:pPr>
              <w:spacing w:after="40" w:before="0" w:line="259" w:lineRule="auto"/>
            </w:pPr>
            <w:r>
              <w:rPr>
                <w:rFonts w:ascii="Calibri" w:hAnsi="Calibri"/>
                <w:b w:val="0"/>
                <w:i w:val="0"/>
                <w:color w:val="212121"/>
                <w:sz w:val="16"/>
              </w:rPr>
              <w:t>Raynaud's with skin/organ features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Nucleolar and centromere patterns are particularly suggestive of SSc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SSc-specific autoantibodies</w:t>
            </w:r>
          </w:p>
        </w:tc>
        <w:tc>
          <w:tcPr>
            <w:tcW w:type="dxa" w:w="892"/>
            <w:vAlign w:val="top"/>
          </w:tcPr>
          <w:p>
            <w:pPr>
              <w:spacing w:after="40" w:before="0" w:line="259" w:lineRule="auto"/>
            </w:pPr>
            <w:r>
              <w:rPr>
                <w:rFonts w:ascii="Calibri" w:hAnsi="Calibri"/>
                <w:b w:val="0"/>
                <w:i w:val="0"/>
                <w:color w:val="212121"/>
                <w:sz w:val="16"/>
              </w:rPr>
              <w:t>Anti-Scl-70 / anti-centromere / anti-RNA pol III</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One antibody positive (usually mutually exclusive)</w:t>
            </w:r>
          </w:p>
        </w:tc>
        <w:tc>
          <w:tcPr>
            <w:tcW w:type="dxa" w:w="1036"/>
            <w:vAlign w:val="top"/>
          </w:tcPr>
          <w:p>
            <w:pPr>
              <w:spacing w:after="40" w:before="0" w:line="259" w:lineRule="auto"/>
            </w:pPr>
            <w:r>
              <w:rPr>
                <w:rFonts w:ascii="Calibri" w:hAnsi="Calibri"/>
                <w:b w:val="0"/>
                <w:i w:val="0"/>
                <w:color w:val="212121"/>
                <w:sz w:val="16"/>
              </w:rPr>
              <w:t>Define subtype and prognosis: anti-centromere → limited disease and PAH; anti-topoisomerase I (Scl-70) → diffuse disease and ILD; anti-RNA polymerase III → diffuse skin disease, renal crisis and malignancy risk.</w:t>
            </w:r>
          </w:p>
        </w:tc>
        <w:tc>
          <w:tcPr>
            <w:tcW w:type="dxa" w:w="1036"/>
            <w:vAlign w:val="top"/>
          </w:tcPr>
          <w:p>
            <w:pPr>
              <w:spacing w:after="40" w:before="0" w:line="259" w:lineRule="auto"/>
            </w:pPr>
            <w:r>
              <w:rPr>
                <w:rFonts w:ascii="Calibri" w:hAnsi="Calibri"/>
                <w:b w:val="0"/>
                <w:i w:val="0"/>
                <w:color w:val="212121"/>
                <w:sz w:val="16"/>
              </w:rPr>
              <w:t>Confirmed/suspected SSc</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prognostic</w:t>
            </w:r>
          </w:p>
        </w:tc>
        <w:tc>
          <w:tcPr>
            <w:tcW w:type="dxa" w:w="720"/>
            <w:vAlign w:val="top"/>
          </w:tcPr>
          <w:p>
            <w:pPr>
              <w:spacing w:after="40" w:before="0" w:line="259" w:lineRule="auto"/>
            </w:pPr>
            <w:r>
              <w:rPr>
                <w:rFonts w:ascii="Calibri" w:hAnsi="Calibri"/>
                <w:b w:val="0"/>
                <w:i w:val="0"/>
                <w:color w:val="212121"/>
                <w:sz w:val="16"/>
              </w:rPr>
              <w:t>Present in ~60–70% and largely mutually exclusive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Microvascular imaging</w:t>
            </w:r>
          </w:p>
        </w:tc>
        <w:tc>
          <w:tcPr>
            <w:tcW w:type="dxa" w:w="1036"/>
            <w:vAlign w:val="top"/>
          </w:tcPr>
          <w:p>
            <w:pPr>
              <w:spacing w:after="40" w:before="0" w:line="259" w:lineRule="auto"/>
            </w:pPr>
            <w:r>
              <w:rPr>
                <w:rFonts w:ascii="Calibri" w:hAnsi="Calibri"/>
                <w:b w:val="0"/>
                <w:i w:val="0"/>
                <w:color w:val="212121"/>
                <w:sz w:val="16"/>
              </w:rPr>
              <w:t>Nailfold capillaroscopy</w:t>
            </w:r>
          </w:p>
        </w:tc>
        <w:tc>
          <w:tcPr>
            <w:tcW w:type="dxa" w:w="892"/>
            <w:vAlign w:val="top"/>
          </w:tcPr>
          <w:p>
            <w:pPr>
              <w:spacing w:after="40" w:before="0" w:line="259" w:lineRule="auto"/>
            </w:pPr>
            <w:r>
              <w:rPr>
                <w:rFonts w:ascii="Calibri" w:hAnsi="Calibri"/>
                <w:b w:val="0"/>
                <w:i w:val="0"/>
                <w:color w:val="212121"/>
                <w:sz w:val="16"/>
              </w:rPr>
              <w:t>Capillaroscopy</w:t>
            </w:r>
          </w:p>
        </w:tc>
        <w:tc>
          <w:tcPr>
            <w:tcW w:type="dxa" w:w="950"/>
            <w:vAlign w:val="top"/>
          </w:tcPr>
          <w:p>
            <w:pPr>
              <w:spacing w:after="40" w:before="0" w:line="259" w:lineRule="auto"/>
            </w:pPr>
            <w:r>
              <w:rPr>
                <w:rFonts w:ascii="Calibri" w:hAnsi="Calibri"/>
                <w:b w:val="0"/>
                <w:i w:val="0"/>
                <w:color w:val="212121"/>
                <w:sz w:val="16"/>
              </w:rPr>
              <w:t>Regular capillary architecture</w:t>
            </w:r>
          </w:p>
        </w:tc>
        <w:tc>
          <w:tcPr>
            <w:tcW w:type="dxa" w:w="950"/>
            <w:vAlign w:val="top"/>
          </w:tcPr>
          <w:p>
            <w:pPr>
              <w:spacing w:after="40" w:before="0" w:line="259" w:lineRule="auto"/>
            </w:pPr>
            <w:r>
              <w:rPr>
                <w:rFonts w:ascii="Calibri" w:hAnsi="Calibri"/>
                <w:b w:val="0"/>
                <w:i w:val="0"/>
                <w:color w:val="212121"/>
                <w:sz w:val="16"/>
              </w:rPr>
              <w:t>Giant/dilated capillaries, microhaemorrhages, capillary dropout (“SSc pattern”)</w:t>
            </w:r>
          </w:p>
        </w:tc>
        <w:tc>
          <w:tcPr>
            <w:tcW w:type="dxa" w:w="1036"/>
            <w:vAlign w:val="top"/>
          </w:tcPr>
          <w:p>
            <w:pPr>
              <w:spacing w:after="40" w:before="0" w:line="259" w:lineRule="auto"/>
            </w:pPr>
            <w:r>
              <w:rPr>
                <w:rFonts w:ascii="Calibri" w:hAnsi="Calibri"/>
                <w:b w:val="0"/>
                <w:i w:val="0"/>
                <w:color w:val="212121"/>
                <w:sz w:val="16"/>
              </w:rPr>
              <w:t>Detects early scleroderma microangiopathy and helps distinguish primary from secondary Raynaud's; part of the ACR/EULAR criteria.</w:t>
            </w:r>
          </w:p>
        </w:tc>
        <w:tc>
          <w:tcPr>
            <w:tcW w:type="dxa" w:w="1036"/>
            <w:vAlign w:val="top"/>
          </w:tcPr>
          <w:p>
            <w:pPr>
              <w:spacing w:after="40" w:before="0" w:line="259" w:lineRule="auto"/>
            </w:pPr>
            <w:r>
              <w:rPr>
                <w:rFonts w:ascii="Calibri" w:hAnsi="Calibri"/>
                <w:b w:val="0"/>
                <w:i w:val="0"/>
                <w:color w:val="212121"/>
                <w:sz w:val="16"/>
              </w:rPr>
              <w:t>Patients with Raynaud's phenomenon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(early)</w:t>
            </w:r>
          </w:p>
        </w:tc>
        <w:tc>
          <w:tcPr>
            <w:tcW w:type="dxa" w:w="720"/>
            <w:vAlign w:val="top"/>
          </w:tcPr>
          <w:p>
            <w:pPr>
              <w:spacing w:after="40" w:before="0" w:line="259" w:lineRule="auto"/>
            </w:pPr>
            <w:r>
              <w:rPr>
                <w:rFonts w:ascii="Calibri" w:hAnsi="Calibri"/>
                <w:b w:val="0"/>
                <w:i w:val="0"/>
                <w:color w:val="212121"/>
                <w:sz w:val="16"/>
              </w:rPr>
              <w:t>Simple, non-invasive and valuable for early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Interstitial lung disease on HRCT</w:t>
            </w:r>
          </w:p>
        </w:tc>
        <w:tc>
          <w:tcPr>
            <w:tcW w:type="dxa" w:w="892"/>
            <w:vAlign w:val="top"/>
          </w:tcPr>
          <w:p>
            <w:pPr>
              <w:spacing w:after="40" w:before="0" w:line="259" w:lineRule="auto"/>
            </w:pPr>
            <w:r>
              <w:rPr>
                <w:rFonts w:ascii="Calibri" w:hAnsi="Calibri"/>
                <w:b w:val="0"/>
                <w:i w:val="0"/>
                <w:color w:val="212121"/>
                <w:sz w:val="16"/>
              </w:rPr>
              <w:t>High-resolution CT thorax</w:t>
            </w:r>
          </w:p>
        </w:tc>
        <w:tc>
          <w:tcPr>
            <w:tcW w:type="dxa" w:w="950"/>
            <w:vAlign w:val="top"/>
          </w:tcPr>
          <w:p>
            <w:pPr>
              <w:spacing w:after="40" w:before="0" w:line="259" w:lineRule="auto"/>
            </w:pPr>
            <w:r>
              <w:rPr>
                <w:rFonts w:ascii="Calibri" w:hAnsi="Calibri"/>
                <w:b w:val="0"/>
                <w:i w:val="0"/>
                <w:color w:val="212121"/>
                <w:sz w:val="16"/>
              </w:rPr>
              <w:t>No fibrosis</w:t>
            </w:r>
          </w:p>
        </w:tc>
        <w:tc>
          <w:tcPr>
            <w:tcW w:type="dxa" w:w="950"/>
            <w:vAlign w:val="top"/>
          </w:tcPr>
          <w:p>
            <w:pPr>
              <w:spacing w:after="40" w:before="0" w:line="259" w:lineRule="auto"/>
            </w:pPr>
            <w:r>
              <w:rPr>
                <w:rFonts w:ascii="Calibri" w:hAnsi="Calibri"/>
                <w:b w:val="0"/>
                <w:i w:val="0"/>
                <w:color w:val="212121"/>
                <w:sz w:val="16"/>
              </w:rPr>
              <w:t>Ground-glass, reticulation, traction bronchiectasis, honeycombing (usually NSIP)</w:t>
            </w:r>
          </w:p>
        </w:tc>
        <w:tc>
          <w:tcPr>
            <w:tcW w:type="dxa" w:w="1036"/>
            <w:vAlign w:val="top"/>
          </w:tcPr>
          <w:p>
            <w:pPr>
              <w:spacing w:after="40" w:before="0" w:line="259" w:lineRule="auto"/>
            </w:pPr>
            <w:r>
              <w:rPr>
                <w:rFonts w:ascii="Calibri" w:hAnsi="Calibri"/>
                <w:b w:val="0"/>
                <w:i w:val="0"/>
                <w:color w:val="212121"/>
                <w:sz w:val="16"/>
              </w:rPr>
              <w:t>Detects and stages ILD, the leading cause of SSc death; baseline HRCT is recommended in all patients.</w:t>
            </w:r>
          </w:p>
        </w:tc>
        <w:tc>
          <w:tcPr>
            <w:tcW w:type="dxa" w:w="1036"/>
            <w:vAlign w:val="top"/>
          </w:tcPr>
          <w:p>
            <w:pPr>
              <w:spacing w:after="40" w:before="0" w:line="259" w:lineRule="auto"/>
            </w:pPr>
            <w:r>
              <w:rPr>
                <w:rFonts w:ascii="Calibri" w:hAnsi="Calibri"/>
                <w:b w:val="0"/>
                <w:i w:val="0"/>
                <w:color w:val="212121"/>
                <w:sz w:val="16"/>
              </w:rPr>
              <w:t>All SSc, especially diffuse / anti-Scl-70</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 screening</w:t>
            </w:r>
          </w:p>
        </w:tc>
        <w:tc>
          <w:tcPr>
            <w:tcW w:type="dxa" w:w="720"/>
            <w:vAlign w:val="top"/>
          </w:tcPr>
          <w:p>
            <w:pPr>
              <w:spacing w:after="40" w:before="0" w:line="259" w:lineRule="auto"/>
            </w:pPr>
            <w:r>
              <w:rPr>
                <w:rFonts w:ascii="Calibri" w:hAnsi="Calibri"/>
                <w:b w:val="0"/>
                <w:i w:val="0"/>
                <w:color w:val="212121"/>
                <w:sz w:val="16"/>
              </w:rPr>
              <w:t>Combine with PFTs for baseline and monitoring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Physiology</w:t>
            </w:r>
          </w:p>
        </w:tc>
        <w:tc>
          <w:tcPr>
            <w:tcW w:type="dxa" w:w="1036"/>
            <w:vAlign w:val="top"/>
          </w:tcPr>
          <w:p>
            <w:pPr>
              <w:spacing w:after="40" w:before="0" w:line="259" w:lineRule="auto"/>
            </w:pPr>
            <w:r>
              <w:rPr>
                <w:rFonts w:ascii="Calibri" w:hAnsi="Calibri"/>
                <w:b w:val="0"/>
                <w:i w:val="0"/>
                <w:color w:val="212121"/>
                <w:sz w:val="16"/>
              </w:rPr>
              <w:t>FVC and DLCO</w:t>
            </w:r>
          </w:p>
        </w:tc>
        <w:tc>
          <w:tcPr>
            <w:tcW w:type="dxa" w:w="892"/>
            <w:vAlign w:val="top"/>
          </w:tcPr>
          <w:p>
            <w:pPr>
              <w:spacing w:after="40" w:before="0" w:line="259" w:lineRule="auto"/>
            </w:pPr>
            <w:r>
              <w:rPr>
                <w:rFonts w:ascii="Calibri" w:hAnsi="Calibri"/>
                <w:b w:val="0"/>
                <w:i w:val="0"/>
                <w:color w:val="212121"/>
                <w:sz w:val="16"/>
              </w:rPr>
              <w:t>Pulmonary function tests</w:t>
            </w:r>
          </w:p>
        </w:tc>
        <w:tc>
          <w:tcPr>
            <w:tcW w:type="dxa" w:w="950"/>
            <w:vAlign w:val="top"/>
          </w:tcPr>
          <w:p>
            <w:pPr>
              <w:spacing w:after="40" w:before="0" w:line="259" w:lineRule="auto"/>
            </w:pPr>
            <w:r>
              <w:rPr>
                <w:rFonts w:ascii="Calibri" w:hAnsi="Calibri"/>
                <w:b w:val="0"/>
                <w:i w:val="0"/>
                <w:color w:val="212121"/>
                <w:sz w:val="16"/>
              </w:rPr>
              <w:t>FVC and DLCO within normal range</w:t>
            </w:r>
          </w:p>
        </w:tc>
        <w:tc>
          <w:tcPr>
            <w:tcW w:type="dxa" w:w="950"/>
            <w:vAlign w:val="top"/>
          </w:tcPr>
          <w:p>
            <w:pPr>
              <w:spacing w:after="40" w:before="0" w:line="259" w:lineRule="auto"/>
            </w:pPr>
            <w:r>
              <w:rPr>
                <w:rFonts w:ascii="Calibri" w:hAnsi="Calibri"/>
                <w:b w:val="0"/>
                <w:i w:val="0"/>
                <w:color w:val="212121"/>
                <w:sz w:val="16"/>
              </w:rPr>
              <w:t>Restrictive pattern with reduced FVC; isolated low DLCO</w:t>
            </w:r>
          </w:p>
        </w:tc>
        <w:tc>
          <w:tcPr>
            <w:tcW w:type="dxa" w:w="1036"/>
            <w:vAlign w:val="top"/>
          </w:tcPr>
          <w:p>
            <w:pPr>
              <w:spacing w:after="40" w:before="0" w:line="259" w:lineRule="auto"/>
            </w:pPr>
            <w:r>
              <w:rPr>
                <w:rFonts w:ascii="Calibri" w:hAnsi="Calibri"/>
                <w:b w:val="0"/>
                <w:i w:val="0"/>
                <w:color w:val="212121"/>
                <w:sz w:val="16"/>
              </w:rPr>
              <w:t>Monitors ILD severity and progression; an isolated fall in DLCO out of proportion to FVC suggests pulmonary arterial hypertension.</w:t>
            </w:r>
          </w:p>
        </w:tc>
        <w:tc>
          <w:tcPr>
            <w:tcW w:type="dxa" w:w="1036"/>
            <w:vAlign w:val="top"/>
          </w:tcPr>
          <w:p>
            <w:pPr>
              <w:spacing w:after="40" w:before="0" w:line="259" w:lineRule="auto"/>
            </w:pPr>
            <w:r>
              <w:rPr>
                <w:rFonts w:ascii="Calibri" w:hAnsi="Calibri"/>
                <w:b w:val="0"/>
                <w:i w:val="0"/>
                <w:color w:val="212121"/>
                <w:sz w:val="16"/>
              </w:rPr>
              <w:t>All SSc (serial monitoring)</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Monitoring / high</w:t>
            </w:r>
          </w:p>
        </w:tc>
        <w:tc>
          <w:tcPr>
            <w:tcW w:type="dxa" w:w="720"/>
            <w:vAlign w:val="top"/>
          </w:tcPr>
          <w:p>
            <w:pPr>
              <w:spacing w:after="40" w:before="0" w:line="259" w:lineRule="auto"/>
            </w:pPr>
            <w:r>
              <w:rPr>
                <w:rFonts w:ascii="Calibri" w:hAnsi="Calibri"/>
                <w:b w:val="0"/>
                <w:i w:val="0"/>
                <w:color w:val="212121"/>
                <w:sz w:val="16"/>
              </w:rPr>
              <w:t>Serial testing detects progressive ILD early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Cardiology</w:t>
            </w:r>
          </w:p>
        </w:tc>
        <w:tc>
          <w:tcPr>
            <w:tcW w:type="dxa" w:w="1036"/>
            <w:vAlign w:val="top"/>
          </w:tcPr>
          <w:p>
            <w:pPr>
              <w:spacing w:after="40" w:before="0" w:line="259" w:lineRule="auto"/>
            </w:pPr>
            <w:r>
              <w:rPr>
                <w:rFonts w:ascii="Calibri" w:hAnsi="Calibri"/>
                <w:b w:val="0"/>
                <w:i w:val="0"/>
                <w:color w:val="212121"/>
                <w:sz w:val="16"/>
              </w:rPr>
              <w:t>Pulmonary artery pressure</w:t>
            </w:r>
          </w:p>
        </w:tc>
        <w:tc>
          <w:tcPr>
            <w:tcW w:type="dxa" w:w="892"/>
            <w:vAlign w:val="top"/>
          </w:tcPr>
          <w:p>
            <w:pPr>
              <w:spacing w:after="40" w:before="0" w:line="259" w:lineRule="auto"/>
            </w:pPr>
            <w:r>
              <w:rPr>
                <w:rFonts w:ascii="Calibri" w:hAnsi="Calibri"/>
                <w:b w:val="0"/>
                <w:i w:val="0"/>
                <w:color w:val="212121"/>
                <w:sz w:val="16"/>
              </w:rPr>
              <w:t>Echocardiography ± right-heart catheterisation</w:t>
            </w:r>
          </w:p>
        </w:tc>
        <w:tc>
          <w:tcPr>
            <w:tcW w:type="dxa" w:w="950"/>
            <w:vAlign w:val="top"/>
          </w:tcPr>
          <w:p>
            <w:pPr>
              <w:spacing w:after="40" w:before="0" w:line="259" w:lineRule="auto"/>
            </w:pPr>
            <w:r>
              <w:rPr>
                <w:rFonts w:ascii="Calibri" w:hAnsi="Calibri"/>
                <w:b w:val="0"/>
                <w:i w:val="0"/>
                <w:color w:val="212121"/>
                <w:sz w:val="16"/>
              </w:rPr>
              <w:t>Mean PAP ≤ 20 mmHg</w:t>
            </w:r>
          </w:p>
        </w:tc>
        <w:tc>
          <w:tcPr>
            <w:tcW w:type="dxa" w:w="950"/>
            <w:vAlign w:val="top"/>
          </w:tcPr>
          <w:p>
            <w:pPr>
              <w:spacing w:after="40" w:before="0" w:line="259" w:lineRule="auto"/>
            </w:pPr>
            <w:r>
              <w:rPr>
                <w:rFonts w:ascii="Calibri" w:hAnsi="Calibri"/>
                <w:b w:val="0"/>
                <w:i w:val="0"/>
                <w:color w:val="212121"/>
                <w:sz w:val="16"/>
              </w:rPr>
              <w:t>Raised estimated PASP on echo; mean PAP &gt; 20 mmHg with elevated PVR on RHC</w:t>
            </w:r>
          </w:p>
        </w:tc>
        <w:tc>
          <w:tcPr>
            <w:tcW w:type="dxa" w:w="1036"/>
            <w:vAlign w:val="top"/>
          </w:tcPr>
          <w:p>
            <w:pPr>
              <w:spacing w:after="40" w:before="0" w:line="259" w:lineRule="auto"/>
            </w:pPr>
            <w:r>
              <w:rPr>
                <w:rFonts w:ascii="Calibri" w:hAnsi="Calibri"/>
                <w:b w:val="0"/>
                <w:i w:val="0"/>
                <w:color w:val="212121"/>
                <w:sz w:val="16"/>
              </w:rPr>
              <w:t>Screens for and confirms pulmonary arterial hypertension; right-heart catheterisation is the diagnostic gold standard.</w:t>
            </w:r>
          </w:p>
        </w:tc>
        <w:tc>
          <w:tcPr>
            <w:tcW w:type="dxa" w:w="1036"/>
            <w:vAlign w:val="top"/>
          </w:tcPr>
          <w:p>
            <w:pPr>
              <w:spacing w:after="40" w:before="0" w:line="259" w:lineRule="auto"/>
            </w:pPr>
            <w:r>
              <w:rPr>
                <w:rFonts w:ascii="Calibri" w:hAnsi="Calibri"/>
                <w:b w:val="0"/>
                <w:i w:val="0"/>
                <w:color w:val="212121"/>
                <w:sz w:val="16"/>
              </w:rPr>
              <w:t>Long-standing SSc, unexplained dyspnoea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diagnostic</w:t>
            </w:r>
          </w:p>
        </w:tc>
        <w:tc>
          <w:tcPr>
            <w:tcW w:type="dxa" w:w="720"/>
            <w:vAlign w:val="top"/>
          </w:tcPr>
          <w:p>
            <w:pPr>
              <w:spacing w:after="40" w:before="0" w:line="259" w:lineRule="auto"/>
            </w:pPr>
            <w:r>
              <w:rPr>
                <w:rFonts w:ascii="Calibri" w:hAnsi="Calibri"/>
                <w:b w:val="0"/>
                <w:i w:val="0"/>
                <w:color w:val="212121"/>
                <w:sz w:val="16"/>
              </w:rPr>
              <w:t>Annual echo screening is recommended; PAH affects ~30–50%</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Bedside + biochemical</w:t>
            </w:r>
          </w:p>
        </w:tc>
        <w:tc>
          <w:tcPr>
            <w:tcW w:type="dxa" w:w="1036"/>
            <w:vAlign w:val="top"/>
          </w:tcPr>
          <w:p>
            <w:pPr>
              <w:spacing w:after="40" w:before="0" w:line="259" w:lineRule="auto"/>
            </w:pPr>
            <w:r>
              <w:rPr>
                <w:rFonts w:ascii="Calibri" w:hAnsi="Calibri"/>
                <w:b w:val="0"/>
                <w:i w:val="0"/>
                <w:color w:val="212121"/>
                <w:sz w:val="16"/>
              </w:rPr>
              <w:t>BP, serum creatinine, urinalysis, blood film</w:t>
            </w:r>
          </w:p>
        </w:tc>
        <w:tc>
          <w:tcPr>
            <w:tcW w:type="dxa" w:w="892"/>
            <w:vAlign w:val="top"/>
          </w:tcPr>
          <w:p>
            <w:pPr>
              <w:spacing w:after="40" w:before="0" w:line="259" w:lineRule="auto"/>
            </w:pPr>
            <w:r>
              <w:rPr>
                <w:rFonts w:ascii="Calibri" w:hAnsi="Calibri"/>
                <w:b w:val="0"/>
                <w:i w:val="0"/>
                <w:color w:val="212121"/>
                <w:sz w:val="16"/>
              </w:rPr>
              <w:t>Renal-crisis surveillance</w:t>
            </w:r>
          </w:p>
        </w:tc>
        <w:tc>
          <w:tcPr>
            <w:tcW w:type="dxa" w:w="950"/>
            <w:vAlign w:val="top"/>
          </w:tcPr>
          <w:p>
            <w:pPr>
              <w:spacing w:after="40" w:before="0" w:line="259" w:lineRule="auto"/>
            </w:pPr>
            <w:r>
              <w:rPr>
                <w:rFonts w:ascii="Calibri" w:hAnsi="Calibri"/>
                <w:b w:val="0"/>
                <w:i w:val="0"/>
                <w:color w:val="212121"/>
                <w:sz w:val="16"/>
              </w:rPr>
              <w:t>Normal BP and renal function</w:t>
            </w:r>
          </w:p>
        </w:tc>
        <w:tc>
          <w:tcPr>
            <w:tcW w:type="dxa" w:w="950"/>
            <w:vAlign w:val="top"/>
          </w:tcPr>
          <w:p>
            <w:pPr>
              <w:spacing w:after="40" w:before="0" w:line="259" w:lineRule="auto"/>
            </w:pPr>
            <w:r>
              <w:rPr>
                <w:rFonts w:ascii="Calibri" w:hAnsi="Calibri"/>
                <w:b w:val="0"/>
                <w:i w:val="0"/>
                <w:color w:val="212121"/>
                <w:sz w:val="16"/>
              </w:rPr>
              <w:t>Abrupt hypertension, rising creatinine, proteinuria, microangiopathic haemolysis/thrombocytopenia</w:t>
            </w:r>
          </w:p>
        </w:tc>
        <w:tc>
          <w:tcPr>
            <w:tcW w:type="dxa" w:w="1036"/>
            <w:vAlign w:val="top"/>
          </w:tcPr>
          <w:p>
            <w:pPr>
              <w:spacing w:after="40" w:before="0" w:line="259" w:lineRule="auto"/>
            </w:pPr>
            <w:r>
              <w:rPr>
                <w:rFonts w:ascii="Calibri" w:hAnsi="Calibri"/>
                <w:b w:val="0"/>
                <w:i w:val="0"/>
                <w:color w:val="212121"/>
                <w:sz w:val="16"/>
              </w:rPr>
              <w:t>Detects scleroderma renal crisis — a hypertensive emergency treated with ACE inhibitors; high-dose corticosteroids increase its risk.</w:t>
            </w:r>
          </w:p>
        </w:tc>
        <w:tc>
          <w:tcPr>
            <w:tcW w:type="dxa" w:w="1036"/>
            <w:vAlign w:val="top"/>
          </w:tcPr>
          <w:p>
            <w:pPr>
              <w:spacing w:after="40" w:before="0" w:line="259" w:lineRule="auto"/>
            </w:pPr>
            <w:r>
              <w:rPr>
                <w:rFonts w:ascii="Calibri" w:hAnsi="Calibri"/>
                <w:b w:val="0"/>
                <w:i w:val="0"/>
                <w:color w:val="212121"/>
                <w:sz w:val="16"/>
              </w:rPr>
              <w:t>Early diffuse SSc, anti-RNA pol III positive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 urgent</w:t>
            </w:r>
          </w:p>
        </w:tc>
        <w:tc>
          <w:tcPr>
            <w:tcW w:type="dxa" w:w="720"/>
            <w:vAlign w:val="top"/>
          </w:tcPr>
          <w:p>
            <w:pPr>
              <w:spacing w:after="40" w:before="0" w:line="259" w:lineRule="auto"/>
            </w:pPr>
            <w:r>
              <w:rPr>
                <w:rFonts w:ascii="Calibri" w:hAnsi="Calibri"/>
                <w:b w:val="0"/>
                <w:i w:val="0"/>
                <w:color w:val="212121"/>
                <w:sz w:val="16"/>
              </w:rPr>
              <w:t>Home BP monitoring in high-risk early diffuse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Gastrointestinal</w:t>
            </w:r>
          </w:p>
        </w:tc>
        <w:tc>
          <w:tcPr>
            <w:tcW w:type="dxa" w:w="1036"/>
            <w:vAlign w:val="top"/>
          </w:tcPr>
          <w:p>
            <w:pPr>
              <w:spacing w:after="40" w:before="0" w:line="259" w:lineRule="auto"/>
            </w:pPr>
            <w:r>
              <w:rPr>
                <w:rFonts w:ascii="Calibri" w:hAnsi="Calibri"/>
                <w:b w:val="0"/>
                <w:i w:val="0"/>
                <w:color w:val="212121"/>
                <w:sz w:val="16"/>
              </w:rPr>
              <w:t>Oesophageal dysmotility / GAVE</w:t>
            </w:r>
          </w:p>
        </w:tc>
        <w:tc>
          <w:tcPr>
            <w:tcW w:type="dxa" w:w="892"/>
            <w:vAlign w:val="top"/>
          </w:tcPr>
          <w:p>
            <w:pPr>
              <w:spacing w:after="40" w:before="0" w:line="259" w:lineRule="auto"/>
            </w:pPr>
            <w:r>
              <w:rPr>
                <w:rFonts w:ascii="Calibri" w:hAnsi="Calibri"/>
                <w:b w:val="0"/>
                <w:i w:val="0"/>
                <w:color w:val="212121"/>
                <w:sz w:val="16"/>
              </w:rPr>
              <w:t>Barium swallow / manometry / endoscopy</w:t>
            </w:r>
          </w:p>
        </w:tc>
        <w:tc>
          <w:tcPr>
            <w:tcW w:type="dxa" w:w="950"/>
            <w:vAlign w:val="top"/>
          </w:tcPr>
          <w:p>
            <w:pPr>
              <w:spacing w:after="40" w:before="0" w:line="259" w:lineRule="auto"/>
            </w:pPr>
            <w:r>
              <w:rPr>
                <w:rFonts w:ascii="Calibri" w:hAnsi="Calibri"/>
                <w:b w:val="0"/>
                <w:i w:val="0"/>
                <w:color w:val="212121"/>
                <w:sz w:val="16"/>
              </w:rPr>
              <w:t>Normal motility, no mucosal lesion</w:t>
            </w:r>
          </w:p>
        </w:tc>
        <w:tc>
          <w:tcPr>
            <w:tcW w:type="dxa" w:w="950"/>
            <w:vAlign w:val="top"/>
          </w:tcPr>
          <w:p>
            <w:pPr>
              <w:spacing w:after="40" w:before="0" w:line="259" w:lineRule="auto"/>
            </w:pPr>
            <w:r>
              <w:rPr>
                <w:rFonts w:ascii="Calibri" w:hAnsi="Calibri"/>
                <w:b w:val="0"/>
                <w:i w:val="0"/>
                <w:color w:val="212121"/>
                <w:sz w:val="16"/>
              </w:rPr>
              <w:t>Aperistalsis of the distal oesophagus, reflux, stricture; gastric antral vascular ectasia</w:t>
            </w:r>
          </w:p>
        </w:tc>
        <w:tc>
          <w:tcPr>
            <w:tcW w:type="dxa" w:w="1036"/>
            <w:vAlign w:val="top"/>
          </w:tcPr>
          <w:p>
            <w:pPr>
              <w:spacing w:after="40" w:before="0" w:line="259" w:lineRule="auto"/>
            </w:pPr>
            <w:r>
              <w:rPr>
                <w:rFonts w:ascii="Calibri" w:hAnsi="Calibri"/>
                <w:b w:val="0"/>
                <w:i w:val="0"/>
                <w:color w:val="212121"/>
                <w:sz w:val="16"/>
              </w:rPr>
              <w:t>Confirms the near-universal gut involvement; endoscopy detects GAVE (“watermelon stomach”) as a cause of iron-deficiency anaemia.</w:t>
            </w:r>
          </w:p>
        </w:tc>
        <w:tc>
          <w:tcPr>
            <w:tcW w:type="dxa" w:w="1036"/>
            <w:vAlign w:val="top"/>
          </w:tcPr>
          <w:p>
            <w:pPr>
              <w:spacing w:after="40" w:before="0" w:line="259" w:lineRule="auto"/>
            </w:pPr>
            <w:r>
              <w:rPr>
                <w:rFonts w:ascii="Calibri" w:hAnsi="Calibri"/>
                <w:b w:val="0"/>
                <w:i w:val="0"/>
                <w:color w:val="212121"/>
                <w:sz w:val="16"/>
              </w:rPr>
              <w:t>SSc with reflux, dysphagia or anaemia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 / diagnostic</w:t>
            </w:r>
          </w:p>
        </w:tc>
        <w:tc>
          <w:tcPr>
            <w:tcW w:type="dxa" w:w="720"/>
            <w:vAlign w:val="top"/>
          </w:tcPr>
          <w:p>
            <w:pPr>
              <w:spacing w:after="40" w:before="0" w:line="259" w:lineRule="auto"/>
            </w:pPr>
            <w:r>
              <w:rPr>
                <w:rFonts w:ascii="Calibri" w:hAnsi="Calibri"/>
                <w:b w:val="0"/>
                <w:i w:val="0"/>
                <w:color w:val="212121"/>
                <w:sz w:val="16"/>
              </w:rPr>
              <w:t>GI involvement affects up to 90% of patients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Raynaud's, skin tightening, reflux/dysphagia, breathlessness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The combination of Raynaud's with skin thickening and reflux is highly suggestive of SSc and drives serological and organ testing.</w:t>
            </w:r>
          </w:p>
        </w:tc>
        <w:tc>
          <w:tcPr>
            <w:tcW w:type="dxa" w:w="1036"/>
            <w:vAlign w:val="top"/>
          </w:tcPr>
          <w:p>
            <w:pPr>
              <w:spacing w:after="40" w:before="0" w:line="259" w:lineRule="auto"/>
            </w:pPr>
            <w:r>
              <w:rPr>
                <w:rFonts w:ascii="Calibri" w:hAnsi="Calibri"/>
                <w:b w:val="0"/>
                <w:i w:val="0"/>
                <w:color w:val="212121"/>
                <w:sz w:val="16"/>
              </w:rPr>
              <w:t>Adults (esp. women) with Raynaud's + skin change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Raynaud's is often the first symptom, preceding other features by years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environmental &amp; drug history</w:t>
            </w:r>
          </w:p>
        </w:tc>
        <w:tc>
          <w:tcPr>
            <w:tcW w:type="dxa" w:w="979"/>
            <w:vAlign w:val="top"/>
          </w:tcPr>
          <w:p>
            <w:pPr>
              <w:spacing w:after="40" w:before="0" w:line="259" w:lineRule="auto"/>
            </w:pPr>
            <w:r>
              <w:rPr>
                <w:rFonts w:ascii="Calibri" w:hAnsi="Calibri"/>
                <w:b w:val="0"/>
                <w:i w:val="0"/>
                <w:color w:val="212121"/>
                <w:sz w:val="16"/>
              </w:rPr>
              <w:t>Silica/solvent/vinyl-chloride exposure; culprit drugs</w:t>
            </w:r>
          </w:p>
        </w:tc>
        <w:tc>
          <w:tcPr>
            <w:tcW w:type="dxa" w:w="950"/>
            <w:vAlign w:val="top"/>
          </w:tcPr>
          <w:p>
            <w:pPr>
              <w:spacing w:after="40" w:before="0" w:line="259" w:lineRule="auto"/>
            </w:pPr>
            <w:r>
              <w:rPr>
                <w:rFonts w:ascii="Calibri" w:hAnsi="Calibri"/>
                <w:b w:val="0"/>
                <w:i w:val="0"/>
                <w:color w:val="212121"/>
                <w:sz w:val="16"/>
              </w:rPr>
              <w:t>No exposure</w:t>
            </w:r>
          </w:p>
        </w:tc>
        <w:tc>
          <w:tcPr>
            <w:tcW w:type="dxa" w:w="950"/>
            <w:vAlign w:val="top"/>
          </w:tcPr>
          <w:p>
            <w:pPr>
              <w:spacing w:after="40" w:before="0" w:line="259" w:lineRule="auto"/>
            </w:pPr>
            <w:r>
              <w:rPr>
                <w:rFonts w:ascii="Calibri" w:hAnsi="Calibri"/>
                <w:b w:val="0"/>
                <w:i w:val="0"/>
                <w:color w:val="212121"/>
                <w:sz w:val="16"/>
              </w:rPr>
              <w:t>Identifiable exposure present</w:t>
            </w:r>
          </w:p>
        </w:tc>
        <w:tc>
          <w:tcPr>
            <w:tcW w:type="dxa" w:w="1036"/>
            <w:vAlign w:val="top"/>
          </w:tcPr>
          <w:p>
            <w:pPr>
              <w:spacing w:after="40" w:before="0" w:line="259" w:lineRule="auto"/>
            </w:pPr>
            <w:r>
              <w:rPr>
                <w:rFonts w:ascii="Calibri" w:hAnsi="Calibri"/>
                <w:b w:val="0"/>
                <w:i w:val="0"/>
                <w:color w:val="212121"/>
                <w:sz w:val="16"/>
              </w:rPr>
              <w:t>Establishes environmental risk factors (silica-associated scleroderma) and screens for drug/toxin-induced scleroderma-like disease.</w:t>
            </w:r>
          </w:p>
        </w:tc>
        <w:tc>
          <w:tcPr>
            <w:tcW w:type="dxa" w:w="1036"/>
            <w:vAlign w:val="top"/>
          </w:tcPr>
          <w:p>
            <w:pPr>
              <w:spacing w:after="40" w:before="0" w:line="259" w:lineRule="auto"/>
            </w:pPr>
            <w:r>
              <w:rPr>
                <w:rFonts w:ascii="Calibri" w:hAnsi="Calibri"/>
                <w:b w:val="0"/>
                <w:i w:val="0"/>
                <w:color w:val="212121"/>
                <w:sz w:val="16"/>
              </w:rPr>
              <w:t>Miners, stone/agate &amp; construction workers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support</w:t>
            </w:r>
          </w:p>
        </w:tc>
        <w:tc>
          <w:tcPr>
            <w:tcW w:type="dxa" w:w="720"/>
            <w:vAlign w:val="top"/>
          </w:tcPr>
          <w:p>
            <w:pPr>
              <w:spacing w:after="40" w:before="0" w:line="259" w:lineRule="auto"/>
            </w:pPr>
            <w:r>
              <w:rPr>
                <w:rFonts w:ascii="Calibri" w:hAnsi="Calibri"/>
                <w:b w:val="0"/>
                <w:i w:val="0"/>
                <w:color w:val="212121"/>
                <w:sz w:val="16"/>
              </w:rPr>
              <w:t>Highly relevant to Indian occupational exposures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Skin examination (modified Rodnan score)</w:t>
            </w:r>
          </w:p>
        </w:tc>
        <w:tc>
          <w:tcPr>
            <w:tcW w:type="dxa" w:w="979"/>
            <w:vAlign w:val="top"/>
          </w:tcPr>
          <w:p>
            <w:pPr>
              <w:spacing w:after="40" w:before="0" w:line="259" w:lineRule="auto"/>
            </w:pPr>
            <w:r>
              <w:rPr>
                <w:rFonts w:ascii="Calibri" w:hAnsi="Calibri"/>
                <w:b w:val="0"/>
                <w:i w:val="0"/>
                <w:color w:val="212121"/>
                <w:sz w:val="16"/>
              </w:rPr>
              <w:t>Sclerodactyly, skin thickening, pigmentation, calcinosis, telangiectasia</w:t>
            </w:r>
          </w:p>
        </w:tc>
        <w:tc>
          <w:tcPr>
            <w:tcW w:type="dxa" w:w="950"/>
            <w:vAlign w:val="top"/>
          </w:tcPr>
          <w:p>
            <w:pPr>
              <w:spacing w:after="40" w:before="0" w:line="259" w:lineRule="auto"/>
            </w:pPr>
            <w:r>
              <w:rPr>
                <w:rFonts w:ascii="Calibri" w:hAnsi="Calibri"/>
                <w:b w:val="0"/>
                <w:i w:val="0"/>
                <w:color w:val="212121"/>
                <w:sz w:val="16"/>
              </w:rPr>
              <w:t>Normal, supple skin</w:t>
            </w:r>
          </w:p>
        </w:tc>
        <w:tc>
          <w:tcPr>
            <w:tcW w:type="dxa" w:w="950"/>
            <w:vAlign w:val="top"/>
          </w:tcPr>
          <w:p>
            <w:pPr>
              <w:spacing w:after="40" w:before="0" w:line="259" w:lineRule="auto"/>
            </w:pPr>
            <w:r>
              <w:rPr>
                <w:rFonts w:ascii="Calibri" w:hAnsi="Calibri"/>
                <w:b w:val="0"/>
                <w:i w:val="0"/>
                <w:color w:val="212121"/>
                <w:sz w:val="16"/>
              </w:rPr>
              <w:t>Thickened/tight skin; salt-and-pepper pigmentation; calcinosis; telangiectasia</w:t>
            </w:r>
          </w:p>
        </w:tc>
        <w:tc>
          <w:tcPr>
            <w:tcW w:type="dxa" w:w="1036"/>
            <w:vAlign w:val="top"/>
          </w:tcPr>
          <w:p>
            <w:pPr>
              <w:spacing w:after="40" w:before="0" w:line="259" w:lineRule="auto"/>
            </w:pPr>
            <w:r>
              <w:rPr>
                <w:rFonts w:ascii="Calibri" w:hAnsi="Calibri"/>
                <w:b w:val="0"/>
                <w:i w:val="0"/>
                <w:color w:val="212121"/>
                <w:sz w:val="16"/>
              </w:rPr>
              <w:t>Defines cutaneous subtype (limited vs diffuse) and, via the modified Rodnan skin score, quantifies extent and progression.</w:t>
            </w:r>
          </w:p>
        </w:tc>
        <w:tc>
          <w:tcPr>
            <w:tcW w:type="dxa" w:w="1036"/>
            <w:vAlign w:val="top"/>
          </w:tcPr>
          <w:p>
            <w:pPr>
              <w:spacing w:after="40" w:before="0" w:line="259" w:lineRule="auto"/>
            </w:pPr>
            <w:r>
              <w:rPr>
                <w:rFonts w:ascii="Calibri" w:hAnsi="Calibri"/>
                <w:b w:val="0"/>
                <w:i w:val="0"/>
                <w:color w:val="212121"/>
                <w:sz w:val="16"/>
              </w:rPr>
              <w:t>All suspected SSc</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Skin extent proximal to elbows/knees defines diffuse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Hand &amp; vascular examination</w:t>
            </w:r>
          </w:p>
        </w:tc>
        <w:tc>
          <w:tcPr>
            <w:tcW w:type="dxa" w:w="979"/>
            <w:vAlign w:val="top"/>
          </w:tcPr>
          <w:p>
            <w:pPr>
              <w:spacing w:after="40" w:before="0" w:line="259" w:lineRule="auto"/>
            </w:pPr>
            <w:r>
              <w:rPr>
                <w:rFonts w:ascii="Calibri" w:hAnsi="Calibri"/>
                <w:b w:val="0"/>
                <w:i w:val="0"/>
                <w:color w:val="212121"/>
                <w:sz w:val="16"/>
              </w:rPr>
              <w:t>Raynaud colour change, digital pitting scars/ulcers, puffy fingers, contractures</w:t>
            </w:r>
          </w:p>
        </w:tc>
        <w:tc>
          <w:tcPr>
            <w:tcW w:type="dxa" w:w="950"/>
            <w:vAlign w:val="top"/>
          </w:tcPr>
          <w:p>
            <w:pPr>
              <w:spacing w:after="40" w:before="0" w:line="259" w:lineRule="auto"/>
            </w:pPr>
            <w:r>
              <w:rPr>
                <w:rFonts w:ascii="Calibri" w:hAnsi="Calibri"/>
                <w:b w:val="0"/>
                <w:i w:val="0"/>
                <w:color w:val="212121"/>
                <w:sz w:val="16"/>
              </w:rPr>
              <w:t>Normal hands</w:t>
            </w:r>
          </w:p>
        </w:tc>
        <w:tc>
          <w:tcPr>
            <w:tcW w:type="dxa" w:w="950"/>
            <w:vAlign w:val="top"/>
          </w:tcPr>
          <w:p>
            <w:pPr>
              <w:spacing w:after="40" w:before="0" w:line="259" w:lineRule="auto"/>
            </w:pPr>
            <w:r>
              <w:rPr>
                <w:rFonts w:ascii="Calibri" w:hAnsi="Calibri"/>
                <w:b w:val="0"/>
                <w:i w:val="0"/>
                <w:color w:val="212121"/>
                <w:sz w:val="16"/>
              </w:rPr>
              <w:t>Colour change, digital ulcers/pitting scars, oedema, flexion contractures</w:t>
            </w:r>
          </w:p>
        </w:tc>
        <w:tc>
          <w:tcPr>
            <w:tcW w:type="dxa" w:w="1036"/>
            <w:vAlign w:val="top"/>
          </w:tcPr>
          <w:p>
            <w:pPr>
              <w:spacing w:after="40" w:before="0" w:line="259" w:lineRule="auto"/>
            </w:pPr>
            <w:r>
              <w:rPr>
                <w:rFonts w:ascii="Calibri" w:hAnsi="Calibri"/>
                <w:b w:val="0"/>
                <w:i w:val="0"/>
                <w:color w:val="212121"/>
                <w:sz w:val="16"/>
              </w:rPr>
              <w:t>Documents vasculopathy and its complications and detects the puffy-finger/oedematous early phase.</w:t>
            </w:r>
          </w:p>
        </w:tc>
        <w:tc>
          <w:tcPr>
            <w:tcW w:type="dxa" w:w="1036"/>
            <w:vAlign w:val="top"/>
          </w:tcPr>
          <w:p>
            <w:pPr>
              <w:spacing w:after="40" w:before="0" w:line="259" w:lineRule="auto"/>
            </w:pPr>
            <w:r>
              <w:rPr>
                <w:rFonts w:ascii="Calibri" w:hAnsi="Calibri"/>
                <w:b w:val="0"/>
                <w:i w:val="0"/>
                <w:color w:val="212121"/>
                <w:sz w:val="16"/>
              </w:rPr>
              <w:t>Patients with Raynaud's or finger changes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prognostic</w:t>
            </w:r>
          </w:p>
        </w:tc>
        <w:tc>
          <w:tcPr>
            <w:tcW w:type="dxa" w:w="720"/>
            <w:vAlign w:val="top"/>
          </w:tcPr>
          <w:p>
            <w:pPr>
              <w:spacing w:after="40" w:before="0" w:line="259" w:lineRule="auto"/>
            </w:pPr>
            <w:r>
              <w:rPr>
                <w:rFonts w:ascii="Calibri" w:hAnsi="Calibri"/>
                <w:b w:val="0"/>
                <w:i w:val="0"/>
                <w:color w:val="212121"/>
                <w:sz w:val="16"/>
              </w:rPr>
              <w:t>Digital ulcers and critical ischaemia warrant urgent care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Face &amp; mouth examination</w:t>
            </w:r>
          </w:p>
        </w:tc>
        <w:tc>
          <w:tcPr>
            <w:tcW w:type="dxa" w:w="979"/>
            <w:vAlign w:val="top"/>
          </w:tcPr>
          <w:p>
            <w:pPr>
              <w:spacing w:after="40" w:before="0" w:line="259" w:lineRule="auto"/>
            </w:pPr>
            <w:r>
              <w:rPr>
                <w:rFonts w:ascii="Calibri" w:hAnsi="Calibri"/>
                <w:b w:val="0"/>
                <w:i w:val="0"/>
                <w:color w:val="212121"/>
                <w:sz w:val="16"/>
              </w:rPr>
              <w:t>Microstomia, perioral furrowing, mask-like facies, telangiectasia</w:t>
            </w:r>
          </w:p>
        </w:tc>
        <w:tc>
          <w:tcPr>
            <w:tcW w:type="dxa" w:w="950"/>
            <w:vAlign w:val="top"/>
          </w:tcPr>
          <w:p>
            <w:pPr>
              <w:spacing w:after="40" w:before="0" w:line="259" w:lineRule="auto"/>
            </w:pPr>
            <w:r>
              <w:rPr>
                <w:rFonts w:ascii="Calibri" w:hAnsi="Calibri"/>
                <w:b w:val="0"/>
                <w:i w:val="0"/>
                <w:color w:val="212121"/>
                <w:sz w:val="16"/>
              </w:rPr>
              <w:t>Normal facies</w:t>
            </w:r>
          </w:p>
        </w:tc>
        <w:tc>
          <w:tcPr>
            <w:tcW w:type="dxa" w:w="950"/>
            <w:vAlign w:val="top"/>
          </w:tcPr>
          <w:p>
            <w:pPr>
              <w:spacing w:after="40" w:before="0" w:line="259" w:lineRule="auto"/>
            </w:pPr>
            <w:r>
              <w:rPr>
                <w:rFonts w:ascii="Calibri" w:hAnsi="Calibri"/>
                <w:b w:val="0"/>
                <w:i w:val="0"/>
                <w:color w:val="212121"/>
                <w:sz w:val="16"/>
              </w:rPr>
              <w:t>Reduced mouth opening, radial perioral furrows, taut mask-like face</w:t>
            </w:r>
          </w:p>
        </w:tc>
        <w:tc>
          <w:tcPr>
            <w:tcW w:type="dxa" w:w="1036"/>
            <w:vAlign w:val="top"/>
          </w:tcPr>
          <w:p>
            <w:pPr>
              <w:spacing w:after="40" w:before="0" w:line="259" w:lineRule="auto"/>
            </w:pPr>
            <w:r>
              <w:rPr>
                <w:rFonts w:ascii="Calibri" w:hAnsi="Calibri"/>
                <w:b w:val="0"/>
                <w:i w:val="0"/>
                <w:color w:val="212121"/>
                <w:sz w:val="16"/>
              </w:rPr>
              <w:t>Characteristic facial changes support the diagnosis and predict problems with dental care and nutrition.</w:t>
            </w:r>
          </w:p>
        </w:tc>
        <w:tc>
          <w:tcPr>
            <w:tcW w:type="dxa" w:w="1036"/>
            <w:vAlign w:val="top"/>
          </w:tcPr>
          <w:p>
            <w:pPr>
              <w:spacing w:after="40" w:before="0" w:line="259" w:lineRule="auto"/>
            </w:pPr>
            <w:r>
              <w:rPr>
                <w:rFonts w:ascii="Calibri" w:hAnsi="Calibri"/>
                <w:b w:val="0"/>
                <w:i w:val="0"/>
                <w:color w:val="212121"/>
                <w:sz w:val="16"/>
              </w:rPr>
              <w:t>Patients with facial skin change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Microstomia complicates dental hygiene and intubation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Cardiorespiratory examination</w:t>
            </w:r>
          </w:p>
        </w:tc>
        <w:tc>
          <w:tcPr>
            <w:tcW w:type="dxa" w:w="979"/>
            <w:vAlign w:val="top"/>
          </w:tcPr>
          <w:p>
            <w:pPr>
              <w:spacing w:after="40" w:before="0" w:line="259" w:lineRule="auto"/>
            </w:pPr>
            <w:r>
              <w:rPr>
                <w:rFonts w:ascii="Calibri" w:hAnsi="Calibri"/>
                <w:b w:val="0"/>
                <w:i w:val="0"/>
                <w:color w:val="212121"/>
                <w:sz w:val="16"/>
              </w:rPr>
              <w:t>Bibasal crackles; loud P2, RV heave, raised JVP</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Fine “velcro” bibasal crackles (ILD); signs of pulmonary hypertension/right-heart strain</w:t>
            </w:r>
          </w:p>
        </w:tc>
        <w:tc>
          <w:tcPr>
            <w:tcW w:type="dxa" w:w="1036"/>
            <w:vAlign w:val="top"/>
          </w:tcPr>
          <w:p>
            <w:pPr>
              <w:spacing w:after="40" w:before="0" w:line="259" w:lineRule="auto"/>
            </w:pPr>
            <w:r>
              <w:rPr>
                <w:rFonts w:ascii="Calibri" w:hAnsi="Calibri"/>
                <w:b w:val="0"/>
                <w:i w:val="0"/>
                <w:color w:val="212121"/>
                <w:sz w:val="16"/>
              </w:rPr>
              <w:t>Detects the two leading fatal complications — interstitial lung disease and pulmonary hypertension.</w:t>
            </w:r>
          </w:p>
        </w:tc>
        <w:tc>
          <w:tcPr>
            <w:tcW w:type="dxa" w:w="1036"/>
            <w:vAlign w:val="top"/>
          </w:tcPr>
          <w:p>
            <w:pPr>
              <w:spacing w:after="40" w:before="0" w:line="259" w:lineRule="auto"/>
            </w:pPr>
            <w:r>
              <w:rPr>
                <w:rFonts w:ascii="Calibri" w:hAnsi="Calibri"/>
                <w:b w:val="0"/>
                <w:i w:val="0"/>
                <w:color w:val="212121"/>
                <w:sz w:val="16"/>
              </w:rPr>
              <w:t>All SSc, patients with dyspnoea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prognostic</w:t>
            </w:r>
          </w:p>
        </w:tc>
        <w:tc>
          <w:tcPr>
            <w:tcW w:type="dxa" w:w="720"/>
            <w:vAlign w:val="top"/>
          </w:tcPr>
          <w:p>
            <w:pPr>
              <w:spacing w:after="40" w:before="0" w:line="259" w:lineRule="auto"/>
            </w:pPr>
            <w:r>
              <w:rPr>
                <w:rFonts w:ascii="Calibri" w:hAnsi="Calibri"/>
                <w:b w:val="0"/>
                <w:i w:val="0"/>
                <w:color w:val="212121"/>
                <w:sz w:val="16"/>
              </w:rPr>
              <w:t>New basal crackles should prompt HRCT and PFTs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Nutrition &amp; GI assessment</w:t>
            </w:r>
          </w:p>
        </w:tc>
        <w:tc>
          <w:tcPr>
            <w:tcW w:type="dxa" w:w="979"/>
            <w:vAlign w:val="top"/>
          </w:tcPr>
          <w:p>
            <w:pPr>
              <w:spacing w:after="40" w:before="0" w:line="259" w:lineRule="auto"/>
            </w:pPr>
            <w:r>
              <w:rPr>
                <w:rFonts w:ascii="Calibri" w:hAnsi="Calibri"/>
                <w:b w:val="0"/>
                <w:i w:val="0"/>
                <w:color w:val="212121"/>
                <w:sz w:val="16"/>
              </w:rPr>
              <w:t>Weight/BMI, reflux signs, pallor (GAVE anaemia)</w:t>
            </w:r>
          </w:p>
        </w:tc>
        <w:tc>
          <w:tcPr>
            <w:tcW w:type="dxa" w:w="950"/>
            <w:vAlign w:val="top"/>
          </w:tcPr>
          <w:p>
            <w:pPr>
              <w:spacing w:after="40" w:before="0" w:line="259" w:lineRule="auto"/>
            </w:pPr>
            <w:r>
              <w:rPr>
                <w:rFonts w:ascii="Calibri" w:hAnsi="Calibri"/>
                <w:b w:val="0"/>
                <w:i w:val="0"/>
                <w:color w:val="212121"/>
                <w:sz w:val="16"/>
              </w:rPr>
              <w:t>Stable weight, no anaemia</w:t>
            </w:r>
          </w:p>
        </w:tc>
        <w:tc>
          <w:tcPr>
            <w:tcW w:type="dxa" w:w="950"/>
            <w:vAlign w:val="top"/>
          </w:tcPr>
          <w:p>
            <w:pPr>
              <w:spacing w:after="40" w:before="0" w:line="259" w:lineRule="auto"/>
            </w:pPr>
            <w:r>
              <w:rPr>
                <w:rFonts w:ascii="Calibri" w:hAnsi="Calibri"/>
                <w:b w:val="0"/>
                <w:i w:val="0"/>
                <w:color w:val="212121"/>
                <w:sz w:val="16"/>
              </w:rPr>
              <w:t>Weight loss, low BMI, pallor from iron-deficiency anaemia</w:t>
            </w:r>
          </w:p>
        </w:tc>
        <w:tc>
          <w:tcPr>
            <w:tcW w:type="dxa" w:w="1036"/>
            <w:vAlign w:val="top"/>
          </w:tcPr>
          <w:p>
            <w:pPr>
              <w:spacing w:after="40" w:before="0" w:line="259" w:lineRule="auto"/>
            </w:pPr>
            <w:r>
              <w:rPr>
                <w:rFonts w:ascii="Calibri" w:hAnsi="Calibri"/>
                <w:b w:val="0"/>
                <w:i w:val="0"/>
                <w:color w:val="212121"/>
                <w:sz w:val="16"/>
              </w:rPr>
              <w:t>Assesses the impact of gut involvement; malnutrition and GAVE-related anaemia mark severe disease.</w:t>
            </w:r>
          </w:p>
        </w:tc>
        <w:tc>
          <w:tcPr>
            <w:tcW w:type="dxa" w:w="1036"/>
            <w:vAlign w:val="top"/>
          </w:tcPr>
          <w:p>
            <w:pPr>
              <w:spacing w:after="40" w:before="0" w:line="259" w:lineRule="auto"/>
            </w:pPr>
            <w:r>
              <w:rPr>
                <w:rFonts w:ascii="Calibri" w:hAnsi="Calibri"/>
                <w:b w:val="0"/>
                <w:i w:val="0"/>
                <w:color w:val="212121"/>
                <w:sz w:val="16"/>
              </w:rPr>
              <w:t>Patients with reflux, dysphagia or weight loss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Track weight at every visit in patients with gut disease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Raynaud's phenomenon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Cold- or stress-induced white→blue→red colour change of fingers/toes; usually the first symptom and present in over 95%.</w:t>
            </w:r>
          </w:p>
        </w:tc>
      </w:tr>
      <w:tr>
        <w:trPr>
          <w:cantSplit/>
        </w:trPr>
        <w:tc>
          <w:tcPr>
            <w:tcW w:type="dxa" w:w="2304"/>
            <w:vAlign w:val="top"/>
          </w:tcPr>
          <w:p>
            <w:pPr>
              <w:spacing w:after="40" w:before="0" w:line="259" w:lineRule="auto"/>
            </w:pPr>
            <w:r>
              <w:rPr>
                <w:rFonts w:ascii="Calibri" w:hAnsi="Calibri"/>
                <w:b/>
                <w:i w:val="0"/>
                <w:color w:val="212121"/>
                <w:sz w:val="19"/>
              </w:rPr>
              <w:t>Skin tightening &amp; thickening of fingers/hands (sclerodactyly)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hardening and tightening of the skin, often starting in the fingers and hands.</w:t>
            </w:r>
          </w:p>
        </w:tc>
      </w:tr>
      <w:tr>
        <w:trPr>
          <w:cantSplit/>
        </w:trPr>
        <w:tc>
          <w:tcPr>
            <w:tcW w:type="dxa" w:w="2304"/>
            <w:vAlign w:val="top"/>
          </w:tcPr>
          <w:p>
            <w:pPr>
              <w:spacing w:after="40" w:before="0" w:line="259" w:lineRule="auto"/>
            </w:pPr>
            <w:r>
              <w:rPr>
                <w:rFonts w:ascii="Calibri" w:hAnsi="Calibri"/>
                <w:b/>
                <w:i w:val="0"/>
                <w:color w:val="212121"/>
                <w:sz w:val="19"/>
              </w:rPr>
              <w:t>Puffy, swollen fingers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 oedematous (“puffy hand”) phase that precedes skin thickening.</w:t>
            </w:r>
          </w:p>
        </w:tc>
      </w:tr>
      <w:tr>
        <w:trPr>
          <w:cantSplit/>
        </w:trPr>
        <w:tc>
          <w:tcPr>
            <w:tcW w:type="dxa" w:w="2304"/>
            <w:vAlign w:val="top"/>
          </w:tcPr>
          <w:p>
            <w:pPr>
              <w:spacing w:after="40" w:before="0" w:line="259" w:lineRule="auto"/>
            </w:pPr>
            <w:r>
              <w:rPr>
                <w:rFonts w:ascii="Calibri" w:hAnsi="Calibri"/>
                <w:b/>
                <w:i w:val="0"/>
                <w:color w:val="212121"/>
                <w:sz w:val="19"/>
              </w:rPr>
              <w:t>Heartburn, acid reflux &amp; difficulty swallowing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oesophageal dysmotility and reflux — near-universal in SSc.</w:t>
            </w:r>
          </w:p>
        </w:tc>
      </w:tr>
      <w:tr>
        <w:trPr>
          <w:cantSplit/>
        </w:trPr>
        <w:tc>
          <w:tcPr>
            <w:tcW w:type="dxa" w:w="2304"/>
            <w:vAlign w:val="top"/>
          </w:tcPr>
          <w:p>
            <w:pPr>
              <w:spacing w:after="40" w:before="0" w:line="259" w:lineRule="auto"/>
            </w:pPr>
            <w:r>
              <w:rPr>
                <w:rFonts w:ascii="Calibri" w:hAnsi="Calibri"/>
                <w:b/>
                <w:i w:val="0"/>
                <w:color w:val="212121"/>
                <w:sz w:val="19"/>
              </w:rPr>
              <w:t>Joint pain &amp; stiffness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Arthralgia, stiffness and reduced hand mobility from skin and joint involvement.</w:t>
            </w:r>
          </w:p>
        </w:tc>
      </w:tr>
      <w:tr>
        <w:trPr>
          <w:cantSplit/>
        </w:trPr>
        <w:tc>
          <w:tcPr>
            <w:tcW w:type="dxa" w:w="2304"/>
            <w:vAlign w:val="top"/>
          </w:tcPr>
          <w:p>
            <w:pPr>
              <w:spacing w:after="40" w:before="0" w:line="259" w:lineRule="auto"/>
            </w:pPr>
            <w:r>
              <w:rPr>
                <w:rFonts w:ascii="Calibri" w:hAnsi="Calibri"/>
                <w:b/>
                <w:i w:val="0"/>
                <w:color w:val="212121"/>
                <w:sz w:val="19"/>
              </w:rPr>
              <w:t>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Pervasive tiredness that is a major driver of reduced quality of life.</w:t>
            </w:r>
          </w:p>
        </w:tc>
      </w:tr>
      <w:tr>
        <w:trPr>
          <w:cantSplit/>
        </w:trPr>
        <w:tc>
          <w:tcPr>
            <w:tcW w:type="dxa" w:w="2304"/>
            <w:vAlign w:val="top"/>
          </w:tcPr>
          <w:p>
            <w:pPr>
              <w:spacing w:after="40" w:before="0" w:line="259" w:lineRule="auto"/>
            </w:pPr>
            <w:r>
              <w:rPr>
                <w:rFonts w:ascii="Calibri" w:hAnsi="Calibri"/>
                <w:b/>
                <w:i w:val="0"/>
                <w:color w:val="212121"/>
                <w:sz w:val="19"/>
              </w:rPr>
              <w:t>Breathlessness on exertion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interstitial lung disease and/or pulmonary hypertension — the leading fatal complications.</w:t>
            </w:r>
          </w:p>
        </w:tc>
      </w:tr>
      <w:tr>
        <w:trPr>
          <w:cantSplit/>
        </w:trPr>
        <w:tc>
          <w:tcPr>
            <w:tcW w:type="dxa" w:w="2304"/>
            <w:vAlign w:val="top"/>
          </w:tcPr>
          <w:p>
            <w:pPr>
              <w:spacing w:after="40" w:before="0" w:line="259" w:lineRule="auto"/>
            </w:pPr>
            <w:r>
              <w:rPr>
                <w:rFonts w:ascii="Calibri" w:hAnsi="Calibri"/>
                <w:b/>
                <w:i w:val="0"/>
                <w:color w:val="212121"/>
                <w:sz w:val="19"/>
              </w:rPr>
              <w:t>Painful fingertips / digital ulcers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Ischaemic tip ulcers and pitting scars from small-vessel vasculopathy.</w:t>
            </w:r>
          </w:p>
        </w:tc>
      </w:tr>
      <w:tr>
        <w:trPr>
          <w:cantSplit/>
        </w:trPr>
        <w:tc>
          <w:tcPr>
            <w:tcW w:type="dxa" w:w="2304"/>
            <w:vAlign w:val="top"/>
          </w:tcPr>
          <w:p>
            <w:pPr>
              <w:spacing w:after="40" w:before="0" w:line="259" w:lineRule="auto"/>
            </w:pPr>
            <w:r>
              <w:rPr>
                <w:rFonts w:ascii="Calibri" w:hAnsi="Calibri"/>
                <w:b/>
                <w:i w:val="0"/>
                <w:color w:val="212121"/>
                <w:sz w:val="19"/>
              </w:rPr>
              <w:t>Skin colour change (salt-and-pepper)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Mixed hyper- and hypo-pigmentation, especially in darker skin.</w:t>
            </w:r>
          </w:p>
        </w:tc>
      </w:tr>
      <w:tr>
        <w:trPr>
          <w:cantSplit/>
        </w:trPr>
        <w:tc>
          <w:tcPr>
            <w:tcW w:type="dxa" w:w="2304"/>
            <w:vAlign w:val="top"/>
          </w:tcPr>
          <w:p>
            <w:pPr>
              <w:spacing w:after="40" w:before="0" w:line="259" w:lineRule="auto"/>
            </w:pPr>
            <w:r>
              <w:rPr>
                <w:rFonts w:ascii="Calibri" w:hAnsi="Calibri"/>
                <w:b/>
                <w:i w:val="0"/>
                <w:color w:val="212121"/>
                <w:sz w:val="19"/>
              </w:rPr>
              <w:t>Dry, persistent cough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accompany interstitial lung disease.</w:t>
            </w:r>
          </w:p>
        </w:tc>
      </w:tr>
      <w:tr>
        <w:trPr>
          <w:cantSplit/>
        </w:trPr>
        <w:tc>
          <w:tcPr>
            <w:tcW w:type="dxa" w:w="2304"/>
            <w:vAlign w:val="top"/>
          </w:tcPr>
          <w:p>
            <w:pPr>
              <w:spacing w:after="40" w:before="0" w:line="259" w:lineRule="auto"/>
            </w:pPr>
            <w:r>
              <w:rPr>
                <w:rFonts w:ascii="Calibri" w:hAnsi="Calibri"/>
                <w:b/>
                <w:i w:val="0"/>
                <w:color w:val="212121"/>
                <w:sz w:val="19"/>
              </w:rPr>
              <w:t>Weight loss, early satiety &amp; bloating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gut dysmotility, malabsorption and small-intestinal bacterial overgrowth.</w:t>
            </w:r>
          </w:p>
        </w:tc>
      </w:tr>
      <w:tr>
        <w:trPr>
          <w:cantSplit/>
        </w:trPr>
        <w:tc>
          <w:tcPr>
            <w:tcW w:type="dxa" w:w="2304"/>
            <w:vAlign w:val="top"/>
          </w:tcPr>
          <w:p>
            <w:pPr>
              <w:spacing w:after="40" w:before="0" w:line="259" w:lineRule="auto"/>
            </w:pPr>
            <w:r>
              <w:rPr>
                <w:rFonts w:ascii="Calibri" w:hAnsi="Calibri"/>
                <w:b/>
                <w:i w:val="0"/>
                <w:color w:val="212121"/>
                <w:sz w:val="19"/>
              </w:rPr>
              <w:t>Difficulty opening the mouth (microstomia)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Peri-oral skin tightening restricts mouth opening and dental care.</w:t>
            </w:r>
          </w:p>
        </w:tc>
      </w:tr>
      <w:tr>
        <w:trPr>
          <w:cantSplit/>
        </w:trPr>
        <w:tc>
          <w:tcPr>
            <w:tcW w:type="dxa" w:w="2304"/>
            <w:vAlign w:val="top"/>
          </w:tcPr>
          <w:p>
            <w:pPr>
              <w:spacing w:after="40" w:before="0" w:line="259" w:lineRule="auto"/>
            </w:pPr>
            <w:r>
              <w:rPr>
                <w:rFonts w:ascii="Calibri" w:hAnsi="Calibri"/>
                <w:b/>
                <w:i w:val="0"/>
                <w:color w:val="212121"/>
                <w:sz w:val="19"/>
              </w:rPr>
              <w:t>Dry eyes &amp; dry mouth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Often from associated (secondary) Sjögren's syndrome.</w:t>
            </w:r>
          </w:p>
        </w:tc>
      </w:tr>
      <w:tr>
        <w:trPr>
          <w:cantSplit/>
        </w:trPr>
        <w:tc>
          <w:tcPr>
            <w:tcW w:type="dxa" w:w="2304"/>
            <w:vAlign w:val="top"/>
          </w:tcPr>
          <w:p>
            <w:pPr>
              <w:spacing w:after="40" w:before="0" w:line="259" w:lineRule="auto"/>
            </w:pPr>
            <w:r>
              <w:rPr>
                <w:rFonts w:ascii="Calibri" w:hAnsi="Calibri"/>
                <w:b/>
                <w:i w:val="0"/>
                <w:color w:val="212121"/>
                <w:sz w:val="19"/>
              </w:rPr>
              <w:t>Palpitations or chest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indicate myocardial fibrosis, arrhythmia or pulmonary hypertension.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Sclerodactyly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Tight, shiny, thickened skin of the fingers with tapering — a hallmark sign.</w:t>
            </w:r>
          </w:p>
        </w:tc>
      </w:tr>
      <w:tr>
        <w:trPr>
          <w:cantSplit/>
        </w:trPr>
        <w:tc>
          <w:tcPr>
            <w:tcW w:type="dxa" w:w="3456"/>
            <w:vAlign w:val="top"/>
          </w:tcPr>
          <w:p>
            <w:pPr>
              <w:spacing w:after="40" w:before="0" w:line="259" w:lineRule="auto"/>
            </w:pPr>
            <w:r>
              <w:rPr>
                <w:rFonts w:ascii="Calibri" w:hAnsi="Calibri"/>
                <w:b/>
                <w:i w:val="0"/>
                <w:color w:val="212121"/>
                <w:sz w:val="19"/>
              </w:rPr>
              <w:t>Skin thickening / raised modified Rodnan score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Taut, hidebound skin; extent proximal to elbows/knees defines diffuse disease.</w:t>
            </w:r>
          </w:p>
        </w:tc>
      </w:tr>
      <w:tr>
        <w:trPr>
          <w:cantSplit/>
        </w:trPr>
        <w:tc>
          <w:tcPr>
            <w:tcW w:type="dxa" w:w="3456"/>
            <w:vAlign w:val="top"/>
          </w:tcPr>
          <w:p>
            <w:pPr>
              <w:spacing w:after="40" w:before="0" w:line="259" w:lineRule="auto"/>
            </w:pPr>
            <w:r>
              <w:rPr>
                <w:rFonts w:ascii="Calibri" w:hAnsi="Calibri"/>
                <w:b/>
                <w:i w:val="0"/>
                <w:color w:val="212121"/>
                <w:sz w:val="19"/>
              </w:rPr>
              <w:t>Digital pitting scars / ulcers / pulp loss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Ischaemic fingertip lesions from obliterative small-vessel disease.</w:t>
            </w:r>
          </w:p>
        </w:tc>
      </w:tr>
      <w:tr>
        <w:trPr>
          <w:cantSplit/>
        </w:trPr>
        <w:tc>
          <w:tcPr>
            <w:tcW w:type="dxa" w:w="3456"/>
            <w:vAlign w:val="top"/>
          </w:tcPr>
          <w:p>
            <w:pPr>
              <w:spacing w:after="40" w:before="0" w:line="259" w:lineRule="auto"/>
            </w:pPr>
            <w:r>
              <w:rPr>
                <w:rFonts w:ascii="Calibri" w:hAnsi="Calibri"/>
                <w:b/>
                <w:i w:val="0"/>
                <w:color w:val="212121"/>
                <w:sz w:val="19"/>
              </w:rPr>
              <w:t>Telangiectasias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Mat-like dilated capillaries on the face, lips and hands.</w:t>
            </w:r>
          </w:p>
        </w:tc>
      </w:tr>
      <w:tr>
        <w:trPr>
          <w:cantSplit/>
        </w:trPr>
        <w:tc>
          <w:tcPr>
            <w:tcW w:type="dxa" w:w="3456"/>
            <w:vAlign w:val="top"/>
          </w:tcPr>
          <w:p>
            <w:pPr>
              <w:spacing w:after="40" w:before="0" w:line="259" w:lineRule="auto"/>
            </w:pPr>
            <w:r>
              <w:rPr>
                <w:rFonts w:ascii="Calibri" w:hAnsi="Calibri"/>
                <w:b/>
                <w:i w:val="0"/>
                <w:color w:val="212121"/>
                <w:sz w:val="19"/>
              </w:rPr>
              <w:t>Abnormal nailfold capillaries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Giant capillaries, haemorrhages and dropout on capillaroscopy — the ‘SSc pattern’.</w:t>
            </w:r>
          </w:p>
        </w:tc>
      </w:tr>
      <w:tr>
        <w:trPr>
          <w:cantSplit/>
        </w:trPr>
        <w:tc>
          <w:tcPr>
            <w:tcW w:type="dxa" w:w="3456"/>
            <w:vAlign w:val="top"/>
          </w:tcPr>
          <w:p>
            <w:pPr>
              <w:spacing w:after="40" w:before="0" w:line="259" w:lineRule="auto"/>
            </w:pPr>
            <w:r>
              <w:rPr>
                <w:rFonts w:ascii="Calibri" w:hAnsi="Calibri"/>
                <w:b/>
                <w:i w:val="0"/>
                <w:color w:val="212121"/>
                <w:sz w:val="19"/>
              </w:rPr>
              <w:t>Raynaud colour change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Biphasic/triphasic pallor–cyanosis–rubor of the digits on examination or provocation.</w:t>
            </w:r>
          </w:p>
        </w:tc>
      </w:tr>
      <w:tr>
        <w:trPr>
          <w:cantSplit/>
        </w:trPr>
        <w:tc>
          <w:tcPr>
            <w:tcW w:type="dxa" w:w="3456"/>
            <w:vAlign w:val="top"/>
          </w:tcPr>
          <w:p>
            <w:pPr>
              <w:spacing w:after="40" w:before="0" w:line="259" w:lineRule="auto"/>
            </w:pPr>
            <w:r>
              <w:rPr>
                <w:rFonts w:ascii="Calibri" w:hAnsi="Calibri"/>
                <w:b/>
                <w:i w:val="0"/>
                <w:color w:val="212121"/>
                <w:sz w:val="19"/>
              </w:rPr>
              <w:t>Microstomia &amp; perioral furrowing / mask-like facies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mouth aperture, radial perioral furrows and a taut, expressionless face.</w:t>
            </w:r>
          </w:p>
        </w:tc>
      </w:tr>
      <w:tr>
        <w:trPr>
          <w:cantSplit/>
        </w:trPr>
        <w:tc>
          <w:tcPr>
            <w:tcW w:type="dxa" w:w="3456"/>
            <w:vAlign w:val="top"/>
          </w:tcPr>
          <w:p>
            <w:pPr>
              <w:spacing w:after="40" w:before="0" w:line="259" w:lineRule="auto"/>
            </w:pPr>
            <w:r>
              <w:rPr>
                <w:rFonts w:ascii="Calibri" w:hAnsi="Calibri"/>
                <w:b/>
                <w:i w:val="0"/>
                <w:color w:val="212121"/>
                <w:sz w:val="19"/>
              </w:rPr>
              <w:t>Fine bibasilar inspiratory (“velcro”) crackles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Auscultatory sign of interstitial lung disease.</w:t>
            </w:r>
          </w:p>
        </w:tc>
      </w:tr>
      <w:tr>
        <w:trPr>
          <w:cantSplit/>
        </w:trPr>
        <w:tc>
          <w:tcPr>
            <w:tcW w:type="dxa" w:w="3456"/>
            <w:vAlign w:val="top"/>
          </w:tcPr>
          <w:p>
            <w:pPr>
              <w:spacing w:after="40" w:before="0" w:line="259" w:lineRule="auto"/>
            </w:pPr>
            <w:r>
              <w:rPr>
                <w:rFonts w:ascii="Calibri" w:hAnsi="Calibri"/>
                <w:b/>
                <w:i w:val="0"/>
                <w:color w:val="212121"/>
                <w:sz w:val="19"/>
              </w:rPr>
              <w:t>Calcinosis cutis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Subcutaneous calcium deposits, typically over fingers and pressure points.</w:t>
            </w:r>
          </w:p>
        </w:tc>
      </w:tr>
      <w:tr>
        <w:trPr>
          <w:cantSplit/>
        </w:trPr>
        <w:tc>
          <w:tcPr>
            <w:tcW w:type="dxa" w:w="3456"/>
            <w:vAlign w:val="top"/>
          </w:tcPr>
          <w:p>
            <w:pPr>
              <w:spacing w:after="40" w:before="0" w:line="259" w:lineRule="auto"/>
            </w:pPr>
            <w:r>
              <w:rPr>
                <w:rFonts w:ascii="Calibri" w:hAnsi="Calibri"/>
                <w:b/>
                <w:i w:val="0"/>
                <w:color w:val="212121"/>
                <w:sz w:val="19"/>
              </w:rPr>
              <w:t>Salt-and-pepper skin pigmentation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Perifollicular pigment retention within depigmented skin.</w:t>
            </w:r>
          </w:p>
        </w:tc>
      </w:tr>
      <w:tr>
        <w:trPr>
          <w:cantSplit/>
        </w:trPr>
        <w:tc>
          <w:tcPr>
            <w:tcW w:type="dxa" w:w="3456"/>
            <w:vAlign w:val="top"/>
          </w:tcPr>
          <w:p>
            <w:pPr>
              <w:spacing w:after="40" w:before="0" w:line="259" w:lineRule="auto"/>
            </w:pPr>
            <w:r>
              <w:rPr>
                <w:rFonts w:ascii="Calibri" w:hAnsi="Calibri"/>
                <w:b/>
                <w:i w:val="0"/>
                <w:color w:val="212121"/>
                <w:sz w:val="19"/>
              </w:rPr>
              <w:t>Loud P2 / right ventricular heave / raised JVP</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Signs of pulmonary hypertension and right-heart strain.</w:t>
            </w:r>
          </w:p>
        </w:tc>
      </w:tr>
      <w:tr>
        <w:trPr>
          <w:cantSplit/>
        </w:trPr>
        <w:tc>
          <w:tcPr>
            <w:tcW w:type="dxa" w:w="3456"/>
            <w:vAlign w:val="top"/>
          </w:tcPr>
          <w:p>
            <w:pPr>
              <w:spacing w:after="40" w:before="0" w:line="259" w:lineRule="auto"/>
            </w:pPr>
            <w:r>
              <w:rPr>
                <w:rFonts w:ascii="Calibri" w:hAnsi="Calibri"/>
                <w:b/>
                <w:i w:val="0"/>
                <w:color w:val="212121"/>
                <w:sz w:val="19"/>
              </w:rPr>
              <w:t>Tendon friction rubs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Palpable/audible rubs over tendons in diffuse disease — a poor-prognosis sign.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Raynaud's phenomenon and digital ischaemia (tip ulcers, pitting scars)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skin fibrosis with sclerodactyly, contractures and microstomia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Gastro-oesophageal reflux and oesophageal dysmotility (dysphagia)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Interstitial lung disease (fibrosing, usually NSIP)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Inflammatory arthralgia/arthritis and tendon friction rubs</w:t>
            </w:r>
          </w:p>
        </w:tc>
        <w:tc>
          <w:tcPr>
            <w:tcW w:type="dxa" w:w="2980"/>
            <w:vAlign w:val="top"/>
          </w:tcPr>
          <w:p>
            <w:pPr>
              <w:spacing w:after="40" w:before="0" w:line="259" w:lineRule="auto"/>
            </w:pPr>
            <w:r>
              <w:rPr>
                <w:rFonts w:ascii="Calibri" w:hAnsi="Calibri"/>
                <w:b w:val="0"/>
                <w:i w:val="0"/>
                <w:color w:val="212121"/>
                <w:sz w:val="19"/>
              </w:rPr>
              <w:t>Direct consequences of the autoimmune vasculopathy and fibrosis of active disease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arterial hypertension and right-heart 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Scleroderma renal crisis (malignant hypertension with acute kidney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Gastric antral vascular ectasia (GAVE) and gastrointestinal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Malabsorption, small-intestinal bacterial overgrowth and malnutrition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Digital ulcers with secondary infection or gangrene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Myocardial fibrosis, arrhythmia and pericardial disease; overlap myositis</w:t>
            </w:r>
          </w:p>
        </w:tc>
        <w:tc>
          <w:tcPr>
            <w:tcW w:type="dxa" w:w="2980"/>
            <w:vAlign w:val="top"/>
          </w:tcPr>
          <w:p>
            <w:pPr>
              <w:spacing w:after="40" w:before="0" w:line="259" w:lineRule="auto"/>
            </w:pPr>
            <w:r>
              <w:rPr>
                <w:rFonts w:ascii="Calibri" w:hAnsi="Calibri"/>
                <w:b w:val="0"/>
                <w:i w:val="0"/>
                <w:color w:val="212121"/>
                <w:sz w:val="19"/>
              </w:rPr>
              <w:t>Arise from progressive vasculopathy, fibrosis and organ involvement over months to years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Respiratory failure from end-stage interstitial lung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Right-heart failure from severe pulmonary arterial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kidney disease requiring dialysis after renal crisis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Digital gangrene requiring amputation or autoamputation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hand/mouth contractures with loss of function and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death — the highest disease-specific mortality of the connective-tissue diseases</w:t>
            </w:r>
          </w:p>
        </w:tc>
        <w:tc>
          <w:tcPr>
            <w:tcW w:type="dxa" w:w="2980"/>
            <w:vAlign w:val="top"/>
          </w:tcPr>
          <w:p>
            <w:pPr>
              <w:spacing w:after="40" w:before="0" w:line="259" w:lineRule="auto"/>
            </w:pPr>
            <w:r>
              <w:rPr>
                <w:rFonts w:ascii="Calibri" w:hAnsi="Calibri"/>
                <w:b w:val="0"/>
                <w:i w:val="0"/>
                <w:color w:val="212121"/>
                <w:sz w:val="19"/>
              </w:rPr>
              <w:t>Irreversible, disabling end-stage outcomes of long-standing or complicated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Interstitial lung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Fibrosing lung disease (usually NSIP) is the leading cause of death in SSc, commonest in diffuse anti-Scl-70-positive disease and prominent in Indian cohorts; mandates early HRCT and PFT surveillance.</w:t>
            </w:r>
          </w:p>
          <w:p>
            <w:pPr>
              <w:spacing w:after="40" w:before="0" w:line="259" w:lineRule="auto"/>
            </w:pPr>
            <w:r>
              <w:rPr>
                <w:rFonts w:ascii="Calibri" w:hAnsi="Calibri"/>
                <w:b/>
                <w:i w:val="0"/>
                <w:color w:val="212121"/>
                <w:sz w:val="19"/>
              </w:rPr>
              <w:t>~50% clinically (up to ~80% at autopsy)</w:t>
            </w:r>
          </w:p>
        </w:tc>
      </w:tr>
      <w:tr>
        <w:trPr>
          <w:cantSplit/>
        </w:trPr>
        <w:tc>
          <w:tcPr>
            <w:tcW w:type="dxa" w:w="2232"/>
            <w:vAlign w:val="top"/>
          </w:tcPr>
          <w:p>
            <w:pPr>
              <w:spacing w:after="40" w:before="0" w:line="259" w:lineRule="auto"/>
            </w:pPr>
            <w:r>
              <w:rPr>
                <w:rFonts w:ascii="Calibri" w:hAnsi="Calibri"/>
                <w:b/>
                <w:i w:val="0"/>
                <w:color w:val="212121"/>
                <w:sz w:val="19"/>
              </w:rPr>
              <w:t>Pulmonary arterial hypertension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Obliterative pulmonary vasculopathy causes progressive dyspnoea and right-heart failure; a leading cause of mortality, characteristically complicating long-standing limited cutaneous disease.</w:t>
            </w:r>
          </w:p>
          <w:p>
            <w:pPr>
              <w:spacing w:after="40" w:before="0" w:line="259" w:lineRule="auto"/>
            </w:pPr>
            <w:r>
              <w:rPr>
                <w:rFonts w:ascii="Calibri" w:hAnsi="Calibri"/>
                <w:b/>
                <w:i w:val="0"/>
                <w:color w:val="212121"/>
                <w:sz w:val="19"/>
              </w:rPr>
              <w:t>~30–50% across the spectrum</w:t>
            </w:r>
          </w:p>
        </w:tc>
      </w:tr>
      <w:tr>
        <w:trPr>
          <w:cantSplit/>
        </w:trPr>
        <w:tc>
          <w:tcPr>
            <w:tcW w:type="dxa" w:w="2232"/>
            <w:vAlign w:val="top"/>
          </w:tcPr>
          <w:p>
            <w:pPr>
              <w:spacing w:after="40" w:before="0" w:line="259" w:lineRule="auto"/>
            </w:pPr>
            <w:r>
              <w:rPr>
                <w:rFonts w:ascii="Calibri" w:hAnsi="Calibri"/>
                <w:b/>
                <w:i w:val="0"/>
                <w:color w:val="212121"/>
                <w:sz w:val="19"/>
              </w:rPr>
              <w:t>Scleroderma renal crisis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Abrupt malignant hypertension with acute kidney injury and microangiopathic haemolysis, typically in early diffuse disease and precipitated by high-dose corticosteroids; a treatable emergency managed with ACE inhibitors.</w:t>
            </w:r>
          </w:p>
          <w:p>
            <w:pPr>
              <w:spacing w:after="40" w:before="0" w:line="259" w:lineRule="auto"/>
            </w:pPr>
            <w:r>
              <w:rPr>
                <w:rFonts w:ascii="Calibri" w:hAnsi="Calibri"/>
                <w:b/>
                <w:i w:val="0"/>
                <w:color w:val="212121"/>
                <w:sz w:val="19"/>
              </w:rPr>
              <w:t>~10%</w:t>
            </w:r>
          </w:p>
        </w:tc>
      </w:tr>
      <w:tr>
        <w:trPr>
          <w:cantSplit/>
        </w:trPr>
        <w:tc>
          <w:tcPr>
            <w:tcW w:type="dxa" w:w="2232"/>
            <w:vAlign w:val="top"/>
          </w:tcPr>
          <w:p>
            <w:pPr>
              <w:spacing w:after="40" w:before="0" w:line="259" w:lineRule="auto"/>
            </w:pPr>
            <w:r>
              <w:rPr>
                <w:rFonts w:ascii="Calibri" w:hAnsi="Calibri"/>
                <w:b/>
                <w:i w:val="0"/>
                <w:color w:val="212121"/>
                <w:sz w:val="19"/>
              </w:rPr>
              <w:t>Gastro-oesophageal reflux &amp; oesophageal dysmotility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Near-universal fibrotic/neuromyopathic gut disease causing reflux, dysphagia, strictures, aspiration (which can worsen ILD) and GAVE-related anaemia.</w:t>
            </w:r>
          </w:p>
          <w:p>
            <w:pPr>
              <w:spacing w:after="40" w:before="0" w:line="259" w:lineRule="auto"/>
            </w:pPr>
            <w:r>
              <w:rPr>
                <w:rFonts w:ascii="Calibri" w:hAnsi="Calibri"/>
                <w:b/>
                <w:i w:val="0"/>
                <w:color w:val="212121"/>
                <w:sz w:val="19"/>
              </w:rPr>
              <w:t>Oesophageal involvement up to ~90%</w:t>
            </w:r>
          </w:p>
        </w:tc>
      </w:tr>
      <w:tr>
        <w:trPr>
          <w:cantSplit/>
        </w:trPr>
        <w:tc>
          <w:tcPr>
            <w:tcW w:type="dxa" w:w="2232"/>
            <w:vAlign w:val="top"/>
          </w:tcPr>
          <w:p>
            <w:pPr>
              <w:spacing w:after="40" w:before="0" w:line="259" w:lineRule="auto"/>
            </w:pPr>
            <w:r>
              <w:rPr>
                <w:rFonts w:ascii="Calibri" w:hAnsi="Calibri"/>
                <w:b/>
                <w:i w:val="0"/>
                <w:color w:val="212121"/>
                <w:sz w:val="19"/>
              </w:rPr>
              <w:t>Raynaud's phenomenon &amp; digital ulcers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vasospastic and obliterative small-vessel disease that underlies SSc; recurrent ischaemic digital ulcers cause pain, infection and tissue loss.</w:t>
            </w:r>
          </w:p>
          <w:p>
            <w:pPr>
              <w:spacing w:after="40" w:before="0" w:line="259" w:lineRule="auto"/>
            </w:pPr>
            <w:r>
              <w:rPr>
                <w:rFonts w:ascii="Calibri" w:hAnsi="Calibri"/>
                <w:b/>
                <w:i w:val="0"/>
                <w:color w:val="212121"/>
                <w:sz w:val="19"/>
              </w:rPr>
              <w:t>&gt;95% have Raynaud's</w:t>
            </w:r>
          </w:p>
        </w:tc>
      </w:tr>
      <w:tr>
        <w:trPr>
          <w:cantSplit/>
        </w:trPr>
        <w:tc>
          <w:tcPr>
            <w:tcW w:type="dxa" w:w="2232"/>
            <w:vAlign w:val="top"/>
          </w:tcPr>
          <w:p>
            <w:pPr>
              <w:spacing w:after="40" w:before="0" w:line="259" w:lineRule="auto"/>
            </w:pPr>
            <w:r>
              <w:rPr>
                <w:rFonts w:ascii="Calibri" w:hAnsi="Calibri"/>
                <w:b/>
                <w:i w:val="0"/>
                <w:color w:val="212121"/>
                <w:sz w:val="19"/>
              </w:rPr>
              <w:t>Secondary Sjögren's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Overlapping autoimmunity causes dry eyes and mouth (sicca), adding to microstomia-related oral problems and symptom burden.</w:t>
            </w:r>
          </w:p>
        </w:tc>
      </w:tr>
      <w:tr>
        <w:trPr>
          <w:cantSplit/>
        </w:trPr>
        <w:tc>
          <w:tcPr>
            <w:tcW w:type="dxa" w:w="2232"/>
            <w:vAlign w:val="top"/>
          </w:tcPr>
          <w:p>
            <w:pPr>
              <w:spacing w:after="40" w:before="0" w:line="259" w:lineRule="auto"/>
            </w:pPr>
            <w:r>
              <w:rPr>
                <w:rFonts w:ascii="Calibri" w:hAnsi="Calibri"/>
                <w:b/>
                <w:i w:val="0"/>
                <w:color w:val="212121"/>
                <w:sz w:val="19"/>
              </w:rPr>
              <w:t>Inflammatory myositis (overlap)</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Muscle inflammation frequently overlaps with SSc (scleromyositis), raising creatine kinase and worsening weakness, cardiac and respiratory involvement; common in Indian overlap cohorts.</w:t>
            </w:r>
          </w:p>
        </w:tc>
      </w:tr>
      <w:tr>
        <w:trPr>
          <w:cantSplit/>
        </w:trPr>
        <w:tc>
          <w:tcPr>
            <w:tcW w:type="dxa" w:w="2232"/>
            <w:vAlign w:val="top"/>
          </w:tcPr>
          <w:p>
            <w:pPr>
              <w:spacing w:after="40" w:before="0" w:line="259" w:lineRule="auto"/>
            </w:pPr>
            <w:r>
              <w:rPr>
                <w:rFonts w:ascii="Calibri" w:hAnsi="Calibri"/>
                <w:b/>
                <w:i w:val="0"/>
                <w:color w:val="212121"/>
                <w:sz w:val="19"/>
              </w:rPr>
              <w:t>Autoimmune thyroid disease (hypothyroidism)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Shared autoimmune predisposition; thyroid autoimmunity is commoner in SSc and can compound fatigue and weight change.</w:t>
            </w:r>
          </w:p>
        </w:tc>
      </w:tr>
      <w:tr>
        <w:trPr>
          <w:cantSplit/>
        </w:trPr>
        <w:tc>
          <w:tcPr>
            <w:tcW w:type="dxa" w:w="2232"/>
            <w:vAlign w:val="top"/>
          </w:tcPr>
          <w:p>
            <w:pPr>
              <w:spacing w:after="40" w:before="0" w:line="259" w:lineRule="auto"/>
            </w:pPr>
            <w:r>
              <w:rPr>
                <w:rFonts w:ascii="Calibri" w:hAnsi="Calibri"/>
                <w:b/>
                <w:i w:val="0"/>
                <w:color w:val="212121"/>
                <w:sz w:val="19"/>
              </w:rPr>
              <w:t>Malnutrition &amp; weight loss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Gut dysmotility, malabsorption and bacterial overgrowth cause weight loss and micronutrient deficiency; low BMI marks severe disease and worsens prognosis.</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pain, fatigue, disfiguring skin/facial change, disability and sexual dysfunction drive mood disorder, which bidirectionally worsens perceived activity and adherence.</w:t>
            </w:r>
          </w:p>
        </w:tc>
      </w:tr>
      <w:tr>
        <w:trPr>
          <w:cantSplit/>
        </w:trPr>
        <w:tc>
          <w:tcPr>
            <w:tcW w:type="dxa" w:w="2232"/>
            <w:vAlign w:val="top"/>
          </w:tcPr>
          <w:p>
            <w:pPr>
              <w:spacing w:after="40" w:before="0" w:line="259" w:lineRule="auto"/>
            </w:pPr>
            <w:r>
              <w:rPr>
                <w:rFonts w:ascii="Calibri" w:hAnsi="Calibri"/>
                <w:b/>
                <w:i w:val="0"/>
                <w:color w:val="212121"/>
                <w:sz w:val="19"/>
              </w:rPr>
              <w:t>Osteoporosis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inflammation, malabsorption, vitamin D deficiency and corticosteroid use reduce bone density and increase fracture risk.</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systemic sclerosis is a chronic autoimmune disease of the small blood vessels and connective tissue, and that regular specialist follow-up with organ screening (lungs, heart, kidneys, gut) and adherence to therapy limits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Raynaud's phenomenon as an early warning sign and protect against cold: keep the whole body warm, wear gloves and warm footwear, and avoid sudden cold exposure to reduce attacks and digital ulcers.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red-flag symptoms promptly — new or worsening breathlessness or dry cough (lung disease/pulmonary hypertension), a sudden rise in blood pressure or reduced urine (renal crisis), and new painful or ulcerated fingertips.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that high-dose steroids can precipitate scleroderma renal crisis, so all medicines should be taken only as prescribed by the rheumatology team; monitor blood pressure at home if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daily skin care and stretching/hand and mouth-opening exercises to keep skin supple and prevent contractures and reduced mouth opening.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known occupational triggers where possible — silica dust, sandblasting, agate grinding and organic solvents — and use appropriate protective measures at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and attend regular monitoring, including lung-function tests, echocardiography and blood pressure/kidney checks.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SSc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Raynaud's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Occupationally exposed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SSc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daily hand, finger and mouth-opening (range-of-motion) exercises and skin stretching to prevent contractures and microstomia and maintain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graded aerobic activity (walking, cycling, supervised programmes) to preserve cardiopulmonary fitness, adapting intensity to any lung or heart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gentle strengthening and physiotherapy/occupational-therapy input, with splinting and joint protection as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Warm up thoroughly and exercise in warm environments to avoid triggering Raynaud's, and pace activity around fatigue and disease activity.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skin/joint tightening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Sedentary/deconditioned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Stable SSc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contractures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small, frequent meals and remain upright for 2–3 hours afterwards, avoiding late-night meals, to control reflux from oesophageal dysmotility.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acidic, spicy, fatty and caffeinated foods and carbonated/alcoholic drinks that worsen reflux; soften or moisten food if swallowing is difficult.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calories and micronutrients (iron, calcium, vitamin D, B12) to counter malabsorption and weight loss, with dietitian input where gut disease is severe.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review for possible small-intestinal bacterial overgrowth (bloating, diarrhoea, weight loss), which may need targeted antibiotic and nutritional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GERD/dysmotility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weight loss/malnutrition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dysphagia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SSc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head of the bed and avoid eating within 2–3 hours of lying down to reduce nocturnal reflux and aspiration.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bedroom warm and hands/feet protected to reduce night-time Raynaud's, and treat pain and breathlessness that fragment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sleep schedule and good sleep hygiene to ease the fatigue that is common in scleroderma.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review if worsening night-time breathlessness or reflux disturbs sleep, as this may signal lung or oesophageal progression.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Raynaud's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Fatigued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lung involvement</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 nicotine-induced vasoconstriction worsens Raynaud's, digital ulcers and the risk of critical ischaemia and gangrene.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nicotine replacement or pharmacotherapy) with a firm quit date.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adds to the already-elevated vascular and pulmonary risk in SSc.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cessation with cold-avoidance and prompt care of any new fingertip ulcer.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smokers with SSc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digital ulcers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Raynaud's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lung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to a minimum, as it relaxes the lower oesophageal sphincter and worsens the reflux of scleroderma.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especially cautious on immunosuppressants (methotrexate/mycophenolate hepatotoxicity) and NSAIDs (gastrointestinal bleeding), including several alcohol-free days each week.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during flares and when liver enzymes or blood counts are deranged.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non-carbonated, non-caffeinated drinks that are less likely to aggravate reflux.</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immunosuppressants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GERD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NSAIDs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are common in scleroderma and bidirectionally worsen pain, fatigue and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body-image and self-esteem concerns arising from skin and facial change, hand disability and sexual dysfunction, with counselling and peer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cognitive behavioural therapy, relaxation, pacing and support groups to build coping and resilience with a chronic, visible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continued social, educational and occupational participation, with workplace adjustments and referral for sexual-health concerns where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pain/fatigue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disfiguring skin change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disability</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ams.nih.gov/health-topics/scleroderma" TargetMode="External"/><Relationship Id="rId10" Type="http://schemas.openxmlformats.org/officeDocument/2006/relationships/hyperlink" Target="https://www.ncbi.nlm.nih.gov/books/NBK430875/" TargetMode="External"/><Relationship Id="rId11" Type="http://schemas.openxmlformats.org/officeDocument/2006/relationships/hyperlink" Target="https://rarediseases.org/rare-diseases/scleroderma/" TargetMode="External"/><Relationship Id="rId12" Type="http://schemas.openxmlformats.org/officeDocument/2006/relationships/hyperlink" Target="https://pubmed.ncbi.nlm.nih.gov/38572051/" TargetMode="External"/><Relationship Id="rId13" Type="http://schemas.openxmlformats.org/officeDocument/2006/relationships/hyperlink" Target="https://pubmed.ncbi.nlm.nih.gov/31309339/" TargetMode="External"/><Relationship Id="rId14" Type="http://schemas.openxmlformats.org/officeDocument/2006/relationships/hyperlink" Target="https://pubmed.ncbi.nlm.nih.gov/37436007/" TargetMode="External"/><Relationship Id="rId15" Type="http://schemas.openxmlformats.org/officeDocument/2006/relationships/hyperlink" Target="https://www.mayoclinic.org/diseases-conditions/scleroderma/symptoms-causes/syc-203519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