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Other Vasculitides (GPA, HSP, Kawasaki)</w:t>
      </w:r>
    </w:p>
    <w:p>
      <w:pPr>
        <w:spacing w:before="0" w:after="160"/>
      </w:pPr>
      <w:r>
        <w:rPr>
          <w:rFonts w:ascii="Calibri" w:hAnsi="Calibri"/>
          <w:b/>
          <w:i w:val="0"/>
          <w:color w:val="212121"/>
          <w:sz w:val="22"/>
        </w:rPr>
        <w:t xml:space="preserve">AKA </w:t>
      </w:r>
      <w:r>
        <w:rPr>
          <w:rFonts w:ascii="Calibri" w:hAnsi="Calibri"/>
          <w:b w:val="0"/>
          <w:i w:val="0"/>
          <w:color w:val="212121"/>
          <w:sz w:val="22"/>
        </w:rPr>
        <w:t>i.e., Granulomatosis with Polyangiitis (GPA; formerly Wegener’s granulomatosis); Henoch–Schönlein Purpura (HSP; IgA vasculitis; anaphylactoid purpura); Kawasaki Disease (mucocutaneous lymph node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Vasculitis is inflammation of blood-vessel walls that can cause vessel wall damage, narrowing, occlusion or aneurysm and ischaemic injury to the tissues supplied. This entry groups three distinct but individually important vasculitides classified by the predominant size of vessel involved. Granulomatosis with polyangiitis (GPA) is an ANCA-associated small-vessel vasculitis with necrotizing granulomatous inflammation of the upper and lower airways and pauci-immune glomerulonephritis. IgA vasculitis (Henoch–Schönlein purpura, HSP) is an immune-complex small-vessel vasculitis — the commonest vasculitis of childhood — causing palpable purpura, arthritis, abdominal pain and IgA nephritis. Kawasaki disease is a medium-vessel vasculitis of young children with a predilection for the coronary arteries and is a leading cause of acquired heart disease in children.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These vasculitides are individually uncommon but clinically important across India. Kawasaki disease is increasingly recognised: hospital-based surveillance from Chandigarh recorded an incidence rising to about 9.7 per 100,000 children under 5 years in 2015–2019, a 53% increase over the 2009–2014 period. IgA vasculitis (Henoch–Schönlein purpura) is the commonest small-vessel vasculitis of childhood in India, typically following an upper-respiratory infection. Granulomatosis with polyangiitis is rare and, unlike East Asia where MPO-ANCA and microscopic polyangiitis predominate, Indian GPA is PR3-ANCA (c-ANCA) predominant with a mean age at onset near 40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Because this entry groups three distinct vasculitides, diagnosis is entity-specific and combines clinical pattern recognition with serology, imaging and biopsy. Widely used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Kawasaki disease (American Heart Association): fever persisting ≥5 days plus ≥4 of 5 principal features — bilateral non-exudative conjunctival injection; oral changes (erythema/fissuring of lips, strawberry tongue, pharyngeal injection); polymorphous rash; extremity changes (palmar/plantar erythema and oedema, later periungual desquamation); and cervical lymphadenopathy ≥1.5 cm. Incomplete/atypical KD is diagnosed with fewer features plus supportive laboratory and echocardiographic findings.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IgA vasculitis / Henoch–Schönlein purpura (EULAR/PRINTO/PRES 2010): mandatory palpable purpura (without thrombocytopenia or coagulopathy), typically in a dependent distribution, plus at least one of — diffuse abdominal pain; arthritis or arthralgia; renal involvement (haematuria and/or proteinuria); or a biopsy showing predominant IgA deposition on leukocytoclastic vasculitis.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Granulomatosis with polyangiitis (ACR/EULAR 2022 classification; historical 1990 ACR criteria): a weighted score using sinonasal/cartilaginous involvement, PR3-ANCA (c-ANCA) positivity, pulmonary nodules/mass/cavitation, granuloma or necrotizing inflammation on biopsy, and pauci-immune glomerulonephritis; biopsy showing necrotizing granulomatous small-vessel vasculitis is confirmatory.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investigations: ANCA testing (indirect immunofluorescence plus antigen-specific PR3/MPO ELISA) for GPA; urinalysis for glomerular haematuria, red-cell casts and proteinuria; serum creatinine/eGFR; CRP and ESR; complete blood count (thrombocytosis in the subacute phase of KD); and 2D echocardiography with coronary-artery internal-diameter Z-scores for KD.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Biopsy and immunofluorescence: skin or renal biopsy showing IgA-dominant immune deposits confirms HSP; renal, pulmonary or ENT biopsy showing necrotizing granulomatous, pauci-immune small-vessel vasculitis confirms GPA.</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 the 2012 Revised International Chapel Hill Consensus Conference nomenclature, systemic vasculitides are grouped by the predominant size of vessel involved. This entry covers three of them:</w:t>
      </w:r>
    </w:p>
    <w:p>
      <w:pPr>
        <w:spacing w:before="0" w:after="80"/>
      </w:pPr>
      <w:r>
        <w:rPr>
          <w:rFonts w:ascii="Calibri" w:hAnsi="Calibri"/>
          <w:b w:val="0"/>
          <w:i w:val="0"/>
          <w:color w:val="212121"/>
          <w:sz w:val="21"/>
        </w:rPr>
        <w:t>(1) Granulomatosis with polyangiitis (GPA, formerly Wegener’s granulomatosis) — an ANCA-associated small-vessel vasculitis with necrotizing granulomatous inflammation of the upper and lower respiratory tract and focal necrotizing pauci-immune glomerulonephritis; PR3-ANCA (c-ANCA) positive in roughly 85–95% of cases.</w:t>
      </w:r>
    </w:p>
    <w:p>
      <w:pPr>
        <w:spacing w:before="0" w:after="80"/>
      </w:pPr>
      <w:r>
        <w:rPr>
          <w:rFonts w:ascii="Calibri" w:hAnsi="Calibri"/>
          <w:b w:val="0"/>
          <w:i w:val="0"/>
          <w:color w:val="212121"/>
          <w:sz w:val="21"/>
        </w:rPr>
        <w:t>(2) IgA vasculitis (Henoch–Schönlein purpura) — an immune-complex small-vessel vasculitis with IgA1-dominant deposits, the commonest vasculitis of childhood, presenting with palpable purpura, arthritis/arthralgia, abdominal pain and IgA nephritis.</w:t>
      </w:r>
    </w:p>
    <w:p>
      <w:pPr>
        <w:spacing w:before="0" w:after="80"/>
      </w:pPr>
      <w:r>
        <w:rPr>
          <w:rFonts w:ascii="Calibri" w:hAnsi="Calibri"/>
          <w:b w:val="0"/>
          <w:i w:val="0"/>
          <w:color w:val="212121"/>
          <w:sz w:val="21"/>
        </w:rPr>
        <w:t>(3) Kawasaki disease (mucocutaneous lymph node syndrome) — a medium-vessel vasculitis with a predilection for the coronary arteries, occurring almost exclusively in young children (about 80% before age 5) and a leading cause of acquired heart disease in children.</w:t>
      </w:r>
    </w:p>
    <w:p>
      <w:pPr>
        <w:spacing w:before="0" w:after="80"/>
      </w:pPr>
      <w:r>
        <w:rPr>
          <w:rFonts w:ascii="Calibri" w:hAnsi="Calibri"/>
          <w:b w:val="0"/>
          <w:i w:val="0"/>
          <w:color w:val="212121"/>
          <w:sz w:val="21"/>
        </w:rPr>
        <w:t>By vessel size: GPA and HSP are small-vessel vasculitides (GPA is ANCA-associated/pauci-immune, HSP is immune-complex mediated), whereas Kawasaki disease is a medium-vessel vasculitis. This distinction drives the very different age groups, organ targets, investigations and treatments across the three conditions.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Autoimmunity (ANCA): Anti-proteinase-3 (PR3) antineutrophil cytoplasmic antibodies activate primed neutrophils to damage small-vessel endothelium in GPA, producing necrotizing granulomatous inflammation.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Immune-complex deposition: Galactose-deficient IgA1 immune complexes deposit in dermal, gastrointestinal and glomerular (mesangial) small vessels in HSP/IgA vasculitis.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Infection triggers: A preceding streptococcal or viral upper-respiratory infection commonly precedes HSP and Kawasaki disease; an infectious/immunological trigger in a genetically primed host is central to Kawasaki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susceptibility: HLA and non-HLA variants confer risk and vary by ethnicity — HLA-DRB1 in HSP, HLA-DP/DPB1*04:01 in GPA, and ITPKC/CASP3/FCGR2A/HLA loci in Kawasaki disease.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exposure: Cigarette smoking and inhaled silica dust are recognised environmental risk factors for ANCA-associated vasculitis (GPA); chronic nasal Staphylococcus aureus carriage predisposes to GPA relapse.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Age, sex and ethnicity: Young age (Kawasaki, HSP), male predominance (Kawasaki), and East-Asian ancestry (Kawasaki) strongly shape incidence and phenotype.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children under 5 years (Kawasaki)</w:t>
            </w:r>
          </w:p>
        </w:tc>
        <w:tc>
          <w:tcPr>
            <w:tcW w:type="dxa" w:w="4276"/>
            <w:vAlign w:val="top"/>
          </w:tcPr>
          <w:p>
            <w:pPr>
              <w:spacing w:after="60" w:line="259" w:lineRule="auto"/>
            </w:pPr>
            <w:r>
              <w:rPr>
                <w:rFonts w:ascii="Calibri" w:hAnsi="Calibri"/>
                <w:b w:val="0"/>
                <w:i w:val="0"/>
                <w:color w:val="212121"/>
                <w:sz w:val="19"/>
              </w:rPr>
              <w:t>Kawasaki disease is a medium-vessel vasculitis almost confined to early childhood; an immature, exuberant immune response to an infectious trigger drives coronary arteritis. About 80% of cases occur before age 5, peaking at 6–24 months.</w:t>
            </w:r>
          </w:p>
          <w:p>
            <w:pPr>
              <w:spacing w:after="40" w:before="60" w:line="259" w:lineRule="auto"/>
            </w:pPr>
            <w:r>
              <w:rPr>
                <w:rFonts w:ascii="Calibri" w:hAnsi="Calibri"/>
                <w:b w:val="0"/>
                <w:i w:val="0"/>
                <w:color w:val="212121"/>
                <w:sz w:val="19"/>
              </w:rPr>
              <w:t>In Chandigarh, KD incidence rose to about 9.7 per 100,000 children under 5 years in 2015–2019, a 53.1% increase over 2009–2014.</w:t>
            </w:r>
          </w:p>
          <w:p>
            <w:pPr>
              <w:spacing w:after="40" w:line="252" w:lineRule="auto"/>
            </w:pPr>
            <w:hyperlink r:id="rId9">
              <w:r>
                <w:rPr>
                  <w:rFonts w:ascii="Calibri" w:hAnsi="Calibri" w:cs="Calibri"/>
                  <w:sz w:val="18"/>
                  <w:color w:val="1155CC"/>
                  <w:u w:val="single"/>
                </w:rPr>
                <w:t xml:space="preserve">pubmed.ncbi.nlm.nih.gov/39310717 — KD incidence Chandigarh</w:t>
              </w:r>
            </w:hyperlink>
          </w:p>
          <w:p>
            <w:pPr>
              <w:spacing w:before="60" w:after="40"/>
            </w:pPr>
            <w:r>
              <w:rPr>
                <w:rFonts w:ascii="Calibri" w:hAnsi="Calibri"/>
                <w:b w:val="0"/>
                <w:i w:val="0"/>
                <w:color w:val="5A5A5A"/>
                <w:sz w:val="18"/>
              </w:rPr>
              <w:t>#kawasaki  #coronaryarteritis  #underfive  #pediatricvasculitis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3–10 years (HSP)</w:t>
            </w:r>
          </w:p>
        </w:tc>
        <w:tc>
          <w:tcPr>
            <w:tcW w:type="dxa" w:w="4276"/>
            <w:vAlign w:val="top"/>
          </w:tcPr>
          <w:p>
            <w:pPr>
              <w:spacing w:after="60" w:line="259" w:lineRule="auto"/>
            </w:pPr>
            <w:r>
              <w:rPr>
                <w:rFonts w:ascii="Calibri" w:hAnsi="Calibri"/>
                <w:b w:val="0"/>
                <w:i w:val="0"/>
                <w:color w:val="212121"/>
                <w:sz w:val="19"/>
              </w:rPr>
              <w:t>IgA vasculitis (HSP) is the commonest small-vessel vasculitis of childhood, peaking around 4–7 years and usually following an upper-respiratory infection; IgA immune complexes deposit in skin, gut and kidney.</w:t>
            </w:r>
          </w:p>
          <w:p>
            <w:pPr>
              <w:spacing w:after="40" w:before="60" w:line="259" w:lineRule="auto"/>
            </w:pPr>
            <w:r>
              <w:rPr>
                <w:rFonts w:ascii="Calibri" w:hAnsi="Calibri"/>
                <w:b w:val="0"/>
                <w:i w:val="0"/>
                <w:color w:val="212121"/>
                <w:sz w:val="19"/>
              </w:rPr>
              <w:t>In a North-Indian cohort, children formed the majority of IgA-vasculitis cases (57 of 87), with gastrointestinal involvement in 84% and renal involvement in 51%.</w:t>
            </w:r>
          </w:p>
          <w:p>
            <w:pPr>
              <w:spacing w:after="40" w:line="252" w:lineRule="auto"/>
            </w:pPr>
            <w:hyperlink r:id="rId10">
              <w:r>
                <w:rPr>
                  <w:rFonts w:ascii="Calibri" w:hAnsi="Calibri" w:cs="Calibri"/>
                  <w:sz w:val="18"/>
                  <w:color w:val="1155CC"/>
                  <w:u w:val="single"/>
                </w:rPr>
                <w:t xml:space="preserve">pubmed.ncbi.nlm.nih.gov/29115055 — HSP North India</w:t>
              </w:r>
            </w:hyperlink>
          </w:p>
          <w:p>
            <w:pPr>
              <w:spacing w:before="60" w:after="40"/>
            </w:pPr>
            <w:r>
              <w:rPr>
                <w:rFonts w:ascii="Calibri" w:hAnsi="Calibri"/>
                <w:b w:val="0"/>
                <w:i w:val="0"/>
                <w:color w:val="5A5A5A"/>
                <w:sz w:val="18"/>
              </w:rPr>
              <w:t>#HSP  #IgAvasculitis  #palpablepurpura  #childhood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Middle-aged &amp; older adults 40–65 years (GPA)</w:t>
            </w:r>
          </w:p>
        </w:tc>
        <w:tc>
          <w:tcPr>
            <w:tcW w:type="dxa" w:w="4276"/>
            <w:vAlign w:val="top"/>
          </w:tcPr>
          <w:p>
            <w:pPr>
              <w:spacing w:after="60" w:line="259" w:lineRule="auto"/>
            </w:pPr>
            <w:r>
              <w:rPr>
                <w:rFonts w:ascii="Calibri" w:hAnsi="Calibri"/>
                <w:b w:val="0"/>
                <w:i w:val="0"/>
                <w:color w:val="212121"/>
                <w:sz w:val="19"/>
              </w:rPr>
              <w:t>GPA typically presents in middle-aged and older adults; PR3-ANCA-mediated necrotizing granulomatous inflammation targets the airways and kidneys.</w:t>
            </w:r>
          </w:p>
          <w:p>
            <w:pPr>
              <w:spacing w:after="40" w:before="60" w:line="259" w:lineRule="auto"/>
            </w:pPr>
            <w:r>
              <w:rPr>
                <w:rFonts w:ascii="Calibri" w:hAnsi="Calibri"/>
                <w:b w:val="0"/>
                <w:i w:val="0"/>
                <w:color w:val="212121"/>
                <w:sz w:val="19"/>
              </w:rPr>
              <w:t>In Indian series GPA onset clusters near a mean age of about 40 years — younger than the ~65-year mean reported from Japan.</w:t>
            </w:r>
          </w:p>
          <w:p>
            <w:pPr>
              <w:spacing w:after="40" w:line="252" w:lineRule="auto"/>
            </w:pPr>
            <w:hyperlink r:id="rId11">
              <w:r>
                <w:rPr>
                  <w:rFonts w:ascii="Calibri" w:hAnsi="Calibri" w:cs="Calibri"/>
                  <w:sz w:val="18"/>
                  <w:color w:val="1155CC"/>
                  <w:u w:val="single"/>
                </w:rPr>
                <w:t xml:space="preserve">pubmed.ncbi.nlm.nih.gov/30338654 — GPA in Asia vs West</w:t>
              </w:r>
            </w:hyperlink>
          </w:p>
          <w:p>
            <w:pPr>
              <w:spacing w:before="60" w:after="40"/>
            </w:pPr>
            <w:r>
              <w:rPr>
                <w:rFonts w:ascii="Calibri" w:hAnsi="Calibri"/>
                <w:b w:val="0"/>
                <w:i w:val="0"/>
                <w:color w:val="5A5A5A"/>
                <w:sz w:val="18"/>
              </w:rPr>
              <w:t>#GPA  #ANCA  #PR3  #adultvasculitis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 (Kawasaki)</w:t>
            </w:r>
          </w:p>
        </w:tc>
        <w:tc>
          <w:tcPr>
            <w:tcW w:type="dxa" w:w="4276"/>
            <w:vAlign w:val="top"/>
          </w:tcPr>
          <w:p>
            <w:pPr>
              <w:spacing w:after="60" w:line="259" w:lineRule="auto"/>
            </w:pPr>
            <w:r>
              <w:rPr>
                <w:rFonts w:ascii="Calibri" w:hAnsi="Calibri"/>
                <w:b w:val="0"/>
                <w:i w:val="0"/>
                <w:color w:val="212121"/>
                <w:sz w:val="19"/>
              </w:rPr>
              <w:t>Kawasaki disease shows a consistent male predominance, thought to reflect sex differences in innate immune and inflammatory responses.</w:t>
            </w:r>
          </w:p>
          <w:p>
            <w:pPr>
              <w:spacing w:after="40" w:before="60" w:line="259" w:lineRule="auto"/>
            </w:pPr>
            <w:r>
              <w:rPr>
                <w:rFonts w:ascii="Calibri" w:hAnsi="Calibri"/>
                <w:b w:val="0"/>
                <w:i w:val="0"/>
                <w:color w:val="212121"/>
                <w:sz w:val="19"/>
              </w:rPr>
              <w:t>North-Indian KD cohorts show a male:female ratio of about 3.9:1 (e.g., 43 boys vs 11 girls in 2009–2014; 66 vs 17 in 2015–2019).</w:t>
            </w:r>
          </w:p>
          <w:p>
            <w:pPr>
              <w:spacing w:after="40" w:line="252" w:lineRule="auto"/>
            </w:pPr>
            <w:hyperlink r:id="rId12">
              <w:r>
                <w:rPr>
                  <w:rFonts w:ascii="Calibri" w:hAnsi="Calibri" w:cs="Calibri"/>
                  <w:sz w:val="18"/>
                  <w:color w:val="1155CC"/>
                  <w:u w:val="single"/>
                </w:rPr>
                <w:t xml:space="preserve">pubmed.ncbi.nlm.nih.gov/27491781 — KD Chandigarh 2009–14</w:t>
              </w:r>
            </w:hyperlink>
          </w:p>
          <w:p>
            <w:pPr>
              <w:spacing w:before="60" w:after="40"/>
            </w:pPr>
            <w:r>
              <w:rPr>
                <w:rFonts w:ascii="Calibri" w:hAnsi="Calibri"/>
                <w:b w:val="0"/>
                <w:i w:val="0"/>
                <w:color w:val="5A5A5A"/>
                <w:sz w:val="18"/>
              </w:rPr>
              <w:t>#malepredominance  #kawasaki  #sexratio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Crowded households / high infection exposure</w:t>
            </w:r>
          </w:p>
        </w:tc>
        <w:tc>
          <w:tcPr>
            <w:tcW w:type="dxa" w:w="4276"/>
            <w:vAlign w:val="top"/>
          </w:tcPr>
          <w:p>
            <w:pPr>
              <w:spacing w:after="60" w:line="259" w:lineRule="auto"/>
            </w:pPr>
            <w:r>
              <w:rPr>
                <w:rFonts w:ascii="Calibri" w:hAnsi="Calibri"/>
                <w:b w:val="0"/>
                <w:i w:val="0"/>
                <w:color w:val="212121"/>
                <w:sz w:val="19"/>
              </w:rPr>
              <w:t>Because HSP and Kawasaki disease frequently follow respiratory or throat infections, settings with greater infection exposure and seasonal epidemics see clustering of cases; access to timely echocardiography and IVIG also shapes Kawasaki outcomes.</w:t>
            </w:r>
          </w:p>
          <w:p>
            <w:pPr>
              <w:spacing w:after="40" w:before="60" w:line="259" w:lineRule="auto"/>
            </w:pPr>
            <w:r>
              <w:rPr>
                <w:rFonts w:ascii="Calibri" w:hAnsi="Calibri"/>
                <w:b w:val="0"/>
                <w:i w:val="0"/>
                <w:color w:val="212121"/>
                <w:sz w:val="19"/>
              </w:rPr>
              <w:t>Seasonal clustering of KD (winter–spring) is documented in North-Indian surveillance, mirroring respiratory-infection peaks.</w:t>
            </w:r>
          </w:p>
          <w:p>
            <w:pPr>
              <w:spacing w:after="40" w:line="252" w:lineRule="auto"/>
            </w:pPr>
            <w:hyperlink r:id="rId12">
              <w:r>
                <w:rPr>
                  <w:rFonts w:ascii="Calibri" w:hAnsi="Calibri" w:cs="Calibri"/>
                  <w:sz w:val="18"/>
                  <w:color w:val="1155CC"/>
                  <w:u w:val="single"/>
                </w:rPr>
                <w:t xml:space="preserve">pubmed.ncbi.nlm.nih.gov/27491781 — KD seasonality</w:t>
              </w:r>
            </w:hyperlink>
          </w:p>
          <w:p>
            <w:pPr>
              <w:spacing w:before="60" w:after="40"/>
            </w:pPr>
            <w:r>
              <w:rPr>
                <w:rFonts w:ascii="Calibri" w:hAnsi="Calibri"/>
                <w:b w:val="0"/>
                <w:i w:val="0"/>
                <w:color w:val="5A5A5A"/>
                <w:sz w:val="18"/>
              </w:rPr>
              <w:t>#infectiontrigger  #crowding  #seasonal  #accesstocare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East Asian ancestry (Japanese, Korean, Chinese)</w:t>
            </w:r>
          </w:p>
        </w:tc>
        <w:tc>
          <w:tcPr>
            <w:tcW w:type="dxa" w:w="4276"/>
            <w:vAlign w:val="top"/>
          </w:tcPr>
          <w:p>
            <w:pPr>
              <w:spacing w:after="60" w:line="259" w:lineRule="auto"/>
            </w:pPr>
            <w:r>
              <w:rPr>
                <w:rFonts w:ascii="Calibri" w:hAnsi="Calibri"/>
                <w:b w:val="0"/>
                <w:i w:val="0"/>
                <w:color w:val="212121"/>
                <w:sz w:val="19"/>
              </w:rPr>
              <w:t>Kawasaki disease incidence is highest in East Asian populations, implicating genetic susceptibility (e.g., ITPKC); Indian rates are lower but rising with better recognition.</w:t>
            </w:r>
          </w:p>
          <w:p>
            <w:pPr>
              <w:spacing w:after="40" w:before="60" w:line="259" w:lineRule="auto"/>
            </w:pPr>
            <w:r>
              <w:rPr>
                <w:rFonts w:ascii="Calibri" w:hAnsi="Calibri"/>
                <w:b w:val="0"/>
                <w:i w:val="0"/>
                <w:color w:val="212121"/>
                <w:sz w:val="19"/>
              </w:rPr>
              <w:t>KD is far commoner in Japan (&gt;300 per 100,000 under-5s) than India (~9.7 per 100,000), though Indian incidence is increasing.</w:t>
            </w:r>
          </w:p>
          <w:p>
            <w:pPr>
              <w:spacing w:after="40" w:line="252" w:lineRule="auto"/>
            </w:pPr>
            <w:hyperlink r:id="rId9">
              <w:r>
                <w:rPr>
                  <w:rFonts w:ascii="Calibri" w:hAnsi="Calibri" w:cs="Calibri"/>
                  <w:sz w:val="18"/>
                  <w:color w:val="1155CC"/>
                  <w:u w:val="single"/>
                </w:rPr>
                <w:t xml:space="preserve">pubmed.ncbi.nlm.nih.gov/39310717 — KD incidence India</w:t>
              </w:r>
            </w:hyperlink>
          </w:p>
          <w:p>
            <w:pPr>
              <w:spacing w:before="60" w:after="40"/>
            </w:pPr>
            <w:r>
              <w:rPr>
                <w:rFonts w:ascii="Calibri" w:hAnsi="Calibri"/>
                <w:b w:val="0"/>
                <w:i w:val="0"/>
                <w:color w:val="5A5A5A"/>
                <w:sz w:val="18"/>
              </w:rPr>
              <w:t>#eastasian  #genetics  #ITPKC  #kawasaki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ANCA phenotype</w:t>
            </w:r>
          </w:p>
        </w:tc>
        <w:tc>
          <w:tcPr>
            <w:tcW w:type="dxa" w:w="2160"/>
            <w:vAlign w:val="top"/>
          </w:tcPr>
          <w:p>
            <w:pPr>
              <w:spacing w:after="40" w:before="0" w:line="259" w:lineRule="auto"/>
            </w:pPr>
            <w:r>
              <w:rPr>
                <w:rFonts w:ascii="Calibri" w:hAnsi="Calibri"/>
                <w:b w:val="0"/>
                <w:i w:val="0"/>
                <w:color w:val="212121"/>
                <w:sz w:val="19"/>
              </w:rPr>
              <w:t>Indian adults with GPA (PR3-ANCA predominant)</w:t>
            </w:r>
          </w:p>
        </w:tc>
        <w:tc>
          <w:tcPr>
            <w:tcW w:type="dxa" w:w="4276"/>
            <w:vAlign w:val="top"/>
          </w:tcPr>
          <w:p>
            <w:pPr>
              <w:spacing w:after="60" w:line="259" w:lineRule="auto"/>
            </w:pPr>
            <w:r>
              <w:rPr>
                <w:rFonts w:ascii="Calibri" w:hAnsi="Calibri"/>
                <w:b w:val="0"/>
                <w:i w:val="0"/>
                <w:color w:val="212121"/>
                <w:sz w:val="19"/>
              </w:rPr>
              <w:t>Unlike East Asia, where MPO-ANCA and microscopic polyangiitis predominate, Indian GPA is PR3-ANCA predominant — an ethnogeographic difference in the ANCA-associated vasculitis phenotype that influences serological testing and prognosis.</w:t>
            </w:r>
          </w:p>
          <w:p>
            <w:pPr>
              <w:spacing w:after="40" w:before="60" w:line="259" w:lineRule="auto"/>
            </w:pPr>
            <w:r>
              <w:rPr>
                <w:rFonts w:ascii="Calibri" w:hAnsi="Calibri"/>
                <w:b w:val="0"/>
                <w:i w:val="0"/>
                <w:color w:val="212121"/>
                <w:sz w:val="19"/>
              </w:rPr>
              <w:t>PR3-ANCA positivity predominates among Indian and Korean GPA patients, versus about 60% MPO-ANCA in China and Japan.</w:t>
            </w:r>
          </w:p>
          <w:p>
            <w:pPr>
              <w:spacing w:after="40" w:line="252" w:lineRule="auto"/>
            </w:pPr>
            <w:hyperlink r:id="rId11">
              <w:r>
                <w:rPr>
                  <w:rFonts w:ascii="Calibri" w:hAnsi="Calibri" w:cs="Calibri"/>
                  <w:sz w:val="18"/>
                  <w:color w:val="1155CC"/>
                  <w:u w:val="single"/>
                </w:rPr>
                <w:t xml:space="preserve">pubmed.ncbi.nlm.nih.gov/30338654 — GPA Asia vs West</w:t>
              </w:r>
            </w:hyperlink>
          </w:p>
          <w:p>
            <w:pPr>
              <w:spacing w:before="60" w:after="40"/>
            </w:pPr>
            <w:r>
              <w:rPr>
                <w:rFonts w:ascii="Calibri" w:hAnsi="Calibri"/>
                <w:b w:val="0"/>
                <w:i w:val="0"/>
                <w:color w:val="5A5A5A"/>
                <w:sz w:val="18"/>
              </w:rPr>
              <w:t>#PR3ANCA  #india  #phenotype  #AAV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w:t>
            </w:r>
          </w:p>
        </w:tc>
        <w:tc>
          <w:tcPr>
            <w:tcW w:type="dxa" w:w="2160"/>
            <w:vAlign w:val="top"/>
          </w:tcPr>
          <w:p>
            <w:pPr>
              <w:spacing w:after="40" w:before="0" w:line="259" w:lineRule="auto"/>
            </w:pPr>
            <w:r>
              <w:rPr>
                <w:rFonts w:ascii="Calibri" w:hAnsi="Calibri"/>
                <w:b w:val="0"/>
                <w:i w:val="0"/>
                <w:color w:val="212121"/>
                <w:sz w:val="19"/>
              </w:rPr>
              <w:t>Winter–spring presentation</w:t>
            </w:r>
          </w:p>
        </w:tc>
        <w:tc>
          <w:tcPr>
            <w:tcW w:type="dxa" w:w="4276"/>
            <w:vAlign w:val="top"/>
          </w:tcPr>
          <w:p>
            <w:pPr>
              <w:spacing w:after="60" w:line="259" w:lineRule="auto"/>
            </w:pPr>
            <w:r>
              <w:rPr>
                <w:rFonts w:ascii="Calibri" w:hAnsi="Calibri"/>
                <w:b w:val="0"/>
                <w:i w:val="0"/>
                <w:color w:val="212121"/>
                <w:sz w:val="19"/>
              </w:rPr>
              <w:t>Both Kawasaki disease and HSP show winter–spring clustering in India, consistent with a respiratory-infection trigger operating on a susceptible host.</w:t>
            </w:r>
          </w:p>
          <w:p>
            <w:pPr>
              <w:spacing w:after="40" w:before="60" w:line="259" w:lineRule="auto"/>
            </w:pPr>
            <w:r>
              <w:rPr>
                <w:rFonts w:ascii="Calibri" w:hAnsi="Calibri"/>
                <w:b w:val="0"/>
                <w:i w:val="0"/>
                <w:color w:val="212121"/>
                <w:sz w:val="19"/>
              </w:rPr>
              <w:t>North-Indian KD surveillance reports seasonal clustering concentrated in winter and spring months.</w:t>
            </w:r>
          </w:p>
          <w:p>
            <w:pPr>
              <w:spacing w:after="40" w:line="252" w:lineRule="auto"/>
            </w:pPr>
            <w:hyperlink r:id="rId12">
              <w:r>
                <w:rPr>
                  <w:rFonts w:ascii="Calibri" w:hAnsi="Calibri" w:cs="Calibri"/>
                  <w:sz w:val="18"/>
                  <w:color w:val="1155CC"/>
                  <w:u w:val="single"/>
                </w:rPr>
                <w:t xml:space="preserve">pubmed.ncbi.nlm.nih.gov/27491781 — KD seasonality</w:t>
              </w:r>
            </w:hyperlink>
          </w:p>
          <w:p>
            <w:pPr>
              <w:spacing w:before="60" w:after="40"/>
            </w:pPr>
            <w:r>
              <w:rPr>
                <w:rFonts w:ascii="Calibri" w:hAnsi="Calibri"/>
                <w:b w:val="0"/>
                <w:i w:val="0"/>
                <w:color w:val="5A5A5A"/>
                <w:sz w:val="18"/>
              </w:rPr>
              <w:t>#seasonality  #winter  #respiratorytrigger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 / occupational exposure</w:t>
            </w:r>
          </w:p>
        </w:tc>
        <w:tc>
          <w:tcPr>
            <w:tcW w:type="dxa" w:w="2160"/>
            <w:vAlign w:val="top"/>
          </w:tcPr>
          <w:p>
            <w:pPr>
              <w:spacing w:after="40" w:before="0" w:line="259" w:lineRule="auto"/>
            </w:pPr>
            <w:r>
              <w:rPr>
                <w:rFonts w:ascii="Calibri" w:hAnsi="Calibri"/>
                <w:b w:val="0"/>
                <w:i w:val="0"/>
                <w:color w:val="212121"/>
                <w:sz w:val="19"/>
              </w:rPr>
              <w:t>Adult smokers &amp; silica-exposed workers (GPA)</w:t>
            </w:r>
          </w:p>
        </w:tc>
        <w:tc>
          <w:tcPr>
            <w:tcW w:type="dxa" w:w="4276"/>
            <w:vAlign w:val="top"/>
          </w:tcPr>
          <w:p>
            <w:pPr>
              <w:spacing w:after="60" w:line="259" w:lineRule="auto"/>
            </w:pPr>
            <w:r>
              <w:rPr>
                <w:rFonts w:ascii="Calibri" w:hAnsi="Calibri"/>
                <w:b w:val="0"/>
                <w:i w:val="0"/>
                <w:color w:val="212121"/>
                <w:sz w:val="19"/>
              </w:rPr>
              <w:t>Cigarette smoking and inhaled silica dust are environmental risk factors for ANCA-associated vasculitis, priming neutrophils and promoting PR3 autoimmunity; they may also worsen pulmonary involvement in GPA.</w:t>
            </w:r>
          </w:p>
          <w:p>
            <w:pPr>
              <w:spacing w:after="40" w:before="60" w:line="259" w:lineRule="auto"/>
            </w:pPr>
            <w:r>
              <w:rPr>
                <w:rFonts w:ascii="Calibri" w:hAnsi="Calibri"/>
                <w:b w:val="0"/>
                <w:i w:val="0"/>
                <w:color w:val="212121"/>
                <w:sz w:val="19"/>
              </w:rPr>
              <w:t>Smoking and silica exposure are recognised environmental risk factors for PR3-ANCA-associated vasculitis (a general clinical association).</w:t>
            </w:r>
          </w:p>
          <w:p>
            <w:pPr>
              <w:spacing w:before="60" w:after="40"/>
            </w:pPr>
            <w:r>
              <w:rPr>
                <w:rFonts w:ascii="Calibri" w:hAnsi="Calibri"/>
                <w:b w:val="0"/>
                <w:i w:val="0"/>
                <w:color w:val="5A5A5A"/>
                <w:sz w:val="18"/>
              </w:rPr>
              <w:t>#smoking  #silica  #occupational  #ANCA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 nasal carriage</w:t>
            </w:r>
          </w:p>
        </w:tc>
        <w:tc>
          <w:tcPr>
            <w:tcW w:type="dxa" w:w="2160"/>
            <w:vAlign w:val="top"/>
          </w:tcPr>
          <w:p>
            <w:pPr>
              <w:spacing w:after="40" w:before="0" w:line="259" w:lineRule="auto"/>
            </w:pPr>
            <w:r>
              <w:rPr>
                <w:rFonts w:ascii="Calibri" w:hAnsi="Calibri"/>
                <w:b w:val="0"/>
                <w:i w:val="0"/>
                <w:color w:val="212121"/>
                <w:sz w:val="19"/>
              </w:rPr>
              <w:t>Chronic nasal Staphylococcus aureus carriers (GPA)</w:t>
            </w:r>
          </w:p>
        </w:tc>
        <w:tc>
          <w:tcPr>
            <w:tcW w:type="dxa" w:w="4276"/>
            <w:vAlign w:val="top"/>
          </w:tcPr>
          <w:p>
            <w:pPr>
              <w:spacing w:after="60" w:line="259" w:lineRule="auto"/>
            </w:pPr>
            <w:r>
              <w:rPr>
                <w:rFonts w:ascii="Calibri" w:hAnsi="Calibri"/>
                <w:b w:val="0"/>
                <w:i w:val="0"/>
                <w:color w:val="212121"/>
                <w:sz w:val="19"/>
              </w:rPr>
              <w:t>Chronic nasal Staphylococcus aureus carriage is associated with a higher relapse rate in GPA, linking the sinonasal niche to disease activity and relapse.</w:t>
            </w:r>
          </w:p>
          <w:p>
            <w:pPr>
              <w:spacing w:after="40" w:before="60" w:line="259" w:lineRule="auto"/>
            </w:pPr>
            <w:r>
              <w:rPr>
                <w:rFonts w:ascii="Calibri" w:hAnsi="Calibri"/>
                <w:b w:val="0"/>
                <w:i w:val="0"/>
                <w:color w:val="212121"/>
                <w:sz w:val="19"/>
              </w:rPr>
              <w:t>Nasal S. aureus carriage is a recognised risk factor for GPA relapse (a general clinical association).</w:t>
            </w:r>
          </w:p>
          <w:p>
            <w:pPr>
              <w:spacing w:before="60" w:after="40"/>
            </w:pPr>
            <w:r>
              <w:rPr>
                <w:rFonts w:ascii="Calibri" w:hAnsi="Calibri"/>
                <w:b w:val="0"/>
                <w:i w:val="0"/>
                <w:color w:val="5A5A5A"/>
                <w:sz w:val="18"/>
              </w:rPr>
              <w:t>#staphaureus  #nasalcarriage  #relapse  #GPA</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Food / drug antigens</w:t>
            </w:r>
          </w:p>
        </w:tc>
        <w:tc>
          <w:tcPr>
            <w:tcW w:type="dxa" w:w="2160"/>
            <w:vAlign w:val="top"/>
          </w:tcPr>
          <w:p>
            <w:pPr>
              <w:spacing w:after="40" w:before="0" w:line="259" w:lineRule="auto"/>
            </w:pPr>
            <w:r>
              <w:rPr>
                <w:rFonts w:ascii="Calibri" w:hAnsi="Calibri"/>
                <w:b w:val="0"/>
                <w:i w:val="0"/>
                <w:color w:val="212121"/>
                <w:sz w:val="19"/>
              </w:rPr>
              <w:t>Recent novel foods or drug exposure (HSP)</w:t>
            </w:r>
          </w:p>
        </w:tc>
        <w:tc>
          <w:tcPr>
            <w:tcW w:type="dxa" w:w="4276"/>
            <w:vAlign w:val="top"/>
          </w:tcPr>
          <w:p>
            <w:pPr>
              <w:spacing w:after="60" w:line="259" w:lineRule="auto"/>
            </w:pPr>
            <w:r>
              <w:rPr>
                <w:rFonts w:ascii="Calibri" w:hAnsi="Calibri"/>
                <w:b w:val="0"/>
                <w:i w:val="0"/>
                <w:color w:val="212121"/>
                <w:sz w:val="19"/>
              </w:rPr>
              <w:t>In a minority of HSP cases, foods, medications (antibiotics, NSAIDs), insect bites or vaccines act as antigenic triggers for IgA immune-complex formation; the evidence is weak and inconsistent and no protective diet is established.</w:t>
            </w:r>
          </w:p>
          <w:p>
            <w:pPr>
              <w:spacing w:after="40" w:before="60" w:line="259" w:lineRule="auto"/>
            </w:pPr>
            <w:r>
              <w:rPr>
                <w:rFonts w:ascii="Calibri" w:hAnsi="Calibri"/>
                <w:b w:val="0"/>
                <w:i w:val="0"/>
                <w:color w:val="212121"/>
                <w:sz w:val="19"/>
              </w:rPr>
              <w:t>Possible inciting antigens for IgA vasculitis include viral URIs, streptococcal infection, medications, foods, insect bites and immunizations.</w:t>
            </w:r>
          </w:p>
          <w:p>
            <w:pPr>
              <w:spacing w:after="40" w:line="252" w:lineRule="auto"/>
            </w:pPr>
            <w:hyperlink r:id="rId13">
              <w:r>
                <w:rPr>
                  <w:rFonts w:ascii="Calibri" w:hAnsi="Calibri" w:cs="Calibri"/>
                  <w:sz w:val="18"/>
                  <w:color w:val="1155CC"/>
                  <w:u w:val="single"/>
                </w:rPr>
                <w:t xml:space="preserve">msdmanuals.com — IgA-associated vasculitis</w:t>
              </w:r>
            </w:hyperlink>
          </w:p>
          <w:p>
            <w:pPr>
              <w:spacing w:before="60" w:after="40"/>
            </w:pPr>
            <w:r>
              <w:rPr>
                <w:rFonts w:ascii="Calibri" w:hAnsi="Calibri"/>
                <w:b w:val="0"/>
                <w:i w:val="0"/>
                <w:color w:val="5A5A5A"/>
                <w:sz w:val="18"/>
              </w:rPr>
              <w:t>#foodantigen  #drugtrigger  #IgA  #weakevidence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HLA</w:t>
            </w:r>
          </w:p>
        </w:tc>
        <w:tc>
          <w:tcPr>
            <w:tcW w:type="dxa" w:w="2160"/>
            <w:vAlign w:val="top"/>
          </w:tcPr>
          <w:p>
            <w:pPr>
              <w:spacing w:after="40" w:before="0" w:line="259" w:lineRule="auto"/>
            </w:pPr>
            <w:r>
              <w:rPr>
                <w:rFonts w:ascii="Calibri" w:hAnsi="Calibri"/>
                <w:b w:val="0"/>
                <w:i w:val="0"/>
                <w:color w:val="212121"/>
                <w:sz w:val="19"/>
              </w:rPr>
              <w:t>HLA-DRB1 (HSP), HLA-DPB1 (GPA) susceptibility</w:t>
            </w:r>
          </w:p>
        </w:tc>
        <w:tc>
          <w:tcPr>
            <w:tcW w:type="dxa" w:w="4276"/>
            <w:vAlign w:val="top"/>
          </w:tcPr>
          <w:p>
            <w:pPr>
              <w:spacing w:after="60" w:line="259" w:lineRule="auto"/>
            </w:pPr>
            <w:r>
              <w:rPr>
                <w:rFonts w:ascii="Calibri" w:hAnsi="Calibri"/>
                <w:b w:val="0"/>
                <w:i w:val="0"/>
                <w:color w:val="212121"/>
                <w:sz w:val="19"/>
              </w:rPr>
              <w:t>Susceptibility is partly heritable; specific HLA and non-HLA variants raise risk and differ by population, contributing to the ethnogeographic patterns seen across these vasculitides.</w:t>
            </w:r>
          </w:p>
          <w:p>
            <w:pPr>
              <w:spacing w:after="40" w:before="60" w:line="259" w:lineRule="auto"/>
            </w:pPr>
            <w:r>
              <w:rPr>
                <w:rFonts w:ascii="Calibri" w:hAnsi="Calibri"/>
                <w:b w:val="0"/>
                <w:i w:val="0"/>
                <w:color w:val="212121"/>
                <w:sz w:val="19"/>
              </w:rPr>
              <w:t>An HLA-DRB1 susceptibility signal for Henoch–Schönlein purpura has been reported from North India.</w:t>
            </w:r>
          </w:p>
          <w:p>
            <w:pPr>
              <w:spacing w:after="40" w:line="252" w:lineRule="auto"/>
            </w:pPr>
            <w:hyperlink r:id="rId14">
              <w:r>
                <w:rPr>
                  <w:rFonts w:ascii="Calibri" w:hAnsi="Calibri" w:cs="Calibri"/>
                  <w:sz w:val="18"/>
                  <w:color w:val="1155CC"/>
                  <w:u w:val="single"/>
                </w:rPr>
                <w:t xml:space="preserve">pubmed.ncbi.nlm.nih.gov/27184863 — HLA-DRB1 HSP North India</w:t>
              </w:r>
            </w:hyperlink>
          </w:p>
          <w:p>
            <w:pPr>
              <w:spacing w:before="60" w:after="40"/>
            </w:pPr>
            <w:r>
              <w:rPr>
                <w:rFonts w:ascii="Calibri" w:hAnsi="Calibri"/>
                <w:b w:val="0"/>
                <w:i w:val="0"/>
                <w:color w:val="5A5A5A"/>
                <w:sz w:val="18"/>
              </w:rPr>
              <w:t>#HLA  #genetics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 susceptibility</w:t>
            </w:r>
          </w:p>
        </w:tc>
        <w:tc>
          <w:tcPr>
            <w:tcW w:type="dxa" w:w="2160"/>
            <w:vAlign w:val="top"/>
          </w:tcPr>
          <w:p>
            <w:pPr>
              <w:spacing w:after="40" w:before="0" w:line="259" w:lineRule="auto"/>
            </w:pPr>
            <w:r>
              <w:rPr>
                <w:rFonts w:ascii="Calibri" w:hAnsi="Calibri"/>
                <w:b w:val="0"/>
                <w:i w:val="0"/>
                <w:color w:val="212121"/>
                <w:sz w:val="19"/>
              </w:rPr>
              <w:t>Kawasaki susceptibility loci (ITPKC, CASP3, FCGR2A)</w:t>
            </w:r>
          </w:p>
        </w:tc>
        <w:tc>
          <w:tcPr>
            <w:tcW w:type="dxa" w:w="4276"/>
            <w:vAlign w:val="top"/>
          </w:tcPr>
          <w:p>
            <w:pPr>
              <w:spacing w:after="60" w:line="259" w:lineRule="auto"/>
            </w:pPr>
            <w:r>
              <w:rPr>
                <w:rFonts w:ascii="Calibri" w:hAnsi="Calibri"/>
                <w:b w:val="0"/>
                <w:i w:val="0"/>
                <w:color w:val="212121"/>
                <w:sz w:val="19"/>
              </w:rPr>
              <w:t>Kawasaki susceptibility genes regulate T-cell activation and immune signalling, helping to explain East-Asian predominance and increased risk in siblings and offspring of affected children.</w:t>
            </w:r>
          </w:p>
          <w:p>
            <w:pPr>
              <w:spacing w:after="40" w:before="60" w:line="259" w:lineRule="auto"/>
            </w:pPr>
            <w:r>
              <w:rPr>
                <w:rFonts w:ascii="Calibri" w:hAnsi="Calibri"/>
                <w:b w:val="0"/>
                <w:i w:val="0"/>
                <w:color w:val="212121"/>
                <w:sz w:val="19"/>
              </w:rPr>
              <w:t>Siblings of KD patients and children of KD-affected parents carry a higher risk of KD, reflecting genetic susceptibility (a general clinical observation).</w:t>
            </w:r>
          </w:p>
          <w:p>
            <w:pPr>
              <w:spacing w:before="60" w:after="40"/>
            </w:pPr>
            <w:r>
              <w:rPr>
                <w:rFonts w:ascii="Calibri" w:hAnsi="Calibri"/>
                <w:b w:val="0"/>
                <w:i w:val="0"/>
                <w:color w:val="5A5A5A"/>
                <w:sz w:val="18"/>
              </w:rPr>
              <w:t>#ITPKC  #kawasakigenetics  #familial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Recent infection</w:t>
            </w:r>
          </w:p>
        </w:tc>
        <w:tc>
          <w:tcPr>
            <w:tcW w:type="dxa" w:w="2160"/>
            <w:vAlign w:val="top"/>
          </w:tcPr>
          <w:p>
            <w:pPr>
              <w:spacing w:after="40" w:before="0" w:line="259" w:lineRule="auto"/>
            </w:pPr>
            <w:r>
              <w:rPr>
                <w:rFonts w:ascii="Calibri" w:hAnsi="Calibri"/>
                <w:b w:val="0"/>
                <w:i w:val="0"/>
                <w:color w:val="212121"/>
                <w:sz w:val="19"/>
              </w:rPr>
              <w:t>Post-streptococcal or post-viral URI</w:t>
            </w:r>
          </w:p>
        </w:tc>
        <w:tc>
          <w:tcPr>
            <w:tcW w:type="dxa" w:w="4276"/>
            <w:vAlign w:val="top"/>
          </w:tcPr>
          <w:p>
            <w:pPr>
              <w:spacing w:after="60" w:line="259" w:lineRule="auto"/>
            </w:pPr>
            <w:r>
              <w:rPr>
                <w:rFonts w:ascii="Calibri" w:hAnsi="Calibri"/>
                <w:b w:val="0"/>
                <w:i w:val="0"/>
                <w:color w:val="212121"/>
                <w:sz w:val="19"/>
              </w:rPr>
              <w:t>A preceding upper-respiratory or streptococcal infection is a common antecedent of HSP and Kawasaki disease, acting as an immunological trigger in a susceptible host.</w:t>
            </w:r>
          </w:p>
          <w:p>
            <w:pPr>
              <w:spacing w:after="40" w:before="60" w:line="259" w:lineRule="auto"/>
            </w:pPr>
            <w:r>
              <w:rPr>
                <w:rFonts w:ascii="Calibri" w:hAnsi="Calibri"/>
                <w:b w:val="0"/>
                <w:i w:val="0"/>
                <w:color w:val="212121"/>
                <w:sz w:val="19"/>
              </w:rPr>
              <w:t>URIs, streptococcal infection, drugs, foods, insect bites and immunizations are recognised inciting antigens for IgA vasculitis.</w:t>
            </w:r>
          </w:p>
          <w:p>
            <w:pPr>
              <w:spacing w:after="40" w:line="252" w:lineRule="auto"/>
            </w:pPr>
            <w:hyperlink r:id="rId13">
              <w:r>
                <w:rPr>
                  <w:rFonts w:ascii="Calibri" w:hAnsi="Calibri" w:cs="Calibri"/>
                  <w:sz w:val="18"/>
                  <w:color w:val="1155CC"/>
                  <w:u w:val="single"/>
                </w:rPr>
                <w:t xml:space="preserve">msdmanuals.com — IgA vasculitis triggers</w:t>
              </w:r>
            </w:hyperlink>
          </w:p>
          <w:p>
            <w:pPr>
              <w:spacing w:before="60" w:after="40"/>
            </w:pPr>
            <w:r>
              <w:rPr>
                <w:rFonts w:ascii="Calibri" w:hAnsi="Calibri"/>
                <w:b w:val="0"/>
                <w:i w:val="0"/>
                <w:color w:val="5A5A5A"/>
                <w:sz w:val="18"/>
              </w:rPr>
              <w:t>#postinfectious  #strep  #URI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rhinosinusitis</w:t>
            </w:r>
          </w:p>
        </w:tc>
        <w:tc>
          <w:tcPr>
            <w:tcW w:type="dxa" w:w="2160"/>
            <w:vAlign w:val="top"/>
          </w:tcPr>
          <w:p>
            <w:pPr>
              <w:spacing w:after="40" w:before="0" w:line="259" w:lineRule="auto"/>
            </w:pPr>
            <w:r>
              <w:rPr>
                <w:rFonts w:ascii="Calibri" w:hAnsi="Calibri"/>
                <w:b w:val="0"/>
                <w:i w:val="0"/>
                <w:color w:val="212121"/>
                <w:sz w:val="19"/>
              </w:rPr>
              <w:t>Refractory sinusitis, epistaxis, nasal crusting (GPA)</w:t>
            </w:r>
          </w:p>
        </w:tc>
        <w:tc>
          <w:tcPr>
            <w:tcW w:type="dxa" w:w="4276"/>
            <w:vAlign w:val="top"/>
          </w:tcPr>
          <w:p>
            <w:pPr>
              <w:spacing w:after="60" w:line="259" w:lineRule="auto"/>
            </w:pPr>
            <w:r>
              <w:rPr>
                <w:rFonts w:ascii="Calibri" w:hAnsi="Calibri"/>
                <w:b w:val="0"/>
                <w:i w:val="0"/>
                <w:color w:val="212121"/>
                <w:sz w:val="19"/>
              </w:rPr>
              <w:t>Persistent sinonasal inflammation with crusting, bloody discharge and epistaxis is the commonest presenting and relapsing feature of GPA; chronic sinusitis unresponsive to standard therapy should prompt ANCA testing and ENT biopsy.</w:t>
            </w:r>
          </w:p>
          <w:p>
            <w:pPr>
              <w:spacing w:after="40" w:before="60" w:line="259" w:lineRule="auto"/>
            </w:pPr>
            <w:r>
              <w:rPr>
                <w:rFonts w:ascii="Calibri" w:hAnsi="Calibri"/>
                <w:b w:val="0"/>
                <w:i w:val="0"/>
                <w:color w:val="212121"/>
                <w:sz w:val="19"/>
              </w:rPr>
              <w:t>Distinctive sinonasal findings in GPA include thick dark nasal crusts, septal perforation and saddle-nose deformity.</w:t>
            </w:r>
          </w:p>
          <w:p>
            <w:pPr>
              <w:spacing w:after="40" w:line="252" w:lineRule="auto"/>
            </w:pPr>
            <w:hyperlink r:id="rId15">
              <w:r>
                <w:rPr>
                  <w:rFonts w:ascii="Calibri" w:hAnsi="Calibri" w:cs="Calibri"/>
                  <w:sz w:val="18"/>
                  <w:color w:val="1155CC"/>
                  <w:u w:val="single"/>
                </w:rPr>
                <w:t xml:space="preserve">msdmanuals.com — granulomatosis with polyangiitis</w:t>
              </w:r>
            </w:hyperlink>
          </w:p>
          <w:p>
            <w:pPr>
              <w:spacing w:before="60" w:after="40"/>
            </w:pPr>
            <w:r>
              <w:rPr>
                <w:rFonts w:ascii="Calibri" w:hAnsi="Calibri"/>
                <w:b w:val="0"/>
                <w:i w:val="0"/>
                <w:color w:val="5A5A5A"/>
                <w:sz w:val="18"/>
              </w:rPr>
              <w:t>#sinusitis  #saddlenose  #epistaxis  #GPA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IgA nephropathy</w:t>
            </w:r>
          </w:p>
        </w:tc>
        <w:tc>
          <w:tcPr>
            <w:tcW w:type="dxa" w:w="2160"/>
            <w:vAlign w:val="top"/>
          </w:tcPr>
          <w:p>
            <w:pPr>
              <w:spacing w:after="40" w:before="0" w:line="259" w:lineRule="auto"/>
            </w:pPr>
            <w:r>
              <w:rPr>
                <w:rFonts w:ascii="Calibri" w:hAnsi="Calibri"/>
                <w:b w:val="0"/>
                <w:i w:val="0"/>
                <w:color w:val="212121"/>
                <w:sz w:val="19"/>
              </w:rPr>
              <w:t>Patients with IgA nephropathy / HSP nephritis</w:t>
            </w:r>
          </w:p>
        </w:tc>
        <w:tc>
          <w:tcPr>
            <w:tcW w:type="dxa" w:w="4276"/>
            <w:vAlign w:val="top"/>
          </w:tcPr>
          <w:p>
            <w:pPr>
              <w:spacing w:after="60" w:line="259" w:lineRule="auto"/>
            </w:pPr>
            <w:r>
              <w:rPr>
                <w:rFonts w:ascii="Calibri" w:hAnsi="Calibri"/>
                <w:b w:val="0"/>
                <w:i w:val="0"/>
                <w:color w:val="212121"/>
                <w:sz w:val="19"/>
              </w:rPr>
              <w:t>HSP nephritis and IgA nephropathy share the galactose-deficient IgA1 immune-complex mechanism and are considered part of a single spectrum; the degree of renal involvement determines long-term HSP prognosis.</w:t>
            </w:r>
          </w:p>
          <w:p>
            <w:pPr>
              <w:spacing w:after="40" w:before="60" w:line="259" w:lineRule="auto"/>
            </w:pPr>
            <w:r>
              <w:rPr>
                <w:rFonts w:ascii="Calibri" w:hAnsi="Calibri"/>
                <w:b w:val="0"/>
                <w:i w:val="0"/>
                <w:color w:val="212121"/>
                <w:sz w:val="19"/>
              </w:rPr>
              <w:t>Renal involvement occurred in about 51% of children and 60% of adults in a North-Indian IgA-vasculitis cohort.</w:t>
            </w:r>
          </w:p>
          <w:p>
            <w:pPr>
              <w:spacing w:after="40" w:line="252" w:lineRule="auto"/>
            </w:pPr>
            <w:hyperlink r:id="rId10">
              <w:r>
                <w:rPr>
                  <w:rFonts w:ascii="Calibri" w:hAnsi="Calibri" w:cs="Calibri"/>
                  <w:sz w:val="18"/>
                  <w:color w:val="1155CC"/>
                  <w:u w:val="single"/>
                </w:rPr>
                <w:t xml:space="preserve">pubmed.ncbi.nlm.nih.gov/29115055 — HSP renal involvement</w:t>
              </w:r>
            </w:hyperlink>
          </w:p>
          <w:p>
            <w:pPr>
              <w:spacing w:before="60" w:after="40"/>
            </w:pPr>
            <w:r>
              <w:rPr>
                <w:rFonts w:ascii="Calibri" w:hAnsi="Calibri"/>
                <w:b w:val="0"/>
                <w:i w:val="0"/>
                <w:color w:val="5A5A5A"/>
                <w:sz w:val="18"/>
              </w:rPr>
              <w:t>#IgAnephropathy  #HSPnephritis  #renal  #spectrum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Coronary artery aneurysm</w:t>
            </w:r>
          </w:p>
        </w:tc>
        <w:tc>
          <w:tcPr>
            <w:tcW w:type="dxa" w:w="2160"/>
            <w:vAlign w:val="top"/>
          </w:tcPr>
          <w:p>
            <w:pPr>
              <w:spacing w:after="40" w:before="0" w:line="259" w:lineRule="auto"/>
            </w:pPr>
            <w:r>
              <w:rPr>
                <w:rFonts w:ascii="Calibri" w:hAnsi="Calibri"/>
                <w:b w:val="0"/>
                <w:i w:val="0"/>
                <w:color w:val="212121"/>
                <w:sz w:val="19"/>
              </w:rPr>
              <w:t>Children with treated or untreated Kawasaki disease</w:t>
            </w:r>
          </w:p>
        </w:tc>
        <w:tc>
          <w:tcPr>
            <w:tcW w:type="dxa" w:w="4276"/>
            <w:vAlign w:val="top"/>
          </w:tcPr>
          <w:p>
            <w:pPr>
              <w:spacing w:after="60" w:line="259" w:lineRule="auto"/>
            </w:pPr>
            <w:r>
              <w:rPr>
                <w:rFonts w:ascii="Calibri" w:hAnsi="Calibri"/>
                <w:b w:val="0"/>
                <w:i w:val="0"/>
                <w:color w:val="212121"/>
                <w:sz w:val="19"/>
              </w:rPr>
              <w:t>Coronary artery aneurysms are the defining complication of Kawasaki disease and, when giant (&gt;8 mm), predispose to thrombosis, stenosis and later ischaemic heart disease; timely IVIG dramatically reduces this risk.</w:t>
            </w:r>
          </w:p>
          <w:p>
            <w:pPr>
              <w:spacing w:after="40" w:before="60" w:line="259" w:lineRule="auto"/>
            </w:pPr>
            <w:r>
              <w:rPr>
                <w:rFonts w:ascii="Calibri" w:hAnsi="Calibri"/>
                <w:b w:val="0"/>
                <w:i w:val="0"/>
                <w:color w:val="212121"/>
                <w:sz w:val="19"/>
              </w:rPr>
              <w:t>In Chandigarh KD, coronary abnormalities appeared in 16.9% acutely and persisted in 7.2% at 6 weeks; untreated, up to ~25% develop aneurysms versus &lt;5% with timely IVIG.</w:t>
            </w:r>
          </w:p>
          <w:p>
            <w:pPr>
              <w:spacing w:after="40" w:line="252" w:lineRule="auto"/>
            </w:pPr>
            <w:hyperlink r:id="rId9">
              <w:r>
                <w:rPr>
                  <w:rFonts w:ascii="Calibri" w:hAnsi="Calibri" w:cs="Calibri"/>
                  <w:sz w:val="18"/>
                  <w:color w:val="1155CC"/>
                  <w:u w:val="single"/>
                </w:rPr>
                <w:t xml:space="preserve">pubmed.ncbi.nlm.nih.gov/39310717 — KD coronary outcomes</w:t>
              </w:r>
            </w:hyperlink>
          </w:p>
          <w:p>
            <w:pPr>
              <w:spacing w:before="60" w:after="40"/>
            </w:pPr>
            <w:r>
              <w:rPr>
                <w:rFonts w:ascii="Calibri" w:hAnsi="Calibri"/>
                <w:b w:val="0"/>
                <w:i w:val="0"/>
                <w:color w:val="5A5A5A"/>
                <w:sz w:val="18"/>
              </w:rPr>
              <w:t>#coronaryaneurysm  #IVIG  #kawasakicardiac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These vasculitides are immune-mediated, not activity-related. However, children with Kawasaki-related coronary aneurysms require graded activity restriction and cardiology clearance, and deconditioning is common during active GPA and steroid therapy.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causal diet is established. A minority of IgA-vasculitis cases are food- or drug-antigen triggered, and corticosteroid therapy makes weight, glucose, salt and bone-health nutrition clinically relevant.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not a disease driver, but fatigue and disturbed sleep accompany active systemic vasculitis and long-term steroid use; restorative sleep supports recovery.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smoking and inhaled silica are recognised environmental risk factors for ANCA-associated (PR3) vasculitis such as GPA and may worsen pulmonary disease; passive smoke is relevant for affected children.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causal role in onset; alcohol interacts with methotrexate and other immunosuppressants used in GPA maintenance, raising hepatotoxicity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relapsing GPA and prolonged immunosuppression are associated with anxiety and depression; psychological stress does not cause the disease but affects adherence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Adequate hydration supports renal perfusion during nephritis and IVIG therapy but has no role in preventing the vasculitis itself.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with vasculitis onset or activity.</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Infection control is relevant because HSP and Kawasaki disease often follow infections, and chronic nasal Staphylococcus aureus carriage is linked to GPA relapse; good hygiene may reduce triggers and relapses.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preceding streptococcal or viral upper-respiratory infection is a major trigger for HSP and Kawasaki disease; drugs, silica, smoking and nasal Staph carriage provoke or perpetuate GPA.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Interval since preceding URI / streptococcal infection</w:t>
            </w:r>
          </w:p>
        </w:tc>
        <w:tc>
          <w:tcPr>
            <w:tcW w:type="dxa" w:w="1655"/>
            <w:vAlign w:val="top"/>
          </w:tcPr>
          <w:p>
            <w:pPr>
              <w:spacing w:after="40" w:before="0" w:line="259" w:lineRule="auto"/>
            </w:pPr>
            <w:r>
              <w:rPr>
                <w:rFonts w:ascii="Calibri" w:hAnsi="Calibri"/>
                <w:b w:val="0"/>
                <w:i w:val="0"/>
                <w:color w:val="212121"/>
                <w:sz w:val="19"/>
              </w:rPr>
              <w:t>Children with HSP or Kawasaki disease</w:t>
            </w:r>
          </w:p>
        </w:tc>
        <w:tc>
          <w:tcPr>
            <w:tcW w:type="dxa" w:w="1512"/>
            <w:vAlign w:val="top"/>
          </w:tcPr>
          <w:p>
            <w:pPr>
              <w:spacing w:after="40" w:before="0" w:line="259" w:lineRule="auto"/>
            </w:pPr>
            <w:r>
              <w:rPr>
                <w:rFonts w:ascii="Calibri" w:hAnsi="Calibri"/>
                <w:b w:val="0"/>
                <w:i w:val="0"/>
                <w:color w:val="212121"/>
                <w:sz w:val="19"/>
              </w:rPr>
              <w:t>No recent antecedent infection</w:t>
            </w:r>
          </w:p>
        </w:tc>
        <w:tc>
          <w:tcPr>
            <w:tcW w:type="dxa" w:w="1512"/>
            <w:vAlign w:val="top"/>
          </w:tcPr>
          <w:p>
            <w:pPr>
              <w:spacing w:after="40" w:before="0" w:line="259" w:lineRule="auto"/>
            </w:pPr>
            <w:r>
              <w:rPr>
                <w:rFonts w:ascii="Calibri" w:hAnsi="Calibri"/>
                <w:b w:val="0"/>
                <w:i w:val="0"/>
                <w:color w:val="212121"/>
                <w:sz w:val="19"/>
              </w:rPr>
              <w:t>Symptom onset ~1–3 weeks after a URI or streptococcal infection</w:t>
            </w:r>
          </w:p>
        </w:tc>
        <w:tc>
          <w:tcPr>
            <w:tcW w:type="dxa" w:w="1468"/>
            <w:vAlign w:val="top"/>
          </w:tcPr>
          <w:p>
            <w:pPr>
              <w:spacing w:after="60" w:line="259" w:lineRule="auto"/>
            </w:pPr>
            <w:r>
              <w:rPr>
                <w:rFonts w:ascii="Calibri" w:hAnsi="Calibri"/>
                <w:b w:val="0"/>
                <w:i w:val="0"/>
                <w:color w:val="212121"/>
                <w:sz w:val="19"/>
              </w:rPr>
              <w:t>A documented antecedent infection supports the diagnosis and reflects the immunological trigger.</w:t>
            </w:r>
          </w:p>
          <w:p>
            <w:pPr>
              <w:spacing w:after="40" w:line="252" w:lineRule="auto"/>
            </w:pPr>
            <w:hyperlink r:id="rId13">
              <w:r>
                <w:rPr>
                  <w:rFonts w:ascii="Calibri" w:hAnsi="Calibri" w:cs="Calibri"/>
                  <w:sz w:val="18"/>
                  <w:color w:val="1155CC"/>
                  <w:u w:val="single"/>
                </w:rPr>
                <w:t xml:space="preserve">https://www.msdmanuals.com/professional/musculoskeletal-and-connective-tissue-disorders/vasculitis/immunoglobulin-a-associated-vasculitis-igav</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 / silica exposure</w:t>
            </w:r>
          </w:p>
        </w:tc>
        <w:tc>
          <w:tcPr>
            <w:tcW w:type="dxa" w:w="1655"/>
            <w:vAlign w:val="top"/>
          </w:tcPr>
          <w:p>
            <w:pPr>
              <w:spacing w:after="40" w:before="0" w:line="259" w:lineRule="auto"/>
            </w:pPr>
            <w:r>
              <w:rPr>
                <w:rFonts w:ascii="Calibri" w:hAnsi="Calibri"/>
                <w:b w:val="0"/>
                <w:i w:val="0"/>
                <w:color w:val="212121"/>
                <w:sz w:val="19"/>
              </w:rPr>
              <w:t>Adults with or at risk of GPA (AAV)</w:t>
            </w:r>
          </w:p>
        </w:tc>
        <w:tc>
          <w:tcPr>
            <w:tcW w:type="dxa" w:w="1512"/>
            <w:vAlign w:val="top"/>
          </w:tcPr>
          <w:p>
            <w:pPr>
              <w:spacing w:after="40" w:before="0" w:line="259" w:lineRule="auto"/>
            </w:pPr>
            <w:r>
              <w:rPr>
                <w:rFonts w:ascii="Calibri" w:hAnsi="Calibri"/>
                <w:b w:val="0"/>
                <w:i w:val="0"/>
                <w:color w:val="212121"/>
                <w:sz w:val="19"/>
              </w:rPr>
              <w:t>0 cigarettes/day; no silica exposure</w:t>
            </w:r>
          </w:p>
        </w:tc>
        <w:tc>
          <w:tcPr>
            <w:tcW w:type="dxa" w:w="1512"/>
            <w:vAlign w:val="top"/>
          </w:tcPr>
          <w:p>
            <w:pPr>
              <w:spacing w:after="40" w:before="0" w:line="259" w:lineRule="auto"/>
            </w:pPr>
            <w:r>
              <w:rPr>
                <w:rFonts w:ascii="Calibri" w:hAnsi="Calibri"/>
                <w:b w:val="0"/>
                <w:i w:val="0"/>
                <w:color w:val="212121"/>
                <w:sz w:val="19"/>
              </w:rPr>
              <w:t>≥1 cigarette/day or occupational silica dust</w:t>
            </w:r>
          </w:p>
        </w:tc>
        <w:tc>
          <w:tcPr>
            <w:tcW w:type="dxa" w:w="1468"/>
            <w:vAlign w:val="top"/>
          </w:tcPr>
          <w:p>
            <w:pPr>
              <w:spacing w:after="40" w:before="0" w:line="259" w:lineRule="auto"/>
            </w:pPr>
            <w:r>
              <w:rPr>
                <w:rFonts w:ascii="Calibri" w:hAnsi="Calibri"/>
                <w:b w:val="0"/>
                <w:i w:val="0"/>
                <w:color w:val="212121"/>
                <w:sz w:val="19"/>
              </w:rPr>
              <w:t>Smoking and silica raise ANCA-vasculitis risk and can worsen pulmonary involvement.</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Return-to-play by coronary artery Z-score</w:t>
            </w:r>
          </w:p>
        </w:tc>
        <w:tc>
          <w:tcPr>
            <w:tcW w:type="dxa" w:w="1655"/>
            <w:vAlign w:val="top"/>
          </w:tcPr>
          <w:p>
            <w:pPr>
              <w:spacing w:after="40" w:before="0" w:line="259" w:lineRule="auto"/>
            </w:pPr>
            <w:r>
              <w:rPr>
                <w:rFonts w:ascii="Calibri" w:hAnsi="Calibri"/>
                <w:b w:val="0"/>
                <w:i w:val="0"/>
                <w:color w:val="212121"/>
                <w:sz w:val="19"/>
              </w:rPr>
              <w:t>Children recovering from Kawasaki disease</w:t>
            </w:r>
          </w:p>
        </w:tc>
        <w:tc>
          <w:tcPr>
            <w:tcW w:type="dxa" w:w="1512"/>
            <w:vAlign w:val="top"/>
          </w:tcPr>
          <w:p>
            <w:pPr>
              <w:spacing w:after="40" w:before="0" w:line="259" w:lineRule="auto"/>
            </w:pPr>
            <w:r>
              <w:rPr>
                <w:rFonts w:ascii="Calibri" w:hAnsi="Calibri"/>
                <w:b w:val="0"/>
                <w:i w:val="0"/>
                <w:color w:val="212121"/>
                <w:sz w:val="19"/>
              </w:rPr>
              <w:t>Z-score &lt;2 (no aneurysm) → no activity restriction</w:t>
            </w:r>
          </w:p>
        </w:tc>
        <w:tc>
          <w:tcPr>
            <w:tcW w:type="dxa" w:w="1512"/>
            <w:vAlign w:val="top"/>
          </w:tcPr>
          <w:p>
            <w:pPr>
              <w:spacing w:after="40" w:before="0" w:line="259" w:lineRule="auto"/>
            </w:pPr>
            <w:r>
              <w:rPr>
                <w:rFonts w:ascii="Calibri" w:hAnsi="Calibri"/>
                <w:b w:val="0"/>
                <w:i w:val="0"/>
                <w:color w:val="212121"/>
                <w:sz w:val="19"/>
              </w:rPr>
              <w:t>Z-score ≥2.5 or aneurysm → restriction + cardiology clearance</w:t>
            </w:r>
          </w:p>
        </w:tc>
        <w:tc>
          <w:tcPr>
            <w:tcW w:type="dxa" w:w="1468"/>
            <w:vAlign w:val="top"/>
          </w:tcPr>
          <w:p>
            <w:pPr>
              <w:spacing w:after="60" w:line="259" w:lineRule="auto"/>
            </w:pPr>
            <w:r>
              <w:rPr>
                <w:rFonts w:ascii="Calibri" w:hAnsi="Calibri"/>
                <w:b w:val="0"/>
                <w:i w:val="0"/>
                <w:color w:val="212121"/>
                <w:sz w:val="19"/>
              </w:rPr>
              <w:t>Giant aneurysms and anticoagulation contraindicate competitive/contact sport.</w:t>
            </w:r>
          </w:p>
          <w:p>
            <w:pPr>
              <w:spacing w:after="40" w:line="252" w:lineRule="auto"/>
            </w:pPr>
            <w:hyperlink r:id="rId9">
              <w:r>
                <w:rPr>
                  <w:rFonts w:ascii="Calibri" w:hAnsi="Calibri" w:cs="Calibri"/>
                  <w:sz w:val="18"/>
                  <w:color w:val="1155CC"/>
                  <w:u w:val="single"/>
                </w:rPr>
                <w:t xml:space="preserve">https://pubmed.ncbi.nlm.nih.gov/39310717/</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Nasal Staphylococcus aureus carriage</w:t>
            </w:r>
          </w:p>
        </w:tc>
        <w:tc>
          <w:tcPr>
            <w:tcW w:type="dxa" w:w="1655"/>
            <w:vAlign w:val="top"/>
          </w:tcPr>
          <w:p>
            <w:pPr>
              <w:spacing w:after="40" w:before="0" w:line="259" w:lineRule="auto"/>
            </w:pPr>
            <w:r>
              <w:rPr>
                <w:rFonts w:ascii="Calibri" w:hAnsi="Calibri"/>
                <w:b w:val="0"/>
                <w:i w:val="0"/>
                <w:color w:val="212121"/>
                <w:sz w:val="19"/>
              </w:rPr>
              <w:t>Adults with GPA</w:t>
            </w:r>
          </w:p>
        </w:tc>
        <w:tc>
          <w:tcPr>
            <w:tcW w:type="dxa" w:w="1512"/>
            <w:vAlign w:val="top"/>
          </w:tcPr>
          <w:p>
            <w:pPr>
              <w:spacing w:after="40" w:before="0" w:line="259" w:lineRule="auto"/>
            </w:pPr>
            <w:r>
              <w:rPr>
                <w:rFonts w:ascii="Calibri" w:hAnsi="Calibri"/>
                <w:b w:val="0"/>
                <w:i w:val="0"/>
                <w:color w:val="212121"/>
                <w:sz w:val="19"/>
              </w:rPr>
              <w:t>Negative nasal culture</w:t>
            </w:r>
          </w:p>
        </w:tc>
        <w:tc>
          <w:tcPr>
            <w:tcW w:type="dxa" w:w="1512"/>
            <w:vAlign w:val="top"/>
          </w:tcPr>
          <w:p>
            <w:pPr>
              <w:spacing w:after="40" w:before="0" w:line="259" w:lineRule="auto"/>
            </w:pPr>
            <w:r>
              <w:rPr>
                <w:rFonts w:ascii="Calibri" w:hAnsi="Calibri"/>
                <w:b w:val="0"/>
                <w:i w:val="0"/>
                <w:color w:val="212121"/>
                <w:sz w:val="19"/>
              </w:rPr>
              <w:t>Persistent nasal S. aureus carriage</w:t>
            </w:r>
          </w:p>
        </w:tc>
        <w:tc>
          <w:tcPr>
            <w:tcW w:type="dxa" w:w="1468"/>
            <w:vAlign w:val="top"/>
          </w:tcPr>
          <w:p>
            <w:pPr>
              <w:spacing w:after="40" w:before="0" w:line="259" w:lineRule="auto"/>
            </w:pPr>
            <w:r>
              <w:rPr>
                <w:rFonts w:ascii="Calibri" w:hAnsi="Calibri"/>
                <w:b w:val="0"/>
                <w:i w:val="0"/>
                <w:color w:val="212121"/>
                <w:sz w:val="19"/>
              </w:rPr>
              <w:t>Chronic nasal S. aureus carriage is associated with a higher GPA relapse rate.</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Urine output &amp; hydration during nephritis / IVIG</w:t>
            </w:r>
          </w:p>
        </w:tc>
        <w:tc>
          <w:tcPr>
            <w:tcW w:type="dxa" w:w="1655"/>
            <w:vAlign w:val="top"/>
          </w:tcPr>
          <w:p>
            <w:pPr>
              <w:spacing w:after="40" w:before="0" w:line="259" w:lineRule="auto"/>
            </w:pPr>
            <w:r>
              <w:rPr>
                <w:rFonts w:ascii="Calibri" w:hAnsi="Calibri"/>
                <w:b w:val="0"/>
                <w:i w:val="0"/>
                <w:color w:val="212121"/>
                <w:sz w:val="19"/>
              </w:rPr>
              <w:t>HSP or GPA nephritis; KD on IVIG</w:t>
            </w:r>
          </w:p>
        </w:tc>
        <w:tc>
          <w:tcPr>
            <w:tcW w:type="dxa" w:w="1512"/>
            <w:vAlign w:val="top"/>
          </w:tcPr>
          <w:p>
            <w:pPr>
              <w:spacing w:after="40" w:before="0" w:line="259" w:lineRule="auto"/>
            </w:pPr>
            <w:r>
              <w:rPr>
                <w:rFonts w:ascii="Calibri" w:hAnsi="Calibri"/>
                <w:b w:val="0"/>
                <w:i w:val="0"/>
                <w:color w:val="212121"/>
                <w:sz w:val="19"/>
              </w:rPr>
              <w:t>Adequate urine output, no oliguria, stable creatinine</w:t>
            </w:r>
          </w:p>
        </w:tc>
        <w:tc>
          <w:tcPr>
            <w:tcW w:type="dxa" w:w="1512"/>
            <w:vAlign w:val="top"/>
          </w:tcPr>
          <w:p>
            <w:pPr>
              <w:spacing w:after="40" w:before="0" w:line="259" w:lineRule="auto"/>
            </w:pPr>
            <w:r>
              <w:rPr>
                <w:rFonts w:ascii="Calibri" w:hAnsi="Calibri"/>
                <w:b w:val="0"/>
                <w:i w:val="0"/>
                <w:color w:val="212121"/>
                <w:sz w:val="19"/>
              </w:rPr>
              <w:t>Oliguria or rising serum creatinine</w:t>
            </w:r>
          </w:p>
        </w:tc>
        <w:tc>
          <w:tcPr>
            <w:tcW w:type="dxa" w:w="1468"/>
            <w:vAlign w:val="top"/>
          </w:tcPr>
          <w:p>
            <w:pPr>
              <w:spacing w:after="40" w:before="0" w:line="259" w:lineRule="auto"/>
            </w:pPr>
            <w:r>
              <w:rPr>
                <w:rFonts w:ascii="Calibri" w:hAnsi="Calibri"/>
                <w:b w:val="0"/>
                <w:i w:val="0"/>
                <w:color w:val="212121"/>
                <w:sz w:val="19"/>
              </w:rPr>
              <w:t>Maintain renal perfusion and avoid nephrotoxins during active nephritis and IVIG.</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 anxiety screen (PHQ-2 / GAD-2)</w:t>
            </w:r>
          </w:p>
        </w:tc>
        <w:tc>
          <w:tcPr>
            <w:tcW w:type="dxa" w:w="1655"/>
            <w:vAlign w:val="top"/>
          </w:tcPr>
          <w:p>
            <w:pPr>
              <w:spacing w:after="40" w:before="0" w:line="259" w:lineRule="auto"/>
            </w:pPr>
            <w:r>
              <w:rPr>
                <w:rFonts w:ascii="Calibri" w:hAnsi="Calibri"/>
                <w:b w:val="0"/>
                <w:i w:val="0"/>
                <w:color w:val="212121"/>
                <w:sz w:val="19"/>
              </w:rPr>
              <w:t>Adults on long-term immunosuppression for GPA</w:t>
            </w:r>
          </w:p>
        </w:tc>
        <w:tc>
          <w:tcPr>
            <w:tcW w:type="dxa" w:w="1512"/>
            <w:vAlign w:val="top"/>
          </w:tcPr>
          <w:p>
            <w:pPr>
              <w:spacing w:after="40" w:before="0" w:line="259" w:lineRule="auto"/>
            </w:pPr>
            <w:r>
              <w:rPr>
                <w:rFonts w:ascii="Calibri" w:hAnsi="Calibri"/>
                <w:b w:val="0"/>
                <w:i w:val="0"/>
                <w:color w:val="212121"/>
                <w:sz w:val="19"/>
              </w:rPr>
              <w:t>Negative screen</w:t>
            </w:r>
          </w:p>
        </w:tc>
        <w:tc>
          <w:tcPr>
            <w:tcW w:type="dxa" w:w="1512"/>
            <w:vAlign w:val="top"/>
          </w:tcPr>
          <w:p>
            <w:pPr>
              <w:spacing w:after="40" w:before="0" w:line="259" w:lineRule="auto"/>
            </w:pPr>
            <w:r>
              <w:rPr>
                <w:rFonts w:ascii="Calibri" w:hAnsi="Calibri"/>
                <w:b w:val="0"/>
                <w:i w:val="0"/>
                <w:color w:val="212121"/>
                <w:sz w:val="19"/>
              </w:rPr>
              <w:t>Positive PHQ-2 or GAD-2</w:t>
            </w:r>
          </w:p>
        </w:tc>
        <w:tc>
          <w:tcPr>
            <w:tcW w:type="dxa" w:w="1468"/>
            <w:vAlign w:val="top"/>
          </w:tcPr>
          <w:p>
            <w:pPr>
              <w:spacing w:after="40" w:before="0" w:line="259" w:lineRule="auto"/>
            </w:pPr>
            <w:r>
              <w:rPr>
                <w:rFonts w:ascii="Calibri" w:hAnsi="Calibri"/>
                <w:b w:val="0"/>
                <w:i w:val="0"/>
                <w:color w:val="212121"/>
                <w:sz w:val="19"/>
              </w:rPr>
              <w:t>Chronic relapsing disease and corticosteroids affect mood and treatment adherence.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on methotrexate maintenance</w:t>
            </w:r>
          </w:p>
        </w:tc>
        <w:tc>
          <w:tcPr>
            <w:tcW w:type="dxa" w:w="1655"/>
            <w:vAlign w:val="top"/>
          </w:tcPr>
          <w:p>
            <w:pPr>
              <w:spacing w:after="40" w:before="0" w:line="259" w:lineRule="auto"/>
            </w:pPr>
            <w:r>
              <w:rPr>
                <w:rFonts w:ascii="Calibri" w:hAnsi="Calibri"/>
                <w:b w:val="0"/>
                <w:i w:val="0"/>
                <w:color w:val="212121"/>
                <w:sz w:val="19"/>
              </w:rPr>
              <w:t>Adults with GPA on methotrexate</w:t>
            </w:r>
          </w:p>
        </w:tc>
        <w:tc>
          <w:tcPr>
            <w:tcW w:type="dxa" w:w="1512"/>
            <w:vAlign w:val="top"/>
          </w:tcPr>
          <w:p>
            <w:pPr>
              <w:spacing w:after="40" w:before="0" w:line="259" w:lineRule="auto"/>
            </w:pPr>
            <w:r>
              <w:rPr>
                <w:rFonts w:ascii="Calibri" w:hAnsi="Calibri"/>
                <w:b w:val="0"/>
                <w:i w:val="0"/>
                <w:color w:val="212121"/>
                <w:sz w:val="19"/>
              </w:rPr>
              <w:t>Minimal to none</w:t>
            </w:r>
          </w:p>
        </w:tc>
        <w:tc>
          <w:tcPr>
            <w:tcW w:type="dxa" w:w="1512"/>
            <w:vAlign w:val="top"/>
          </w:tcPr>
          <w:p>
            <w:pPr>
              <w:spacing w:after="40" w:before="0" w:line="259" w:lineRule="auto"/>
            </w:pPr>
            <w:r>
              <w:rPr>
                <w:rFonts w:ascii="Calibri" w:hAnsi="Calibri"/>
                <w:b w:val="0"/>
                <w:i w:val="0"/>
                <w:color w:val="212121"/>
                <w:sz w:val="19"/>
              </w:rPr>
              <w:t>Regular/heavy intake with hepatotoxic immunosuppressants</w:t>
            </w:r>
          </w:p>
        </w:tc>
        <w:tc>
          <w:tcPr>
            <w:tcW w:type="dxa" w:w="1468"/>
            <w:vAlign w:val="top"/>
          </w:tcPr>
          <w:p>
            <w:pPr>
              <w:spacing w:after="40" w:before="0" w:line="259" w:lineRule="auto"/>
            </w:pPr>
            <w:r>
              <w:rPr>
                <w:rFonts w:ascii="Calibri" w:hAnsi="Calibri"/>
                <w:b w:val="0"/>
                <w:i w:val="0"/>
                <w:color w:val="212121"/>
                <w:sz w:val="19"/>
              </w:rPr>
              <w:t>Combined hepatotoxicity risk; monitor liver function tests.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Corticosteroid-related metabolic monitoring</w:t>
            </w:r>
          </w:p>
        </w:tc>
        <w:tc>
          <w:tcPr>
            <w:tcW w:type="dxa" w:w="1655"/>
            <w:vAlign w:val="top"/>
          </w:tcPr>
          <w:p>
            <w:pPr>
              <w:spacing w:after="40" w:before="0" w:line="259" w:lineRule="auto"/>
            </w:pPr>
            <w:r>
              <w:rPr>
                <w:rFonts w:ascii="Calibri" w:hAnsi="Calibri"/>
                <w:b w:val="0"/>
                <w:i w:val="0"/>
                <w:color w:val="212121"/>
                <w:sz w:val="19"/>
              </w:rPr>
              <w:t>Children/adults on corticosteroid therapy</w:t>
            </w:r>
          </w:p>
        </w:tc>
        <w:tc>
          <w:tcPr>
            <w:tcW w:type="dxa" w:w="1512"/>
            <w:vAlign w:val="top"/>
          </w:tcPr>
          <w:p>
            <w:pPr>
              <w:spacing w:after="40" w:before="0" w:line="259" w:lineRule="auto"/>
            </w:pPr>
            <w:r>
              <w:rPr>
                <w:rFonts w:ascii="Calibri" w:hAnsi="Calibri"/>
                <w:b w:val="0"/>
                <w:i w:val="0"/>
                <w:color w:val="212121"/>
                <w:sz w:val="19"/>
              </w:rPr>
              <w:t>Stable weight, normoglycaemia, adequate calcium/vitamin D</w:t>
            </w:r>
          </w:p>
        </w:tc>
        <w:tc>
          <w:tcPr>
            <w:tcW w:type="dxa" w:w="1512"/>
            <w:vAlign w:val="top"/>
          </w:tcPr>
          <w:p>
            <w:pPr>
              <w:spacing w:after="40" w:before="0" w:line="259" w:lineRule="auto"/>
            </w:pPr>
            <w:r>
              <w:rPr>
                <w:rFonts w:ascii="Calibri" w:hAnsi="Calibri"/>
                <w:b w:val="0"/>
                <w:i w:val="0"/>
                <w:color w:val="212121"/>
                <w:sz w:val="19"/>
              </w:rPr>
              <w:t>Weight gain, hyperglycaemia, hypertension, low bone mineral density</w:t>
            </w:r>
          </w:p>
        </w:tc>
        <w:tc>
          <w:tcPr>
            <w:tcW w:type="dxa" w:w="1468"/>
            <w:vAlign w:val="top"/>
          </w:tcPr>
          <w:p>
            <w:pPr>
              <w:spacing w:after="40" w:before="0" w:line="259" w:lineRule="auto"/>
            </w:pPr>
            <w:r>
              <w:rPr>
                <w:rFonts w:ascii="Calibri" w:hAnsi="Calibri"/>
                <w:b w:val="0"/>
                <w:i w:val="0"/>
                <w:color w:val="212121"/>
                <w:sz w:val="19"/>
              </w:rPr>
              <w:t>Low-salt, adequate-protein, calcium- and vitamin-D-rich diet limits steroid side effects.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Immunology</w:t>
            </w:r>
          </w:p>
        </w:tc>
        <w:tc>
          <w:tcPr>
            <w:tcW w:type="dxa" w:w="1036"/>
            <w:vAlign w:val="top"/>
          </w:tcPr>
          <w:p>
            <w:pPr>
              <w:spacing w:after="40" w:before="0" w:line="259" w:lineRule="auto"/>
            </w:pPr>
            <w:r>
              <w:rPr>
                <w:rFonts w:ascii="Calibri" w:hAnsi="Calibri"/>
                <w:b w:val="0"/>
                <w:i w:val="0"/>
                <w:color w:val="212121"/>
                <w:sz w:val="16"/>
              </w:rPr>
              <w:t>c-ANCA (PR3) / p-ANCA (MPO)</w:t>
            </w:r>
          </w:p>
        </w:tc>
        <w:tc>
          <w:tcPr>
            <w:tcW w:type="dxa" w:w="892"/>
            <w:vAlign w:val="top"/>
          </w:tcPr>
          <w:p>
            <w:pPr>
              <w:spacing w:after="40" w:before="0" w:line="259" w:lineRule="auto"/>
            </w:pPr>
            <w:r>
              <w:rPr>
                <w:rFonts w:ascii="Calibri" w:hAnsi="Calibri"/>
                <w:b w:val="0"/>
                <w:i w:val="0"/>
                <w:color w:val="212121"/>
                <w:sz w:val="16"/>
              </w:rPr>
              <w:t>ANCA (indirect immunofluorescence + antigen-specific ELISA)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c-ANCA/PR3 positive (or p-ANCA/MPO positive)</w:t>
            </w:r>
          </w:p>
        </w:tc>
        <w:tc>
          <w:tcPr>
            <w:tcW w:type="dxa" w:w="1036"/>
            <w:vAlign w:val="top"/>
          </w:tcPr>
          <w:p>
            <w:pPr>
              <w:spacing w:after="40" w:before="0" w:line="259" w:lineRule="auto"/>
            </w:pPr>
            <w:r>
              <w:rPr>
                <w:rFonts w:ascii="Calibri" w:hAnsi="Calibri"/>
                <w:b w:val="0"/>
                <w:i w:val="0"/>
                <w:color w:val="212121"/>
                <w:sz w:val="16"/>
              </w:rPr>
              <w:t>PR3-ANCA strongly supports GPA (PR3 positive in ~85–95% of GPA; PR3 predominant in India)</w:t>
            </w:r>
          </w:p>
        </w:tc>
        <w:tc>
          <w:tcPr>
            <w:tcW w:type="dxa" w:w="1036"/>
            <w:vAlign w:val="top"/>
          </w:tcPr>
          <w:p>
            <w:pPr>
              <w:spacing w:after="40" w:before="0" w:line="259" w:lineRule="auto"/>
            </w:pPr>
            <w:r>
              <w:rPr>
                <w:rFonts w:ascii="Calibri" w:hAnsi="Calibri"/>
                <w:b w:val="0"/>
                <w:i w:val="0"/>
                <w:color w:val="212121"/>
                <w:sz w:val="16"/>
              </w:rPr>
              <w:t>Adults with sinonasal/pulmonary–renal disease</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Diagnostic (with biopsy)</w:t>
            </w:r>
          </w:p>
        </w:tc>
        <w:tc>
          <w:tcPr>
            <w:tcW w:type="dxa" w:w="720"/>
            <w:vAlign w:val="top"/>
          </w:tcPr>
          <w:p>
            <w:pPr>
              <w:spacing w:after="40" w:before="0" w:line="259" w:lineRule="auto"/>
            </w:pPr>
            <w:r>
              <w:rPr>
                <w:rFonts w:ascii="Calibri" w:hAnsi="Calibri"/>
                <w:b w:val="0"/>
                <w:i w:val="0"/>
                <w:color w:val="212121"/>
                <w:sz w:val="16"/>
              </w:rPr>
              <w:t>Combine immunofluorescence with an antigen-specific assay to improve specificity.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 microscopy</w:t>
            </w:r>
          </w:p>
        </w:tc>
        <w:tc>
          <w:tcPr>
            <w:tcW w:type="dxa" w:w="1036"/>
            <w:vAlign w:val="top"/>
          </w:tcPr>
          <w:p>
            <w:pPr>
              <w:spacing w:after="40" w:before="0" w:line="259" w:lineRule="auto"/>
            </w:pPr>
            <w:r>
              <w:rPr>
                <w:rFonts w:ascii="Calibri" w:hAnsi="Calibri"/>
                <w:b w:val="0"/>
                <w:i w:val="0"/>
                <w:color w:val="212121"/>
                <w:sz w:val="16"/>
              </w:rPr>
              <w:t>Haematuria, proteinuria, red-cell casts</w:t>
            </w:r>
          </w:p>
        </w:tc>
        <w:tc>
          <w:tcPr>
            <w:tcW w:type="dxa" w:w="892"/>
            <w:vAlign w:val="top"/>
          </w:tcPr>
          <w:p>
            <w:pPr>
              <w:spacing w:after="40" w:before="0" w:line="259" w:lineRule="auto"/>
            </w:pPr>
            <w:r>
              <w:rPr>
                <w:rFonts w:ascii="Calibri" w:hAnsi="Calibri"/>
                <w:b w:val="0"/>
                <w:i w:val="0"/>
                <w:color w:val="212121"/>
                <w:sz w:val="16"/>
              </w:rPr>
              <w:t>Urinalysis with microscopy</w:t>
            </w:r>
          </w:p>
        </w:tc>
        <w:tc>
          <w:tcPr>
            <w:tcW w:type="dxa" w:w="950"/>
            <w:vAlign w:val="top"/>
          </w:tcPr>
          <w:p>
            <w:pPr>
              <w:spacing w:after="40" w:before="0" w:line="259" w:lineRule="auto"/>
            </w:pPr>
            <w:r>
              <w:rPr>
                <w:rFonts w:ascii="Calibri" w:hAnsi="Calibri"/>
                <w:b w:val="0"/>
                <w:i w:val="0"/>
                <w:color w:val="212121"/>
                <w:sz w:val="16"/>
              </w:rPr>
              <w:t>No blood or protein</w:t>
            </w:r>
          </w:p>
        </w:tc>
        <w:tc>
          <w:tcPr>
            <w:tcW w:type="dxa" w:w="950"/>
            <w:vAlign w:val="top"/>
          </w:tcPr>
          <w:p>
            <w:pPr>
              <w:spacing w:after="40" w:before="0" w:line="259" w:lineRule="auto"/>
            </w:pPr>
            <w:r>
              <w:rPr>
                <w:rFonts w:ascii="Calibri" w:hAnsi="Calibri"/>
                <w:b w:val="0"/>
                <w:i w:val="0"/>
                <w:color w:val="212121"/>
                <w:sz w:val="16"/>
              </w:rPr>
              <w:t>Dysmorphic RBCs, red-cell casts, proteinuria</w:t>
            </w:r>
          </w:p>
        </w:tc>
        <w:tc>
          <w:tcPr>
            <w:tcW w:type="dxa" w:w="1036"/>
            <w:vAlign w:val="top"/>
          </w:tcPr>
          <w:p>
            <w:pPr>
              <w:spacing w:after="40" w:before="0" w:line="259" w:lineRule="auto"/>
            </w:pPr>
            <w:r>
              <w:rPr>
                <w:rFonts w:ascii="Calibri" w:hAnsi="Calibri"/>
                <w:b w:val="0"/>
                <w:i w:val="0"/>
                <w:color w:val="212121"/>
                <w:sz w:val="16"/>
              </w:rPr>
              <w:t>Glomerulonephritis — crescentic/pauci-immune in GPA; IgA nephritis in HSP</w:t>
            </w:r>
          </w:p>
        </w:tc>
        <w:tc>
          <w:tcPr>
            <w:tcW w:type="dxa" w:w="1036"/>
            <w:vAlign w:val="top"/>
          </w:tcPr>
          <w:p>
            <w:pPr>
              <w:spacing w:after="40" w:before="0" w:line="259" w:lineRule="auto"/>
            </w:pPr>
            <w:r>
              <w:rPr>
                <w:rFonts w:ascii="Calibri" w:hAnsi="Calibri"/>
                <w:b w:val="0"/>
                <w:i w:val="0"/>
                <w:color w:val="212121"/>
                <w:sz w:val="16"/>
              </w:rPr>
              <w:t>Children with HSP; adults with GPA</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Repeat over follow-up to detect delayed HSP nephritis.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creatinine / eGFR</w:t>
            </w:r>
          </w:p>
        </w:tc>
        <w:tc>
          <w:tcPr>
            <w:tcW w:type="dxa" w:w="892"/>
            <w:vAlign w:val="top"/>
          </w:tcPr>
          <w:p>
            <w:pPr>
              <w:spacing w:after="40" w:before="0" w:line="259" w:lineRule="auto"/>
            </w:pPr>
            <w:r>
              <w:rPr>
                <w:rFonts w:ascii="Calibri" w:hAnsi="Calibri"/>
                <w:b w:val="0"/>
                <w:i w:val="0"/>
                <w:color w:val="212121"/>
                <w:sz w:val="16"/>
              </w:rPr>
              <w:t>Renal function test</w:t>
            </w:r>
          </w:p>
        </w:tc>
        <w:tc>
          <w:tcPr>
            <w:tcW w:type="dxa" w:w="950"/>
            <w:vAlign w:val="top"/>
          </w:tcPr>
          <w:p>
            <w:pPr>
              <w:spacing w:after="40" w:before="0" w:line="259" w:lineRule="auto"/>
            </w:pPr>
            <w:r>
              <w:rPr>
                <w:rFonts w:ascii="Calibri" w:hAnsi="Calibri"/>
                <w:b w:val="0"/>
                <w:i w:val="0"/>
                <w:color w:val="212121"/>
                <w:sz w:val="16"/>
              </w:rPr>
              <w:t>Age-appropriate normal eGFR</w:t>
            </w:r>
          </w:p>
        </w:tc>
        <w:tc>
          <w:tcPr>
            <w:tcW w:type="dxa" w:w="950"/>
            <w:vAlign w:val="top"/>
          </w:tcPr>
          <w:p>
            <w:pPr>
              <w:spacing w:after="40" w:before="0" w:line="259" w:lineRule="auto"/>
            </w:pPr>
            <w:r>
              <w:rPr>
                <w:rFonts w:ascii="Calibri" w:hAnsi="Calibri"/>
                <w:b w:val="0"/>
                <w:i w:val="0"/>
                <w:color w:val="212121"/>
                <w:sz w:val="16"/>
              </w:rPr>
              <w:t>Rising creatinine / falling eGFR</w:t>
            </w:r>
          </w:p>
        </w:tc>
        <w:tc>
          <w:tcPr>
            <w:tcW w:type="dxa" w:w="1036"/>
            <w:vAlign w:val="top"/>
          </w:tcPr>
          <w:p>
            <w:pPr>
              <w:spacing w:after="40" w:before="0" w:line="259" w:lineRule="auto"/>
            </w:pPr>
            <w:r>
              <w:rPr>
                <w:rFonts w:ascii="Calibri" w:hAnsi="Calibri"/>
                <w:b w:val="0"/>
                <w:i w:val="0"/>
                <w:color w:val="212121"/>
                <w:sz w:val="16"/>
              </w:rPr>
              <w:t>Quantifies renal impairment; rapidly rising creatinine suggests RPGN in GPA</w:t>
            </w:r>
          </w:p>
        </w:tc>
        <w:tc>
          <w:tcPr>
            <w:tcW w:type="dxa" w:w="1036"/>
            <w:vAlign w:val="top"/>
          </w:tcPr>
          <w:p>
            <w:pPr>
              <w:spacing w:after="40" w:before="0" w:line="259" w:lineRule="auto"/>
            </w:pPr>
            <w:r>
              <w:rPr>
                <w:rFonts w:ascii="Calibri" w:hAnsi="Calibri"/>
                <w:b w:val="0"/>
                <w:i w:val="0"/>
                <w:color w:val="212121"/>
                <w:sz w:val="16"/>
              </w:rPr>
              <w:t>HSP/GPA nephritis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Prognostic / Monitoring</w:t>
            </w:r>
          </w:p>
        </w:tc>
        <w:tc>
          <w:tcPr>
            <w:tcW w:type="dxa" w:w="720"/>
            <w:vAlign w:val="top"/>
          </w:tcPr>
          <w:p>
            <w:pPr>
              <w:spacing w:after="40" w:before="0" w:line="259" w:lineRule="auto"/>
            </w:pPr>
            <w:r>
              <w:rPr>
                <w:rFonts w:ascii="Calibri" w:hAnsi="Calibri"/>
                <w:b w:val="0"/>
                <w:i w:val="0"/>
                <w:color w:val="212121"/>
                <w:sz w:val="16"/>
              </w:rPr>
              <w:t>Guides urgency of immunosuppression and dialysis need.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Inflammatory markers</w:t>
            </w:r>
          </w:p>
        </w:tc>
        <w:tc>
          <w:tcPr>
            <w:tcW w:type="dxa" w:w="1036"/>
            <w:vAlign w:val="top"/>
          </w:tcPr>
          <w:p>
            <w:pPr>
              <w:spacing w:after="40" w:before="0" w:line="259" w:lineRule="auto"/>
            </w:pPr>
            <w:r>
              <w:rPr>
                <w:rFonts w:ascii="Calibri" w:hAnsi="Calibri"/>
                <w:b w:val="0"/>
                <w:i w:val="0"/>
                <w:color w:val="212121"/>
                <w:sz w:val="16"/>
              </w:rPr>
              <w:t>CRP and ESR</w:t>
            </w:r>
          </w:p>
        </w:tc>
        <w:tc>
          <w:tcPr>
            <w:tcW w:type="dxa" w:w="892"/>
            <w:vAlign w:val="top"/>
          </w:tcPr>
          <w:p>
            <w:pPr>
              <w:spacing w:after="40" w:before="0" w:line="259" w:lineRule="auto"/>
            </w:pPr>
            <w:r>
              <w:rPr>
                <w:rFonts w:ascii="Calibri" w:hAnsi="Calibri"/>
                <w:b w:val="0"/>
                <w:i w:val="0"/>
                <w:color w:val="212121"/>
                <w:sz w:val="16"/>
              </w:rPr>
              <w:t>Acute-phase reactants</w:t>
            </w:r>
          </w:p>
        </w:tc>
        <w:tc>
          <w:tcPr>
            <w:tcW w:type="dxa" w:w="950"/>
            <w:vAlign w:val="top"/>
          </w:tcPr>
          <w:p>
            <w:pPr>
              <w:spacing w:after="40" w:before="0" w:line="259" w:lineRule="auto"/>
            </w:pPr>
            <w:r>
              <w:rPr>
                <w:rFonts w:ascii="Calibri" w:hAnsi="Calibri"/>
                <w:b w:val="0"/>
                <w:i w:val="0"/>
                <w:color w:val="212121"/>
                <w:sz w:val="16"/>
              </w:rPr>
              <w:t>CRP &lt;5 mg/L; ESR normal for age/sex</w:t>
            </w:r>
          </w:p>
        </w:tc>
        <w:tc>
          <w:tcPr>
            <w:tcW w:type="dxa" w:w="950"/>
            <w:vAlign w:val="top"/>
          </w:tcPr>
          <w:p>
            <w:pPr>
              <w:spacing w:after="40" w:before="0" w:line="259" w:lineRule="auto"/>
            </w:pPr>
            <w:r>
              <w:rPr>
                <w:rFonts w:ascii="Calibri" w:hAnsi="Calibri"/>
                <w:b w:val="0"/>
                <w:i w:val="0"/>
                <w:color w:val="212121"/>
                <w:sz w:val="16"/>
              </w:rPr>
              <w:t>Elevated CRP and ESR</w:t>
            </w:r>
          </w:p>
        </w:tc>
        <w:tc>
          <w:tcPr>
            <w:tcW w:type="dxa" w:w="1036"/>
            <w:vAlign w:val="top"/>
          </w:tcPr>
          <w:p>
            <w:pPr>
              <w:spacing w:after="40" w:before="0" w:line="259" w:lineRule="auto"/>
            </w:pPr>
            <w:r>
              <w:rPr>
                <w:rFonts w:ascii="Calibri" w:hAnsi="Calibri"/>
                <w:b w:val="0"/>
                <w:i w:val="0"/>
                <w:color w:val="212121"/>
                <w:sz w:val="16"/>
              </w:rPr>
              <w:t>Reflect systemic inflammation/disease activity in all three vasculitides</w:t>
            </w:r>
          </w:p>
        </w:tc>
        <w:tc>
          <w:tcPr>
            <w:tcW w:type="dxa" w:w="1036"/>
            <w:vAlign w:val="top"/>
          </w:tcPr>
          <w:p>
            <w:pPr>
              <w:spacing w:after="40" w:before="0" w:line="259" w:lineRule="auto"/>
            </w:pPr>
            <w:r>
              <w:rPr>
                <w:rFonts w:ascii="Calibri" w:hAnsi="Calibri"/>
                <w:b w:val="0"/>
                <w:i w:val="0"/>
                <w:color w:val="212121"/>
                <w:sz w:val="16"/>
              </w:rPr>
              <w:t>All three conditions, active phase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Non-specific; track response to therapy.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Platelet count &amp; 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Platelets 150–450 ×10^9/L</w:t>
            </w:r>
          </w:p>
        </w:tc>
        <w:tc>
          <w:tcPr>
            <w:tcW w:type="dxa" w:w="950"/>
            <w:vAlign w:val="top"/>
          </w:tcPr>
          <w:p>
            <w:pPr>
              <w:spacing w:after="40" w:before="0" w:line="259" w:lineRule="auto"/>
            </w:pPr>
            <w:r>
              <w:rPr>
                <w:rFonts w:ascii="Calibri" w:hAnsi="Calibri"/>
                <w:b w:val="0"/>
                <w:i w:val="0"/>
                <w:color w:val="212121"/>
                <w:sz w:val="16"/>
              </w:rPr>
              <w:t>Thrombocytosis (subacute KD); anaemia; leukocytosis</w:t>
            </w:r>
          </w:p>
        </w:tc>
        <w:tc>
          <w:tcPr>
            <w:tcW w:type="dxa" w:w="1036"/>
            <w:vAlign w:val="top"/>
          </w:tcPr>
          <w:p>
            <w:pPr>
              <w:spacing w:after="40" w:before="0" w:line="259" w:lineRule="auto"/>
            </w:pPr>
            <w:r>
              <w:rPr>
                <w:rFonts w:ascii="Calibri" w:hAnsi="Calibri"/>
                <w:b w:val="0"/>
                <w:i w:val="0"/>
                <w:color w:val="212121"/>
                <w:sz w:val="16"/>
              </w:rPr>
              <w:t>Marked thrombocytosis in the second week supports KD; anaemia accompanies GPA</w:t>
            </w:r>
          </w:p>
        </w:tc>
        <w:tc>
          <w:tcPr>
            <w:tcW w:type="dxa" w:w="1036"/>
            <w:vAlign w:val="top"/>
          </w:tcPr>
          <w:p>
            <w:pPr>
              <w:spacing w:after="40" w:before="0" w:line="259" w:lineRule="auto"/>
            </w:pPr>
            <w:r>
              <w:rPr>
                <w:rFonts w:ascii="Calibri" w:hAnsi="Calibri"/>
                <w:b w:val="0"/>
                <w:i w:val="0"/>
                <w:color w:val="212121"/>
                <w:sz w:val="16"/>
              </w:rPr>
              <w:t>Children with KD; adults with GPA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Thrombocytopenia argues against HSP purpura (purpura should be non-thrombocytopenic).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Coronary artery internal diameter (Z-score)</w:t>
            </w:r>
          </w:p>
        </w:tc>
        <w:tc>
          <w:tcPr>
            <w:tcW w:type="dxa" w:w="892"/>
            <w:vAlign w:val="top"/>
          </w:tcPr>
          <w:p>
            <w:pPr>
              <w:spacing w:after="40" w:before="0" w:line="259" w:lineRule="auto"/>
            </w:pPr>
            <w:r>
              <w:rPr>
                <w:rFonts w:ascii="Calibri" w:hAnsi="Calibri"/>
                <w:b w:val="0"/>
                <w:i w:val="0"/>
                <w:color w:val="212121"/>
                <w:sz w:val="16"/>
              </w:rPr>
              <w:t>2D echocardiography</w:t>
            </w:r>
          </w:p>
        </w:tc>
        <w:tc>
          <w:tcPr>
            <w:tcW w:type="dxa" w:w="950"/>
            <w:vAlign w:val="top"/>
          </w:tcPr>
          <w:p>
            <w:pPr>
              <w:spacing w:after="40" w:before="0" w:line="259" w:lineRule="auto"/>
            </w:pPr>
            <w:r>
              <w:rPr>
                <w:rFonts w:ascii="Calibri" w:hAnsi="Calibri"/>
                <w:b w:val="0"/>
                <w:i w:val="0"/>
                <w:color w:val="212121"/>
                <w:sz w:val="16"/>
              </w:rPr>
              <w:t>Z-score &lt;2</w:t>
            </w:r>
          </w:p>
        </w:tc>
        <w:tc>
          <w:tcPr>
            <w:tcW w:type="dxa" w:w="950"/>
            <w:vAlign w:val="top"/>
          </w:tcPr>
          <w:p>
            <w:pPr>
              <w:spacing w:after="40" w:before="0" w:line="259" w:lineRule="auto"/>
            </w:pPr>
            <w:r>
              <w:rPr>
                <w:rFonts w:ascii="Calibri" w:hAnsi="Calibri"/>
                <w:b w:val="0"/>
                <w:i w:val="0"/>
                <w:color w:val="212121"/>
                <w:sz w:val="16"/>
              </w:rPr>
              <w:t>Z-score ≥2.5 (aneurysm); giant if &gt;8 mm / Z ≥10</w:t>
            </w:r>
          </w:p>
        </w:tc>
        <w:tc>
          <w:tcPr>
            <w:tcW w:type="dxa" w:w="1036"/>
            <w:vAlign w:val="top"/>
          </w:tcPr>
          <w:p>
            <w:pPr>
              <w:spacing w:after="40" w:before="0" w:line="259" w:lineRule="auto"/>
            </w:pPr>
            <w:r>
              <w:rPr>
                <w:rFonts w:ascii="Calibri" w:hAnsi="Calibri"/>
                <w:b w:val="0"/>
                <w:i w:val="0"/>
                <w:color w:val="212121"/>
                <w:sz w:val="16"/>
              </w:rPr>
              <w:t>Detects coronary artery aneurysms — the hallmark Kawasaki complication</w:t>
            </w:r>
          </w:p>
        </w:tc>
        <w:tc>
          <w:tcPr>
            <w:tcW w:type="dxa" w:w="1036"/>
            <w:vAlign w:val="top"/>
          </w:tcPr>
          <w:p>
            <w:pPr>
              <w:spacing w:after="40" w:before="0" w:line="259" w:lineRule="auto"/>
            </w:pPr>
            <w:r>
              <w:rPr>
                <w:rFonts w:ascii="Calibri" w:hAnsi="Calibri"/>
                <w:b w:val="0"/>
                <w:i w:val="0"/>
                <w:color w:val="212121"/>
                <w:sz w:val="16"/>
              </w:rPr>
              <w:t>Children &lt;5 with KD</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Gold standard for KD cardiac risk</w:t>
            </w:r>
          </w:p>
        </w:tc>
        <w:tc>
          <w:tcPr>
            <w:tcW w:type="dxa" w:w="720"/>
            <w:vAlign w:val="top"/>
          </w:tcPr>
          <w:p>
            <w:pPr>
              <w:spacing w:after="40" w:before="0" w:line="259" w:lineRule="auto"/>
            </w:pPr>
            <w:r>
              <w:rPr>
                <w:rFonts w:ascii="Calibri" w:hAnsi="Calibri"/>
                <w:b w:val="0"/>
                <w:i w:val="0"/>
                <w:color w:val="212121"/>
                <w:sz w:val="16"/>
              </w:rPr>
              <w:t>Perform at baseline, ~2 weeks and ~6 weeks; longer if abnormal.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Serum IgA</w:t>
            </w:r>
          </w:p>
        </w:tc>
        <w:tc>
          <w:tcPr>
            <w:tcW w:type="dxa" w:w="892"/>
            <w:vAlign w:val="top"/>
          </w:tcPr>
          <w:p>
            <w:pPr>
              <w:spacing w:after="40" w:before="0" w:line="259" w:lineRule="auto"/>
            </w:pPr>
            <w:r>
              <w:rPr>
                <w:rFonts w:ascii="Calibri" w:hAnsi="Calibri"/>
                <w:b w:val="0"/>
                <w:i w:val="0"/>
                <w:color w:val="212121"/>
                <w:sz w:val="16"/>
              </w:rPr>
              <w:t>Serum immunoglobulin A</w:t>
            </w:r>
          </w:p>
        </w:tc>
        <w:tc>
          <w:tcPr>
            <w:tcW w:type="dxa" w:w="950"/>
            <w:vAlign w:val="top"/>
          </w:tcPr>
          <w:p>
            <w:pPr>
              <w:spacing w:after="40" w:before="0" w:line="259" w:lineRule="auto"/>
            </w:pPr>
            <w:r>
              <w:rPr>
                <w:rFonts w:ascii="Calibri" w:hAnsi="Calibri"/>
                <w:b w:val="0"/>
                <w:i w:val="0"/>
                <w:color w:val="212121"/>
                <w:sz w:val="16"/>
              </w:rPr>
              <w:t>Age-appropriate normal</w:t>
            </w:r>
          </w:p>
        </w:tc>
        <w:tc>
          <w:tcPr>
            <w:tcW w:type="dxa" w:w="950"/>
            <w:vAlign w:val="top"/>
          </w:tcPr>
          <w:p>
            <w:pPr>
              <w:spacing w:after="40" w:before="0" w:line="259" w:lineRule="auto"/>
            </w:pPr>
            <w:r>
              <w:rPr>
                <w:rFonts w:ascii="Calibri" w:hAnsi="Calibri"/>
                <w:b w:val="0"/>
                <w:i w:val="0"/>
                <w:color w:val="212121"/>
                <w:sz w:val="16"/>
              </w:rPr>
              <w:t>Elevated in a proportion of HSP cases</w:t>
            </w:r>
          </w:p>
        </w:tc>
        <w:tc>
          <w:tcPr>
            <w:tcW w:type="dxa" w:w="1036"/>
            <w:vAlign w:val="top"/>
          </w:tcPr>
          <w:p>
            <w:pPr>
              <w:spacing w:after="40" w:before="0" w:line="259" w:lineRule="auto"/>
            </w:pPr>
            <w:r>
              <w:rPr>
                <w:rFonts w:ascii="Calibri" w:hAnsi="Calibri"/>
                <w:b w:val="0"/>
                <w:i w:val="0"/>
                <w:color w:val="212121"/>
                <w:sz w:val="16"/>
              </w:rPr>
              <w:t>Supports IgA-mediated pathophysiology in HSP (not diagnostic alone)</w:t>
            </w:r>
          </w:p>
        </w:tc>
        <w:tc>
          <w:tcPr>
            <w:tcW w:type="dxa" w:w="1036"/>
            <w:vAlign w:val="top"/>
          </w:tcPr>
          <w:p>
            <w:pPr>
              <w:spacing w:after="40" w:before="0" w:line="259" w:lineRule="auto"/>
            </w:pPr>
            <w:r>
              <w:rPr>
                <w:rFonts w:ascii="Calibri" w:hAnsi="Calibri"/>
                <w:b w:val="0"/>
                <w:i w:val="0"/>
                <w:color w:val="212121"/>
                <w:sz w:val="16"/>
              </w:rPr>
              <w:t>Children with HSP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IgA does not exclude HSP; diagnosis is clinical ±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Chest imaging</w:t>
            </w:r>
          </w:p>
        </w:tc>
        <w:tc>
          <w:tcPr>
            <w:tcW w:type="dxa" w:w="1036"/>
            <w:vAlign w:val="top"/>
          </w:tcPr>
          <w:p>
            <w:pPr>
              <w:spacing w:after="40" w:before="0" w:line="259" w:lineRule="auto"/>
            </w:pPr>
            <w:r>
              <w:rPr>
                <w:rFonts w:ascii="Calibri" w:hAnsi="Calibri"/>
                <w:b w:val="0"/>
                <w:i w:val="0"/>
                <w:color w:val="212121"/>
                <w:sz w:val="16"/>
              </w:rPr>
              <w:t>Pulmonary nodules / cavities / haemorrhage</w:t>
            </w:r>
          </w:p>
        </w:tc>
        <w:tc>
          <w:tcPr>
            <w:tcW w:type="dxa" w:w="892"/>
            <w:vAlign w:val="top"/>
          </w:tcPr>
          <w:p>
            <w:pPr>
              <w:spacing w:after="40" w:before="0" w:line="259" w:lineRule="auto"/>
            </w:pPr>
            <w:r>
              <w:rPr>
                <w:rFonts w:ascii="Calibri" w:hAnsi="Calibri"/>
                <w:b w:val="0"/>
                <w:i w:val="0"/>
                <w:color w:val="212121"/>
                <w:sz w:val="16"/>
              </w:rPr>
              <w:t>Chest X-ray / HRCT</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Nodules, cavitating lesions, or diffuse alveolar haemorrhage</w:t>
            </w:r>
          </w:p>
        </w:tc>
        <w:tc>
          <w:tcPr>
            <w:tcW w:type="dxa" w:w="1036"/>
            <w:vAlign w:val="top"/>
          </w:tcPr>
          <w:p>
            <w:pPr>
              <w:spacing w:after="40" w:before="0" w:line="259" w:lineRule="auto"/>
            </w:pPr>
            <w:r>
              <w:rPr>
                <w:rFonts w:ascii="Calibri" w:hAnsi="Calibri"/>
                <w:b w:val="0"/>
                <w:i w:val="0"/>
                <w:color w:val="212121"/>
                <w:sz w:val="16"/>
              </w:rPr>
              <w:t>Characteristic of GPA lower-respiratory involvement; haemorrhage is life-threatening</w:t>
            </w:r>
          </w:p>
        </w:tc>
        <w:tc>
          <w:tcPr>
            <w:tcW w:type="dxa" w:w="1036"/>
            <w:vAlign w:val="top"/>
          </w:tcPr>
          <w:p>
            <w:pPr>
              <w:spacing w:after="40" w:before="0" w:line="259" w:lineRule="auto"/>
            </w:pPr>
            <w:r>
              <w:rPr>
                <w:rFonts w:ascii="Calibri" w:hAnsi="Calibri"/>
                <w:b w:val="0"/>
                <w:i w:val="0"/>
                <w:color w:val="212121"/>
                <w:sz w:val="16"/>
              </w:rPr>
              <w:t>Adults with GPA</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Alveolar haemorrhage with rising creatinine is a pulmonary–renal emergency.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duration + principal KD features</w:t>
            </w:r>
          </w:p>
        </w:tc>
        <w:tc>
          <w:tcPr>
            <w:tcW w:type="dxa" w:w="979"/>
            <w:vAlign w:val="top"/>
          </w:tcPr>
          <w:p>
            <w:pPr>
              <w:spacing w:after="40" w:before="0" w:line="259" w:lineRule="auto"/>
            </w:pPr>
            <w:r>
              <w:rPr>
                <w:rFonts w:ascii="Calibri" w:hAnsi="Calibri"/>
                <w:b w:val="0"/>
                <w:i w:val="0"/>
                <w:color w:val="212121"/>
                <w:sz w:val="16"/>
              </w:rPr>
              <w:t>Fever ≥5 days with conjunctivitis, oral changes, rash, extremity changes, cervical node</w:t>
            </w:r>
          </w:p>
        </w:tc>
        <w:tc>
          <w:tcPr>
            <w:tcW w:type="dxa" w:w="950"/>
            <w:vAlign w:val="top"/>
          </w:tcPr>
          <w:p>
            <w:pPr>
              <w:spacing w:after="40" w:before="0" w:line="259" w:lineRule="auto"/>
            </w:pPr>
            <w:r>
              <w:rPr>
                <w:rFonts w:ascii="Calibri" w:hAnsi="Calibri"/>
                <w:b w:val="0"/>
                <w:i w:val="0"/>
                <w:color w:val="212121"/>
                <w:sz w:val="16"/>
              </w:rPr>
              <w:t>Brief self-limited febrile illness</w:t>
            </w:r>
          </w:p>
        </w:tc>
        <w:tc>
          <w:tcPr>
            <w:tcW w:type="dxa" w:w="950"/>
            <w:vAlign w:val="top"/>
          </w:tcPr>
          <w:p>
            <w:pPr>
              <w:spacing w:after="40" w:before="0" w:line="259" w:lineRule="auto"/>
            </w:pPr>
            <w:r>
              <w:rPr>
                <w:rFonts w:ascii="Calibri" w:hAnsi="Calibri"/>
                <w:b w:val="0"/>
                <w:i w:val="0"/>
                <w:color w:val="212121"/>
                <w:sz w:val="16"/>
              </w:rPr>
              <w:t>Fever ≥5 days plus ≥4 of 5 principal features</w:t>
            </w:r>
          </w:p>
        </w:tc>
        <w:tc>
          <w:tcPr>
            <w:tcW w:type="dxa" w:w="1036"/>
            <w:vAlign w:val="top"/>
          </w:tcPr>
          <w:p>
            <w:pPr>
              <w:spacing w:after="40" w:before="0" w:line="259" w:lineRule="auto"/>
            </w:pPr>
            <w:r>
              <w:rPr>
                <w:rFonts w:ascii="Calibri" w:hAnsi="Calibri"/>
                <w:b w:val="0"/>
                <w:i w:val="0"/>
                <w:color w:val="212121"/>
                <w:sz w:val="16"/>
              </w:rPr>
              <w:t>Meets AHA clinical criteria for Kawasaki disease</w:t>
            </w:r>
          </w:p>
        </w:tc>
        <w:tc>
          <w:tcPr>
            <w:tcW w:type="dxa" w:w="1036"/>
            <w:vAlign w:val="top"/>
          </w:tcPr>
          <w:p>
            <w:pPr>
              <w:spacing w:after="40" w:before="0" w:line="259" w:lineRule="auto"/>
            </w:pPr>
            <w:r>
              <w:rPr>
                <w:rFonts w:ascii="Calibri" w:hAnsi="Calibri"/>
                <w:b w:val="0"/>
                <w:i w:val="0"/>
                <w:color w:val="212121"/>
                <w:sz w:val="16"/>
              </w:rPr>
              <w:t>Irritable child &lt;5 with prolonged fever</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(screening)</w:t>
            </w:r>
          </w:p>
        </w:tc>
        <w:tc>
          <w:tcPr>
            <w:tcW w:type="dxa" w:w="720"/>
            <w:vAlign w:val="top"/>
          </w:tcPr>
          <w:p>
            <w:pPr>
              <w:spacing w:after="40" w:before="0" w:line="259" w:lineRule="auto"/>
            </w:pPr>
            <w:r>
              <w:rPr>
                <w:rFonts w:ascii="Calibri" w:hAnsi="Calibri"/>
                <w:b w:val="0"/>
                <w:i w:val="0"/>
                <w:color w:val="212121"/>
                <w:sz w:val="16"/>
              </w:rPr>
              <w:t>Consider incomplete KD if fewer features + supportive labs.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Palpable purpura distribution</w:t>
            </w:r>
          </w:p>
        </w:tc>
        <w:tc>
          <w:tcPr>
            <w:tcW w:type="dxa" w:w="979"/>
            <w:vAlign w:val="top"/>
          </w:tcPr>
          <w:p>
            <w:pPr>
              <w:spacing w:after="40" w:before="0" w:line="259" w:lineRule="auto"/>
            </w:pPr>
            <w:r>
              <w:rPr>
                <w:rFonts w:ascii="Calibri" w:hAnsi="Calibri"/>
                <w:b w:val="0"/>
                <w:i w:val="0"/>
                <w:color w:val="212121"/>
                <w:sz w:val="16"/>
              </w:rPr>
              <w:t>Non-thrombocytopenic palpable purpura on legs/buttocks</w:t>
            </w:r>
          </w:p>
        </w:tc>
        <w:tc>
          <w:tcPr>
            <w:tcW w:type="dxa" w:w="950"/>
            <w:vAlign w:val="top"/>
          </w:tcPr>
          <w:p>
            <w:pPr>
              <w:spacing w:after="40" w:before="0" w:line="259" w:lineRule="auto"/>
            </w:pPr>
            <w:r>
              <w:rPr>
                <w:rFonts w:ascii="Calibri" w:hAnsi="Calibri"/>
                <w:b w:val="0"/>
                <w:i w:val="0"/>
                <w:color w:val="212121"/>
                <w:sz w:val="16"/>
              </w:rPr>
              <w:t>No rash</w:t>
            </w:r>
          </w:p>
        </w:tc>
        <w:tc>
          <w:tcPr>
            <w:tcW w:type="dxa" w:w="950"/>
            <w:vAlign w:val="top"/>
          </w:tcPr>
          <w:p>
            <w:pPr>
              <w:spacing w:after="40" w:before="0" w:line="259" w:lineRule="auto"/>
            </w:pPr>
            <w:r>
              <w:rPr>
                <w:rFonts w:ascii="Calibri" w:hAnsi="Calibri"/>
                <w:b w:val="0"/>
                <w:i w:val="0"/>
                <w:color w:val="212121"/>
                <w:sz w:val="16"/>
              </w:rPr>
              <w:t>Dependent palpable purpura, symmetric</w:t>
            </w:r>
          </w:p>
        </w:tc>
        <w:tc>
          <w:tcPr>
            <w:tcW w:type="dxa" w:w="1036"/>
            <w:vAlign w:val="top"/>
          </w:tcPr>
          <w:p>
            <w:pPr>
              <w:spacing w:after="40" w:before="0" w:line="259" w:lineRule="auto"/>
            </w:pPr>
            <w:r>
              <w:rPr>
                <w:rFonts w:ascii="Calibri" w:hAnsi="Calibri"/>
                <w:b w:val="0"/>
                <w:i w:val="0"/>
                <w:color w:val="212121"/>
                <w:sz w:val="16"/>
              </w:rPr>
              <w:t>Mandatory feature of IgA vasculitis (HSP)</w:t>
            </w:r>
          </w:p>
        </w:tc>
        <w:tc>
          <w:tcPr>
            <w:tcW w:type="dxa" w:w="1036"/>
            <w:vAlign w:val="top"/>
          </w:tcPr>
          <w:p>
            <w:pPr>
              <w:spacing w:after="40" w:before="0" w:line="259" w:lineRule="auto"/>
            </w:pPr>
            <w:r>
              <w:rPr>
                <w:rFonts w:ascii="Calibri" w:hAnsi="Calibri"/>
                <w:b w:val="0"/>
                <w:i w:val="0"/>
                <w:color w:val="212121"/>
                <w:sz w:val="16"/>
              </w:rPr>
              <w:t>School-age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Confirm platelets are normal to exclude thrombocytopenic purpura.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Sinonasal &amp; upper-airway exam</w:t>
            </w:r>
          </w:p>
        </w:tc>
        <w:tc>
          <w:tcPr>
            <w:tcW w:type="dxa" w:w="979"/>
            <w:vAlign w:val="top"/>
          </w:tcPr>
          <w:p>
            <w:pPr>
              <w:spacing w:after="40" w:before="0" w:line="259" w:lineRule="auto"/>
            </w:pPr>
            <w:r>
              <w:rPr>
                <w:rFonts w:ascii="Calibri" w:hAnsi="Calibri"/>
                <w:b w:val="0"/>
                <w:i w:val="0"/>
                <w:color w:val="212121"/>
                <w:sz w:val="16"/>
              </w:rPr>
              <w:t>Nasal crusting, epistaxis, septal perforation, saddle-nose, stridor</w:t>
            </w:r>
          </w:p>
        </w:tc>
        <w:tc>
          <w:tcPr>
            <w:tcW w:type="dxa" w:w="950"/>
            <w:vAlign w:val="top"/>
          </w:tcPr>
          <w:p>
            <w:pPr>
              <w:spacing w:after="40" w:before="0" w:line="259" w:lineRule="auto"/>
            </w:pPr>
            <w:r>
              <w:rPr>
                <w:rFonts w:ascii="Calibri" w:hAnsi="Calibri"/>
                <w:b w:val="0"/>
                <w:i w:val="0"/>
                <w:color w:val="212121"/>
                <w:sz w:val="16"/>
              </w:rPr>
              <w:t>Normal nasal mucosa &amp; airway</w:t>
            </w:r>
          </w:p>
        </w:tc>
        <w:tc>
          <w:tcPr>
            <w:tcW w:type="dxa" w:w="950"/>
            <w:vAlign w:val="top"/>
          </w:tcPr>
          <w:p>
            <w:pPr>
              <w:spacing w:after="40" w:before="0" w:line="259" w:lineRule="auto"/>
            </w:pPr>
            <w:r>
              <w:rPr>
                <w:rFonts w:ascii="Calibri" w:hAnsi="Calibri"/>
                <w:b w:val="0"/>
                <w:i w:val="0"/>
                <w:color w:val="212121"/>
                <w:sz w:val="16"/>
              </w:rPr>
              <w:t>Crusting, ulceration, septal perforation, subglottic stenosis</w:t>
            </w:r>
          </w:p>
        </w:tc>
        <w:tc>
          <w:tcPr>
            <w:tcW w:type="dxa" w:w="1036"/>
            <w:vAlign w:val="top"/>
          </w:tcPr>
          <w:p>
            <w:pPr>
              <w:spacing w:after="40" w:before="0" w:line="259" w:lineRule="auto"/>
            </w:pPr>
            <w:r>
              <w:rPr>
                <w:rFonts w:ascii="Calibri" w:hAnsi="Calibri"/>
                <w:b w:val="0"/>
                <w:i w:val="0"/>
                <w:color w:val="212121"/>
                <w:sz w:val="16"/>
              </w:rPr>
              <w:t>Sinonasal/airway involvement is a hallmark of GPA</w:t>
            </w:r>
          </w:p>
        </w:tc>
        <w:tc>
          <w:tcPr>
            <w:tcW w:type="dxa" w:w="1036"/>
            <w:vAlign w:val="top"/>
          </w:tcPr>
          <w:p>
            <w:pPr>
              <w:spacing w:after="40" w:before="0" w:line="259" w:lineRule="auto"/>
            </w:pPr>
            <w:r>
              <w:rPr>
                <w:rFonts w:ascii="Calibri" w:hAnsi="Calibri"/>
                <w:b w:val="0"/>
                <w:i w:val="0"/>
                <w:color w:val="212121"/>
                <w:sz w:val="16"/>
              </w:rPr>
              <w:t>Adults with refractory sinusitis</w:t>
            </w:r>
          </w:p>
        </w:tc>
        <w:tc>
          <w:tcPr>
            <w:tcW w:type="dxa" w:w="720"/>
            <w:vAlign w:val="top"/>
          </w:tcPr>
          <w:p>
            <w:pPr>
              <w:spacing w:after="40" w:before="0" w:line="259" w:lineRule="auto"/>
            </w:pPr>
            <w:r>
              <w:rPr>
                <w:rFonts w:ascii="Calibri" w:hAnsi="Calibri"/>
                <w:b w:val="0"/>
                <w:i w:val="0"/>
                <w:color w:val="212121"/>
                <w:sz w:val="16"/>
              </w:rPr>
              <w:t>Hygiene; Smoking</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Prompts ANCA testing and ENT biopsy.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Preceding infection history</w:t>
            </w:r>
          </w:p>
        </w:tc>
        <w:tc>
          <w:tcPr>
            <w:tcW w:type="dxa" w:w="979"/>
            <w:vAlign w:val="top"/>
          </w:tcPr>
          <w:p>
            <w:pPr>
              <w:spacing w:after="40" w:before="0" w:line="259" w:lineRule="auto"/>
            </w:pPr>
            <w:r>
              <w:rPr>
                <w:rFonts w:ascii="Calibri" w:hAnsi="Calibri"/>
                <w:b w:val="0"/>
                <w:i w:val="0"/>
                <w:color w:val="212121"/>
                <w:sz w:val="16"/>
              </w:rPr>
              <w:t>Recent URI / streptococcal / viral illness</w:t>
            </w:r>
          </w:p>
        </w:tc>
        <w:tc>
          <w:tcPr>
            <w:tcW w:type="dxa" w:w="950"/>
            <w:vAlign w:val="top"/>
          </w:tcPr>
          <w:p>
            <w:pPr>
              <w:spacing w:after="40" w:before="0" w:line="259" w:lineRule="auto"/>
            </w:pPr>
            <w:r>
              <w:rPr>
                <w:rFonts w:ascii="Calibri" w:hAnsi="Calibri"/>
                <w:b w:val="0"/>
                <w:i w:val="0"/>
                <w:color w:val="212121"/>
                <w:sz w:val="16"/>
              </w:rPr>
              <w:t>No recent infection</w:t>
            </w:r>
          </w:p>
        </w:tc>
        <w:tc>
          <w:tcPr>
            <w:tcW w:type="dxa" w:w="950"/>
            <w:vAlign w:val="top"/>
          </w:tcPr>
          <w:p>
            <w:pPr>
              <w:spacing w:after="40" w:before="0" w:line="259" w:lineRule="auto"/>
            </w:pPr>
            <w:r>
              <w:rPr>
                <w:rFonts w:ascii="Calibri" w:hAnsi="Calibri"/>
                <w:b w:val="0"/>
                <w:i w:val="0"/>
                <w:color w:val="212121"/>
                <w:sz w:val="16"/>
              </w:rPr>
              <w:t>URI or streptococcal illness ~1–3 weeks prior</w:t>
            </w:r>
          </w:p>
        </w:tc>
        <w:tc>
          <w:tcPr>
            <w:tcW w:type="dxa" w:w="1036"/>
            <w:vAlign w:val="top"/>
          </w:tcPr>
          <w:p>
            <w:pPr>
              <w:spacing w:after="40" w:before="0" w:line="259" w:lineRule="auto"/>
            </w:pPr>
            <w:r>
              <w:rPr>
                <w:rFonts w:ascii="Calibri" w:hAnsi="Calibri"/>
                <w:b w:val="0"/>
                <w:i w:val="0"/>
                <w:color w:val="212121"/>
                <w:sz w:val="16"/>
              </w:rPr>
              <w:t>Common antecedent trigger for HSP and Kawasaki disease</w:t>
            </w:r>
          </w:p>
        </w:tc>
        <w:tc>
          <w:tcPr>
            <w:tcW w:type="dxa" w:w="1036"/>
            <w:vAlign w:val="top"/>
          </w:tcPr>
          <w:p>
            <w:pPr>
              <w:spacing w:after="40" w:before="0" w:line="259" w:lineRule="auto"/>
            </w:pPr>
            <w:r>
              <w:rPr>
                <w:rFonts w:ascii="Calibri" w:hAnsi="Calibri"/>
                <w:b w:val="0"/>
                <w:i w:val="0"/>
                <w:color w:val="212121"/>
                <w:sz w:val="16"/>
              </w:rPr>
              <w:t>Children with HSP or KD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Prognostic</w:t>
            </w:r>
          </w:p>
        </w:tc>
        <w:tc>
          <w:tcPr>
            <w:tcW w:type="dxa" w:w="720"/>
            <w:vAlign w:val="top"/>
          </w:tcPr>
          <w:p>
            <w:pPr>
              <w:spacing w:after="40" w:before="0" w:line="259" w:lineRule="auto"/>
            </w:pPr>
            <w:r>
              <w:rPr>
                <w:rFonts w:ascii="Calibri" w:hAnsi="Calibri"/>
                <w:b w:val="0"/>
                <w:i w:val="0"/>
                <w:color w:val="212121"/>
                <w:sz w:val="16"/>
              </w:rPr>
              <w:t>Ask about drugs, foods, insect bites and immunizations too.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Joint &amp; abdominal examination</w:t>
            </w:r>
          </w:p>
        </w:tc>
        <w:tc>
          <w:tcPr>
            <w:tcW w:type="dxa" w:w="979"/>
            <w:vAlign w:val="top"/>
          </w:tcPr>
          <w:p>
            <w:pPr>
              <w:spacing w:after="40" w:before="0" w:line="259" w:lineRule="auto"/>
            </w:pPr>
            <w:r>
              <w:rPr>
                <w:rFonts w:ascii="Calibri" w:hAnsi="Calibri"/>
                <w:b w:val="0"/>
                <w:i w:val="0"/>
                <w:color w:val="212121"/>
                <w:sz w:val="16"/>
              </w:rPr>
              <w:t>Arthralgia/arthritis; colicky abdominal pain, GI bleeding</w:t>
            </w:r>
          </w:p>
        </w:tc>
        <w:tc>
          <w:tcPr>
            <w:tcW w:type="dxa" w:w="950"/>
            <w:vAlign w:val="top"/>
          </w:tcPr>
          <w:p>
            <w:pPr>
              <w:spacing w:after="40" w:before="0" w:line="259" w:lineRule="auto"/>
            </w:pPr>
            <w:r>
              <w:rPr>
                <w:rFonts w:ascii="Calibri" w:hAnsi="Calibri"/>
                <w:b w:val="0"/>
                <w:i w:val="0"/>
                <w:color w:val="212121"/>
                <w:sz w:val="16"/>
              </w:rPr>
              <w:t>No joint or abdominal findings</w:t>
            </w:r>
          </w:p>
        </w:tc>
        <w:tc>
          <w:tcPr>
            <w:tcW w:type="dxa" w:w="950"/>
            <w:vAlign w:val="top"/>
          </w:tcPr>
          <w:p>
            <w:pPr>
              <w:spacing w:after="40" w:before="0" w:line="259" w:lineRule="auto"/>
            </w:pPr>
            <w:r>
              <w:rPr>
                <w:rFonts w:ascii="Calibri" w:hAnsi="Calibri"/>
                <w:b w:val="0"/>
                <w:i w:val="0"/>
                <w:color w:val="212121"/>
                <w:sz w:val="16"/>
              </w:rPr>
              <w:t>Periarticular swelling; abdominal tenderness, melena</w:t>
            </w:r>
          </w:p>
        </w:tc>
        <w:tc>
          <w:tcPr>
            <w:tcW w:type="dxa" w:w="1036"/>
            <w:vAlign w:val="top"/>
          </w:tcPr>
          <w:p>
            <w:pPr>
              <w:spacing w:after="40" w:before="0" w:line="259" w:lineRule="auto"/>
            </w:pPr>
            <w:r>
              <w:rPr>
                <w:rFonts w:ascii="Calibri" w:hAnsi="Calibri"/>
                <w:b w:val="0"/>
                <w:i w:val="0"/>
                <w:color w:val="212121"/>
                <w:sz w:val="16"/>
              </w:rPr>
              <w:t>Arthritis and GI involvement complete the HSP tetrad; abdominal pain may precede purpura</w:t>
            </w:r>
          </w:p>
        </w:tc>
        <w:tc>
          <w:tcPr>
            <w:tcW w:type="dxa" w:w="1036"/>
            <w:vAlign w:val="top"/>
          </w:tcPr>
          <w:p>
            <w:pPr>
              <w:spacing w:after="40" w:before="0" w:line="259" w:lineRule="auto"/>
            </w:pPr>
            <w:r>
              <w:rPr>
                <w:rFonts w:ascii="Calibri" w:hAnsi="Calibri"/>
                <w:b w:val="0"/>
                <w:i w:val="0"/>
                <w:color w:val="212121"/>
                <w:sz w:val="16"/>
              </w:rPr>
              <w:t>Children with HSP</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Severe abdominal pain warrants evaluation for intussusception.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Blood pressure &amp; volume status</w:t>
            </w:r>
          </w:p>
        </w:tc>
        <w:tc>
          <w:tcPr>
            <w:tcW w:type="dxa" w:w="979"/>
            <w:vAlign w:val="top"/>
          </w:tcPr>
          <w:p>
            <w:pPr>
              <w:spacing w:after="40" w:before="0" w:line="259" w:lineRule="auto"/>
            </w:pPr>
            <w:r>
              <w:rPr>
                <w:rFonts w:ascii="Calibri" w:hAnsi="Calibri"/>
                <w:b w:val="0"/>
                <w:i w:val="0"/>
                <w:color w:val="212121"/>
                <w:sz w:val="16"/>
              </w:rPr>
              <w:t>Blood pressure, oedema</w:t>
            </w:r>
          </w:p>
        </w:tc>
        <w:tc>
          <w:tcPr>
            <w:tcW w:type="dxa" w:w="950"/>
            <w:vAlign w:val="top"/>
          </w:tcPr>
          <w:p>
            <w:pPr>
              <w:spacing w:after="40" w:before="0" w:line="259" w:lineRule="auto"/>
            </w:pPr>
            <w:r>
              <w:rPr>
                <w:rFonts w:ascii="Calibri" w:hAnsi="Calibri"/>
                <w:b w:val="0"/>
                <w:i w:val="0"/>
                <w:color w:val="212121"/>
                <w:sz w:val="16"/>
              </w:rPr>
              <w:t>Age-appropriate normal BP, no oedema</w:t>
            </w:r>
          </w:p>
        </w:tc>
        <w:tc>
          <w:tcPr>
            <w:tcW w:type="dxa" w:w="950"/>
            <w:vAlign w:val="top"/>
          </w:tcPr>
          <w:p>
            <w:pPr>
              <w:spacing w:after="40" w:before="0" w:line="259" w:lineRule="auto"/>
            </w:pPr>
            <w:r>
              <w:rPr>
                <w:rFonts w:ascii="Calibri" w:hAnsi="Calibri"/>
                <w:b w:val="0"/>
                <w:i w:val="0"/>
                <w:color w:val="212121"/>
                <w:sz w:val="16"/>
              </w:rPr>
              <w:t>Hypertension, oedema (nephritic/nephrotic features)</w:t>
            </w:r>
          </w:p>
        </w:tc>
        <w:tc>
          <w:tcPr>
            <w:tcW w:type="dxa" w:w="1036"/>
            <w:vAlign w:val="top"/>
          </w:tcPr>
          <w:p>
            <w:pPr>
              <w:spacing w:after="40" w:before="0" w:line="259" w:lineRule="auto"/>
            </w:pPr>
            <w:r>
              <w:rPr>
                <w:rFonts w:ascii="Calibri" w:hAnsi="Calibri"/>
                <w:b w:val="0"/>
                <w:i w:val="0"/>
                <w:color w:val="212121"/>
                <w:sz w:val="16"/>
              </w:rPr>
              <w:t>Signals renal involvement in HSP or GPA</w:t>
            </w:r>
          </w:p>
        </w:tc>
        <w:tc>
          <w:tcPr>
            <w:tcW w:type="dxa" w:w="1036"/>
            <w:vAlign w:val="top"/>
          </w:tcPr>
          <w:p>
            <w:pPr>
              <w:spacing w:after="40" w:before="0" w:line="259" w:lineRule="auto"/>
            </w:pPr>
            <w:r>
              <w:rPr>
                <w:rFonts w:ascii="Calibri" w:hAnsi="Calibri"/>
                <w:b w:val="0"/>
                <w:i w:val="0"/>
                <w:color w:val="212121"/>
                <w:sz w:val="16"/>
              </w:rPr>
              <w:t>HSP/GPA with nephritis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 / Prognostic</w:t>
            </w:r>
          </w:p>
        </w:tc>
        <w:tc>
          <w:tcPr>
            <w:tcW w:type="dxa" w:w="720"/>
            <w:vAlign w:val="top"/>
          </w:tcPr>
          <w:p>
            <w:pPr>
              <w:spacing w:after="40" w:before="0" w:line="259" w:lineRule="auto"/>
            </w:pPr>
            <w:r>
              <w:rPr>
                <w:rFonts w:ascii="Calibri" w:hAnsi="Calibri"/>
                <w:b w:val="0"/>
                <w:i w:val="0"/>
                <w:color w:val="212121"/>
                <w:sz w:val="16"/>
              </w:rPr>
              <w:t>New hypertension or oedema mandates urinalysis and renal review.</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Prolonged high fever (≥5 days)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Kawasaki disease; typically remittent, high and unresponsive to antibiotics, with marked irritability.</w:t>
            </w:r>
          </w:p>
        </w:tc>
      </w:tr>
      <w:tr>
        <w:trPr>
          <w:cantSplit/>
        </w:trPr>
        <w:tc>
          <w:tcPr>
            <w:tcW w:type="dxa" w:w="2304"/>
            <w:vAlign w:val="top"/>
          </w:tcPr>
          <w:p>
            <w:pPr>
              <w:spacing w:after="40" w:before="0" w:line="259" w:lineRule="auto"/>
            </w:pPr>
            <w:r>
              <w:rPr>
                <w:rFonts w:ascii="Calibri" w:hAnsi="Calibri"/>
                <w:b/>
                <w:i w:val="0"/>
                <w:color w:val="212121"/>
                <w:sz w:val="19"/>
              </w:rPr>
              <w:t>Palpable purpura on legs and buttocks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Non-thrombocytopenic, dependent, symmetric purpuric rash — the mandatory feature of HSP/IgA vasculitis.</w:t>
            </w:r>
          </w:p>
        </w:tc>
      </w:tr>
      <w:tr>
        <w:trPr>
          <w:cantSplit/>
        </w:trPr>
        <w:tc>
          <w:tcPr>
            <w:tcW w:type="dxa" w:w="2304"/>
            <w:vAlign w:val="top"/>
          </w:tcPr>
          <w:p>
            <w:pPr>
              <w:spacing w:after="40" w:before="0" w:line="259" w:lineRule="auto"/>
            </w:pPr>
            <w:r>
              <w:rPr>
                <w:rFonts w:ascii="Calibri" w:hAnsi="Calibri"/>
                <w:b/>
                <w:i w:val="0"/>
                <w:color w:val="212121"/>
                <w:sz w:val="19"/>
              </w:rPr>
              <w:t>Colicky abdominal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Common in HSP from bowel-wall vasculitis and oedema; may precede the rash and rarely triggers intussusception.</w:t>
            </w:r>
          </w:p>
        </w:tc>
      </w:tr>
      <w:tr>
        <w:trPr>
          <w:cantSplit/>
        </w:trPr>
        <w:tc>
          <w:tcPr>
            <w:tcW w:type="dxa" w:w="2304"/>
            <w:vAlign w:val="top"/>
          </w:tcPr>
          <w:p>
            <w:pPr>
              <w:spacing w:after="40" w:before="0" w:line="259" w:lineRule="auto"/>
            </w:pPr>
            <w:r>
              <w:rPr>
                <w:rFonts w:ascii="Calibri" w:hAnsi="Calibri"/>
                <w:b/>
                <w:i w:val="0"/>
                <w:color w:val="212121"/>
                <w:sz w:val="19"/>
              </w:rPr>
              <w:t>Joint pain and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Arthralgia/arthritis of ankles, knees, wrists and elbows in HSP; also arthralgia in GPA.</w:t>
            </w:r>
          </w:p>
        </w:tc>
      </w:tr>
      <w:tr>
        <w:trPr>
          <w:cantSplit/>
        </w:trPr>
        <w:tc>
          <w:tcPr>
            <w:tcW w:type="dxa" w:w="2304"/>
            <w:vAlign w:val="top"/>
          </w:tcPr>
          <w:p>
            <w:pPr>
              <w:spacing w:after="40" w:before="0" w:line="259" w:lineRule="auto"/>
            </w:pPr>
            <w:r>
              <w:rPr>
                <w:rFonts w:ascii="Calibri" w:hAnsi="Calibri"/>
                <w:b/>
                <w:i w:val="0"/>
                <w:color w:val="212121"/>
                <w:sz w:val="19"/>
              </w:rPr>
              <w:t>Persistent rhinorrhoea, nasal crusting and epistaxis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Sinonasal disease is the commonest presenting and relapsing feature of GPA.</w:t>
            </w:r>
          </w:p>
        </w:tc>
      </w:tr>
      <w:tr>
        <w:trPr>
          <w:cantSplit/>
        </w:trPr>
        <w:tc>
          <w:tcPr>
            <w:tcW w:type="dxa" w:w="2304"/>
            <w:vAlign w:val="top"/>
          </w:tcPr>
          <w:p>
            <w:pPr>
              <w:spacing w:after="40" w:before="0" w:line="259" w:lineRule="auto"/>
            </w:pPr>
            <w:r>
              <w:rPr>
                <w:rFonts w:ascii="Calibri" w:hAnsi="Calibri"/>
                <w:b/>
                <w:i w:val="0"/>
                <w:color w:val="212121"/>
                <w:sz w:val="19"/>
              </w:rPr>
              <w:t>Red eyes (bilateral conjunctival injection)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Non-exudative bilateral conjunctivitis is a principal Kawasaki feature; scleritis/red eye can occur in GPA.</w:t>
            </w:r>
          </w:p>
        </w:tc>
      </w:tr>
      <w:tr>
        <w:trPr>
          <w:cantSplit/>
        </w:trPr>
        <w:tc>
          <w:tcPr>
            <w:tcW w:type="dxa" w:w="2304"/>
            <w:vAlign w:val="top"/>
          </w:tcPr>
          <w:p>
            <w:pPr>
              <w:spacing w:after="40" w:before="0" w:line="259" w:lineRule="auto"/>
            </w:pPr>
            <w:r>
              <w:rPr>
                <w:rFonts w:ascii="Calibri" w:hAnsi="Calibri"/>
                <w:b/>
                <w:i w:val="0"/>
                <w:color w:val="212121"/>
                <w:sz w:val="19"/>
              </w:rPr>
              <w:t>Red, cracked lips and strawberry tongue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Oral mucosal changes with pharyngeal injection are a principal Kawasaki feature.</w:t>
            </w:r>
          </w:p>
        </w:tc>
      </w:tr>
      <w:tr>
        <w:trPr>
          <w:cantSplit/>
        </w:trPr>
        <w:tc>
          <w:tcPr>
            <w:tcW w:type="dxa" w:w="2304"/>
            <w:vAlign w:val="top"/>
          </w:tcPr>
          <w:p>
            <w:pPr>
              <w:spacing w:after="40" w:before="0" w:line="259" w:lineRule="auto"/>
            </w:pPr>
            <w:r>
              <w:rPr>
                <w:rFonts w:ascii="Calibri" w:hAnsi="Calibri"/>
                <w:b/>
                <w:i w:val="0"/>
                <w:color w:val="212121"/>
                <w:sz w:val="19"/>
              </w:rPr>
              <w:t>Swollen, red hands and feet with later skin peeling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extremity oedema/erythema followed by periungual desquamation in the subacute phase of Kawasaki disease.</w:t>
            </w:r>
          </w:p>
        </w:tc>
      </w:tr>
      <w:tr>
        <w:trPr>
          <w:cantSplit/>
        </w:trPr>
        <w:tc>
          <w:tcPr>
            <w:tcW w:type="dxa" w:w="2304"/>
            <w:vAlign w:val="top"/>
          </w:tcPr>
          <w:p>
            <w:pPr>
              <w:spacing w:after="40" w:before="0" w:line="259" w:lineRule="auto"/>
            </w:pPr>
            <w:r>
              <w:rPr>
                <w:rFonts w:ascii="Calibri" w:hAnsi="Calibri"/>
                <w:b/>
                <w:i w:val="0"/>
                <w:color w:val="212121"/>
                <w:sz w:val="19"/>
              </w:rPr>
              <w:t>Constitutional symptoms — fatigue, fever,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Systemic inflammation in GPA (and active vasculitis generally).</w:t>
            </w:r>
          </w:p>
        </w:tc>
      </w:tr>
      <w:tr>
        <w:trPr>
          <w:cantSplit/>
        </w:trPr>
        <w:tc>
          <w:tcPr>
            <w:tcW w:type="dxa" w:w="2304"/>
            <w:vAlign w:val="top"/>
          </w:tcPr>
          <w:p>
            <w:pPr>
              <w:spacing w:after="40" w:before="0" w:line="259" w:lineRule="auto"/>
            </w:pPr>
            <w:r>
              <w:rPr>
                <w:rFonts w:ascii="Calibri" w:hAnsi="Calibri"/>
                <w:b/>
                <w:i w:val="0"/>
                <w:color w:val="212121"/>
                <w:sz w:val="19"/>
              </w:rPr>
              <w:t>Cough, breathlessness or 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GPA lower-respiratory involvement; haemoptysis may signal diffuse alveolar haemorrhage — an emergency.</w:t>
            </w:r>
          </w:p>
        </w:tc>
      </w:tr>
      <w:tr>
        <w:trPr>
          <w:cantSplit/>
        </w:trPr>
        <w:tc>
          <w:tcPr>
            <w:tcW w:type="dxa" w:w="2304"/>
            <w:vAlign w:val="top"/>
          </w:tcPr>
          <w:p>
            <w:pPr>
              <w:spacing w:after="40" w:before="0" w:line="259" w:lineRule="auto"/>
            </w:pPr>
            <w:r>
              <w:rPr>
                <w:rFonts w:ascii="Calibri" w:hAnsi="Calibri"/>
                <w:b/>
                <w:i w:val="0"/>
                <w:color w:val="212121"/>
                <w:sz w:val="19"/>
              </w:rPr>
              <w:t>Blood in urine or dark/tea-coloured urine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Glomerulonephritis in HSP or GPA; may be painless and detected only on urinalysis.</w:t>
            </w:r>
          </w:p>
        </w:tc>
      </w:tr>
      <w:tr>
        <w:trPr>
          <w:cantSplit/>
        </w:trPr>
        <w:tc>
          <w:tcPr>
            <w:tcW w:type="dxa" w:w="2304"/>
            <w:vAlign w:val="top"/>
          </w:tcPr>
          <w:p>
            <w:pPr>
              <w:spacing w:after="40" w:before="0" w:line="259" w:lineRule="auto"/>
            </w:pPr>
            <w:r>
              <w:rPr>
                <w:rFonts w:ascii="Calibri" w:hAnsi="Calibri"/>
                <w:b/>
                <w:i w:val="0"/>
                <w:color w:val="212121"/>
                <w:sz w:val="19"/>
              </w:rPr>
              <w:t>Bloody or black stools (melena)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Gastrointestinal HSP with mucosal haemorrhage; positive faecal occult blood is common.</w:t>
            </w:r>
          </w:p>
        </w:tc>
      </w:tr>
      <w:tr>
        <w:trPr>
          <w:cantSplit/>
        </w:trPr>
        <w:tc>
          <w:tcPr>
            <w:tcW w:type="dxa" w:w="2304"/>
            <w:vAlign w:val="top"/>
          </w:tcPr>
          <w:p>
            <w:pPr>
              <w:spacing w:after="40" w:before="0" w:line="259" w:lineRule="auto"/>
            </w:pPr>
            <w:r>
              <w:rPr>
                <w:rFonts w:ascii="Calibri" w:hAnsi="Calibri"/>
                <w:b/>
                <w:i w:val="0"/>
                <w:color w:val="212121"/>
                <w:sz w:val="19"/>
              </w:rPr>
              <w:t>Ear symptoms and hearing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Conductive or sensorineural hearing loss and otitis media occur in GPA.</w:t>
            </w:r>
          </w:p>
        </w:tc>
      </w:tr>
      <w:tr>
        <w:trPr>
          <w:cantSplit/>
        </w:trPr>
        <w:tc>
          <w:tcPr>
            <w:tcW w:type="dxa" w:w="2304"/>
            <w:vAlign w:val="top"/>
          </w:tcPr>
          <w:p>
            <w:pPr>
              <w:spacing w:after="40" w:before="0" w:line="259" w:lineRule="auto"/>
            </w:pPr>
            <w:r>
              <w:rPr>
                <w:rFonts w:ascii="Calibri" w:hAnsi="Calibri"/>
                <w:b/>
                <w:i w:val="0"/>
                <w:color w:val="212121"/>
                <w:sz w:val="19"/>
              </w:rPr>
              <w:t>Scrotal pain and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Scrotal involvement in boys with HSP; can mimic testicular torsion.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Palpable (leukocytoclastic) purpura in dependent areas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Symmetric, non-blanching purpura on legs/buttocks with normal platelets — diagnostic hallmark of HSP.</w:t>
            </w:r>
          </w:p>
        </w:tc>
      </w:tr>
      <w:tr>
        <w:trPr>
          <w:cantSplit/>
        </w:trPr>
        <w:tc>
          <w:tcPr>
            <w:tcW w:type="dxa" w:w="3456"/>
            <w:vAlign w:val="top"/>
          </w:tcPr>
          <w:p>
            <w:pPr>
              <w:spacing w:after="40" w:before="0" w:line="259" w:lineRule="auto"/>
            </w:pPr>
            <w:r>
              <w:rPr>
                <w:rFonts w:ascii="Calibri" w:hAnsi="Calibri"/>
                <w:b/>
                <w:i w:val="0"/>
                <w:color w:val="212121"/>
                <w:sz w:val="19"/>
              </w:rPr>
              <w:t>Bilateral non-exudative conjunctival injection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Limbal-sparing bulbar conjunctival injection without discharge — a principal Kawasaki sign.</w:t>
            </w:r>
          </w:p>
        </w:tc>
      </w:tr>
      <w:tr>
        <w:trPr>
          <w:cantSplit/>
        </w:trPr>
        <w:tc>
          <w:tcPr>
            <w:tcW w:type="dxa" w:w="3456"/>
            <w:vAlign w:val="top"/>
          </w:tcPr>
          <w:p>
            <w:pPr>
              <w:spacing w:after="40" w:before="0" w:line="259" w:lineRule="auto"/>
            </w:pPr>
            <w:r>
              <w:rPr>
                <w:rFonts w:ascii="Calibri" w:hAnsi="Calibri"/>
                <w:b/>
                <w:i w:val="0"/>
                <w:color w:val="212121"/>
                <w:sz w:val="19"/>
              </w:rPr>
              <w:t>Strawberry tongue, cracked erythematous lips, oral mucositis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Mucosal changes of Kawasaki disease.</w:t>
            </w:r>
          </w:p>
        </w:tc>
      </w:tr>
      <w:tr>
        <w:trPr>
          <w:cantSplit/>
        </w:trPr>
        <w:tc>
          <w:tcPr>
            <w:tcW w:type="dxa" w:w="3456"/>
            <w:vAlign w:val="top"/>
          </w:tcPr>
          <w:p>
            <w:pPr>
              <w:spacing w:after="40" w:before="0" w:line="259" w:lineRule="auto"/>
            </w:pPr>
            <w:r>
              <w:rPr>
                <w:rFonts w:ascii="Calibri" w:hAnsi="Calibri"/>
                <w:b/>
                <w:i w:val="0"/>
                <w:color w:val="212121"/>
                <w:sz w:val="19"/>
              </w:rPr>
              <w:t>Extremity changes — palmar/plantar erythema, oedema, periungual desquamation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Acute oedema/erythema then peeling from the fingertips in Kawasaki disease.</w:t>
            </w:r>
          </w:p>
        </w:tc>
      </w:tr>
      <w:tr>
        <w:trPr>
          <w:cantSplit/>
        </w:trPr>
        <w:tc>
          <w:tcPr>
            <w:tcW w:type="dxa" w:w="3456"/>
            <w:vAlign w:val="top"/>
          </w:tcPr>
          <w:p>
            <w:pPr>
              <w:spacing w:after="40" w:before="0" w:line="259" w:lineRule="auto"/>
            </w:pPr>
            <w:r>
              <w:rPr>
                <w:rFonts w:ascii="Calibri" w:hAnsi="Calibri"/>
                <w:b/>
                <w:i w:val="0"/>
                <w:color w:val="212121"/>
                <w:sz w:val="19"/>
              </w:rPr>
              <w:t>Cervical lymphadenopathy ≥1.5 cm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Usually unilateral; the least consistent of the principal Kawasaki features.</w:t>
            </w:r>
          </w:p>
        </w:tc>
      </w:tr>
      <w:tr>
        <w:trPr>
          <w:cantSplit/>
        </w:trPr>
        <w:tc>
          <w:tcPr>
            <w:tcW w:type="dxa" w:w="3456"/>
            <w:vAlign w:val="top"/>
          </w:tcPr>
          <w:p>
            <w:pPr>
              <w:spacing w:after="40" w:before="0" w:line="259" w:lineRule="auto"/>
            </w:pPr>
            <w:r>
              <w:rPr>
                <w:rFonts w:ascii="Calibri" w:hAnsi="Calibri"/>
                <w:b/>
                <w:i w:val="0"/>
                <w:color w:val="212121"/>
                <w:sz w:val="19"/>
              </w:rPr>
              <w:t>Nasal crusting, septal perforation and saddle-nose deformity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Destructive sinonasal disease of GPA; saddle-nose follows nasal-bridge cartilage collapse.</w:t>
            </w:r>
          </w:p>
        </w:tc>
      </w:tr>
      <w:tr>
        <w:trPr>
          <w:cantSplit/>
        </w:trPr>
        <w:tc>
          <w:tcPr>
            <w:tcW w:type="dxa" w:w="3456"/>
            <w:vAlign w:val="top"/>
          </w:tcPr>
          <w:p>
            <w:pPr>
              <w:spacing w:after="40" w:before="0" w:line="259" w:lineRule="auto"/>
            </w:pPr>
            <w:r>
              <w:rPr>
                <w:rFonts w:ascii="Calibri" w:hAnsi="Calibri"/>
                <w:b/>
                <w:i w:val="0"/>
                <w:color w:val="212121"/>
                <w:sz w:val="19"/>
              </w:rPr>
              <w:t>Hypertension and peripheral/periorbital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 glomerulonephritis and fluid retention in HSP or GPA.</w:t>
            </w:r>
          </w:p>
        </w:tc>
      </w:tr>
      <w:tr>
        <w:trPr>
          <w:cantSplit/>
        </w:trPr>
        <w:tc>
          <w:tcPr>
            <w:tcW w:type="dxa" w:w="3456"/>
            <w:vAlign w:val="top"/>
          </w:tcPr>
          <w:p>
            <w:pPr>
              <w:spacing w:after="40" w:before="0" w:line="259" w:lineRule="auto"/>
            </w:pPr>
            <w:r>
              <w:rPr>
                <w:rFonts w:ascii="Calibri" w:hAnsi="Calibri"/>
                <w:b/>
                <w:i w:val="0"/>
                <w:color w:val="212121"/>
                <w:sz w:val="19"/>
              </w:rPr>
              <w:t>Coronary artery aneurysm on echocardiography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Dilatation/aneurysm (Z-score ≥2.5) is the defining cardiac lesion of Kawasaki disease.</w:t>
            </w:r>
          </w:p>
        </w:tc>
      </w:tr>
      <w:tr>
        <w:trPr>
          <w:cantSplit/>
        </w:trPr>
        <w:tc>
          <w:tcPr>
            <w:tcW w:type="dxa" w:w="3456"/>
            <w:vAlign w:val="top"/>
          </w:tcPr>
          <w:p>
            <w:pPr>
              <w:spacing w:after="40" w:before="0" w:line="259" w:lineRule="auto"/>
            </w:pPr>
            <w:r>
              <w:rPr>
                <w:rFonts w:ascii="Calibri" w:hAnsi="Calibri"/>
                <w:b/>
                <w:i w:val="0"/>
                <w:color w:val="212121"/>
                <w:sz w:val="19"/>
              </w:rPr>
              <w:t>Arthritis with periarticular tenderness and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Transient, non-deforming joint swelling in HSP; arthralgia in GPA.</w:t>
            </w:r>
          </w:p>
        </w:tc>
      </w:tr>
      <w:tr>
        <w:trPr>
          <w:cantSplit/>
        </w:trPr>
        <w:tc>
          <w:tcPr>
            <w:tcW w:type="dxa" w:w="3456"/>
            <w:vAlign w:val="top"/>
          </w:tcPr>
          <w:p>
            <w:pPr>
              <w:spacing w:after="40" w:before="0" w:line="259" w:lineRule="auto"/>
            </w:pPr>
            <w:r>
              <w:rPr>
                <w:rFonts w:ascii="Calibri" w:hAnsi="Calibri"/>
                <w:b/>
                <w:i w:val="0"/>
                <w:color w:val="212121"/>
                <w:sz w:val="19"/>
              </w:rPr>
              <w:t>Scleritis, episcleritis or orbital mass (pseudotumour)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Ocular GPA; orbital pseudotumour can threaten vision.</w:t>
            </w:r>
          </w:p>
        </w:tc>
      </w:tr>
      <w:tr>
        <w:trPr>
          <w:cantSplit/>
        </w:trPr>
        <w:tc>
          <w:tcPr>
            <w:tcW w:type="dxa" w:w="3456"/>
            <w:vAlign w:val="top"/>
          </w:tcPr>
          <w:p>
            <w:pPr>
              <w:spacing w:after="40" w:before="0" w:line="259" w:lineRule="auto"/>
            </w:pPr>
            <w:r>
              <w:rPr>
                <w:rFonts w:ascii="Calibri" w:hAnsi="Calibri"/>
                <w:b/>
                <w:i w:val="0"/>
                <w:color w:val="212121"/>
                <w:sz w:val="19"/>
              </w:rPr>
              <w:t>Stridor from subglottic stenosis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Airway narrowing in GPA causing inspiratory stridor and airway compromise.</w:t>
            </w:r>
          </w:p>
        </w:tc>
      </w:tr>
      <w:tr>
        <w:trPr>
          <w:cantSplit/>
        </w:trPr>
        <w:tc>
          <w:tcPr>
            <w:tcW w:type="dxa" w:w="3456"/>
            <w:vAlign w:val="top"/>
          </w:tcPr>
          <w:p>
            <w:pPr>
              <w:spacing w:after="40" w:before="0" w:line="259" w:lineRule="auto"/>
            </w:pPr>
            <w:r>
              <w:rPr>
                <w:rFonts w:ascii="Calibri" w:hAnsi="Calibri"/>
                <w:b/>
                <w:i w:val="0"/>
                <w:color w:val="212121"/>
                <w:sz w:val="19"/>
              </w:rPr>
              <w:t>Scrotal swelling and tenderness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HSP scrotal involvement in boys; important mimic of testicular torsion.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Kawasaki: coronary artery dilatation and aneurysm formation; myocarditis and pericardial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Kawasaki disease shock syndrome / macrophage activation syndrome (severe presentations)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HSP: intussusception, bowel ischaemia and gastrointestinal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HSP: acute IgA nephritis (haematuria, proteinuria, nephritic/nephrotic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rapidly progressive (crescentic)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diffuse alveolar haemorrhage and acute airway compromise (subglottic stenosis)</w:t>
            </w:r>
          </w:p>
        </w:tc>
        <w:tc>
          <w:tcPr>
            <w:tcW w:type="dxa" w:w="2980"/>
            <w:vAlign w:val="top"/>
          </w:tcPr>
          <w:p>
            <w:pPr>
              <w:spacing w:after="40" w:before="0" w:line="259" w:lineRule="auto"/>
            </w:pPr>
            <w:r>
              <w:rPr>
                <w:rFonts w:ascii="Calibri" w:hAnsi="Calibri"/>
                <w:b w:val="0"/>
                <w:i w:val="0"/>
                <w:color w:val="212121"/>
                <w:sz w:val="19"/>
              </w:rPr>
              <w:t>Direct acute consequences of active vessel-wall inflammation in each entity.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Kawasaki: coronary thrombosis, stenosis and myocardial infarction; giant aneurysms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HSP: chronic kidney disease and nephrotic-range proteinuria after HSP 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end-stage renal disease from progressive glomerulonephritis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sensorineural/conductive hearing loss and chronic sinonasal destruction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orbital pseudotumour with visual loss; cranial neuropathies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during active ANCA-associated vasculitis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infections and cytopenias from immunosuppression</w:t>
            </w:r>
          </w:p>
        </w:tc>
        <w:tc>
          <w:tcPr>
            <w:tcW w:type="dxa" w:w="2980"/>
            <w:vAlign w:val="top"/>
          </w:tcPr>
          <w:p>
            <w:pPr>
              <w:spacing w:after="40" w:before="0" w:line="259" w:lineRule="auto"/>
            </w:pPr>
            <w:r>
              <w:rPr>
                <w:rFonts w:ascii="Calibri" w:hAnsi="Calibri"/>
                <w:b w:val="0"/>
                <w:i w:val="0"/>
                <w:color w:val="212121"/>
                <w:sz w:val="19"/>
              </w:rPr>
              <w:t>Result from ongoing or inadequately treated vascular injury and from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Kawasaki: premature ischaemic heart disease and need for coronary intervention/CABG; sudden cardiac death (rare)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HSP/GPA: dialysis-dependence or renal transplantation for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permanent saddle-nose deformity, tracheostomy for fixed subglottic stenosis, irreversible vision/hearing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Relapsing GPA with cumulative organ damage (Vasculitis Damage Index)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malignancy (e.g., bladder cancer, lymphoma) and infertility from cyclophosphamide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growth impairment and psychological morbidity</w:t>
            </w:r>
          </w:p>
        </w:tc>
        <w:tc>
          <w:tcPr>
            <w:tcW w:type="dxa" w:w="2980"/>
            <w:vAlign w:val="top"/>
          </w:tcPr>
          <w:p>
            <w:pPr>
              <w:spacing w:after="40" w:before="0" w:line="259" w:lineRule="auto"/>
            </w:pPr>
            <w:r>
              <w:rPr>
                <w:rFonts w:ascii="Calibri" w:hAnsi="Calibri"/>
                <w:b w:val="0"/>
                <w:i w:val="0"/>
                <w:color w:val="212121"/>
                <w:sz w:val="19"/>
              </w:rPr>
              <w:t>Irreversible, disabling long-term outcomes of longstanding or relapsing disease and its treatment.</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HSP nephritis / IgA nephropathy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HSP nephritis and IgA nephropathy share the galactose-deficient IgA1 immune-complex mechanism and are viewed as one spectrum; renal involvement determines HSP prognosis. Renal involvement was seen in ~51% of children and 60% of adults in a North-Indian cohort.</w:t>
            </w:r>
          </w:p>
          <w:p>
            <w:pPr>
              <w:spacing w:after="40" w:before="0" w:line="259" w:lineRule="auto"/>
            </w:pPr>
            <w:r>
              <w:rPr>
                <w:rFonts w:ascii="Calibri" w:hAnsi="Calibri"/>
                <w:b/>
                <w:i w:val="0"/>
                <w:color w:val="212121"/>
                <w:sz w:val="19"/>
              </w:rPr>
              <w:t>~51–60% (India)</w:t>
            </w:r>
          </w:p>
        </w:tc>
      </w:tr>
      <w:tr>
        <w:trPr>
          <w:cantSplit/>
        </w:trPr>
        <w:tc>
          <w:tcPr>
            <w:tcW w:type="dxa" w:w="2232"/>
            <w:vAlign w:val="top"/>
          </w:tcPr>
          <w:p>
            <w:pPr>
              <w:spacing w:after="40" w:before="0" w:line="259" w:lineRule="auto"/>
            </w:pPr>
            <w:r>
              <w:rPr>
                <w:rFonts w:ascii="Calibri" w:hAnsi="Calibri"/>
                <w:b/>
                <w:i w:val="0"/>
                <w:color w:val="212121"/>
                <w:sz w:val="19"/>
              </w:rPr>
              <w:t>Recent streptococcal / viral upper-respiratory infection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preceding URI or streptococcal infection is a common antecedent trigger of HSP and Kawasaki disease in a susceptible host.</w:t>
            </w:r>
          </w:p>
        </w:tc>
      </w:tr>
      <w:tr>
        <w:trPr>
          <w:cantSplit/>
        </w:trPr>
        <w:tc>
          <w:tcPr>
            <w:tcW w:type="dxa" w:w="2232"/>
            <w:vAlign w:val="top"/>
          </w:tcPr>
          <w:p>
            <w:pPr>
              <w:spacing w:after="40" w:before="0" w:line="259" w:lineRule="auto"/>
            </w:pPr>
            <w:r>
              <w:rPr>
                <w:rFonts w:ascii="Calibri" w:hAnsi="Calibri"/>
                <w:b/>
                <w:i w:val="0"/>
                <w:color w:val="212121"/>
                <w:sz w:val="19"/>
              </w:rPr>
              <w:t>Coronary artery aneurysm &amp; ischaemic heart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Aneurysms are the defining Kawasaki complication and, when giant, predispose to thrombosis, stenosis and later ischaemic heart disease. In Chandigarh, coronary abnormalities occurred in 16.9% acutely and 7.2% at 6 weeks.</w:t>
            </w:r>
          </w:p>
          <w:p>
            <w:pPr>
              <w:spacing w:after="40" w:before="0" w:line="259" w:lineRule="auto"/>
            </w:pPr>
            <w:r>
              <w:rPr>
                <w:rFonts w:ascii="Calibri" w:hAnsi="Calibri"/>
                <w:b/>
                <w:i w:val="0"/>
                <w:color w:val="212121"/>
                <w:sz w:val="19"/>
              </w:rPr>
              <w:t>16.9% acute; 7.2% at 6 wk (India)</w:t>
            </w:r>
          </w:p>
        </w:tc>
      </w:tr>
      <w:tr>
        <w:trPr>
          <w:cantSplit/>
        </w:trPr>
        <w:tc>
          <w:tcPr>
            <w:tcW w:type="dxa" w:w="2232"/>
            <w:vAlign w:val="top"/>
          </w:tcPr>
          <w:p>
            <w:pPr>
              <w:spacing w:after="40" w:before="0" w:line="259" w:lineRule="auto"/>
            </w:pPr>
            <w:r>
              <w:rPr>
                <w:rFonts w:ascii="Calibri" w:hAnsi="Calibri"/>
                <w:b/>
                <w:i w:val="0"/>
                <w:color w:val="212121"/>
                <w:sz w:val="19"/>
              </w:rPr>
              <w:t>Chronic kidney disease / end-stage renal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Crescentic glomerulonephritis in GPA and progressive HSP/GPA nephritis can lead to CKD and dialysis- or transplant-dependent ESRD.</w:t>
            </w:r>
          </w:p>
        </w:tc>
      </w:tr>
      <w:tr>
        <w:trPr>
          <w:cantSplit/>
        </w:trPr>
        <w:tc>
          <w:tcPr>
            <w:tcW w:type="dxa" w:w="2232"/>
            <w:vAlign w:val="top"/>
          </w:tcPr>
          <w:p>
            <w:pPr>
              <w:spacing w:after="40" w:before="0" w:line="259" w:lineRule="auto"/>
            </w:pPr>
            <w:r>
              <w:rPr>
                <w:rFonts w:ascii="Calibri" w:hAnsi="Calibri"/>
                <w:b/>
                <w:i w:val="0"/>
                <w:color w:val="212121"/>
                <w:sz w:val="19"/>
              </w:rPr>
              <w:t>Chronic rhinosinusitis &amp; nasal Staphylococcus aureus carriage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Sinonasal disease is the commonest GPA feature, and chronic nasal S. aureus carriage is associated with a higher relapse rate.</w:t>
            </w:r>
          </w:p>
        </w:tc>
      </w:tr>
      <w:tr>
        <w:trPr>
          <w:cantSplit/>
        </w:trPr>
        <w:tc>
          <w:tcPr>
            <w:tcW w:type="dxa" w:w="2232"/>
            <w:vAlign w:val="top"/>
          </w:tcPr>
          <w:p>
            <w:pPr>
              <w:spacing w:after="40" w:before="0" w:line="259" w:lineRule="auto"/>
            </w:pPr>
            <w:r>
              <w:rPr>
                <w:rFonts w:ascii="Calibri" w:hAnsi="Calibri"/>
                <w:b/>
                <w:i w:val="0"/>
                <w:color w:val="212121"/>
                <w:sz w:val="19"/>
              </w:rPr>
              <w:t>Subglottic / tracheal stenosis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Fixed airway narrowing develops from granulomatous GPA inflammation and may require dilatation or tracheostomy.</w:t>
            </w:r>
          </w:p>
        </w:tc>
      </w:tr>
      <w:tr>
        <w:trPr>
          <w:cantSplit/>
        </w:trPr>
        <w:tc>
          <w:tcPr>
            <w:tcW w:type="dxa" w:w="2232"/>
            <w:vAlign w:val="top"/>
          </w:tcPr>
          <w:p>
            <w:pPr>
              <w:spacing w:after="40" w:before="0" w:line="259" w:lineRule="auto"/>
            </w:pPr>
            <w:r>
              <w:rPr>
                <w:rFonts w:ascii="Calibri" w:hAnsi="Calibri"/>
                <w:b/>
                <w:i w:val="0"/>
                <w:color w:val="212121"/>
                <w:sz w:val="19"/>
              </w:rPr>
              <w:t>Other ANCA-associated vasculitides (MPA, EGPA)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GPA sits within the AAV spectrum; distinction from microscopic polyangiitis and eosinophilic GPA rests on histology, eosinophilia and PR3-versus-MPO ANCA pattern.</w:t>
            </w:r>
          </w:p>
        </w:tc>
      </w:tr>
      <w:tr>
        <w:trPr>
          <w:cantSplit/>
        </w:trPr>
        <w:tc>
          <w:tcPr>
            <w:tcW w:type="dxa" w:w="2232"/>
            <w:vAlign w:val="top"/>
          </w:tcPr>
          <w:p>
            <w:pPr>
              <w:spacing w:after="40" w:before="0" w:line="259" w:lineRule="auto"/>
            </w:pPr>
            <w:r>
              <w:rPr>
                <w:rFonts w:ascii="Calibri" w:hAnsi="Calibri"/>
                <w:b/>
                <w:i w:val="0"/>
                <w:color w:val="212121"/>
                <w:sz w:val="19"/>
              </w:rPr>
              <w:t>Venous thromboembolism</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Active ANCA-associated vasculitis (GPA) carries an increased risk of deep-vein thrombosis and pulmonary embolism.</w:t>
            </w:r>
          </w:p>
        </w:tc>
      </w:tr>
      <w:tr>
        <w:trPr>
          <w:cantSplit/>
        </w:trPr>
        <w:tc>
          <w:tcPr>
            <w:tcW w:type="dxa" w:w="2232"/>
            <w:vAlign w:val="top"/>
          </w:tcPr>
          <w:p>
            <w:pPr>
              <w:spacing w:after="40" w:before="0" w:line="259" w:lineRule="auto"/>
            </w:pPr>
            <w:r>
              <w:rPr>
                <w:rFonts w:ascii="Calibri" w:hAnsi="Calibri"/>
                <w:b/>
                <w:i w:val="0"/>
                <w:color w:val="212121"/>
                <w:sz w:val="19"/>
              </w:rPr>
              <w:t>Treatment-related malignancy (bladder cancer, lymphoma, skin cancer)</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Cumulative cyclophosphamide exposure in GPA raises the long-term risk of bladder cancer, lymphoma and non-melanoma skin cancer.</w:t>
            </w:r>
          </w:p>
        </w:tc>
      </w:tr>
      <w:tr>
        <w:trPr>
          <w:cantSplit/>
        </w:trPr>
        <w:tc>
          <w:tcPr>
            <w:tcW w:type="dxa" w:w="2232"/>
            <w:vAlign w:val="top"/>
          </w:tcPr>
          <w:p>
            <w:pPr>
              <w:spacing w:after="40" w:before="0" w:line="259" w:lineRule="auto"/>
            </w:pPr>
            <w:r>
              <w:rPr>
                <w:rFonts w:ascii="Calibri" w:hAnsi="Calibri"/>
                <w:b/>
                <w:i w:val="0"/>
                <w:color w:val="212121"/>
                <w:sz w:val="19"/>
              </w:rPr>
              <w:t>Anxiety &amp; 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relapsing GPA and prolonged corticosteroid/immunosuppressive therapy are associated with mood disturbance that affects adherence and quality of life.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entity-specific red flags: a child with fever lasting ≥5 days plus red eyes, rash, red lips or swollen hands/feet needs urgent Kawasaki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HSP — palpable purple spots over the legs/buttocks with joint or abdominal pain — and seek care, especially if there is severe abdominal pain (intussusception) or blood in the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 GPA when sinusitis, bloody nasal crusts or epistaxis persist and fail standard treatment, particularly with cough, breathlessness or blood in the urine.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these are immune-mediated diseases, not caused by diet or 'bad blood'; avoid unproven remedies and delays in seeking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routine childhood immunisations and infection-prevention measures up to date, as infections can trigger HSP and Kawasaki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refractory sinusitis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&amp; primary-care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 &amp; families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strictly to prescribed therapy: IVIG and aspirin for Kawasaki disease; induction and maintenance immunosuppression for GPA.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all cardiology follow-up and echocardiography appointments after Kawasaki disease, especially if coronary aneurysms are present.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urine (dipstick) and blood pressure as advised to detect HSP or GPA nephritis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warning signs of relapse or drug side effects (fever, new rash, haemoptysis, falling urine output, infection)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a steroid/immunosuppression card and know sick-day rules to avoid adrenal crisis and serious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Post-Kawasaki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HSP/GPA nephritis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age-appropriate physical activity when disease is quiescent to preserve cardiovascular and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children recovering from Kawasaki disease, follow cardiology clearance before resuming vigorous or competitive activity.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convalescence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in GPA remission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a graded return to activity after Kawasaki disease based on coronary-artery status (Z-score).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contact or high-intensity competitive sport with giant coronary aneurysms or while on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Rebuild strength gradually with physiotherapy after active GPA and prolonged steroid therapy to counter deconditioning and myopathy.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Post-Kawasaki children with aneurysms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recovering from active GPA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age-appropriate diet; no specific food prevents these vasculitides.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avoid a clearly documented food or drug trigger only if one is established in an individual HSP case — routine elimination diets are not warranted.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HSP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corticosteroid therapy follow a low-salt, adequate-protein diet with sufficient calcium and vitamin D to protect bone and limit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portions and refined carbohydrates to reduce steroid-induced hyperglycaemia and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Adjust protein, salt, potassium and fluid intake per nephrology advice when nephritis or renal impairment is present.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HSP/GPA nephritis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restorative sleep during active disease and recovery to support healing and immune regulation.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sleep-hygiene measures and time steroid doses earlier in the day (as advised) to reduce steroid-induced insomnia.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convalescence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cigarette smoking and occupational silica exposure, both linked to ANCA-associated (GPA) vasculitis.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children and patients from second-hand smoke, which can aggravate respiratory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 of/ with GPA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Silica-exposed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affected children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pulmonary damage and possibly relapse risk in GPA; offer cessation support and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occupational protection and avoid silica-dust environments during and after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GPA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Occupationally exposed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there is no proven causal link to these vasculitides.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which can obscure symptoms and interact with prescribed medicines.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GPA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or strictly minimise alcohol while taking methotrexate or other hepatotoxic immunosuppressants for GPA.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liver-function monitoring on immunosuppressive 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GPA patients on methotrexate/immunosuppressants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 chronic, relapsing illness and its treatment can affect mood; build family and peer support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parents of children with Kawasaki disease or HSP with clear reassurance and information to reduce anxiety.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GPA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which are common with relapsing GPA and long-term 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patient support groups and steroid-mood-effect education.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psychological impact on children and families, including school liaison and coping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on long-term immunosuppression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chronic/relapsing disease &amp; families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9310717/" TargetMode="External"/><Relationship Id="rId10" Type="http://schemas.openxmlformats.org/officeDocument/2006/relationships/hyperlink" Target="https://pubmed.ncbi.nlm.nih.gov/29115055/" TargetMode="External"/><Relationship Id="rId11" Type="http://schemas.openxmlformats.org/officeDocument/2006/relationships/hyperlink" Target="https://pubmed.ncbi.nlm.nih.gov/30338654/" TargetMode="External"/><Relationship Id="rId12" Type="http://schemas.openxmlformats.org/officeDocument/2006/relationships/hyperlink" Target="https://pubmed.ncbi.nlm.nih.gov/27491781/" TargetMode="External"/><Relationship Id="rId13" Type="http://schemas.openxmlformats.org/officeDocument/2006/relationships/hyperlink" Target="https://www.msdmanuals.com/professional/musculoskeletal-and-connective-tissue-disorders/vasculitis/immunoglobulin-a-associated-vasculitis-igav" TargetMode="External"/><Relationship Id="rId14" Type="http://schemas.openxmlformats.org/officeDocument/2006/relationships/hyperlink" Target="https://pubmed.ncbi.nlm.nih.gov/27184863/" TargetMode="External"/><Relationship Id="rId15" Type="http://schemas.openxmlformats.org/officeDocument/2006/relationships/hyperlink" Target="https://www.msdmanuals.com/professional/musculoskeletal-and-connective-tissue-disorders/vasculitis/granulomatosis-with-polyangiitis-g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