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Polymyalgia Rheumatica</w:t>
      </w:r>
    </w:p>
    <w:p>
      <w:pPr>
        <w:spacing w:before="0" w:after="160"/>
      </w:pPr>
      <w:r>
        <w:rPr>
          <w:rFonts w:ascii="Calibri" w:hAnsi="Calibri"/>
          <w:b/>
          <w:i w:val="0"/>
          <w:color w:val="212121"/>
          <w:sz w:val="22"/>
        </w:rPr>
        <w:t xml:space="preserve">AKA </w:t>
      </w:r>
      <w:r>
        <w:rPr>
          <w:rFonts w:ascii="Calibri" w:hAnsi="Calibri"/>
          <w:b w:val="0"/>
          <w:i w:val="0"/>
          <w:color w:val="212121"/>
          <w:sz w:val="22"/>
        </w:rPr>
        <w:t>i.e., PMR; Senile rheumatic gout (historical); frequently overlaps with Giant Cell Arteritis (Temporal Arteritis)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Polymyalgia rheumatica (PMR) is an inflammatory rheumatic disease of older adults characterised by bilateral aching and prolonged morning stiffness of the shoulder, neck and pelvic (hip) girdles, accompanied by raised inflammatory markers (ESR and/or CRP). It has no single diagnostic test and is a clinical diagnosis of exclusion, but it characteristically shows a rapid, near-complete response to low-dose glucocorticoids. PMR is closely related to giant cell arteritis (GCA); the two conditions share pathophysiology and frequently coexist.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Polymyalgia rheumatica is the second most common inflammatory autoimmune rheumatic disease after rheumatoid arthritis in White populations, with an annual incidence of roughly 58-96 per 100,000 adults aged 50 years and over. It is distinctly uncommon in Asian and Indian populations and is widely under-recognised in India, where community-level prevalence data are lacking and most information derives from tertiary-care hospital case series. PMR almost never occurs before age 50, peaks between 70 and 80 years, and affects women about 2-3 times more often than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confirmatory test for PMR; diagnosis is clinical and supported by the 2012 EULAR/ACR provisional classification criteria, applied only after mimics (rheumatoid arthritis, myositis, infection, malignancy, thyroid disease) are excluded. Entry requires age &gt;=50 years, new bilateral shoulder aching, and abnormal CRP and/or ESR; a weighted score is then applied: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Morning stiffness lasting more than 45 minutes (2 points);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 hip pain or restricted hip range of motion (1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rheumatoid factor and anti-CCP antibodies (2 points);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involvement of other joints (1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Optional ultrasound: at least one shoulder with subacromial/subdeltoid bursitis, biceps tenosynovitis or glenohumeral synovitis, and at least one hip with synovitis or trochanteric bursitis (1 point each);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score &gt;=4 (without ultrasound) or &gt;=5 (with ultrasound) classifies PMR; the 4-point cut-off gives about 68% sensitivity and 78% specificity, rising to ~81% specificity with ultrasound;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features: markedly raised ESR (&gt;40 mm/h) and CRP, normocytic anaemia and thrombocytosis, and a dramatic response to low-dose prednisolone (12.5-25 mg/day) within days.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PMR is not formally staged, but it is clinically useful to recognise the following phenotypes, which guide surveillance and treatment:</w:t>
      </w:r>
    </w:p>
    <w:p>
      <w:pPr>
        <w:spacing w:before="0" w:after="80"/>
      </w:pPr>
      <w:r>
        <w:rPr>
          <w:rFonts w:ascii="Calibri" w:hAnsi="Calibri"/>
          <w:b w:val="0"/>
          <w:i w:val="0"/>
          <w:color w:val="212121"/>
          <w:sz w:val="21"/>
        </w:rPr>
        <w:t>(1) Isolated (pure) PMR - a proximal girdle syndrome without cranial or large-vessel arteritis; the commonest presentation, typically exquisitely steroid-responsive;</w:t>
      </w:r>
    </w:p>
    <w:p>
      <w:pPr>
        <w:spacing w:before="0" w:after="80"/>
      </w:pPr>
      <w:r>
        <w:rPr>
          <w:rFonts w:ascii="Calibri" w:hAnsi="Calibri"/>
          <w:b w:val="0"/>
          <w:i w:val="0"/>
          <w:color w:val="212121"/>
          <w:sz w:val="21"/>
        </w:rPr>
        <w:t>(2) PMR associated with giant cell arteritis (GCA) - up to about 1 in 5 (20%) of PMR patients develop GCA, while roughly 40-50% of biopsy-proven GCA patients have PMR features; this overlap mandates vigilance for headache, jaw claudication and visual loss;</w:t>
      </w:r>
    </w:p>
    <w:p>
      <w:pPr>
        <w:spacing w:before="0" w:after="80"/>
      </w:pPr>
      <w:r>
        <w:rPr>
          <w:rFonts w:ascii="Calibri" w:hAnsi="Calibri"/>
          <w:b w:val="0"/>
          <w:i w:val="0"/>
          <w:color w:val="212121"/>
          <w:sz w:val="21"/>
        </w:rPr>
        <w:t>(3) PMR with peripheral musculoskeletal involvement - distal manifestations such as peripheral arthritis (wrists, knees), carpal tunnel syndrome and remitting seronegative symmetrical synovitis with pitting oedema (RS3PE), seen in roughly a quarter of patients; and</w:t>
      </w:r>
    </w:p>
    <w:p>
      <w:pPr>
        <w:spacing w:before="0" w:after="80"/>
      </w:pPr>
      <w:r>
        <w:rPr>
          <w:rFonts w:ascii="Calibri" w:hAnsi="Calibri"/>
          <w:b w:val="0"/>
          <w:i w:val="0"/>
          <w:color w:val="212121"/>
          <w:sz w:val="21"/>
        </w:rPr>
        <w:t>(4) Glucocorticoid-responsive versus relapsing/refractory PMR - although most respond dramatically, at least one-third relapse during steroid tapering and may require steroid-sparing agents such as methotrexate or IL-6 blockade.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Advancing age: The single strongest determinant; PMR is essentially confined to those over 50 and rises in incidence with age, reflecting immunosenescence and age-related 'inflammaging'.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HLA-DRB1*04 alleles are found in up to 67% of cases, with strong clustering in Northern European/Scandinavian ancestry; protective HLA alleles (e.g. DRB1*09:01) have been reported in Japanese patients, consistent with the low Asian incidence.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Female sex and hormonal factors: Women are affected about 2-3 times more often than men.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 infectious triggers: Seasonal clustering and case reports implicate parvovirus B19, Mycoplasma pneumoniae and Epstein-Barr virus, and occasionally follow vaccination in predisposed individuals.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Immune dysregulation: IL-6-driven inflammation is central, with reduced regulatory T cells, expanded Th17 cells, dendritic-cell activation and raised IgG4.</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Shared arteritic biology with GCA: A subset of PMR patients harbour subclinical large-vessel vasculitis detectable on PET/CT, placing PMR and GCA on one disease spectrum.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(50-64 years)</w:t>
            </w:r>
          </w:p>
        </w:tc>
        <w:tc>
          <w:tcPr>
            <w:tcW w:type="dxa" w:w="4276"/>
            <w:vAlign w:val="top"/>
          </w:tcPr>
          <w:p>
            <w:pPr>
              <w:spacing w:after="60" w:line="259" w:lineRule="auto"/>
            </w:pPr>
            <w:r>
              <w:rPr>
                <w:rFonts w:ascii="Calibri" w:hAnsi="Calibri"/>
                <w:b w:val="0"/>
                <w:i w:val="0"/>
                <w:color w:val="212121"/>
                <w:sz w:val="19"/>
              </w:rPr>
              <w:t>Age 50 is the mandatory entry threshold for PMR; below this the diagnosis is considered unreliable and mimics must be sought. Risk climbs steeply once the fifth decade is passed, driven by immunosenescence and rising IL-6 tone.</w:t>
            </w:r>
          </w:p>
          <w:p>
            <w:pPr>
              <w:spacing w:after="40" w:before="60" w:line="259" w:lineRule="auto"/>
            </w:pPr>
            <w:r>
              <w:rPr>
                <w:rFonts w:ascii="Calibri" w:hAnsi="Calibri"/>
                <w:b w:val="0"/>
                <w:i w:val="0"/>
                <w:color w:val="212121"/>
                <w:sz w:val="19"/>
              </w:rPr>
              <w:t>PMR essentially never occurs before age 50; incidence rises progressively with age up to about 80 years.</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#pmr  #agerelated  #inflammaging  #girdlepain  #over50</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(70-80 years, peak incidence)</w:t>
            </w:r>
          </w:p>
        </w:tc>
        <w:tc>
          <w:tcPr>
            <w:tcW w:type="dxa" w:w="4276"/>
            <w:vAlign w:val="top"/>
          </w:tcPr>
          <w:p>
            <w:pPr>
              <w:spacing w:after="60" w:line="259" w:lineRule="auto"/>
            </w:pPr>
            <w:r>
              <w:rPr>
                <w:rFonts w:ascii="Calibri" w:hAnsi="Calibri"/>
                <w:b w:val="0"/>
                <w:i w:val="0"/>
                <w:color w:val="212121"/>
                <w:sz w:val="19"/>
              </w:rPr>
              <w:t>The highest incidence occurs between 70 and 80 years, when age-related immune dysregulation is maximal and comorbidity burden complicates steroid therapy.</w:t>
            </w:r>
          </w:p>
          <w:p>
            <w:pPr>
              <w:spacing w:after="40" w:before="60" w:line="259" w:lineRule="auto"/>
            </w:pPr>
            <w:r>
              <w:rPr>
                <w:rFonts w:ascii="Calibri" w:hAnsi="Calibri"/>
                <w:b w:val="0"/>
                <w:i w:val="0"/>
                <w:color w:val="212121"/>
                <w:sz w:val="19"/>
              </w:rPr>
              <w:t>PMR is most common between ages 70 and 80 and mainly affects people older than 65; it rarely affects those under 50.</w:t>
            </w:r>
          </w:p>
          <w:p>
            <w:pPr>
              <w:spacing w:after="40" w:line="252" w:lineRule="auto"/>
            </w:pPr>
            <w:hyperlink r:id="rId10">
              <w:r>
                <w:rPr>
                  <w:rFonts w:ascii="Calibri" w:hAnsi="Calibri" w:cs="Calibri"/>
                  <w:sz w:val="18"/>
                  <w:color w:val="1155CC"/>
                  <w:u w:val="single"/>
                </w:rPr>
                <w:t xml:space="preserve">mayoclinic.org — polymyalgia rheumatica</w:t>
              </w:r>
            </w:hyperlink>
          </w:p>
          <w:p>
            <w:pPr>
              <w:spacing w:before="60" w:after="40"/>
            </w:pPr>
            <w:r>
              <w:rPr>
                <w:rFonts w:ascii="Calibri" w:hAnsi="Calibri"/>
                <w:b w:val="0"/>
                <w:i w:val="0"/>
                <w:color w:val="5A5A5A"/>
                <w:sz w:val="18"/>
              </w:rPr>
              <w:t>#elderly  #peakincidence  #geriatricrheumatology  #steroidcare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(postmenopausal)</w:t>
            </w:r>
          </w:p>
        </w:tc>
        <w:tc>
          <w:tcPr>
            <w:tcW w:type="dxa" w:w="4276"/>
            <w:vAlign w:val="top"/>
          </w:tcPr>
          <w:p>
            <w:pPr>
              <w:spacing w:after="60" w:line="259" w:lineRule="auto"/>
            </w:pPr>
            <w:r>
              <w:rPr>
                <w:rFonts w:ascii="Calibri" w:hAnsi="Calibri"/>
                <w:b w:val="0"/>
                <w:i w:val="0"/>
                <w:color w:val="212121"/>
                <w:sz w:val="19"/>
              </w:rPr>
              <w:t>Women are affected substantially more often than men, likely reflecting sex-hormone and immune differences; postmenopausal bone loss also compounds later glucocorticoid-induced osteoporosis risk.</w:t>
            </w:r>
          </w:p>
          <w:p>
            <w:pPr>
              <w:spacing w:after="40" w:before="60" w:line="259" w:lineRule="auto"/>
            </w:pPr>
            <w:r>
              <w:rPr>
                <w:rFonts w:ascii="Calibri" w:hAnsi="Calibri"/>
                <w:b w:val="0"/>
                <w:i w:val="0"/>
                <w:color w:val="212121"/>
                <w:sz w:val="19"/>
              </w:rPr>
              <w:t>People assigned female at birth are about 2-3 times more likely to develop PMR than men.</w:t>
            </w:r>
          </w:p>
          <w:p>
            <w:pPr>
              <w:spacing w:after="40" w:line="252" w:lineRule="auto"/>
            </w:pPr>
            <w:hyperlink r:id="rId10">
              <w:r>
                <w:rPr>
                  <w:rFonts w:ascii="Calibri" w:hAnsi="Calibri" w:cs="Calibri"/>
                  <w:sz w:val="18"/>
                  <w:color w:val="1155CC"/>
                  <w:u w:val="single"/>
                </w:rPr>
                <w:t xml:space="preserve">mayoclinic.org — polymyalgia rheumatica</w:t>
              </w:r>
            </w:hyperlink>
          </w:p>
          <w:p>
            <w:pPr>
              <w:spacing w:before="60" w:after="40"/>
            </w:pPr>
            <w:r>
              <w:rPr>
                <w:rFonts w:ascii="Calibri" w:hAnsi="Calibri"/>
                <w:b w:val="0"/>
                <w:i w:val="0"/>
                <w:color w:val="5A5A5A"/>
                <w:sz w:val="18"/>
              </w:rPr>
              <w:t>#female  #postmenopausal  #sexdifference  #boneloss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elderly (India)</w:t>
            </w:r>
          </w:p>
        </w:tc>
        <w:tc>
          <w:tcPr>
            <w:tcW w:type="dxa" w:w="4276"/>
            <w:vAlign w:val="top"/>
          </w:tcPr>
          <w:p>
            <w:pPr>
              <w:spacing w:after="60" w:line="259" w:lineRule="auto"/>
            </w:pPr>
            <w:r>
              <w:rPr>
                <w:rFonts w:ascii="Calibri" w:hAnsi="Calibri"/>
                <w:b w:val="0"/>
                <w:i w:val="0"/>
                <w:color w:val="212121"/>
                <w:sz w:val="19"/>
              </w:rPr>
              <w:t>In India, girdle pain and stiffness in the elderly are often attributed to 'old age', arthritis or vitamin deficiency, delaying rheumatology referral. Limited access and low awareness contribute to under-diagnosis and to missed GCA.</w:t>
            </w:r>
          </w:p>
          <w:p>
            <w:pPr>
              <w:spacing w:after="40" w:before="60" w:line="259" w:lineRule="auto"/>
            </w:pPr>
            <w:r>
              <w:rPr>
                <w:rFonts w:ascii="Calibri" w:hAnsi="Calibri"/>
                <w:b w:val="0"/>
                <w:i w:val="0"/>
                <w:color w:val="212121"/>
                <w:sz w:val="19"/>
              </w:rPr>
              <w:t>Indian data on PMR come almost entirely from tertiary-care hospital case series rather than community screening.</w:t>
            </w:r>
          </w:p>
          <w:p>
            <w:pPr>
              <w:spacing w:after="40" w:line="252" w:lineRule="auto"/>
            </w:pPr>
            <w:hyperlink r:id="rId11">
              <w:r>
                <w:rPr>
                  <w:rFonts w:ascii="Calibri" w:hAnsi="Calibri" w:cs="Calibri"/>
                  <w:sz w:val="18"/>
                  <w:color w:val="1155CC"/>
                  <w:u w:val="single"/>
                </w:rPr>
                <w:t xml:space="preserve">pubmed.ncbi.nlm.nih.gov/41913868 — GCA &amp; PMR, South India tertiary care</w:t>
              </w:r>
            </w:hyperlink>
          </w:p>
          <w:p>
            <w:pPr>
              <w:spacing w:before="60" w:after="40"/>
            </w:pPr>
            <w:r>
              <w:rPr>
                <w:rFonts w:ascii="Calibri" w:hAnsi="Calibri"/>
                <w:b w:val="0"/>
                <w:i w:val="0"/>
                <w:color w:val="5A5A5A"/>
                <w:sz w:val="18"/>
              </w:rPr>
              <w:t>#underdiagnosis  #ruralhealth  #accessgap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Northern European / Scandinavian descent</w:t>
            </w:r>
          </w:p>
        </w:tc>
        <w:tc>
          <w:tcPr>
            <w:tcW w:type="dxa" w:w="4276"/>
            <w:vAlign w:val="top"/>
          </w:tcPr>
          <w:p>
            <w:pPr>
              <w:spacing w:after="60" w:line="259" w:lineRule="auto"/>
            </w:pPr>
            <w:r>
              <w:rPr>
                <w:rFonts w:ascii="Calibri" w:hAnsi="Calibri"/>
                <w:b w:val="0"/>
                <w:i w:val="0"/>
                <w:color w:val="212121"/>
                <w:sz w:val="19"/>
              </w:rPr>
              <w:t>PMR incidence is highest in populations of Northern European and Scandinavian ancestry, mirroring the geographic distribution of predisposing HLA-DRB1*04 haplotypes.</w:t>
            </w:r>
          </w:p>
          <w:p>
            <w:pPr>
              <w:spacing w:after="40" w:before="60" w:line="259" w:lineRule="auto"/>
            </w:pPr>
            <w:r>
              <w:rPr>
                <w:rFonts w:ascii="Calibri" w:hAnsi="Calibri"/>
                <w:b w:val="0"/>
                <w:i w:val="0"/>
                <w:color w:val="212121"/>
                <w:sz w:val="19"/>
              </w:rPr>
              <w:t>PMR is most common among White people of Scandinavian or Northern European descent and is the second commonest inflammatory rheumatic disease after RA in these groups.</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#scandinavian  #northerneuropean  #HLADRB1  #ancestry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South Asian populations</w:t>
            </w:r>
          </w:p>
        </w:tc>
        <w:tc>
          <w:tcPr>
            <w:tcW w:type="dxa" w:w="4276"/>
            <w:vAlign w:val="top"/>
          </w:tcPr>
          <w:p>
            <w:pPr>
              <w:spacing w:after="60" w:line="259" w:lineRule="auto"/>
            </w:pPr>
            <w:r>
              <w:rPr>
                <w:rFonts w:ascii="Calibri" w:hAnsi="Calibri"/>
                <w:b w:val="0"/>
                <w:i w:val="0"/>
                <w:color w:val="212121"/>
                <w:sz w:val="19"/>
              </w:rPr>
              <w:t>PMR is much less common in Asian than in White populations, and Indians appear relatively protected, partly on a genetic (HLA) basis. Nonetheless it does occur and is probably under-recognised, so clinicians should not dismiss classic girdle symptoms in Indian elders.</w:t>
            </w:r>
          </w:p>
          <w:p>
            <w:pPr>
              <w:spacing w:after="40" w:before="60" w:line="259" w:lineRule="auto"/>
            </w:pPr>
            <w:r>
              <w:rPr>
                <w:rFonts w:ascii="Calibri" w:hAnsi="Calibri"/>
                <w:b w:val="0"/>
                <w:i w:val="0"/>
                <w:color w:val="212121"/>
                <w:sz w:val="19"/>
              </w:rPr>
              <w:t>PMR is much less common in Black, Asian and Hispanic populations than in White populations.</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#southasian  #Indianelderly  #underrecognised  #protectiveHLA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Latitude / season</w:t>
            </w:r>
          </w:p>
        </w:tc>
        <w:tc>
          <w:tcPr>
            <w:tcW w:type="dxa" w:w="2160"/>
            <w:vAlign w:val="top"/>
          </w:tcPr>
          <w:p>
            <w:pPr>
              <w:spacing w:after="40" w:before="0" w:line="259" w:lineRule="auto"/>
            </w:pPr>
            <w:r>
              <w:rPr>
                <w:rFonts w:ascii="Calibri" w:hAnsi="Calibri"/>
                <w:b w:val="0"/>
                <w:i w:val="0"/>
                <w:color w:val="212121"/>
                <w:sz w:val="19"/>
              </w:rPr>
              <w:t>Higher-latitude, temperate regions; seasonal onset</w:t>
            </w:r>
          </w:p>
        </w:tc>
        <w:tc>
          <w:tcPr>
            <w:tcW w:type="dxa" w:w="4276"/>
            <w:vAlign w:val="top"/>
          </w:tcPr>
          <w:p>
            <w:pPr>
              <w:spacing w:after="60" w:line="259" w:lineRule="auto"/>
            </w:pPr>
            <w:r>
              <w:rPr>
                <w:rFonts w:ascii="Calibri" w:hAnsi="Calibri"/>
                <w:b w:val="0"/>
                <w:i w:val="0"/>
                <w:color w:val="212121"/>
                <w:sz w:val="19"/>
              </w:rPr>
              <w:t>Incidence tends to be higher at higher latitudes, and clustering of onset in certain seasons supports an environmental or infectious trigger acting on a susceptible host.</w:t>
            </w:r>
          </w:p>
          <w:p>
            <w:pPr>
              <w:spacing w:after="40" w:before="60" w:line="259" w:lineRule="auto"/>
            </w:pPr>
            <w:r>
              <w:rPr>
                <w:rFonts w:ascii="Calibri" w:hAnsi="Calibri"/>
                <w:b w:val="0"/>
                <w:i w:val="0"/>
                <w:color w:val="212121"/>
                <w:sz w:val="19"/>
              </w:rPr>
              <w:t>Case clustering and seasonal onset patterns support an infectious/environmental trigger (parvovirus B19, Mycoplasma, EBV) in genetically predisposed individuals.</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#latitude  #seasonal  #infectioustrigger  #environment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former smokers</w:t>
            </w:r>
          </w:p>
        </w:tc>
        <w:tc>
          <w:tcPr>
            <w:tcW w:type="dxa" w:w="4276"/>
            <w:vAlign w:val="top"/>
          </w:tcPr>
          <w:p>
            <w:pPr>
              <w:spacing w:after="60" w:line="259" w:lineRule="auto"/>
            </w:pPr>
            <w:r>
              <w:rPr>
                <w:rFonts w:ascii="Calibri" w:hAnsi="Calibri"/>
                <w:b w:val="0"/>
                <w:i w:val="0"/>
                <w:color w:val="212121"/>
                <w:sz w:val="19"/>
              </w:rPr>
              <w:t>Smoking promotes systemic and vascular inflammation and is more consistently linked to giant cell arteritis than to PMR itself; in a PMR patient it amplifies cardiovascular and arteritic risk.</w:t>
            </w:r>
          </w:p>
          <w:p>
            <w:pPr>
              <w:spacing w:after="40" w:before="60" w:line="259" w:lineRule="auto"/>
            </w:pPr>
            <w:r>
              <w:rPr>
                <w:rFonts w:ascii="Calibri" w:hAnsi="Calibri"/>
                <w:b w:val="0"/>
                <w:i w:val="0"/>
                <w:color w:val="212121"/>
                <w:sz w:val="19"/>
              </w:rPr>
              <w:t>Evidence links smoking more strongly to GCA than to isolated PMR; regardless, it worsens the vascular risk that accompanies PMR.</w:t>
            </w:r>
          </w:p>
          <w:p>
            <w:pPr>
              <w:spacing w:before="60" w:after="40"/>
            </w:pPr>
            <w:r>
              <w:rPr>
                <w:rFonts w:ascii="Calibri" w:hAnsi="Calibri"/>
                <w:b w:val="0"/>
                <w:i w:val="0"/>
                <w:color w:val="5A5A5A"/>
                <w:sz w:val="18"/>
              </w:rPr>
              <w:t>#smoking  #vascularinflammation  #GCArisk  #cessation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There is no established causal link between alcohol and PMR onset, but heavy intake compounds glucocorticoid-induced osteoporosis and gastrointestinal bleeding risk during treatment.</w:t>
            </w:r>
          </w:p>
          <w:p>
            <w:pPr>
              <w:spacing w:after="40" w:before="60" w:line="259" w:lineRule="auto"/>
            </w:pPr>
            <w:r>
              <w:rPr>
                <w:rFonts w:ascii="Calibri" w:hAnsi="Calibri"/>
                <w:b w:val="0"/>
                <w:i w:val="0"/>
                <w:color w:val="212121"/>
                <w:sz w:val="19"/>
              </w:rPr>
              <w:t>Heavy alcohol use is not an established cause of PMR but worsens steroid-related bone loss and GI complications during therapy.</w:t>
            </w:r>
          </w:p>
          <w:p>
            <w:pPr>
              <w:spacing w:before="60" w:after="40"/>
            </w:pPr>
            <w:r>
              <w:rPr>
                <w:rFonts w:ascii="Calibri" w:hAnsi="Calibri"/>
                <w:b w:val="0"/>
                <w:i w:val="0"/>
                <w:color w:val="5A5A5A"/>
                <w:sz w:val="18"/>
              </w:rPr>
              <w:t>#alcohol  #osteoporosisrisk  #GIbleed  #steroidsafety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deconditioned elderly</w:t>
            </w:r>
          </w:p>
        </w:tc>
        <w:tc>
          <w:tcPr>
            <w:tcW w:type="dxa" w:w="4276"/>
            <w:vAlign w:val="top"/>
          </w:tcPr>
          <w:p>
            <w:pPr>
              <w:spacing w:after="60" w:line="259" w:lineRule="auto"/>
            </w:pPr>
            <w:r>
              <w:rPr>
                <w:rFonts w:ascii="Calibri" w:hAnsi="Calibri"/>
                <w:b w:val="0"/>
                <w:i w:val="0"/>
                <w:color w:val="212121"/>
                <w:sz w:val="19"/>
              </w:rPr>
              <w:t>Inactivity does not cause PMR but accelerates loss of girdle strength and bone density, worsening steroid myopathy and osteoporosis and prolonging disability once disease strikes.</w:t>
            </w:r>
          </w:p>
          <w:p>
            <w:pPr>
              <w:spacing w:after="40" w:before="60" w:line="259" w:lineRule="auto"/>
            </w:pPr>
            <w:r>
              <w:rPr>
                <w:rFonts w:ascii="Calibri" w:hAnsi="Calibri"/>
                <w:b w:val="0"/>
                <w:i w:val="0"/>
                <w:color w:val="212121"/>
                <w:sz w:val="19"/>
              </w:rPr>
              <w:t>Deconditioning compounds glucocorticoid myopathy and osteoporosis, delaying functional recovery in PMR.</w:t>
            </w:r>
          </w:p>
          <w:p>
            <w:pPr>
              <w:spacing w:before="60" w:after="40"/>
            </w:pPr>
            <w:r>
              <w:rPr>
                <w:rFonts w:ascii="Calibri" w:hAnsi="Calibri"/>
                <w:b w:val="0"/>
                <w:i w:val="0"/>
                <w:color w:val="5A5A5A"/>
                <w:sz w:val="18"/>
              </w:rPr>
              <w:t>#sedentary  #deconditioning  #steroidmyopathy  #disability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&amp; obese older adults</w:t>
            </w:r>
          </w:p>
        </w:tc>
        <w:tc>
          <w:tcPr>
            <w:tcW w:type="dxa" w:w="4276"/>
            <w:vAlign w:val="top"/>
          </w:tcPr>
          <w:p>
            <w:pPr>
              <w:spacing w:after="60" w:line="259" w:lineRule="auto"/>
            </w:pPr>
            <w:r>
              <w:rPr>
                <w:rFonts w:ascii="Calibri" w:hAnsi="Calibri"/>
                <w:b w:val="0"/>
                <w:i w:val="0"/>
                <w:color w:val="212121"/>
                <w:sz w:val="19"/>
              </w:rPr>
              <w:t>Excess adiposity is not a recognised trigger for PMR, but it magnifies the metabolic harms of prolonged glucocorticoids - weight gain, steroid-induced diabetes and hypertension - and complicates management.</w:t>
            </w:r>
          </w:p>
          <w:p>
            <w:pPr>
              <w:spacing w:after="40" w:before="60" w:line="259" w:lineRule="auto"/>
            </w:pPr>
            <w:r>
              <w:rPr>
                <w:rFonts w:ascii="Calibri" w:hAnsi="Calibri"/>
                <w:b w:val="0"/>
                <w:i w:val="0"/>
                <w:color w:val="212121"/>
                <w:sz w:val="19"/>
              </w:rPr>
              <w:t>Obesity is not a classic PMR risk factor but markedly worsens the metabolic side-effects of long-term steroid therapy.</w:t>
            </w:r>
          </w:p>
          <w:p>
            <w:pPr>
              <w:spacing w:before="60" w:after="40"/>
            </w:pPr>
            <w:r>
              <w:rPr>
                <w:rFonts w:ascii="Calibri" w:hAnsi="Calibri"/>
                <w:b w:val="0"/>
                <w:i w:val="0"/>
                <w:color w:val="5A5A5A"/>
                <w:sz w:val="18"/>
              </w:rPr>
              <w:t>#overweight  #obesity  #steroiddiabetes  #metabolicrisk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 calcium status</w:t>
            </w:r>
          </w:p>
        </w:tc>
        <w:tc>
          <w:tcPr>
            <w:tcW w:type="dxa" w:w="2160"/>
            <w:vAlign w:val="top"/>
          </w:tcPr>
          <w:p>
            <w:pPr>
              <w:spacing w:after="40" w:before="0" w:line="259" w:lineRule="auto"/>
            </w:pPr>
            <w:r>
              <w:rPr>
                <w:rFonts w:ascii="Calibri" w:hAnsi="Calibri"/>
                <w:b w:val="0"/>
                <w:i w:val="0"/>
                <w:color w:val="212121"/>
                <w:sz w:val="19"/>
              </w:rPr>
              <w:t>Vitamin-D-deficient elderly (very common in India)</w:t>
            </w:r>
          </w:p>
        </w:tc>
        <w:tc>
          <w:tcPr>
            <w:tcW w:type="dxa" w:w="4276"/>
            <w:vAlign w:val="top"/>
          </w:tcPr>
          <w:p>
            <w:pPr>
              <w:spacing w:after="60" w:line="259" w:lineRule="auto"/>
            </w:pPr>
            <w:r>
              <w:rPr>
                <w:rFonts w:ascii="Calibri" w:hAnsi="Calibri"/>
                <w:b w:val="0"/>
                <w:i w:val="0"/>
                <w:color w:val="212121"/>
                <w:sz w:val="19"/>
              </w:rPr>
              <w:t>Low vitamin D and calcium intake are highly prevalent among Indian elders due to limited sun exposure, veiling and largely vegetarian diets; this greatly raises the risk of glucocorticoid-induced osteoporosis and fractures once treatment starts.</w:t>
            </w:r>
          </w:p>
          <w:p>
            <w:pPr>
              <w:spacing w:after="40" w:before="60" w:line="259" w:lineRule="auto"/>
            </w:pPr>
            <w:r>
              <w:rPr>
                <w:rFonts w:ascii="Calibri" w:hAnsi="Calibri"/>
                <w:b w:val="0"/>
                <w:i w:val="0"/>
                <w:color w:val="212121"/>
                <w:sz w:val="19"/>
              </w:rPr>
              <w:t>Calcium and vitamin D supplementation is advised to counter steroid-related bone loss, which can reach 10-20% of bone mass in the first 6 months of therapy.</w:t>
            </w:r>
          </w:p>
          <w:p>
            <w:pPr>
              <w:spacing w:after="40" w:line="252" w:lineRule="auto"/>
            </w:pPr>
            <w:hyperlink r:id="rId12">
              <w:r>
                <w:rPr>
                  <w:rFonts w:ascii="Calibri" w:hAnsi="Calibri" w:cs="Calibri"/>
                  <w:sz w:val="18"/>
                  <w:color w:val="1155CC"/>
                  <w:u w:val="single"/>
                </w:rPr>
                <w:t xml:space="preserve">arthritis.org — polymyalgia rheumatica</w:t>
              </w:r>
            </w:hyperlink>
          </w:p>
          <w:p>
            <w:pPr>
              <w:spacing w:before="60" w:after="40"/>
            </w:pPr>
            <w:r>
              <w:rPr>
                <w:rFonts w:ascii="Calibri" w:hAnsi="Calibri"/>
                <w:b w:val="0"/>
                <w:i w:val="0"/>
                <w:color w:val="5A5A5A"/>
                <w:sz w:val="18"/>
              </w:rPr>
              <w:t>#vitaminD  #calcium  #Indiandeficiency  #bonehealth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Pro-inflammatory, low-antioxidant diets</w:t>
            </w:r>
          </w:p>
        </w:tc>
        <w:tc>
          <w:tcPr>
            <w:tcW w:type="dxa" w:w="4276"/>
            <w:vAlign w:val="top"/>
          </w:tcPr>
          <w:p>
            <w:pPr>
              <w:spacing w:after="60" w:line="259" w:lineRule="auto"/>
            </w:pPr>
            <w:r>
              <w:rPr>
                <w:rFonts w:ascii="Calibri" w:hAnsi="Calibri"/>
                <w:b w:val="0"/>
                <w:i w:val="0"/>
                <w:color w:val="212121"/>
                <w:sz w:val="19"/>
              </w:rPr>
              <w:t>Diets high in refined carbohydrate, salt and ultra-processed foods worsen the steroid-driven rise in glucose and blood pressure; an anti-inflammatory, plant-rich pattern is recommended to support overall control and cardiovascular health.</w:t>
            </w:r>
          </w:p>
          <w:p>
            <w:pPr>
              <w:spacing w:after="40" w:before="60" w:line="259" w:lineRule="auto"/>
            </w:pPr>
            <w:r>
              <w:rPr>
                <w:rFonts w:ascii="Calibri" w:hAnsi="Calibri"/>
                <w:b w:val="0"/>
                <w:i w:val="0"/>
                <w:color w:val="212121"/>
                <w:sz w:val="19"/>
              </w:rPr>
              <w:t>An anti-inflammatory diet with adequate protein, calcium and vitamin D is recommended alongside steroid therapy.</w:t>
            </w:r>
          </w:p>
          <w:p>
            <w:pPr>
              <w:spacing w:after="40" w:line="252" w:lineRule="auto"/>
            </w:pPr>
            <w:hyperlink r:id="rId12">
              <w:r>
                <w:rPr>
                  <w:rFonts w:ascii="Calibri" w:hAnsi="Calibri" w:cs="Calibri"/>
                  <w:sz w:val="18"/>
                  <w:color w:val="1155CC"/>
                  <w:u w:val="single"/>
                </w:rPr>
                <w:t xml:space="preserve">arthritis.org — polymyalgia rheumatica</w:t>
              </w:r>
            </w:hyperlink>
          </w:p>
          <w:p>
            <w:pPr>
              <w:spacing w:before="60" w:after="40"/>
            </w:pPr>
            <w:r>
              <w:rPr>
                <w:rFonts w:ascii="Calibri" w:hAnsi="Calibri"/>
                <w:b w:val="0"/>
                <w:i w:val="0"/>
                <w:color w:val="5A5A5A"/>
                <w:sz w:val="18"/>
              </w:rPr>
              <w:t>#antiinflammatory  #refinedcarbs  #saltrestriction  #cardioprotection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HLA-DRB1*04 carriers; family history of PMR/GCA</w:t>
            </w:r>
          </w:p>
        </w:tc>
        <w:tc>
          <w:tcPr>
            <w:tcW w:type="dxa" w:w="4276"/>
            <w:vAlign w:val="top"/>
          </w:tcPr>
          <w:p>
            <w:pPr>
              <w:spacing w:after="60" w:line="259" w:lineRule="auto"/>
            </w:pPr>
            <w:r>
              <w:rPr>
                <w:rFonts w:ascii="Calibri" w:hAnsi="Calibri"/>
                <w:b w:val="0"/>
                <w:i w:val="0"/>
                <w:color w:val="212121"/>
                <w:sz w:val="19"/>
              </w:rPr>
              <w:t>PMR clusters in families and is strongly associated with HLA-DRB1*04, which influences both susceptibility and the tendency to relapse; the same haplotypes underlie GCA.</w:t>
            </w:r>
          </w:p>
          <w:p>
            <w:pPr>
              <w:spacing w:after="40" w:before="60" w:line="259" w:lineRule="auto"/>
            </w:pPr>
            <w:r>
              <w:rPr>
                <w:rFonts w:ascii="Calibri" w:hAnsi="Calibri"/>
                <w:b w:val="0"/>
                <w:i w:val="0"/>
                <w:color w:val="212121"/>
                <w:sz w:val="19"/>
              </w:rPr>
              <w:t>HLA-DRB1*04 alleles are present in up to 67% of PMR cases.</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#HLADRB1  #familyhistory  #genetics  #relapserisk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Giant cell arteritis (GCA)</w:t>
            </w:r>
          </w:p>
        </w:tc>
        <w:tc>
          <w:tcPr>
            <w:tcW w:type="dxa" w:w="2160"/>
            <w:vAlign w:val="top"/>
          </w:tcPr>
          <w:p>
            <w:pPr>
              <w:spacing w:after="40" w:before="0" w:line="259" w:lineRule="auto"/>
            </w:pPr>
            <w:r>
              <w:rPr>
                <w:rFonts w:ascii="Calibri" w:hAnsi="Calibri"/>
                <w:b w:val="0"/>
                <w:i w:val="0"/>
                <w:color w:val="212121"/>
                <w:sz w:val="19"/>
              </w:rPr>
              <w:t>Patients with GCA / temporal arteritis</w:t>
            </w:r>
          </w:p>
        </w:tc>
        <w:tc>
          <w:tcPr>
            <w:tcW w:type="dxa" w:w="4276"/>
            <w:vAlign w:val="top"/>
          </w:tcPr>
          <w:p>
            <w:pPr>
              <w:spacing w:after="60" w:line="259" w:lineRule="auto"/>
            </w:pPr>
            <w:r>
              <w:rPr>
                <w:rFonts w:ascii="Calibri" w:hAnsi="Calibri"/>
                <w:b w:val="0"/>
                <w:i w:val="0"/>
                <w:color w:val="212121"/>
                <w:sz w:val="19"/>
              </w:rPr>
              <w:t>PMR and GCA are two ends of one disease spectrum with shared HLA and IL-6 biology. Around 40-50% of GCA patients have PMR, and up to 1 in 5 PMR patients develop GCA, which threatens irreversible blindness and stroke.</w:t>
            </w:r>
          </w:p>
          <w:p>
            <w:pPr>
              <w:spacing w:after="40" w:before="60" w:line="259" w:lineRule="auto"/>
            </w:pPr>
            <w:r>
              <w:rPr>
                <w:rFonts w:ascii="Calibri" w:hAnsi="Calibri"/>
                <w:b w:val="0"/>
                <w:i w:val="0"/>
                <w:color w:val="212121"/>
                <w:sz w:val="19"/>
              </w:rPr>
              <w:t>Up to ~20% of PMR patients develop GCA; PMR features are present in about 40-50% of biopsy-proven GCA.</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#GCA  #temporalarteritis  #blindnessrisk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RS3PE / peripheral synovitis</w:t>
            </w:r>
          </w:p>
        </w:tc>
        <w:tc>
          <w:tcPr>
            <w:tcW w:type="dxa" w:w="2160"/>
            <w:vAlign w:val="top"/>
          </w:tcPr>
          <w:p>
            <w:pPr>
              <w:spacing w:after="40" w:before="0" w:line="259" w:lineRule="auto"/>
            </w:pPr>
            <w:r>
              <w:rPr>
                <w:rFonts w:ascii="Calibri" w:hAnsi="Calibri"/>
                <w:b w:val="0"/>
                <w:i w:val="0"/>
                <w:color w:val="212121"/>
                <w:sz w:val="19"/>
              </w:rPr>
              <w:t>Patients with distal synovitis &amp; pitting oedema</w:t>
            </w:r>
          </w:p>
        </w:tc>
        <w:tc>
          <w:tcPr>
            <w:tcW w:type="dxa" w:w="4276"/>
            <w:vAlign w:val="top"/>
          </w:tcPr>
          <w:p>
            <w:pPr>
              <w:spacing w:after="60" w:line="259" w:lineRule="auto"/>
            </w:pPr>
            <w:r>
              <w:rPr>
                <w:rFonts w:ascii="Calibri" w:hAnsi="Calibri"/>
                <w:b w:val="0"/>
                <w:i w:val="0"/>
                <w:color w:val="212121"/>
                <w:sz w:val="19"/>
              </w:rPr>
              <w:t>About a quarter of PMR patients show peripheral features - arthritis, carpal tunnel syndrome or RS3PE (remitting seronegative symmetrical synovitis with pitting oedema) - which share the seronegative, steroid-responsive inflammatory mechanism.</w:t>
            </w:r>
          </w:p>
          <w:p>
            <w:pPr>
              <w:spacing w:after="40" w:before="60" w:line="259" w:lineRule="auto"/>
            </w:pPr>
            <w:r>
              <w:rPr>
                <w:rFonts w:ascii="Calibri" w:hAnsi="Calibri"/>
                <w:b w:val="0"/>
                <w:i w:val="0"/>
                <w:color w:val="212121"/>
                <w:sz w:val="19"/>
              </w:rPr>
              <w:t>Peripheral musculoskeletal involvement (arthritis, carpal tunnel, RS3PE, pitting oedema) is seen in about 25% of PMR patients.</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#RS3PE  #peripheralsynovitis  #carpaltunnel  #seronegative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atherosclerosis / vascular risk</w:t>
            </w:r>
          </w:p>
        </w:tc>
        <w:tc>
          <w:tcPr>
            <w:tcW w:type="dxa" w:w="4276"/>
            <w:vAlign w:val="top"/>
          </w:tcPr>
          <w:p>
            <w:pPr>
              <w:spacing w:after="60" w:line="259" w:lineRule="auto"/>
            </w:pPr>
            <w:r>
              <w:rPr>
                <w:rFonts w:ascii="Calibri" w:hAnsi="Calibri"/>
                <w:b w:val="0"/>
                <w:i w:val="0"/>
                <w:color w:val="212121"/>
                <w:sz w:val="19"/>
              </w:rPr>
              <w:t>Chronic systemic inflammation and prolonged glucocorticoids raise cardiovascular risk in PMR; subclinical atherosclerosis and endothelial dysfunction have been demonstrated even in treatment-naive patients, including in Asian cohorts.</w:t>
            </w:r>
          </w:p>
          <w:p>
            <w:pPr>
              <w:spacing w:after="40" w:before="60" w:line="259" w:lineRule="auto"/>
            </w:pPr>
            <w:r>
              <w:rPr>
                <w:rFonts w:ascii="Calibri" w:hAnsi="Calibri"/>
                <w:b w:val="0"/>
                <w:i w:val="0"/>
                <w:color w:val="212121"/>
                <w:sz w:val="19"/>
              </w:rPr>
              <w:t>Cardiovascular disease risk is increased roughly 1.15-2.70 fold in PMR.</w:t>
            </w:r>
          </w:p>
          <w:p>
            <w:pPr>
              <w:spacing w:after="40" w:line="252" w:lineRule="auto"/>
            </w:pPr>
            <w:hyperlink r:id="rId9">
              <w:r>
                <w:rPr>
                  <w:rFonts w:ascii="Calibri" w:hAnsi="Calibri" w:cs="Calibri"/>
                  <w:sz w:val="18"/>
                  <w:color w:val="1155CC"/>
                  <w:u w:val="single"/>
                </w:rPr>
                <w:t xml:space="preserve">ncbi.nlm.nih.gov — StatPearls: Polymyalgia Rheumatica</w:t>
              </w:r>
            </w:hyperlink>
          </w:p>
          <w:p>
            <w:pPr>
              <w:spacing w:before="60" w:after="40"/>
            </w:pPr>
            <w:r>
              <w:rPr>
                <w:rFonts w:ascii="Calibri" w:hAnsi="Calibri"/>
                <w:b w:val="0"/>
                <w:i w:val="0"/>
                <w:color w:val="5A5A5A"/>
                <w:sz w:val="18"/>
              </w:rPr>
              <w:t>#cardiovascular  #atherosclerosis  #endothelial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Diabetics &amp; those with metabolic syndrome</w:t>
            </w:r>
          </w:p>
        </w:tc>
        <w:tc>
          <w:tcPr>
            <w:tcW w:type="dxa" w:w="4276"/>
            <w:vAlign w:val="top"/>
          </w:tcPr>
          <w:p>
            <w:pPr>
              <w:spacing w:after="60" w:line="259" w:lineRule="auto"/>
            </w:pPr>
            <w:r>
              <w:rPr>
                <w:rFonts w:ascii="Calibri" w:hAnsi="Calibri"/>
                <w:b w:val="0"/>
                <w:i w:val="0"/>
                <w:color w:val="212121"/>
                <w:sz w:val="19"/>
              </w:rPr>
              <w:t>Pre-existing diabetes worsens with the glucose-raising effect of glucocorticoids, and steroid therapy itself frequently precipitates new-onset (steroid-induced) diabetes, complicating dosing and monitoring.</w:t>
            </w:r>
          </w:p>
          <w:p>
            <w:pPr>
              <w:spacing w:after="40" w:before="60" w:line="259" w:lineRule="auto"/>
            </w:pPr>
            <w:r>
              <w:rPr>
                <w:rFonts w:ascii="Calibri" w:hAnsi="Calibri"/>
                <w:b w:val="0"/>
                <w:i w:val="0"/>
                <w:color w:val="212121"/>
                <w:sz w:val="19"/>
              </w:rPr>
              <w:t>Glucocorticoid therapy for PMR commonly unmasks or worsens hyperglycaemia and can precipitate steroid-induced diabetes.</w:t>
            </w:r>
          </w:p>
          <w:p>
            <w:pPr>
              <w:spacing w:after="40" w:line="252" w:lineRule="auto"/>
            </w:pPr>
            <w:hyperlink r:id="rId12">
              <w:r>
                <w:rPr>
                  <w:rFonts w:ascii="Calibri" w:hAnsi="Calibri" w:cs="Calibri"/>
                  <w:sz w:val="18"/>
                  <w:color w:val="1155CC"/>
                  <w:u w:val="single"/>
                </w:rPr>
                <w:t xml:space="preserve">arthritis.org — polymyalgia rheumatica</w:t>
              </w:r>
            </w:hyperlink>
          </w:p>
          <w:p>
            <w:pPr>
              <w:spacing w:before="60" w:after="40"/>
            </w:pPr>
            <w:r>
              <w:rPr>
                <w:rFonts w:ascii="Calibri" w:hAnsi="Calibri"/>
                <w:b w:val="0"/>
                <w:i w:val="0"/>
                <w:color w:val="5A5A5A"/>
                <w:sz w:val="18"/>
              </w:rPr>
              <w:t>#diabetes  #steroidhyperglycemia  #metabolicsyndrome  #monitoring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does not cause or prevent PMR, but regular graded exercise preserves girdle strength and bone density and counters glucocorticoid myopathy and osteoporosis; deconditioning prolongs disability and falls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diet reliably prevents PMR, but adequate protein, calcium and vitamin D and an anti-inflammatory pattern are important during prolonged steroid therapy to protect bone and limit steroid-induced diabetes and hypertension.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Pain and prolonged morning stiffness disrupt sleep, and glucocorticoids commonly cause insomnia; sleep disturbance is a consequence rather than a cause of PMR.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more consistently associated with GCA than with isolated PMR, but it worsens the vascular and cardiovascular risk that accompanies PMR.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role in PMR onset, yet heavy intake aggravates glucocorticoid-induced osteoporosis and gastrointestinal bleeding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low mood are part of the systemic syndrome and a recognised glucocorticoid side-effect; chronic pain and disability further impair mental health, warranting active screening.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to PMR; adequate hydration supports general wellbeing and renal handling of drugs during treatment. Evidence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association with PMR risk; excess caffeine may worsen steroid-related insomnia and promote urinary calcium loss, of minor relevance to bone health.</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Glucocorticoids are immunosuppressive; good personal hygiene, oral care and vaccination reduce the infection risk that accompanies steroid therapy.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Seasonal clustering and infectious triggers (parvovirus B19, Mycoplasma pneumoniae, EBV) and occasionally vaccination may precipitate PMR in genetically predisposed older adults.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Older adults with/at risk of PMR</w:t>
            </w:r>
          </w:p>
        </w:tc>
        <w:tc>
          <w:tcPr>
            <w:tcW w:type="dxa" w:w="1512"/>
            <w:vAlign w:val="top"/>
          </w:tcPr>
          <w:p>
            <w:pPr>
              <w:spacing w:after="40" w:before="0" w:line="259" w:lineRule="auto"/>
            </w:pPr>
            <w:r>
              <w:rPr>
                <w:rFonts w:ascii="Calibri" w:hAnsi="Calibri"/>
                <w:b w:val="0"/>
                <w:i w:val="0"/>
                <w:color w:val="212121"/>
                <w:sz w:val="19"/>
              </w:rPr>
              <w:t>&gt;=150 min/week</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40" w:before="0" w:line="259" w:lineRule="auto"/>
            </w:pPr>
            <w:r>
              <w:rPr>
                <w:rFonts w:ascii="Calibri" w:hAnsi="Calibri"/>
                <w:b w:val="0"/>
                <w:i w:val="0"/>
                <w:color w:val="212121"/>
                <w:sz w:val="19"/>
              </w:rPr>
              <w:t>Maintains girdle function and bone; counters steroid myopathy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Indian adults on steroids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&gt;=23 kg/m2 (overweight); &gt;=25 obese</w:t>
            </w:r>
          </w:p>
        </w:tc>
        <w:tc>
          <w:tcPr>
            <w:tcW w:type="dxa" w:w="1468"/>
            <w:vAlign w:val="top"/>
          </w:tcPr>
          <w:p>
            <w:pPr>
              <w:spacing w:after="40" w:before="0" w:line="259" w:lineRule="auto"/>
            </w:pPr>
            <w:r>
              <w:rPr>
                <w:rFonts w:ascii="Calibri" w:hAnsi="Calibri"/>
                <w:b w:val="0"/>
                <w:i w:val="0"/>
                <w:color w:val="212121"/>
                <w:sz w:val="19"/>
              </w:rPr>
              <w:t>Higher BMI amplifies steroid-induced diabetes and hypertension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mineral density (T-score)</w:t>
            </w:r>
          </w:p>
        </w:tc>
        <w:tc>
          <w:tcPr>
            <w:tcW w:type="dxa" w:w="1655"/>
            <w:vAlign w:val="top"/>
          </w:tcPr>
          <w:p>
            <w:pPr>
              <w:spacing w:after="40" w:before="0" w:line="259" w:lineRule="auto"/>
            </w:pPr>
            <w:r>
              <w:rPr>
                <w:rFonts w:ascii="Calibri" w:hAnsi="Calibri"/>
                <w:b w:val="0"/>
                <w:i w:val="0"/>
                <w:color w:val="212121"/>
                <w:sz w:val="19"/>
              </w:rPr>
              <w:t>Steroid-treated PMR patients</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&lt;= -2.5 (osteoporosis)</w:t>
            </w:r>
          </w:p>
        </w:tc>
        <w:tc>
          <w:tcPr>
            <w:tcW w:type="dxa" w:w="1468"/>
            <w:vAlign w:val="top"/>
          </w:tcPr>
          <w:p>
            <w:pPr>
              <w:spacing w:after="60" w:line="259" w:lineRule="auto"/>
            </w:pPr>
            <w:r>
              <w:rPr>
                <w:rFonts w:ascii="Calibri" w:hAnsi="Calibri"/>
                <w:b w:val="0"/>
                <w:i w:val="0"/>
                <w:color w:val="212121"/>
                <w:sz w:val="19"/>
              </w:rPr>
              <w:t>Baseline DXA advised; steroids can cause 10-20% bone loss in first 6 months</w:t>
            </w:r>
          </w:p>
          <w:p>
            <w:pPr>
              <w:spacing w:after="40" w:line="252" w:lineRule="auto"/>
            </w:pPr>
            <w:hyperlink r:id="rId12">
              <w:r>
                <w:rPr>
                  <w:rFonts w:ascii="Calibri" w:hAnsi="Calibri" w:cs="Calibri"/>
                  <w:sz w:val="18"/>
                  <w:color w:val="1155CC"/>
                  <w:u w:val="single"/>
                </w:rPr>
                <w:t xml:space="preserve">https://www.arthritis.org/diseases/polymyalgia-rheumatica</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Indian elderly (high deficiency)</w:t>
            </w:r>
          </w:p>
        </w:tc>
        <w:tc>
          <w:tcPr>
            <w:tcW w:type="dxa" w:w="1512"/>
            <w:vAlign w:val="top"/>
          </w:tcPr>
          <w:p>
            <w:pPr>
              <w:spacing w:after="40" w:before="0" w:line="259" w:lineRule="auto"/>
            </w:pPr>
            <w:r>
              <w:rPr>
                <w:rFonts w:ascii="Calibri" w:hAnsi="Calibri"/>
                <w:b w:val="0"/>
                <w:i w:val="0"/>
                <w:color w:val="212121"/>
                <w:sz w:val="19"/>
              </w:rPr>
              <w:t>&gt;=30 ng/mL</w:t>
            </w:r>
          </w:p>
        </w:tc>
        <w:tc>
          <w:tcPr>
            <w:tcW w:type="dxa" w:w="1512"/>
            <w:vAlign w:val="top"/>
          </w:tcPr>
          <w:p>
            <w:pPr>
              <w:spacing w:after="40" w:before="0" w:line="259" w:lineRule="auto"/>
            </w:pPr>
            <w:r>
              <w:rPr>
                <w:rFonts w:ascii="Calibri" w:hAnsi="Calibri"/>
                <w:b w:val="0"/>
                <w:i w:val="0"/>
                <w:color w:val="212121"/>
                <w:sz w:val="19"/>
              </w:rPr>
              <w:t>&lt;20 ng/mL (deficient)</w:t>
            </w:r>
          </w:p>
        </w:tc>
        <w:tc>
          <w:tcPr>
            <w:tcW w:type="dxa" w:w="1468"/>
            <w:vAlign w:val="top"/>
          </w:tcPr>
          <w:p>
            <w:pPr>
              <w:spacing w:after="40" w:before="0" w:line="259" w:lineRule="auto"/>
            </w:pPr>
            <w:r>
              <w:rPr>
                <w:rFonts w:ascii="Calibri" w:hAnsi="Calibri"/>
                <w:b w:val="0"/>
                <w:i w:val="0"/>
                <w:color w:val="212121"/>
                <w:sz w:val="19"/>
              </w:rPr>
              <w:t>Correct before/with steroids to protect bone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calcium intake</w:t>
            </w:r>
          </w:p>
        </w:tc>
        <w:tc>
          <w:tcPr>
            <w:tcW w:type="dxa" w:w="1655"/>
            <w:vAlign w:val="top"/>
          </w:tcPr>
          <w:p>
            <w:pPr>
              <w:spacing w:after="40" w:before="0" w:line="259" w:lineRule="auto"/>
            </w:pPr>
            <w:r>
              <w:rPr>
                <w:rFonts w:ascii="Calibri" w:hAnsi="Calibri"/>
                <w:b w:val="0"/>
                <w:i w:val="0"/>
                <w:color w:val="212121"/>
                <w:sz w:val="19"/>
              </w:rPr>
              <w:t>Postmenopausal women, elderly</w:t>
            </w:r>
          </w:p>
        </w:tc>
        <w:tc>
          <w:tcPr>
            <w:tcW w:type="dxa" w:w="1512"/>
            <w:vAlign w:val="top"/>
          </w:tcPr>
          <w:p>
            <w:pPr>
              <w:spacing w:after="40" w:before="0" w:line="259" w:lineRule="auto"/>
            </w:pPr>
            <w:r>
              <w:rPr>
                <w:rFonts w:ascii="Calibri" w:hAnsi="Calibri"/>
                <w:b w:val="0"/>
                <w:i w:val="0"/>
                <w:color w:val="212121"/>
                <w:sz w:val="19"/>
              </w:rPr>
              <w:t>1000-1200 mg/day</w:t>
            </w:r>
          </w:p>
        </w:tc>
        <w:tc>
          <w:tcPr>
            <w:tcW w:type="dxa" w:w="1512"/>
            <w:vAlign w:val="top"/>
          </w:tcPr>
          <w:p>
            <w:pPr>
              <w:spacing w:after="40" w:before="0" w:line="259" w:lineRule="auto"/>
            </w:pPr>
            <w:r>
              <w:rPr>
                <w:rFonts w:ascii="Calibri" w:hAnsi="Calibri"/>
                <w:b w:val="0"/>
                <w:i w:val="0"/>
                <w:color w:val="212121"/>
                <w:sz w:val="19"/>
              </w:rPr>
              <w:t>&lt;800 mg/day</w:t>
            </w:r>
          </w:p>
        </w:tc>
        <w:tc>
          <w:tcPr>
            <w:tcW w:type="dxa" w:w="1468"/>
            <w:vAlign w:val="top"/>
          </w:tcPr>
          <w:p>
            <w:pPr>
              <w:spacing w:after="60" w:line="259" w:lineRule="auto"/>
            </w:pPr>
            <w:r>
              <w:rPr>
                <w:rFonts w:ascii="Calibri" w:hAnsi="Calibri"/>
                <w:b w:val="0"/>
                <w:i w:val="0"/>
                <w:color w:val="212121"/>
                <w:sz w:val="19"/>
              </w:rPr>
              <w:t>Supplement to offset glucocorticoid bone loss</w:t>
            </w:r>
          </w:p>
          <w:p>
            <w:pPr>
              <w:spacing w:after="40" w:line="252" w:lineRule="auto"/>
            </w:pPr>
            <w:hyperlink r:id="rId12">
              <w:r>
                <w:rPr>
                  <w:rFonts w:ascii="Calibri" w:hAnsi="Calibri" w:cs="Calibri"/>
                  <w:sz w:val="18"/>
                  <w:color w:val="1155CC"/>
                  <w:u w:val="single"/>
                </w:rPr>
                <w:t xml:space="preserve">https://www.arthritis.org/diseases/polymyalgia-rheumatica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w:t>
            </w:r>
          </w:p>
        </w:tc>
        <w:tc>
          <w:tcPr>
            <w:tcW w:type="dxa" w:w="1655"/>
            <w:vAlign w:val="top"/>
          </w:tcPr>
          <w:p>
            <w:pPr>
              <w:spacing w:after="40" w:before="0" w:line="259" w:lineRule="auto"/>
            </w:pPr>
            <w:r>
              <w:rPr>
                <w:rFonts w:ascii="Calibri" w:hAnsi="Calibri"/>
                <w:b w:val="0"/>
                <w:i w:val="0"/>
                <w:color w:val="212121"/>
                <w:sz w:val="19"/>
              </w:rPr>
              <w:t>Patients on glucocorticoids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&gt;=126 mg/dL</w:t>
            </w:r>
          </w:p>
        </w:tc>
        <w:tc>
          <w:tcPr>
            <w:tcW w:type="dxa" w:w="1468"/>
            <w:vAlign w:val="top"/>
          </w:tcPr>
          <w:p>
            <w:pPr>
              <w:spacing w:after="40" w:before="0" w:line="259" w:lineRule="auto"/>
            </w:pPr>
            <w:r>
              <w:rPr>
                <w:rFonts w:ascii="Calibri" w:hAnsi="Calibri"/>
                <w:b w:val="0"/>
                <w:i w:val="0"/>
                <w:color w:val="212121"/>
                <w:sz w:val="19"/>
              </w:rPr>
              <w:t>Screen for steroid-induced diabetes during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w:t>
            </w:r>
          </w:p>
        </w:tc>
        <w:tc>
          <w:tcPr>
            <w:tcW w:type="dxa" w:w="1655"/>
            <w:vAlign w:val="top"/>
          </w:tcPr>
          <w:p>
            <w:pPr>
              <w:spacing w:after="40" w:before="0" w:line="259" w:lineRule="auto"/>
            </w:pPr>
            <w:r>
              <w:rPr>
                <w:rFonts w:ascii="Calibri" w:hAnsi="Calibri"/>
                <w:b w:val="0"/>
                <w:i w:val="0"/>
                <w:color w:val="212121"/>
                <w:sz w:val="19"/>
              </w:rPr>
              <w:t>Diabetic / at-risk PMR patients on steroids</w:t>
            </w:r>
          </w:p>
        </w:tc>
        <w:tc>
          <w:tcPr>
            <w:tcW w:type="dxa" w:w="1512"/>
            <w:vAlign w:val="top"/>
          </w:tcPr>
          <w:p>
            <w:pPr>
              <w:spacing w:after="40" w:before="0" w:line="259" w:lineRule="auto"/>
            </w:pPr>
            <w:r>
              <w:rPr>
                <w:rFonts w:ascii="Calibri" w:hAnsi="Calibri"/>
                <w:b w:val="0"/>
                <w:i w:val="0"/>
                <w:color w:val="212121"/>
                <w:sz w:val="19"/>
              </w:rPr>
              <w:t>&lt;5.7%</w:t>
            </w:r>
          </w:p>
        </w:tc>
        <w:tc>
          <w:tcPr>
            <w:tcW w:type="dxa" w:w="1512"/>
            <w:vAlign w:val="top"/>
          </w:tcPr>
          <w:p>
            <w:pPr>
              <w:spacing w:after="40" w:before="0" w:line="259" w:lineRule="auto"/>
            </w:pPr>
            <w:r>
              <w:rPr>
                <w:rFonts w:ascii="Calibri" w:hAnsi="Calibri"/>
                <w:b w:val="0"/>
                <w:i w:val="0"/>
                <w:color w:val="212121"/>
                <w:sz w:val="19"/>
              </w:rPr>
              <w:t>&gt;=6.5%</w:t>
            </w:r>
          </w:p>
        </w:tc>
        <w:tc>
          <w:tcPr>
            <w:tcW w:type="dxa" w:w="1468"/>
            <w:vAlign w:val="top"/>
          </w:tcPr>
          <w:p>
            <w:pPr>
              <w:spacing w:after="40" w:before="0" w:line="259" w:lineRule="auto"/>
            </w:pPr>
            <w:r>
              <w:rPr>
                <w:rFonts w:ascii="Calibri" w:hAnsi="Calibri"/>
                <w:b w:val="0"/>
                <w:i w:val="0"/>
                <w:color w:val="212121"/>
                <w:sz w:val="19"/>
              </w:rPr>
              <w:t>Monitor 3-monthly on higher steroid doses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Blood pressure</w:t>
            </w:r>
          </w:p>
        </w:tc>
        <w:tc>
          <w:tcPr>
            <w:tcW w:type="dxa" w:w="1655"/>
            <w:vAlign w:val="top"/>
          </w:tcPr>
          <w:p>
            <w:pPr>
              <w:spacing w:after="40" w:before="0" w:line="259" w:lineRule="auto"/>
            </w:pPr>
            <w:r>
              <w:rPr>
                <w:rFonts w:ascii="Calibri" w:hAnsi="Calibri"/>
                <w:b w:val="0"/>
                <w:i w:val="0"/>
                <w:color w:val="212121"/>
                <w:sz w:val="19"/>
              </w:rPr>
              <w:t>Elderly on glucocorticoids</w:t>
            </w:r>
          </w:p>
        </w:tc>
        <w:tc>
          <w:tcPr>
            <w:tcW w:type="dxa" w:w="1512"/>
            <w:vAlign w:val="top"/>
          </w:tcPr>
          <w:p>
            <w:pPr>
              <w:spacing w:after="40" w:before="0" w:line="259" w:lineRule="auto"/>
            </w:pPr>
            <w:r>
              <w:rPr>
                <w:rFonts w:ascii="Calibri" w:hAnsi="Calibri"/>
                <w:b w:val="0"/>
                <w:i w:val="0"/>
                <w:color w:val="212121"/>
                <w:sz w:val="19"/>
              </w:rPr>
              <w:t>&lt;130/80 mmHg</w:t>
            </w:r>
          </w:p>
        </w:tc>
        <w:tc>
          <w:tcPr>
            <w:tcW w:type="dxa" w:w="1512"/>
            <w:vAlign w:val="top"/>
          </w:tcPr>
          <w:p>
            <w:pPr>
              <w:spacing w:after="40" w:before="0" w:line="259" w:lineRule="auto"/>
            </w:pPr>
            <w:r>
              <w:rPr>
                <w:rFonts w:ascii="Calibri" w:hAnsi="Calibri"/>
                <w:b w:val="0"/>
                <w:i w:val="0"/>
                <w:color w:val="212121"/>
                <w:sz w:val="19"/>
              </w:rPr>
              <w:t>&gt;=140/90 mmHg</w:t>
            </w:r>
          </w:p>
        </w:tc>
        <w:tc>
          <w:tcPr>
            <w:tcW w:type="dxa" w:w="1468"/>
            <w:vAlign w:val="top"/>
          </w:tcPr>
          <w:p>
            <w:pPr>
              <w:spacing w:after="40" w:before="0" w:line="259" w:lineRule="auto"/>
            </w:pPr>
            <w:r>
              <w:rPr>
                <w:rFonts w:ascii="Calibri" w:hAnsi="Calibri"/>
                <w:b w:val="0"/>
                <w:i w:val="0"/>
                <w:color w:val="212121"/>
                <w:sz w:val="19"/>
              </w:rPr>
              <w:t>Steroids and salt retention raise BP; monitor regularly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with active PMR / on steroids</w:t>
            </w:r>
          </w:p>
        </w:tc>
        <w:tc>
          <w:tcPr>
            <w:tcW w:type="dxa" w:w="1512"/>
            <w:vAlign w:val="top"/>
          </w:tcPr>
          <w:p>
            <w:pPr>
              <w:spacing w:after="40" w:before="0" w:line="259" w:lineRule="auto"/>
            </w:pPr>
            <w:r>
              <w:rPr>
                <w:rFonts w:ascii="Calibri" w:hAnsi="Calibri"/>
                <w:b w:val="0"/>
                <w:i w:val="0"/>
                <w:color w:val="212121"/>
                <w:sz w:val="19"/>
              </w:rPr>
              <w:t>7-8 hours/night</w:t>
            </w:r>
          </w:p>
        </w:tc>
        <w:tc>
          <w:tcPr>
            <w:tcW w:type="dxa" w:w="1512"/>
            <w:vAlign w:val="top"/>
          </w:tcPr>
          <w:p>
            <w:pPr>
              <w:spacing w:after="40" w:before="0" w:line="259" w:lineRule="auto"/>
            </w:pPr>
            <w:r>
              <w:rPr>
                <w:rFonts w:ascii="Calibri" w:hAnsi="Calibri"/>
                <w:b w:val="0"/>
                <w:i w:val="0"/>
                <w:color w:val="212121"/>
                <w:sz w:val="19"/>
              </w:rPr>
              <w:t>&lt;6 hours/night</w:t>
            </w:r>
          </w:p>
        </w:tc>
        <w:tc>
          <w:tcPr>
            <w:tcW w:type="dxa" w:w="1468"/>
            <w:vAlign w:val="top"/>
          </w:tcPr>
          <w:p>
            <w:pPr>
              <w:spacing w:after="40" w:before="0" w:line="259" w:lineRule="auto"/>
            </w:pPr>
            <w:r>
              <w:rPr>
                <w:rFonts w:ascii="Calibri" w:hAnsi="Calibri"/>
                <w:b w:val="0"/>
                <w:i w:val="0"/>
                <w:color w:val="212121"/>
                <w:sz w:val="19"/>
              </w:rPr>
              <w:t>Pain and steroid insomnia fragment sleep; dose steroids in the morning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&gt;=1 cigarette/day</w:t>
            </w:r>
          </w:p>
        </w:tc>
        <w:tc>
          <w:tcPr>
            <w:tcW w:type="dxa" w:w="1468"/>
            <w:vAlign w:val="top"/>
          </w:tcPr>
          <w:p>
            <w:pPr>
              <w:spacing w:after="40" w:before="0" w:line="259" w:lineRule="auto"/>
            </w:pPr>
            <w:r>
              <w:rPr>
                <w:rFonts w:ascii="Calibri" w:hAnsi="Calibri"/>
                <w:b w:val="0"/>
                <w:i w:val="0"/>
                <w:color w:val="212121"/>
                <w:sz w:val="19"/>
              </w:rPr>
              <w:t>Cessation lowers vascular and GCA-related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Elderly on steroids</w:t>
            </w:r>
          </w:p>
        </w:tc>
        <w:tc>
          <w:tcPr>
            <w:tcW w:type="dxa" w:w="1512"/>
            <w:vAlign w:val="top"/>
          </w:tcPr>
          <w:p>
            <w:pPr>
              <w:spacing w:after="40" w:before="0" w:line="259" w:lineRule="auto"/>
            </w:pPr>
            <w:r>
              <w:rPr>
                <w:rFonts w:ascii="Calibri" w:hAnsi="Calibri"/>
                <w:b w:val="0"/>
                <w:i w:val="0"/>
                <w:color w:val="212121"/>
                <w:sz w:val="19"/>
              </w:rPr>
              <w:t>&lt;=7 units/week</w:t>
            </w:r>
          </w:p>
        </w:tc>
        <w:tc>
          <w:tcPr>
            <w:tcW w:type="dxa" w:w="1512"/>
            <w:vAlign w:val="top"/>
          </w:tcPr>
          <w:p>
            <w:pPr>
              <w:spacing w:after="40" w:before="0" w:line="259" w:lineRule="auto"/>
            </w:pPr>
            <w:r>
              <w:rPr>
                <w:rFonts w:ascii="Calibri" w:hAnsi="Calibri"/>
                <w:b w:val="0"/>
                <w:i w:val="0"/>
                <w:color w:val="212121"/>
                <w:sz w:val="19"/>
              </w:rPr>
              <w:t>&gt;7 units/week</w:t>
            </w:r>
          </w:p>
        </w:tc>
        <w:tc>
          <w:tcPr>
            <w:tcW w:type="dxa" w:w="1468"/>
            <w:vAlign w:val="top"/>
          </w:tcPr>
          <w:p>
            <w:pPr>
              <w:spacing w:after="40" w:before="0" w:line="259" w:lineRule="auto"/>
            </w:pPr>
            <w:r>
              <w:rPr>
                <w:rFonts w:ascii="Calibri" w:hAnsi="Calibri"/>
                <w:b w:val="0"/>
                <w:i w:val="0"/>
                <w:color w:val="212121"/>
                <w:sz w:val="19"/>
              </w:rPr>
              <w:t>Excess worsens osteoporosis and GI bleeding risk</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Erythrocyte Sedimentation Rate (ESR)</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Age-adjusted (approx &lt;(age/2) men; &lt;(age+10)/2 women)</w:t>
            </w:r>
          </w:p>
        </w:tc>
        <w:tc>
          <w:tcPr>
            <w:tcW w:type="dxa" w:w="950"/>
            <w:vAlign w:val="top"/>
          </w:tcPr>
          <w:p>
            <w:pPr>
              <w:spacing w:after="40" w:before="0" w:line="259" w:lineRule="auto"/>
            </w:pPr>
            <w:r>
              <w:rPr>
                <w:rFonts w:ascii="Calibri" w:hAnsi="Calibri"/>
                <w:b w:val="0"/>
                <w:i w:val="0"/>
                <w:color w:val="212121"/>
                <w:sz w:val="16"/>
              </w:rPr>
              <w:t>&gt;40 mm/h (often much higher)</w:t>
            </w:r>
          </w:p>
        </w:tc>
        <w:tc>
          <w:tcPr>
            <w:tcW w:type="dxa" w:w="1036"/>
            <w:vAlign w:val="top"/>
          </w:tcPr>
          <w:p>
            <w:pPr>
              <w:spacing w:after="40" w:before="0" w:line="259" w:lineRule="auto"/>
            </w:pPr>
            <w:r>
              <w:rPr>
                <w:rFonts w:ascii="Calibri" w:hAnsi="Calibri"/>
                <w:b w:val="0"/>
                <w:i w:val="0"/>
                <w:color w:val="212121"/>
                <w:sz w:val="16"/>
              </w:rPr>
              <w:t>Entry criterion and activity/relapse marker; 5-20% present with ESR &lt;40 mm/h</w:t>
            </w:r>
          </w:p>
        </w:tc>
        <w:tc>
          <w:tcPr>
            <w:tcW w:type="dxa" w:w="1036"/>
            <w:vAlign w:val="top"/>
          </w:tcPr>
          <w:p>
            <w:pPr>
              <w:spacing w:after="40" w:before="0" w:line="259" w:lineRule="auto"/>
            </w:pPr>
            <w:r>
              <w:rPr>
                <w:rFonts w:ascii="Calibri" w:hAnsi="Calibri"/>
                <w:b w:val="0"/>
                <w:i w:val="0"/>
                <w:color w:val="212121"/>
                <w:sz w:val="16"/>
              </w:rPr>
              <w:t>Elderly with girdle pain, suspected PMR/GCA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20% may exceed 104 mm/h;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&lt;5 mg/L</w:t>
            </w:r>
          </w:p>
        </w:tc>
        <w:tc>
          <w:tcPr>
            <w:tcW w:type="dxa" w:w="950"/>
            <w:vAlign w:val="top"/>
          </w:tcPr>
          <w:p>
            <w:pPr>
              <w:spacing w:after="40" w:before="0" w:line="259" w:lineRule="auto"/>
            </w:pPr>
            <w:r>
              <w:rPr>
                <w:rFonts w:ascii="Calibri" w:hAnsi="Calibri"/>
                <w:b w:val="0"/>
                <w:i w:val="0"/>
                <w:color w:val="212121"/>
                <w:sz w:val="16"/>
              </w:rPr>
              <w:t>&gt;10 mg/L</w:t>
            </w:r>
          </w:p>
        </w:tc>
        <w:tc>
          <w:tcPr>
            <w:tcW w:type="dxa" w:w="1036"/>
            <w:vAlign w:val="top"/>
          </w:tcPr>
          <w:p>
            <w:pPr>
              <w:spacing w:after="40" w:before="0" w:line="259" w:lineRule="auto"/>
            </w:pPr>
            <w:r>
              <w:rPr>
                <w:rFonts w:ascii="Calibri" w:hAnsi="Calibri"/>
                <w:b w:val="0"/>
                <w:i w:val="0"/>
                <w:color w:val="212121"/>
                <w:sz w:val="16"/>
              </w:rPr>
              <w:t>More sensitive than ESR for detecting relapse</w:t>
            </w:r>
          </w:p>
        </w:tc>
        <w:tc>
          <w:tcPr>
            <w:tcW w:type="dxa" w:w="1036"/>
            <w:vAlign w:val="top"/>
          </w:tcPr>
          <w:p>
            <w:pPr>
              <w:spacing w:after="40" w:before="0" w:line="259" w:lineRule="auto"/>
            </w:pPr>
            <w:r>
              <w:rPr>
                <w:rFonts w:ascii="Calibri" w:hAnsi="Calibri"/>
                <w:b w:val="0"/>
                <w:i w:val="0"/>
                <w:color w:val="212121"/>
                <w:sz w:val="16"/>
              </w:rPr>
              <w:t>Suspected PMR, relapse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May be raised when ESR is borderline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Normal Hb &amp; platelets</w:t>
            </w:r>
          </w:p>
        </w:tc>
        <w:tc>
          <w:tcPr>
            <w:tcW w:type="dxa" w:w="950"/>
            <w:vAlign w:val="top"/>
          </w:tcPr>
          <w:p>
            <w:pPr>
              <w:spacing w:after="40" w:before="0" w:line="259" w:lineRule="auto"/>
            </w:pPr>
            <w:r>
              <w:rPr>
                <w:rFonts w:ascii="Calibri" w:hAnsi="Calibri"/>
                <w:b w:val="0"/>
                <w:i w:val="0"/>
                <w:color w:val="212121"/>
                <w:sz w:val="16"/>
              </w:rPr>
              <w:t>Normocytic anaemia; thrombocytosis</w:t>
            </w:r>
          </w:p>
        </w:tc>
        <w:tc>
          <w:tcPr>
            <w:tcW w:type="dxa" w:w="1036"/>
            <w:vAlign w:val="top"/>
          </w:tcPr>
          <w:p>
            <w:pPr>
              <w:spacing w:after="40" w:before="0" w:line="259" w:lineRule="auto"/>
            </w:pPr>
            <w:r>
              <w:rPr>
                <w:rFonts w:ascii="Calibri" w:hAnsi="Calibri"/>
                <w:b w:val="0"/>
                <w:i w:val="0"/>
                <w:color w:val="212121"/>
                <w:sz w:val="16"/>
              </w:rPr>
              <w:t>Reflects chronic inflammation</w:t>
            </w:r>
          </w:p>
        </w:tc>
        <w:tc>
          <w:tcPr>
            <w:tcW w:type="dxa" w:w="1036"/>
            <w:vAlign w:val="top"/>
          </w:tcPr>
          <w:p>
            <w:pPr>
              <w:spacing w:after="40" w:before="0" w:line="259" w:lineRule="auto"/>
            </w:pPr>
            <w:r>
              <w:rPr>
                <w:rFonts w:ascii="Calibri" w:hAnsi="Calibri"/>
                <w:b w:val="0"/>
                <w:i w:val="0"/>
                <w:color w:val="212121"/>
                <w:sz w:val="16"/>
              </w:rPr>
              <w:t>Patients with systemic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of chronic disease; helps exclude other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Rheumatoid Factor &amp; Anti-CCP</w:t>
            </w:r>
          </w:p>
        </w:tc>
        <w:tc>
          <w:tcPr>
            <w:tcW w:type="dxa" w:w="892"/>
            <w:vAlign w:val="top"/>
          </w:tcPr>
          <w:p>
            <w:pPr>
              <w:spacing w:after="40" w:before="0" w:line="259" w:lineRule="auto"/>
            </w:pPr>
            <w:r>
              <w:rPr>
                <w:rFonts w:ascii="Calibri" w:hAnsi="Calibri"/>
                <w:b w:val="0"/>
                <w:i w:val="0"/>
                <w:color w:val="212121"/>
                <w:sz w:val="16"/>
              </w:rPr>
              <w:t>Autoantibodies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suggests rheumatoid arthritis</w:t>
            </w:r>
          </w:p>
        </w:tc>
        <w:tc>
          <w:tcPr>
            <w:tcW w:type="dxa" w:w="1036"/>
            <w:vAlign w:val="top"/>
          </w:tcPr>
          <w:p>
            <w:pPr>
              <w:spacing w:after="40" w:before="0" w:line="259" w:lineRule="auto"/>
            </w:pPr>
            <w:r>
              <w:rPr>
                <w:rFonts w:ascii="Calibri" w:hAnsi="Calibri"/>
                <w:b w:val="0"/>
                <w:i w:val="0"/>
                <w:color w:val="212121"/>
                <w:sz w:val="16"/>
              </w:rPr>
              <w:t>Negativity scores in EULAR/ACR criteria and helps exclude elderly-onset RA</w:t>
            </w:r>
          </w:p>
        </w:tc>
        <w:tc>
          <w:tcPr>
            <w:tcW w:type="dxa" w:w="1036"/>
            <w:vAlign w:val="top"/>
          </w:tcPr>
          <w:p>
            <w:pPr>
              <w:spacing w:after="40" w:before="0" w:line="259" w:lineRule="auto"/>
            </w:pPr>
            <w:r>
              <w:rPr>
                <w:rFonts w:ascii="Calibri" w:hAnsi="Calibri"/>
                <w:b w:val="0"/>
                <w:i w:val="0"/>
                <w:color w:val="212121"/>
                <w:sz w:val="16"/>
              </w:rPr>
              <w:t>Older adults with polyarticular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Low-titre RF can occur with 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Creatine Kinase (CK)</w:t>
            </w:r>
          </w:p>
        </w:tc>
        <w:tc>
          <w:tcPr>
            <w:tcW w:type="dxa" w:w="892"/>
            <w:vAlign w:val="top"/>
          </w:tcPr>
          <w:p>
            <w:pPr>
              <w:spacing w:after="40" w:before="0" w:line="259" w:lineRule="auto"/>
            </w:pPr>
            <w:r>
              <w:rPr>
                <w:rFonts w:ascii="Calibri" w:hAnsi="Calibri"/>
                <w:b w:val="0"/>
                <w:i w:val="0"/>
                <w:color w:val="212121"/>
                <w:sz w:val="16"/>
              </w:rPr>
              <w:t>Muscle enzyme</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Normal in PMR (raised suggests myositis)</w:t>
            </w:r>
          </w:p>
        </w:tc>
        <w:tc>
          <w:tcPr>
            <w:tcW w:type="dxa" w:w="1036"/>
            <w:vAlign w:val="top"/>
          </w:tcPr>
          <w:p>
            <w:pPr>
              <w:spacing w:after="40" w:before="0" w:line="259" w:lineRule="auto"/>
            </w:pPr>
            <w:r>
              <w:rPr>
                <w:rFonts w:ascii="Calibri" w:hAnsi="Calibri"/>
                <w:b w:val="0"/>
                <w:i w:val="0"/>
                <w:color w:val="212121"/>
                <w:sz w:val="16"/>
              </w:rPr>
              <w:t>Distinguishes PMR stiffness from inflammatory myopathy or statin myopathy</w:t>
            </w:r>
          </w:p>
        </w:tc>
        <w:tc>
          <w:tcPr>
            <w:tcW w:type="dxa" w:w="1036"/>
            <w:vAlign w:val="top"/>
          </w:tcPr>
          <w:p>
            <w:pPr>
              <w:spacing w:after="40" w:before="0" w:line="259" w:lineRule="auto"/>
            </w:pPr>
            <w:r>
              <w:rPr>
                <w:rFonts w:ascii="Calibri" w:hAnsi="Calibri"/>
                <w:b w:val="0"/>
                <w:i w:val="0"/>
                <w:color w:val="212121"/>
                <w:sz w:val="16"/>
              </w:rPr>
              <w:t>Patients with proximal 'weakness'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PMR causes pain-limited, not true, weakness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Shoulder / hip ultrasound</w:t>
            </w:r>
          </w:p>
        </w:tc>
        <w:tc>
          <w:tcPr>
            <w:tcW w:type="dxa" w:w="892"/>
            <w:vAlign w:val="top"/>
          </w:tcPr>
          <w:p>
            <w:pPr>
              <w:spacing w:after="40" w:before="0" w:line="259" w:lineRule="auto"/>
            </w:pPr>
            <w:r>
              <w:rPr>
                <w:rFonts w:ascii="Calibri" w:hAnsi="Calibri"/>
                <w:b w:val="0"/>
                <w:i w:val="0"/>
                <w:color w:val="212121"/>
                <w:sz w:val="16"/>
              </w:rPr>
              <w:t>Musculoskeletal USG</w:t>
            </w:r>
          </w:p>
        </w:tc>
        <w:tc>
          <w:tcPr>
            <w:tcW w:type="dxa" w:w="950"/>
            <w:vAlign w:val="top"/>
          </w:tcPr>
          <w:p>
            <w:pPr>
              <w:spacing w:after="40" w:before="0" w:line="259" w:lineRule="auto"/>
            </w:pPr>
            <w:r>
              <w:rPr>
                <w:rFonts w:ascii="Calibri" w:hAnsi="Calibri"/>
                <w:b w:val="0"/>
                <w:i w:val="0"/>
                <w:color w:val="212121"/>
                <w:sz w:val="16"/>
              </w:rPr>
              <w:t>No bursitis/synovitis</w:t>
            </w:r>
          </w:p>
        </w:tc>
        <w:tc>
          <w:tcPr>
            <w:tcW w:type="dxa" w:w="950"/>
            <w:vAlign w:val="top"/>
          </w:tcPr>
          <w:p>
            <w:pPr>
              <w:spacing w:after="40" w:before="0" w:line="259" w:lineRule="auto"/>
            </w:pPr>
            <w:r>
              <w:rPr>
                <w:rFonts w:ascii="Calibri" w:hAnsi="Calibri"/>
                <w:b w:val="0"/>
                <w:i w:val="0"/>
                <w:color w:val="212121"/>
                <w:sz w:val="16"/>
              </w:rPr>
              <w:t>Subacromial-subdeltoid bursitis, biceps tenosynovitis, hip synovitis/trochanteric bursitis</w:t>
            </w:r>
          </w:p>
        </w:tc>
        <w:tc>
          <w:tcPr>
            <w:tcW w:type="dxa" w:w="1036"/>
            <w:vAlign w:val="top"/>
          </w:tcPr>
          <w:p>
            <w:pPr>
              <w:spacing w:after="40" w:before="0" w:line="259" w:lineRule="auto"/>
            </w:pPr>
            <w:r>
              <w:rPr>
                <w:rFonts w:ascii="Calibri" w:hAnsi="Calibri"/>
                <w:b w:val="0"/>
                <w:i w:val="0"/>
                <w:color w:val="212121"/>
                <w:sz w:val="16"/>
              </w:rPr>
              <w:t>Supports diagnosis; adds a point in EULAR/ACR criteria</w:t>
            </w:r>
          </w:p>
        </w:tc>
        <w:tc>
          <w:tcPr>
            <w:tcW w:type="dxa" w:w="1036"/>
            <w:vAlign w:val="top"/>
          </w:tcPr>
          <w:p>
            <w:pPr>
              <w:spacing w:after="40" w:before="0" w:line="259" w:lineRule="auto"/>
            </w:pPr>
            <w:r>
              <w:rPr>
                <w:rFonts w:ascii="Calibri" w:hAnsi="Calibri"/>
                <w:b w:val="0"/>
                <w:i w:val="0"/>
                <w:color w:val="212121"/>
                <w:sz w:val="16"/>
              </w:rPr>
              <w:t>Suspected PMR for classification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Improves specificity to ~81%</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Temporal artery USG / PET-CT / biopsy</w:t>
            </w:r>
          </w:p>
        </w:tc>
        <w:tc>
          <w:tcPr>
            <w:tcW w:type="dxa" w:w="892"/>
            <w:vAlign w:val="top"/>
          </w:tcPr>
          <w:p>
            <w:pPr>
              <w:spacing w:after="40" w:before="0" w:line="259" w:lineRule="auto"/>
            </w:pPr>
            <w:r>
              <w:rPr>
                <w:rFonts w:ascii="Calibri" w:hAnsi="Calibri"/>
                <w:b w:val="0"/>
                <w:i w:val="0"/>
                <w:color w:val="212121"/>
                <w:sz w:val="16"/>
              </w:rPr>
              <w:t>Vascular imaging</w:t>
            </w:r>
          </w:p>
        </w:tc>
        <w:tc>
          <w:tcPr>
            <w:tcW w:type="dxa" w:w="950"/>
            <w:vAlign w:val="top"/>
          </w:tcPr>
          <w:p>
            <w:pPr>
              <w:spacing w:after="40" w:before="0" w:line="259" w:lineRule="auto"/>
            </w:pPr>
            <w:r>
              <w:rPr>
                <w:rFonts w:ascii="Calibri" w:hAnsi="Calibri"/>
                <w:b w:val="0"/>
                <w:i w:val="0"/>
                <w:color w:val="212121"/>
                <w:sz w:val="16"/>
              </w:rPr>
              <w:t>No halo / no large-vessel uptake</w:t>
            </w:r>
          </w:p>
        </w:tc>
        <w:tc>
          <w:tcPr>
            <w:tcW w:type="dxa" w:w="950"/>
            <w:vAlign w:val="top"/>
          </w:tcPr>
          <w:p>
            <w:pPr>
              <w:spacing w:after="40" w:before="0" w:line="259" w:lineRule="auto"/>
            </w:pPr>
            <w:r>
              <w:rPr>
                <w:rFonts w:ascii="Calibri" w:hAnsi="Calibri"/>
                <w:b w:val="0"/>
                <w:i w:val="0"/>
                <w:color w:val="212121"/>
                <w:sz w:val="16"/>
              </w:rPr>
              <w:t>Halo sign, large-vessel FDG uptake, arteritis on biopsy</w:t>
            </w:r>
          </w:p>
        </w:tc>
        <w:tc>
          <w:tcPr>
            <w:tcW w:type="dxa" w:w="1036"/>
            <w:vAlign w:val="top"/>
          </w:tcPr>
          <w:p>
            <w:pPr>
              <w:spacing w:after="40" w:before="0" w:line="259" w:lineRule="auto"/>
            </w:pPr>
            <w:r>
              <w:rPr>
                <w:rFonts w:ascii="Calibri" w:hAnsi="Calibri"/>
                <w:b w:val="0"/>
                <w:i w:val="0"/>
                <w:color w:val="212121"/>
                <w:sz w:val="16"/>
              </w:rPr>
              <w:t>Detects concurrent GCA/large-vessel vasculitis (subclinical LVV in a substantial subset)</w:t>
            </w:r>
          </w:p>
        </w:tc>
        <w:tc>
          <w:tcPr>
            <w:tcW w:type="dxa" w:w="1036"/>
            <w:vAlign w:val="top"/>
          </w:tcPr>
          <w:p>
            <w:pPr>
              <w:spacing w:after="40" w:before="0" w:line="259" w:lineRule="auto"/>
            </w:pPr>
            <w:r>
              <w:rPr>
                <w:rFonts w:ascii="Calibri" w:hAnsi="Calibri"/>
                <w:b w:val="0"/>
                <w:i w:val="0"/>
                <w:color w:val="212121"/>
                <w:sz w:val="16"/>
              </w:rPr>
              <w:t>PMR with cranial symptoms or persistent/atypical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if GCA suspected</w:t>
            </w:r>
          </w:p>
        </w:tc>
        <w:tc>
          <w:tcPr>
            <w:tcW w:type="dxa" w:w="720"/>
            <w:vAlign w:val="top"/>
          </w:tcPr>
          <w:p>
            <w:pPr>
              <w:spacing w:after="40" w:before="0" w:line="259" w:lineRule="auto"/>
            </w:pPr>
            <w:r>
              <w:rPr>
                <w:rFonts w:ascii="Calibri" w:hAnsi="Calibri"/>
                <w:b w:val="0"/>
                <w:i w:val="0"/>
                <w:color w:val="212121"/>
                <w:sz w:val="16"/>
              </w:rPr>
              <w:t>Do not delay steroids if GCA with visual symptoms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Baseline safety labs</w:t>
            </w:r>
          </w:p>
        </w:tc>
        <w:tc>
          <w:tcPr>
            <w:tcW w:type="dxa" w:w="1036"/>
            <w:vAlign w:val="top"/>
          </w:tcPr>
          <w:p>
            <w:pPr>
              <w:spacing w:after="40" w:before="0" w:line="259" w:lineRule="auto"/>
            </w:pPr>
            <w:r>
              <w:rPr>
                <w:rFonts w:ascii="Calibri" w:hAnsi="Calibri"/>
                <w:b w:val="0"/>
                <w:i w:val="0"/>
                <w:color w:val="212121"/>
                <w:sz w:val="16"/>
              </w:rPr>
              <w:t>Glucose, HbA1c, lipids, U&amp;E, TSH, DXA</w:t>
            </w:r>
          </w:p>
        </w:tc>
        <w:tc>
          <w:tcPr>
            <w:tcW w:type="dxa" w:w="892"/>
            <w:vAlign w:val="top"/>
          </w:tcPr>
          <w:p>
            <w:pPr>
              <w:spacing w:after="40" w:before="0" w:line="259" w:lineRule="auto"/>
            </w:pPr>
            <w:r>
              <w:rPr>
                <w:rFonts w:ascii="Calibri" w:hAnsi="Calibri"/>
                <w:b w:val="0"/>
                <w:i w:val="0"/>
                <w:color w:val="212121"/>
                <w:sz w:val="16"/>
              </w:rPr>
              <w:t>Pre-steroid workup</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Hyperglycaemia, dyslipidaemia, low BMD, thyroid dysfunction</w:t>
            </w:r>
          </w:p>
        </w:tc>
        <w:tc>
          <w:tcPr>
            <w:tcW w:type="dxa" w:w="1036"/>
            <w:vAlign w:val="top"/>
          </w:tcPr>
          <w:p>
            <w:pPr>
              <w:spacing w:after="40" w:before="0" w:line="259" w:lineRule="auto"/>
            </w:pPr>
            <w:r>
              <w:rPr>
                <w:rFonts w:ascii="Calibri" w:hAnsi="Calibri"/>
                <w:b w:val="0"/>
                <w:i w:val="0"/>
                <w:color w:val="212121"/>
                <w:sz w:val="16"/>
              </w:rPr>
              <w:t>Baseline before long-term glucocorticoids and to exclude mimics (e.g. hypothyroidism)</w:t>
            </w:r>
          </w:p>
        </w:tc>
        <w:tc>
          <w:tcPr>
            <w:tcW w:type="dxa" w:w="1036"/>
            <w:vAlign w:val="top"/>
          </w:tcPr>
          <w:p>
            <w:pPr>
              <w:spacing w:after="40" w:before="0" w:line="259" w:lineRule="auto"/>
            </w:pPr>
            <w:r>
              <w:rPr>
                <w:rFonts w:ascii="Calibri" w:hAnsi="Calibri"/>
                <w:b w:val="0"/>
                <w:i w:val="0"/>
                <w:color w:val="212121"/>
                <w:sz w:val="16"/>
              </w:rPr>
              <w:t>All patients starting steroids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Guides bone protection and metabolic monitoring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Bilateral shoulder/hip-girdle pain with morning stiffness &gt;45 min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New, symmetrical girdle pain and stiffness of abrupt onset</w:t>
            </w:r>
          </w:p>
        </w:tc>
        <w:tc>
          <w:tcPr>
            <w:tcW w:type="dxa" w:w="1036"/>
            <w:vAlign w:val="top"/>
          </w:tcPr>
          <w:p>
            <w:pPr>
              <w:spacing w:after="40" w:before="0" w:line="259" w:lineRule="auto"/>
            </w:pPr>
            <w:r>
              <w:rPr>
                <w:rFonts w:ascii="Calibri" w:hAnsi="Calibri"/>
                <w:b w:val="0"/>
                <w:i w:val="0"/>
                <w:color w:val="212121"/>
                <w:sz w:val="16"/>
              </w:rPr>
              <w:t>Cardinal presentation of PMR</w:t>
            </w:r>
          </w:p>
        </w:tc>
        <w:tc>
          <w:tcPr>
            <w:tcW w:type="dxa" w:w="1036"/>
            <w:vAlign w:val="top"/>
          </w:tcPr>
          <w:p>
            <w:pPr>
              <w:spacing w:after="40" w:before="0" w:line="259" w:lineRule="auto"/>
            </w:pPr>
            <w:r>
              <w:rPr>
                <w:rFonts w:ascii="Calibri" w:hAnsi="Calibri"/>
                <w:b w:val="0"/>
                <w:i w:val="0"/>
                <w:color w:val="212121"/>
                <w:sz w:val="16"/>
              </w:rPr>
              <w:t>Adults &gt;=50 with new proximal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Onset over 1 day to 2 weeks is typical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GCA red-flag screen</w:t>
            </w:r>
          </w:p>
        </w:tc>
        <w:tc>
          <w:tcPr>
            <w:tcW w:type="dxa" w:w="979"/>
            <w:vAlign w:val="top"/>
          </w:tcPr>
          <w:p>
            <w:pPr>
              <w:spacing w:after="40" w:before="0" w:line="259" w:lineRule="auto"/>
            </w:pPr>
            <w:r>
              <w:rPr>
                <w:rFonts w:ascii="Calibri" w:hAnsi="Calibri"/>
                <w:b w:val="0"/>
                <w:i w:val="0"/>
                <w:color w:val="212121"/>
                <w:sz w:val="16"/>
              </w:rPr>
              <w:t>New headache, jaw claudication, scalp tenderness, visual loss/diplopia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Signals concurrent giant cell arteritis - an emergency</w:t>
            </w:r>
          </w:p>
        </w:tc>
        <w:tc>
          <w:tcPr>
            <w:tcW w:type="dxa" w:w="1036"/>
            <w:vAlign w:val="top"/>
          </w:tcPr>
          <w:p>
            <w:pPr>
              <w:spacing w:after="40" w:before="0" w:line="259" w:lineRule="auto"/>
            </w:pPr>
            <w:r>
              <w:rPr>
                <w:rFonts w:ascii="Calibri" w:hAnsi="Calibri"/>
                <w:b w:val="0"/>
                <w:i w:val="0"/>
                <w:color w:val="212121"/>
                <w:sz w:val="16"/>
              </w:rPr>
              <w:t>Every PMR patient at each visit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Visual symptoms require same-day high-dose steroids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Glucocorticoid response</w:t>
            </w:r>
          </w:p>
        </w:tc>
        <w:tc>
          <w:tcPr>
            <w:tcW w:type="dxa" w:w="979"/>
            <w:vAlign w:val="top"/>
          </w:tcPr>
          <w:p>
            <w:pPr>
              <w:spacing w:after="40" w:before="0" w:line="259" w:lineRule="auto"/>
            </w:pPr>
            <w:r>
              <w:rPr>
                <w:rFonts w:ascii="Calibri" w:hAnsi="Calibri"/>
                <w:b w:val="0"/>
                <w:i w:val="0"/>
                <w:color w:val="212121"/>
                <w:sz w:val="16"/>
              </w:rPr>
              <w:t>Symptom change after low-dose prednisolone</w:t>
            </w:r>
          </w:p>
        </w:tc>
        <w:tc>
          <w:tcPr>
            <w:tcW w:type="dxa" w:w="950"/>
            <w:vAlign w:val="top"/>
          </w:tcPr>
          <w:p>
            <w:pPr>
              <w:spacing w:after="40" w:before="0" w:line="259" w:lineRule="auto"/>
            </w:pPr>
            <w:r>
              <w:rPr>
                <w:rFonts w:ascii="Calibri" w:hAnsi="Calibri"/>
                <w:b w:val="0"/>
                <w:i w:val="0"/>
                <w:color w:val="212121"/>
                <w:sz w:val="16"/>
              </w:rPr>
              <w:t>N/A</w:t>
            </w:r>
          </w:p>
        </w:tc>
        <w:tc>
          <w:tcPr>
            <w:tcW w:type="dxa" w:w="950"/>
            <w:vAlign w:val="top"/>
          </w:tcPr>
          <w:p>
            <w:pPr>
              <w:spacing w:after="40" w:before="0" w:line="259" w:lineRule="auto"/>
            </w:pPr>
            <w:r>
              <w:rPr>
                <w:rFonts w:ascii="Calibri" w:hAnsi="Calibri"/>
                <w:b w:val="0"/>
                <w:i w:val="0"/>
                <w:color w:val="212121"/>
                <w:sz w:val="16"/>
              </w:rPr>
              <w:t>Dramatic, near-complete relief within days</w:t>
            </w:r>
          </w:p>
        </w:tc>
        <w:tc>
          <w:tcPr>
            <w:tcW w:type="dxa" w:w="1036"/>
            <w:vAlign w:val="top"/>
          </w:tcPr>
          <w:p>
            <w:pPr>
              <w:spacing w:after="40" w:before="0" w:line="259" w:lineRule="auto"/>
            </w:pPr>
            <w:r>
              <w:rPr>
                <w:rFonts w:ascii="Calibri" w:hAnsi="Calibri"/>
                <w:b w:val="0"/>
                <w:i w:val="0"/>
                <w:color w:val="212121"/>
                <w:sz w:val="16"/>
              </w:rPr>
              <w:t>Rapid response strongly supports PMR; poor response prompts re-evaluation</w:t>
            </w:r>
          </w:p>
        </w:tc>
        <w:tc>
          <w:tcPr>
            <w:tcW w:type="dxa" w:w="1036"/>
            <w:vAlign w:val="top"/>
          </w:tcPr>
          <w:p>
            <w:pPr>
              <w:spacing w:after="40" w:before="0" w:line="259" w:lineRule="auto"/>
            </w:pPr>
            <w:r>
              <w:rPr>
                <w:rFonts w:ascii="Calibri" w:hAnsi="Calibri"/>
                <w:b w:val="0"/>
                <w:i w:val="0"/>
                <w:color w:val="212121"/>
                <w:sz w:val="16"/>
              </w:rPr>
              <w:t>Newly diagnosed PMR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Lack of response questions the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Shoulder/hip examination</w:t>
            </w:r>
          </w:p>
        </w:tc>
        <w:tc>
          <w:tcPr>
            <w:tcW w:type="dxa" w:w="979"/>
            <w:vAlign w:val="top"/>
          </w:tcPr>
          <w:p>
            <w:pPr>
              <w:spacing w:after="40" w:before="0" w:line="259" w:lineRule="auto"/>
            </w:pPr>
            <w:r>
              <w:rPr>
                <w:rFonts w:ascii="Calibri" w:hAnsi="Calibri"/>
                <w:b w:val="0"/>
                <w:i w:val="0"/>
                <w:color w:val="212121"/>
                <w:sz w:val="16"/>
              </w:rPr>
              <w:t>Active ROM, passive ROM, true power</w:t>
            </w:r>
          </w:p>
        </w:tc>
        <w:tc>
          <w:tcPr>
            <w:tcW w:type="dxa" w:w="950"/>
            <w:vAlign w:val="top"/>
          </w:tcPr>
          <w:p>
            <w:pPr>
              <w:spacing w:after="40" w:before="0" w:line="259" w:lineRule="auto"/>
            </w:pPr>
            <w:r>
              <w:rPr>
                <w:rFonts w:ascii="Calibri" w:hAnsi="Calibri"/>
                <w:b w:val="0"/>
                <w:i w:val="0"/>
                <w:color w:val="212121"/>
                <w:sz w:val="16"/>
              </w:rPr>
              <w:t>Full, painless ROM; normal power</w:t>
            </w:r>
          </w:p>
        </w:tc>
        <w:tc>
          <w:tcPr>
            <w:tcW w:type="dxa" w:w="950"/>
            <w:vAlign w:val="top"/>
          </w:tcPr>
          <w:p>
            <w:pPr>
              <w:spacing w:after="40" w:before="0" w:line="259" w:lineRule="auto"/>
            </w:pPr>
            <w:r>
              <w:rPr>
                <w:rFonts w:ascii="Calibri" w:hAnsi="Calibri"/>
                <w:b w:val="0"/>
                <w:i w:val="0"/>
                <w:color w:val="212121"/>
                <w:sz w:val="16"/>
              </w:rPr>
              <w:t>Painful restricted active ROM with preserved passive ROM; no true weakness</w:t>
            </w:r>
          </w:p>
        </w:tc>
        <w:tc>
          <w:tcPr>
            <w:tcW w:type="dxa" w:w="1036"/>
            <w:vAlign w:val="top"/>
          </w:tcPr>
          <w:p>
            <w:pPr>
              <w:spacing w:after="40" w:before="0" w:line="259" w:lineRule="auto"/>
            </w:pPr>
            <w:r>
              <w:rPr>
                <w:rFonts w:ascii="Calibri" w:hAnsi="Calibri"/>
                <w:b w:val="0"/>
                <w:i w:val="0"/>
                <w:color w:val="212121"/>
                <w:sz w:val="16"/>
              </w:rPr>
              <w:t>Differentiates PMR from myopathy and frozen shoulder</w:t>
            </w:r>
          </w:p>
        </w:tc>
        <w:tc>
          <w:tcPr>
            <w:tcW w:type="dxa" w:w="1036"/>
            <w:vAlign w:val="top"/>
          </w:tcPr>
          <w:p>
            <w:pPr>
              <w:spacing w:after="40" w:before="0" w:line="259" w:lineRule="auto"/>
            </w:pPr>
            <w:r>
              <w:rPr>
                <w:rFonts w:ascii="Calibri" w:hAnsi="Calibri"/>
                <w:b w:val="0"/>
                <w:i w:val="0"/>
                <w:color w:val="212121"/>
                <w:sz w:val="16"/>
              </w:rPr>
              <w:t>Patients with proximal stiffness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Weakness is pain-limited, not neuromuscular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Temporal artery examination</w:t>
            </w:r>
          </w:p>
        </w:tc>
        <w:tc>
          <w:tcPr>
            <w:tcW w:type="dxa" w:w="979"/>
            <w:vAlign w:val="top"/>
          </w:tcPr>
          <w:p>
            <w:pPr>
              <w:spacing w:after="40" w:before="0" w:line="259" w:lineRule="auto"/>
            </w:pPr>
            <w:r>
              <w:rPr>
                <w:rFonts w:ascii="Calibri" w:hAnsi="Calibri"/>
                <w:b w:val="0"/>
                <w:i w:val="0"/>
                <w:color w:val="212121"/>
                <w:sz w:val="16"/>
              </w:rPr>
              <w:t>Tenderness, thickening, nodularity, pulse</w:t>
            </w:r>
          </w:p>
        </w:tc>
        <w:tc>
          <w:tcPr>
            <w:tcW w:type="dxa" w:w="950"/>
            <w:vAlign w:val="top"/>
          </w:tcPr>
          <w:p>
            <w:pPr>
              <w:spacing w:after="40" w:before="0" w:line="259" w:lineRule="auto"/>
            </w:pPr>
            <w:r>
              <w:rPr>
                <w:rFonts w:ascii="Calibri" w:hAnsi="Calibri"/>
                <w:b w:val="0"/>
                <w:i w:val="0"/>
                <w:color w:val="212121"/>
                <w:sz w:val="16"/>
              </w:rPr>
              <w:t>Normal, pulsatile arteries</w:t>
            </w:r>
          </w:p>
        </w:tc>
        <w:tc>
          <w:tcPr>
            <w:tcW w:type="dxa" w:w="950"/>
            <w:vAlign w:val="top"/>
          </w:tcPr>
          <w:p>
            <w:pPr>
              <w:spacing w:after="40" w:before="0" w:line="259" w:lineRule="auto"/>
            </w:pPr>
            <w:r>
              <w:rPr>
                <w:rFonts w:ascii="Calibri" w:hAnsi="Calibri"/>
                <w:b w:val="0"/>
                <w:i w:val="0"/>
                <w:color w:val="212121"/>
                <w:sz w:val="16"/>
              </w:rPr>
              <w:t>Tender/thickened/nodular or pulseless temporal artery</w:t>
            </w:r>
          </w:p>
        </w:tc>
        <w:tc>
          <w:tcPr>
            <w:tcW w:type="dxa" w:w="1036"/>
            <w:vAlign w:val="top"/>
          </w:tcPr>
          <w:p>
            <w:pPr>
              <w:spacing w:after="40" w:before="0" w:line="259" w:lineRule="auto"/>
            </w:pPr>
            <w:r>
              <w:rPr>
                <w:rFonts w:ascii="Calibri" w:hAnsi="Calibri"/>
                <w:b w:val="0"/>
                <w:i w:val="0"/>
                <w:color w:val="212121"/>
                <w:sz w:val="16"/>
              </w:rPr>
              <w:t>Physical sign of GCA</w:t>
            </w:r>
          </w:p>
        </w:tc>
        <w:tc>
          <w:tcPr>
            <w:tcW w:type="dxa" w:w="1036"/>
            <w:vAlign w:val="top"/>
          </w:tcPr>
          <w:p>
            <w:pPr>
              <w:spacing w:after="40" w:before="0" w:line="259" w:lineRule="auto"/>
            </w:pPr>
            <w:r>
              <w:rPr>
                <w:rFonts w:ascii="Calibri" w:hAnsi="Calibri"/>
                <w:b w:val="0"/>
                <w:i w:val="0"/>
                <w:color w:val="212121"/>
                <w:sz w:val="16"/>
              </w:rPr>
              <w:t>PMR with cranial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Prompts urgent GCA workup and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medication review</w:t>
            </w:r>
          </w:p>
        </w:tc>
        <w:tc>
          <w:tcPr>
            <w:tcW w:type="dxa" w:w="979"/>
            <w:vAlign w:val="top"/>
          </w:tcPr>
          <w:p>
            <w:pPr>
              <w:spacing w:after="40" w:before="0" w:line="259" w:lineRule="auto"/>
            </w:pPr>
            <w:r>
              <w:rPr>
                <w:rFonts w:ascii="Calibri" w:hAnsi="Calibri"/>
                <w:b w:val="0"/>
                <w:i w:val="0"/>
                <w:color w:val="212121"/>
                <w:sz w:val="16"/>
              </w:rPr>
              <w:t>Statins, prior steroids, diabetes, osteoporosis, infection risk</w:t>
            </w:r>
          </w:p>
        </w:tc>
        <w:tc>
          <w:tcPr>
            <w:tcW w:type="dxa" w:w="950"/>
            <w:vAlign w:val="top"/>
          </w:tcPr>
          <w:p>
            <w:pPr>
              <w:spacing w:after="40" w:before="0" w:line="259" w:lineRule="auto"/>
            </w:pPr>
            <w:r>
              <w:rPr>
                <w:rFonts w:ascii="Calibri" w:hAnsi="Calibri"/>
                <w:b w:val="0"/>
                <w:i w:val="0"/>
                <w:color w:val="212121"/>
                <w:sz w:val="16"/>
              </w:rPr>
              <w:t>No confounders</w:t>
            </w:r>
          </w:p>
        </w:tc>
        <w:tc>
          <w:tcPr>
            <w:tcW w:type="dxa" w:w="950"/>
            <w:vAlign w:val="top"/>
          </w:tcPr>
          <w:p>
            <w:pPr>
              <w:spacing w:after="40" w:before="0" w:line="259" w:lineRule="auto"/>
            </w:pPr>
            <w:r>
              <w:rPr>
                <w:rFonts w:ascii="Calibri" w:hAnsi="Calibri"/>
                <w:b w:val="0"/>
                <w:i w:val="0"/>
                <w:color w:val="212121"/>
                <w:sz w:val="16"/>
              </w:rPr>
              <w:t>Risk factors for steroid harm or statin myopathy present</w:t>
            </w:r>
          </w:p>
        </w:tc>
        <w:tc>
          <w:tcPr>
            <w:tcW w:type="dxa" w:w="1036"/>
            <w:vAlign w:val="top"/>
          </w:tcPr>
          <w:p>
            <w:pPr>
              <w:spacing w:after="40" w:before="0" w:line="259" w:lineRule="auto"/>
            </w:pPr>
            <w:r>
              <w:rPr>
                <w:rFonts w:ascii="Calibri" w:hAnsi="Calibri"/>
                <w:b w:val="0"/>
                <w:i w:val="0"/>
                <w:color w:val="212121"/>
                <w:sz w:val="16"/>
              </w:rPr>
              <w:t>Guides safe steroid dosing, bone protection and monitoring</w:t>
            </w:r>
          </w:p>
        </w:tc>
        <w:tc>
          <w:tcPr>
            <w:tcW w:type="dxa" w:w="1036"/>
            <w:vAlign w:val="top"/>
          </w:tcPr>
          <w:p>
            <w:pPr>
              <w:spacing w:after="40" w:before="0" w:line="259" w:lineRule="auto"/>
            </w:pPr>
            <w:r>
              <w:rPr>
                <w:rFonts w:ascii="Calibri" w:hAnsi="Calibri"/>
                <w:b w:val="0"/>
                <w:i w:val="0"/>
                <w:color w:val="212121"/>
                <w:sz w:val="16"/>
              </w:rPr>
              <w:t>Elderly with polypharmacy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 / safety</w:t>
            </w:r>
          </w:p>
        </w:tc>
        <w:tc>
          <w:tcPr>
            <w:tcW w:type="dxa" w:w="720"/>
            <w:vAlign w:val="top"/>
          </w:tcPr>
          <w:p>
            <w:pPr>
              <w:spacing w:after="40" w:before="0" w:line="259" w:lineRule="auto"/>
            </w:pPr>
            <w:r>
              <w:rPr>
                <w:rFonts w:ascii="Calibri" w:hAnsi="Calibri"/>
                <w:b w:val="0"/>
                <w:i w:val="0"/>
                <w:color w:val="212121"/>
                <w:sz w:val="16"/>
              </w:rPr>
              <w:t>Plan gastroprotection, calcium/vitamin D, glucose and BP checks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Bilateral shoulder pain and aching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symmetrical and of fairly abrupt onset.</w:t>
            </w:r>
          </w:p>
        </w:tc>
      </w:tr>
      <w:tr>
        <w:trPr>
          <w:cantSplit/>
        </w:trPr>
        <w:tc>
          <w:tcPr>
            <w:tcW w:type="dxa" w:w="2304"/>
            <w:vAlign w:val="top"/>
          </w:tcPr>
          <w:p>
            <w:pPr>
              <w:spacing w:after="40" w:before="0" w:line="259" w:lineRule="auto"/>
            </w:pPr>
            <w:r>
              <w:rPr>
                <w:rFonts w:ascii="Calibri" w:hAnsi="Calibri"/>
                <w:b/>
                <w:i w:val="0"/>
                <w:color w:val="212121"/>
                <w:sz w:val="19"/>
              </w:rPr>
              <w:t>Prolonged morning stiffness (&gt;45 minutes)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Girdle stiffness that is worst on waking and after inactivity; a key diagnostic feature.</w:t>
            </w:r>
          </w:p>
        </w:tc>
      </w:tr>
      <w:tr>
        <w:trPr>
          <w:cantSplit/>
        </w:trPr>
        <w:tc>
          <w:tcPr>
            <w:tcW w:type="dxa" w:w="2304"/>
            <w:vAlign w:val="top"/>
          </w:tcPr>
          <w:p>
            <w:pPr>
              <w:spacing w:after="40" w:before="0" w:line="259" w:lineRule="auto"/>
            </w:pPr>
            <w:r>
              <w:rPr>
                <w:rFonts w:ascii="Calibri" w:hAnsi="Calibri"/>
                <w:b/>
                <w:i w:val="0"/>
                <w:color w:val="212121"/>
                <w:sz w:val="19"/>
              </w:rPr>
              <w:t>Neck and upper-arm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radiating from the neck into the upper arms.</w:t>
            </w:r>
          </w:p>
        </w:tc>
      </w:tr>
      <w:tr>
        <w:trPr>
          <w:cantSplit/>
        </w:trPr>
        <w:tc>
          <w:tcPr>
            <w:tcW w:type="dxa" w:w="2304"/>
            <w:vAlign w:val="top"/>
          </w:tcPr>
          <w:p>
            <w:pPr>
              <w:spacing w:after="40" w:before="0" w:line="259" w:lineRule="auto"/>
            </w:pPr>
            <w:r>
              <w:rPr>
                <w:rFonts w:ascii="Calibri" w:hAnsi="Calibri"/>
                <w:b/>
                <w:i w:val="0"/>
                <w:color w:val="212121"/>
                <w:sz w:val="19"/>
              </w:rPr>
              <w:t>Hip, buttock and thigh (pelvic-girdle)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Proximal lower-limb girdle aching; makes rising from a chair difficult.</w:t>
            </w:r>
          </w:p>
        </w:tc>
      </w:tr>
      <w:tr>
        <w:trPr>
          <w:cantSplit/>
        </w:trPr>
        <w:tc>
          <w:tcPr>
            <w:tcW w:type="dxa" w:w="2304"/>
            <w:vAlign w:val="top"/>
          </w:tcPr>
          <w:p>
            <w:pPr>
              <w:spacing w:after="40" w:before="0" w:line="259" w:lineRule="auto"/>
            </w:pPr>
            <w:r>
              <w:rPr>
                <w:rFonts w:ascii="Calibri" w:hAnsi="Calibri"/>
                <w:b/>
                <w:i w:val="0"/>
                <w:color w:val="212121"/>
                <w:sz w:val="19"/>
              </w:rPr>
              <w:t>Difficulty rising, dressing, combing hair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Functional limitation from girdle pain and stiffness rather than true weakness.</w:t>
            </w:r>
          </w:p>
        </w:tc>
      </w:tr>
      <w:tr>
        <w:trPr>
          <w:cantSplit/>
        </w:trPr>
        <w:tc>
          <w:tcPr>
            <w:tcW w:type="dxa" w:w="2304"/>
            <w:vAlign w:val="top"/>
          </w:tcPr>
          <w:p>
            <w:pPr>
              <w:spacing w:after="40" w:before="0" w:line="259" w:lineRule="auto"/>
            </w:pPr>
            <w:r>
              <w:rPr>
                <w:rFonts w:ascii="Calibri" w:hAnsi="Calibri"/>
                <w:b/>
                <w:i w:val="0"/>
                <w:color w:val="212121"/>
                <w:sz w:val="19"/>
              </w:rPr>
              <w:t>Fatigue and general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 of the systemic inflammatory syndrome; present in a large minority.</w:t>
            </w:r>
          </w:p>
        </w:tc>
      </w:tr>
      <w:tr>
        <w:trPr>
          <w:cantSplit/>
        </w:trPr>
        <w:tc>
          <w:tcPr>
            <w:tcW w:type="dxa" w:w="2304"/>
            <w:vAlign w:val="top"/>
          </w:tcPr>
          <w:p>
            <w:pPr>
              <w:spacing w:after="40" w:before="0" w:line="259" w:lineRule="auto"/>
            </w:pPr>
            <w:r>
              <w:rPr>
                <w:rFonts w:ascii="Calibri" w:hAnsi="Calibri"/>
                <w:b/>
                <w:i w:val="0"/>
                <w:color w:val="212121"/>
                <w:sz w:val="19"/>
              </w:rPr>
              <w:t>Loss of appetite and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feature seen in roughly a third of patients.</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pyrexia may accompany active disease; high fever should prompt a search for GCA or infection.</w:t>
            </w:r>
          </w:p>
        </w:tc>
      </w:tr>
      <w:tr>
        <w:trPr>
          <w:cantSplit/>
        </w:trPr>
        <w:tc>
          <w:tcPr>
            <w:tcW w:type="dxa" w:w="2304"/>
            <w:vAlign w:val="top"/>
          </w:tcPr>
          <w:p>
            <w:pPr>
              <w:spacing w:after="40" w:before="0" w:line="259" w:lineRule="auto"/>
            </w:pPr>
            <w:r>
              <w:rPr>
                <w:rFonts w:ascii="Calibri" w:hAnsi="Calibri"/>
                <w:b/>
                <w:i w:val="0"/>
                <w:color w:val="212121"/>
                <w:sz w:val="19"/>
              </w:rPr>
              <w:t>Depressed mood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with the systemic illness and later as a glucocorticoid effect.</w:t>
            </w:r>
          </w:p>
        </w:tc>
      </w:tr>
      <w:tr>
        <w:trPr>
          <w:cantSplit/>
        </w:trPr>
        <w:tc>
          <w:tcPr>
            <w:tcW w:type="dxa" w:w="2304"/>
            <w:vAlign w:val="top"/>
          </w:tcPr>
          <w:p>
            <w:pPr>
              <w:spacing w:after="40" w:before="0" w:line="259" w:lineRule="auto"/>
            </w:pPr>
            <w:r>
              <w:rPr>
                <w:rFonts w:ascii="Calibri" w:hAnsi="Calibri"/>
                <w:b/>
                <w:i w:val="0"/>
                <w:color w:val="212121"/>
                <w:sz w:val="19"/>
              </w:rPr>
              <w:t>Peripheral joint pain (wrists, knees, elbows)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Distal involvement occurs in about a quarter of patients.</w:t>
            </w:r>
          </w:p>
        </w:tc>
      </w:tr>
      <w:tr>
        <w:trPr>
          <w:cantSplit/>
        </w:trPr>
        <w:tc>
          <w:tcPr>
            <w:tcW w:type="dxa" w:w="2304"/>
            <w:vAlign w:val="top"/>
          </w:tcPr>
          <w:p>
            <w:pPr>
              <w:spacing w:after="40" w:before="0" w:line="259" w:lineRule="auto"/>
            </w:pPr>
            <w:r>
              <w:rPr>
                <w:rFonts w:ascii="Calibri" w:hAnsi="Calibri"/>
                <w:b/>
                <w:i w:val="0"/>
                <w:color w:val="212121"/>
                <w:sz w:val="19"/>
              </w:rPr>
              <w:t>Carpal tunnel symptoms / hand and foot swelling (RS3PE)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Pitting oedema of hands/feet with tenosynovitis, part of the peripheral spectrum.</w:t>
            </w:r>
          </w:p>
        </w:tc>
      </w:tr>
      <w:tr>
        <w:trPr>
          <w:cantSplit/>
        </w:trPr>
        <w:tc>
          <w:tcPr>
            <w:tcW w:type="dxa" w:w="2304"/>
            <w:vAlign w:val="top"/>
          </w:tcPr>
          <w:p>
            <w:pPr>
              <w:spacing w:after="40" w:before="0" w:line="259" w:lineRule="auto"/>
            </w:pPr>
            <w:r>
              <w:rPr>
                <w:rFonts w:ascii="Calibri" w:hAnsi="Calibri"/>
                <w:b/>
                <w:i w:val="0"/>
                <w:color w:val="212121"/>
                <w:sz w:val="19"/>
              </w:rPr>
              <w:t>New-onset severe headache &amp; scalp tenderness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Warning symptom of concurrent giant cell arteritis.</w:t>
            </w:r>
          </w:p>
        </w:tc>
      </w:tr>
      <w:tr>
        <w:trPr>
          <w:cantSplit/>
        </w:trPr>
        <w:tc>
          <w:tcPr>
            <w:tcW w:type="dxa" w:w="2304"/>
            <w:vAlign w:val="top"/>
          </w:tcPr>
          <w:p>
            <w:pPr>
              <w:spacing w:after="40" w:before="0" w:line="259" w:lineRule="auto"/>
            </w:pPr>
            <w:r>
              <w:rPr>
                <w:rFonts w:ascii="Calibri" w:hAnsi="Calibri"/>
                <w:b/>
                <w:i w:val="0"/>
                <w:color w:val="212121"/>
                <w:sz w:val="19"/>
              </w:rPr>
              <w:t>Jaw claudication or sudden visual loss/diplopia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Red-flag symptoms of GCA requiring emergency high-dose steroids to prevent blindness.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Painful, restricted active shoulder/hip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Movement limited by pain, especially abduction and elevation.</w:t>
            </w:r>
          </w:p>
        </w:tc>
      </w:tr>
      <w:tr>
        <w:trPr>
          <w:cantSplit/>
        </w:trPr>
        <w:tc>
          <w:tcPr>
            <w:tcW w:type="dxa" w:w="3456"/>
            <w:vAlign w:val="top"/>
          </w:tcPr>
          <w:p>
            <w:pPr>
              <w:spacing w:after="40" w:before="0" w:line="259" w:lineRule="auto"/>
            </w:pPr>
            <w:r>
              <w:rPr>
                <w:rFonts w:ascii="Calibri" w:hAnsi="Calibri"/>
                <w:b/>
                <w:i w:val="0"/>
                <w:color w:val="212121"/>
                <w:sz w:val="19"/>
              </w:rPr>
              <w:t>Preserved passive range of motion; no true weakness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PMR from inflammatory myopathy and adhesive capsulitis.</w:t>
            </w:r>
          </w:p>
        </w:tc>
      </w:tr>
      <w:tr>
        <w:trPr>
          <w:cantSplit/>
        </w:trPr>
        <w:tc>
          <w:tcPr>
            <w:tcW w:type="dxa" w:w="3456"/>
            <w:vAlign w:val="top"/>
          </w:tcPr>
          <w:p>
            <w:pPr>
              <w:spacing w:after="40" w:before="0" w:line="259" w:lineRule="auto"/>
            </w:pPr>
            <w:r>
              <w:rPr>
                <w:rFonts w:ascii="Calibri" w:hAnsi="Calibri"/>
                <w:b/>
                <w:i w:val="0"/>
                <w:color w:val="212121"/>
                <w:sz w:val="19"/>
              </w:rPr>
              <w:t>Diffuse tenderness over shoulder and pelvic girdles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Periarticular and bursal tenderness rather than joint-line tenderness.</w:t>
            </w:r>
          </w:p>
        </w:tc>
      </w:tr>
      <w:tr>
        <w:trPr>
          <w:cantSplit/>
        </w:trPr>
        <w:tc>
          <w:tcPr>
            <w:tcW w:type="dxa" w:w="3456"/>
            <w:vAlign w:val="top"/>
          </w:tcPr>
          <w:p>
            <w:pPr>
              <w:spacing w:after="40" w:before="0" w:line="259" w:lineRule="auto"/>
            </w:pPr>
            <w:r>
              <w:rPr>
                <w:rFonts w:ascii="Calibri" w:hAnsi="Calibri"/>
                <w:b/>
                <w:i w:val="0"/>
                <w:color w:val="212121"/>
                <w:sz w:val="19"/>
              </w:rPr>
              <w:t>Raised ESR and CRP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Laboratory sign of systemic inflammation; entry criterion for classification.</w:t>
            </w:r>
          </w:p>
        </w:tc>
      </w:tr>
      <w:tr>
        <w:trPr>
          <w:cantSplit/>
        </w:trPr>
        <w:tc>
          <w:tcPr>
            <w:tcW w:type="dxa" w:w="3456"/>
            <w:vAlign w:val="top"/>
          </w:tcPr>
          <w:p>
            <w:pPr>
              <w:spacing w:after="40" w:before="0" w:line="259" w:lineRule="auto"/>
            </w:pPr>
            <w:r>
              <w:rPr>
                <w:rFonts w:ascii="Calibri" w:hAnsi="Calibri"/>
                <w:b/>
                <w:i w:val="0"/>
                <w:color w:val="212121"/>
                <w:sz w:val="19"/>
              </w:rPr>
              <w:t>Normocytic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Anaemia of chronic disease on the blood film/CBC.</w:t>
            </w:r>
          </w:p>
        </w:tc>
      </w:tr>
      <w:tr>
        <w:trPr>
          <w:cantSplit/>
        </w:trPr>
        <w:tc>
          <w:tcPr>
            <w:tcW w:type="dxa" w:w="3456"/>
            <w:vAlign w:val="top"/>
          </w:tcPr>
          <w:p>
            <w:pPr>
              <w:spacing w:after="40" w:before="0" w:line="259" w:lineRule="auto"/>
            </w:pPr>
            <w:r>
              <w:rPr>
                <w:rFonts w:ascii="Calibri" w:hAnsi="Calibri"/>
                <w:b/>
                <w:i w:val="0"/>
                <w:color w:val="212121"/>
                <w:sz w:val="19"/>
              </w:rPr>
              <w:t>Low-grade pyrexia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fever during active disease.</w:t>
            </w:r>
          </w:p>
        </w:tc>
      </w:tr>
      <w:tr>
        <w:trPr>
          <w:cantSplit/>
        </w:trPr>
        <w:tc>
          <w:tcPr>
            <w:tcW w:type="dxa" w:w="3456"/>
            <w:vAlign w:val="top"/>
          </w:tcPr>
          <w:p>
            <w:pPr>
              <w:spacing w:after="40" w:before="0" w:line="259" w:lineRule="auto"/>
            </w:pPr>
            <w:r>
              <w:rPr>
                <w:rFonts w:ascii="Calibri" w:hAnsi="Calibri"/>
                <w:b/>
                <w:i w:val="0"/>
                <w:color w:val="212121"/>
                <w:sz w:val="19"/>
              </w:rPr>
              <w:t>Peripheral synovitis / joint swelling (wrists, knees)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the ~25% with peripheral involvement.</w:t>
            </w:r>
          </w:p>
        </w:tc>
      </w:tr>
      <w:tr>
        <w:trPr>
          <w:cantSplit/>
        </w:trPr>
        <w:tc>
          <w:tcPr>
            <w:tcW w:type="dxa" w:w="3456"/>
            <w:vAlign w:val="top"/>
          </w:tcPr>
          <w:p>
            <w:pPr>
              <w:spacing w:after="40" w:before="0" w:line="259" w:lineRule="auto"/>
            </w:pPr>
            <w:r>
              <w:rPr>
                <w:rFonts w:ascii="Calibri" w:hAnsi="Calibri"/>
                <w:b/>
                <w:i w:val="0"/>
                <w:color w:val="212121"/>
                <w:sz w:val="19"/>
              </w:rPr>
              <w:t>Pitting oedema of hands and feet (RS3PE)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Boxing-glove oedema with tenosynovitis; steroid-responsive.</w:t>
            </w:r>
          </w:p>
        </w:tc>
      </w:tr>
      <w:tr>
        <w:trPr>
          <w:cantSplit/>
        </w:trPr>
        <w:tc>
          <w:tcPr>
            <w:tcW w:type="dxa" w:w="3456"/>
            <w:vAlign w:val="top"/>
          </w:tcPr>
          <w:p>
            <w:pPr>
              <w:spacing w:after="40" w:before="0" w:line="259" w:lineRule="auto"/>
            </w:pPr>
            <w:r>
              <w:rPr>
                <w:rFonts w:ascii="Calibri" w:hAnsi="Calibri"/>
                <w:b/>
                <w:i w:val="0"/>
                <w:color w:val="212121"/>
                <w:sz w:val="19"/>
              </w:rPr>
              <w:t>Tender, thickened or nodular temporal artery / absent pulse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Physical sign of concurrent giant cell arteritis.</w:t>
            </w:r>
          </w:p>
        </w:tc>
      </w:tr>
      <w:tr>
        <w:trPr>
          <w:cantSplit/>
        </w:trPr>
        <w:tc>
          <w:tcPr>
            <w:tcW w:type="dxa" w:w="3456"/>
            <w:vAlign w:val="top"/>
          </w:tcPr>
          <w:p>
            <w:pPr>
              <w:spacing w:after="40" w:before="0" w:line="259" w:lineRule="auto"/>
            </w:pPr>
            <w:r>
              <w:rPr>
                <w:rFonts w:ascii="Calibri" w:hAnsi="Calibri"/>
                <w:b/>
                <w:i w:val="0"/>
                <w:color w:val="212121"/>
                <w:sz w:val="19"/>
              </w:rPr>
              <w:t>Visual field defect or relative afferent pupillary defect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ischaemic optic neuropathy from GCA - a sight-threatening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bilateral girdle pain and prolonged morning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disability (difficulty rising, dressing, grooming)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 malaise, anorexia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impaired quality of life</w:t>
            </w:r>
          </w:p>
        </w:tc>
        <w:tc>
          <w:tcPr>
            <w:tcW w:type="dxa" w:w="2980"/>
            <w:vAlign w:val="top"/>
          </w:tcPr>
          <w:p>
            <w:pPr>
              <w:spacing w:after="40" w:before="0" w:line="259" w:lineRule="auto"/>
            </w:pPr>
            <w:r>
              <w:rPr>
                <w:rFonts w:ascii="Calibri" w:hAnsi="Calibri"/>
                <w:b w:val="0"/>
                <w:i w:val="0"/>
                <w:color w:val="212121"/>
                <w:sz w:val="19"/>
              </w:rPr>
              <w:t>Direct consequences of the active inflammatory syndrome on the shoulder and pelvic girdles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Giant cell arteritis (up to ~1 in 5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Subclinical or overt large-vessel vasculitis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arthritis, carpal tunnel syndrome and RS3PE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 chronic-relapsing course (at least one-third relapse during tapering)</w:t>
            </w:r>
          </w:p>
        </w:tc>
        <w:tc>
          <w:tcPr>
            <w:tcW w:type="dxa" w:w="2980"/>
            <w:vAlign w:val="top"/>
          </w:tcPr>
          <w:p>
            <w:pPr>
              <w:spacing w:after="40" w:before="0" w:line="259" w:lineRule="auto"/>
            </w:pPr>
            <w:r>
              <w:rPr>
                <w:rFonts w:ascii="Calibri" w:hAnsi="Calibri"/>
                <w:b w:val="0"/>
                <w:i w:val="0"/>
                <w:color w:val="212121"/>
                <w:sz w:val="19"/>
              </w:rPr>
              <w:t>Disease-associated progression and the overlapping arteritic/peripheral spectrum</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GCA-related irreversible vision loss / blindness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Glucocorticoid-induced osteoporosis and fragility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Steroid-induced diabetes mellitus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Cataract, glaucoma, adrenal suppression and increased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disease; rare lymphoproliferative disease (e.g. lymphoplasmacytic lymphoma)</w:t>
            </w:r>
          </w:p>
        </w:tc>
        <w:tc>
          <w:tcPr>
            <w:tcW w:type="dxa" w:w="2980"/>
            <w:vAlign w:val="top"/>
          </w:tcPr>
          <w:p>
            <w:pPr>
              <w:spacing w:after="40" w:before="0" w:line="259" w:lineRule="auto"/>
            </w:pPr>
            <w:r>
              <w:rPr>
                <w:rFonts w:ascii="Calibri" w:hAnsi="Calibri"/>
                <w:b w:val="0"/>
                <w:i w:val="0"/>
                <w:color w:val="212121"/>
                <w:sz w:val="19"/>
              </w:rPr>
              <w:t>Largely irreversible outcomes of untreated GCA overlap and of prolonged glucocorticoid therapy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Giant cell arteritis (GCA)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PMR and GCA are one disease spectrum sharing HLA-DRB1*04 and IL-6 biology; up to 20% of PMR develop GCA and 40-50% of GCA have PMR. GCA can cause irreversible blindness and stroke, dominating management.</w:t>
            </w:r>
          </w:p>
          <w:p>
            <w:pPr>
              <w:spacing w:after="40" w:before="0" w:line="259" w:lineRule="auto"/>
            </w:pPr>
            <w:r>
              <w:rPr>
                <w:rFonts w:ascii="Calibri" w:hAnsi="Calibri"/>
                <w:b/>
                <w:i w:val="0"/>
                <w:color w:val="212121"/>
                <w:sz w:val="19"/>
              </w:rPr>
              <w:t>Up to ~20% (PMR-&gt;GCA)</w:t>
            </w:r>
          </w:p>
        </w:tc>
      </w:tr>
      <w:tr>
        <w:trPr>
          <w:cantSplit/>
        </w:trPr>
        <w:tc>
          <w:tcPr>
            <w:tcW w:type="dxa" w:w="2232"/>
            <w:vAlign w:val="top"/>
          </w:tcPr>
          <w:p>
            <w:pPr>
              <w:spacing w:after="40" w:before="0" w:line="259" w:lineRule="auto"/>
            </w:pPr>
            <w:r>
              <w:rPr>
                <w:rFonts w:ascii="Calibri" w:hAnsi="Calibri"/>
                <w:b/>
                <w:i w:val="0"/>
                <w:color w:val="212121"/>
                <w:sz w:val="19"/>
              </w:rPr>
              <w:t>Glucocorticoid-induced osteoporosis &amp; fragility fractures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Prolonged steroids cause rapid bone loss - up to 10-20% of bone mass in the first 6 months - mandating calcium, vitamin D and often bisphosphonates.</w:t>
            </w:r>
          </w:p>
          <w:p>
            <w:pPr>
              <w:spacing w:after="40" w:before="0" w:line="259" w:lineRule="auto"/>
            </w:pPr>
            <w:r>
              <w:rPr>
                <w:rFonts w:ascii="Calibri" w:hAnsi="Calibri"/>
                <w:b/>
                <w:i w:val="0"/>
                <w:color w:val="212121"/>
                <w:sz w:val="19"/>
              </w:rPr>
              <w:t>Up to 10-20% bone loss in first 6 months</w:t>
            </w:r>
          </w:p>
        </w:tc>
      </w:tr>
      <w:tr>
        <w:trPr>
          <w:cantSplit/>
        </w:trPr>
        <w:tc>
          <w:tcPr>
            <w:tcW w:type="dxa" w:w="2232"/>
            <w:vAlign w:val="top"/>
          </w:tcPr>
          <w:p>
            <w:pPr>
              <w:spacing w:after="40" w:before="0" w:line="259" w:lineRule="auto"/>
            </w:pPr>
            <w:r>
              <w:rPr>
                <w:rFonts w:ascii="Calibri" w:hAnsi="Calibri"/>
                <w:b/>
                <w:i w:val="0"/>
                <w:color w:val="212121"/>
                <w:sz w:val="19"/>
              </w:rPr>
              <w:t>Steroid-induced diabetes mellitus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Glucocorticoids raise blood glucose and frequently unmask or precipitate diabetes, complicating dosing and requiring glucose monitoring.</w:t>
            </w:r>
          </w:p>
        </w:tc>
      </w:tr>
      <w:tr>
        <w:trPr>
          <w:cantSplit/>
        </w:trPr>
        <w:tc>
          <w:tcPr>
            <w:tcW w:type="dxa" w:w="2232"/>
            <w:vAlign w:val="top"/>
          </w:tcPr>
          <w:p>
            <w:pPr>
              <w:spacing w:after="40" w:before="0" w:line="259" w:lineRule="auto"/>
            </w:pPr>
            <w:r>
              <w:rPr>
                <w:rFonts w:ascii="Calibri" w:hAnsi="Calibri"/>
                <w:b/>
                <w:i w:val="0"/>
                <w:color w:val="212121"/>
                <w:sz w:val="19"/>
              </w:rPr>
              <w:t>Cardiovascular disease / atherosclerosis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and steroids raise cardiovascular risk (~1.15-2.70 fold); subclinical atherosclerosis is seen even in treatment-naive and Asian PMR cohorts.</w:t>
            </w:r>
          </w:p>
          <w:p>
            <w:pPr>
              <w:spacing w:after="40" w:before="0" w:line="259" w:lineRule="auto"/>
            </w:pPr>
            <w:r>
              <w:rPr>
                <w:rFonts w:ascii="Calibri" w:hAnsi="Calibri"/>
                <w:b/>
                <w:i w:val="0"/>
                <w:color w:val="212121"/>
                <w:sz w:val="19"/>
              </w:rPr>
              <w:t>~1.15-2.70x risk</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Steroid-related salt and water retention commonly raises blood pressure, adding to cardiovascular risk.</w:t>
            </w:r>
          </w:p>
        </w:tc>
      </w:tr>
      <w:tr>
        <w:trPr>
          <w:cantSplit/>
        </w:trPr>
        <w:tc>
          <w:tcPr>
            <w:tcW w:type="dxa" w:w="2232"/>
            <w:vAlign w:val="top"/>
          </w:tcPr>
          <w:p>
            <w:pPr>
              <w:spacing w:after="40" w:before="0" w:line="259" w:lineRule="auto"/>
            </w:pPr>
            <w:r>
              <w:rPr>
                <w:rFonts w:ascii="Calibri" w:hAnsi="Calibri"/>
                <w:b/>
                <w:i w:val="0"/>
                <w:color w:val="212121"/>
                <w:sz w:val="19"/>
              </w:rPr>
              <w:t>Elderly-onset (seronegative) rheumatoid arthritis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Overlaps clinically with PMR and is the key differential; RF/anti-CCP and course over time help distinguish them.</w:t>
            </w:r>
          </w:p>
        </w:tc>
      </w:tr>
      <w:tr>
        <w:trPr>
          <w:cantSplit/>
        </w:trPr>
        <w:tc>
          <w:tcPr>
            <w:tcW w:type="dxa" w:w="2232"/>
            <w:vAlign w:val="top"/>
          </w:tcPr>
          <w:p>
            <w:pPr>
              <w:spacing w:after="40" w:before="0" w:line="259" w:lineRule="auto"/>
            </w:pPr>
            <w:r>
              <w:rPr>
                <w:rFonts w:ascii="Calibri" w:hAnsi="Calibri"/>
                <w:b/>
                <w:i w:val="0"/>
                <w:color w:val="212121"/>
                <w:sz w:val="19"/>
              </w:rPr>
              <w:t>RS3PE syndrome / peripheral synovitis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Remitting seronegative symmetrical synovitis with pitting oedema shares the seronegative, steroid-responsive mechanism and occurs in ~25% of PMR.</w:t>
            </w:r>
          </w:p>
          <w:p>
            <w:pPr>
              <w:spacing w:after="40" w:before="0" w:line="259" w:lineRule="auto"/>
            </w:pPr>
            <w:r>
              <w:rPr>
                <w:rFonts w:ascii="Calibri" w:hAnsi="Calibri"/>
                <w:b/>
                <w:i w:val="0"/>
                <w:color w:val="212121"/>
                <w:sz w:val="19"/>
              </w:rPr>
              <w:t>~25% peripheral involvement</w:t>
            </w:r>
          </w:p>
        </w:tc>
      </w:tr>
      <w:tr>
        <w:trPr>
          <w:cantSplit/>
        </w:trPr>
        <w:tc>
          <w:tcPr>
            <w:tcW w:type="dxa" w:w="2232"/>
            <w:vAlign w:val="top"/>
          </w:tcPr>
          <w:p>
            <w:pPr>
              <w:spacing w:after="40" w:before="0" w:line="259" w:lineRule="auto"/>
            </w:pPr>
            <w:r>
              <w:rPr>
                <w:rFonts w:ascii="Calibri" w:hAnsi="Calibri"/>
                <w:b/>
                <w:i w:val="0"/>
                <w:color w:val="212121"/>
                <w:sz w:val="19"/>
              </w:rPr>
              <w:t>Depression / mood disturbance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Occurs as part of the systemic illness and as a glucocorticoid side-effect; chronic pain and disability worsen mood, warranting screening.</w:t>
            </w:r>
          </w:p>
        </w:tc>
      </w:tr>
      <w:tr>
        <w:trPr>
          <w:cantSplit/>
        </w:trPr>
        <w:tc>
          <w:tcPr>
            <w:tcW w:type="dxa" w:w="2232"/>
            <w:vAlign w:val="top"/>
          </w:tcPr>
          <w:p>
            <w:pPr>
              <w:spacing w:after="40" w:before="0" w:line="259" w:lineRule="auto"/>
            </w:pPr>
            <w:r>
              <w:rPr>
                <w:rFonts w:ascii="Calibri" w:hAnsi="Calibri"/>
                <w:b/>
                <w:i w:val="0"/>
                <w:color w:val="212121"/>
                <w:sz w:val="19"/>
              </w:rPr>
              <w:t>Vitamin D deficiency / osteomalacia</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Highly prevalent in Indian elderly and compounds glucocorticoid bone loss; correction is essential for safe long-term therapy.</w:t>
            </w:r>
          </w:p>
        </w:tc>
      </w:tr>
      <w:tr>
        <w:trPr>
          <w:cantSplit/>
        </w:trPr>
        <w:tc>
          <w:tcPr>
            <w:tcW w:type="dxa" w:w="2232"/>
            <w:vAlign w:val="top"/>
          </w:tcPr>
          <w:p>
            <w:pPr>
              <w:spacing w:after="40" w:before="0" w:line="259" w:lineRule="auto"/>
            </w:pPr>
            <w:r>
              <w:rPr>
                <w:rFonts w:ascii="Calibri" w:hAnsi="Calibri"/>
                <w:b/>
                <w:i w:val="0"/>
                <w:color w:val="212121"/>
                <w:sz w:val="19"/>
              </w:rPr>
              <w:t>Infections (steroid-related immunosuppression)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Long-term glucocorticoids increase susceptibility to bacterial, viral and opportunistic infections; vaccination and vigilance are advised.</w:t>
            </w:r>
          </w:p>
        </w:tc>
      </w:tr>
      <w:tr>
        <w:trPr>
          <w:cantSplit/>
        </w:trPr>
        <w:tc>
          <w:tcPr>
            <w:tcW w:type="dxa" w:w="2232"/>
            <w:vAlign w:val="top"/>
          </w:tcPr>
          <w:p>
            <w:pPr>
              <w:spacing w:after="40" w:before="0" w:line="259" w:lineRule="auto"/>
            </w:pPr>
            <w:r>
              <w:rPr>
                <w:rFonts w:ascii="Calibri" w:hAnsi="Calibri"/>
                <w:b/>
                <w:i w:val="0"/>
                <w:color w:val="212121"/>
                <w:sz w:val="19"/>
              </w:rPr>
              <w:t>Lymphoproliferative disease (lymphoplasmacytic lymphoma / Waldenstrom)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modestly increased risk has been reported (odds ratio ~2.9), so atypical or steroid-refractory presentations warrant scrutiny.</w:t>
            </w:r>
          </w:p>
          <w:p>
            <w:pPr>
              <w:spacing w:after="40" w:before="0" w:line="259" w:lineRule="auto"/>
            </w:pPr>
            <w:r>
              <w:rPr>
                <w:rFonts w:ascii="Calibri" w:hAnsi="Calibri"/>
                <w:b/>
                <w:i w:val="0"/>
                <w:color w:val="212121"/>
                <w:sz w:val="19"/>
              </w:rPr>
              <w:t>OR ~2.9</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autoimmune association that also mimics PMR (aches, fatigue, raised markers); thyroid testing helps exclude it and refine diagnosis.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classic picture - new bilateral shoulder/hip-girdle pain with morning stiffness lasting over 45 minutes in someone over 50 - and seek early medical review rather than dismissing it as 'old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red-flag symptoms of giant cell arteritis (new headache, scalp tenderness, jaw pain on chewing, sudden visual loss) and treat any visual symptom as an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PMR, though uncommon in India, does occur and is very treatable when diagnosed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self-medicate with over-the-counter painkillers for weeks; persistent girdle stiffness deserves an ESR/CRP check.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family members of the elderly to report new stiffness and functional decline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over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new girdle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Families/caregivers of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attendees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glucocorticoids exactly as prescribed and never stop them abruptly - the dose is tapered slowly over 12 months to 2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GCA warning symptoms immediately, even while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reviews for ESR/CRP, blood glucose, blood pressure and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steroid card and inform any treating doctor about long-term steroid use (risk of adrenal suppression during illness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relapses in about a third of patients during tapering and report returning symptoms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glucocorticoids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PMR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PMR-GCA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on long-term steroids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gentle range-of-motion and stretching for the shoulders and hips as pain settles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to graded aerobic activity (walking) plus light resistance training to counter steroid-induced muscle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exercise to protect bone during long-term glucocorticoid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balance and fall-prevention work, given the elderly age group and steroid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activity to avoid overexertion during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PMR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at fracture/fall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activity into older age to preserve girdle strength, bone density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where health allows.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immobility, which accelerates stiffness and muscle wasting.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Healthy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1000-1200 mg/day calcium and adequate vitamin D (diet, sunlight and supplements) to counter steroid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good protein sources (dals, milk, curd, eggs, paneer) to protect muscle during steroid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sweets and salt to blunt steroid-induced rises in glucose and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an anti-inflammatory, plant-rich pattern with millets, whole grains,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widespread vitamin D deficiency seen in Indian elders before and during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glucocorticoids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Diabetic/hypertensive PMR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vitamin D sufficiency through safe sun exposure and diet, especially in older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calcium-rich diet to build bone reserve before any need for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high-salt and high-sugar foods that worsen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low sun exposure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the daily glucocorticoid dose in the morning to reduce steroid-related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 regular timing, dark quiet room, limiting evening caffeine.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night-time girdle pain with correct steroid dosing and positioning rather than sedatives.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persistent insomnia or steroid-related agitation to the treating doctor.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active pain/stiffness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vascular inflammation and the risk associated with giant cell arteritis.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promotes 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PMR patients with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PMR-GCA overlap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cessation at every visit given the added cardiovascular risk of PMR and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support with pharmacotherapy for higher quit rates.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established PMR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to protect bone and reduce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compounds osteoporosis and gastrointestinal bleeding risk during steroid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while on glucocorticoids, especially if also taking NSAIDs or gastroprotection is a concern.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with the treating team given individual bone and GI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steroids/NSAIDs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osteoporosis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low mood, which are common both from the illness and from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steroid-related mood swings, agitation or memory changes and report them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 control, activity, social support and, where needed, counselling to protect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that PMR generally has an excellent outcome with proper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glucocorticoids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chronic pain/disability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elderly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7274/" TargetMode="External"/><Relationship Id="rId10" Type="http://schemas.openxmlformats.org/officeDocument/2006/relationships/hyperlink" Target="https://www.mayoclinic.org/diseases-conditions/polymyalgia-rheumatica/symptoms-causes/syc-20376539" TargetMode="External"/><Relationship Id="rId11" Type="http://schemas.openxmlformats.org/officeDocument/2006/relationships/hyperlink" Target="https://pubmed.ncbi.nlm.nih.gov/41913868/" TargetMode="External"/><Relationship Id="rId12" Type="http://schemas.openxmlformats.org/officeDocument/2006/relationships/hyperlink" Target="https://www.arthritis.org/diseases/polymyalgia-rheumat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