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Juvenile Idiopathic Arthritis</w:t>
      </w:r>
    </w:p>
    <w:p>
      <w:pPr>
        <w:spacing w:before="0" w:after="160"/>
      </w:pPr>
      <w:r>
        <w:rPr>
          <w:rFonts w:ascii="Calibri" w:hAnsi="Calibri"/>
          <w:b/>
          <w:i w:val="0"/>
          <w:color w:val="212121"/>
          <w:sz w:val="22"/>
        </w:rPr>
        <w:t xml:space="preserve">AKA </w:t>
      </w:r>
      <w:r>
        <w:rPr>
          <w:rFonts w:ascii="Calibri" w:hAnsi="Calibri"/>
          <w:b w:val="0"/>
          <w:i w:val="0"/>
          <w:color w:val="212121"/>
          <w:sz w:val="22"/>
        </w:rPr>
        <w:t>i.e., JIA; Juvenile Chronic Arthritis (JCA); Juvenile Rheumatoid Arthritis (JRA, older term); Still's disease (systemic-onset form)</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Juvenile idiopathic arthritis (JIA) is the commonest chronic rheumatic disease of childhood: a heterogeneous group of arthritides of unknown cause that begin before the 16th birthday and persist for at least 6 weeks, after other identifiable causes have been excluded. It is not one disease but several distinct subtypes with different genetics, clinical features and prognosis. Chronic synovial inflammation, driven by cytokines such as TNF-alpha, IL-6 and IL-1, can lead to joint damage, growth disturbance and, in some subtypes, silent sight-threatening uveitis. In India and other Asian populations enthesitis-related arthritis and systemic-onset disease predominate, in contrast to the oligoarticular predominance of Western cohorts.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JIA is the most common chronic rheumatic disease of childhood, with a reported global incidence of about 1.6-23 new cases per 100,000 children per year and a prevalence reaching roughly 1 per 1,000 children in some (mainly White) populations. Robust community-level prevalence data for India are lacking - most Indian information comes from tertiary-care cohorts - and JIA is widely regarded as under-diagnosed and under-referred owing to a severe shortage of paediatric rheumatologists and frequent misattribution to 'growing pains' or rheumatic fever. Importantly, the Indian subtype pattern differs from the West: in series from India, China and Taiwan, enthesitis-related arthritis (ERA) and systemic-onset JIA are the commonest subtypes, whereas oligoarthritis predominates in Europe and North America.</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JIA is a clinical diagnosis of exclusion classified by the 2001 ILAR (Edmonton) criteria. The core requirement is objective arthritis (joint swelling, or limitation of motion with pain, tenderness or warmth) beginning before age 16 and lasting at least 6 weeks, with no other identifiable cause. The number of joints involved in the first 6 months and the presence of systemic or entheseal features then assign the subtype. Supportive workup:</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Arthritis of one or more joints, onset before 16 years and duration &gt;= 6 weeks, with other causes (infection, malignancy, reactive/rheumatic fever, trauma) excluded;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Joint count in the first 6 months (&lt;= 4 joints = oligoarthritis; &gt;= 5 joints = polyarthritis) plus systemic and entheseal features determine the ILAR subtype;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Inflammatory markers ESR and CRP - often raised, may be normal in oligoarthritis but markedly high (with very high ferritin) in systemic JIA;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Antinuclear antibody (ANA) - a key predictor of chronic anterior uveitis that dictates slit-lamp screening frequency;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Rheumatoid factor (RF) - two positive tests at least 3 months apart define RF-positive polyarthritis; anti-CCP antibodies indicate a more erosive, poorer-prognosis course;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HLA-B27 - supports enthesitis-related arthritis, being positive in about three-quarters of ERA cases;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Exclusion tests: full blood count with film (and marrow if leukaemia is suspected, as it can mimic JIA), blood cultures and joint aspiration to exclude septic arthritis, and ferritin/fibrinogen/AST/triglycerides if macrophage activation syndrome is suspected;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Imaging - joint ultrasound or MRI to confirm synovitis/effusion/erosions, and MRI of the sacroiliac joints for suspected axial ERA;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Mandatory slit-lamp ophthalmological screening even when the eye is asymptomatic, because JIA uveitis is typically silent.</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Under the ILAR 2001 system - still standard in India - JIA is divided into seven mutually exclusive categories (a newer 2019 PReS/PRINTO proposal exists but is not yet in routine use):</w:t>
      </w:r>
    </w:p>
    <w:p>
      <w:pPr>
        <w:spacing w:before="0" w:after="80"/>
      </w:pPr>
      <w:r>
        <w:rPr>
          <w:rFonts w:ascii="Calibri" w:hAnsi="Calibri"/>
          <w:b w:val="0"/>
          <w:i w:val="0"/>
          <w:color w:val="212121"/>
          <w:sz w:val="21"/>
        </w:rPr>
        <w:t>(1) Oligoarticular JIA - &lt;= 4 joints in the first 6 months; the commonest subtype in the West (about 50-60%) but proportionately less common in India; typically young ANA-positive girls with the highest risk of chronic uveitis. It is sub-divided into 'persistent' (never more than 4 joints) and 'extended' (spreads to &gt;= 5 joints after 6 months);</w:t>
      </w:r>
    </w:p>
    <w:p>
      <w:pPr>
        <w:spacing w:before="0" w:after="80"/>
      </w:pPr>
      <w:r>
        <w:rPr>
          <w:rFonts w:ascii="Calibri" w:hAnsi="Calibri"/>
          <w:b w:val="0"/>
          <w:i w:val="0"/>
          <w:color w:val="212121"/>
          <w:sz w:val="21"/>
        </w:rPr>
        <w:t>(2) RF-negative polyarticular JIA - &gt;= 5 joints in the first 6 months with negative rheumatoid factor (about 11-28%); symmetric small- and large-joint involvement;</w:t>
      </w:r>
    </w:p>
    <w:p>
      <w:pPr>
        <w:spacing w:before="0" w:after="80"/>
      </w:pPr>
      <w:r>
        <w:rPr>
          <w:rFonts w:ascii="Calibri" w:hAnsi="Calibri"/>
          <w:b w:val="0"/>
          <w:i w:val="0"/>
          <w:color w:val="212121"/>
          <w:sz w:val="21"/>
        </w:rPr>
        <w:t>(3) RF-positive polyarticular JIA - &gt;= 5 joints with RF positive on two occasions (about 2-7%); usually adolescent girls, behaves like and evolves into adult rheumatoid arthritis and is the most erosive subtype;</w:t>
      </w:r>
    </w:p>
    <w:p>
      <w:pPr>
        <w:spacing w:before="0" w:after="80"/>
      </w:pPr>
      <w:r>
        <w:rPr>
          <w:rFonts w:ascii="Calibri" w:hAnsi="Calibri"/>
          <w:b w:val="0"/>
          <w:i w:val="0"/>
          <w:color w:val="212121"/>
          <w:sz w:val="21"/>
        </w:rPr>
        <w:t>(4) Systemic-onset JIA (Still's disease) - arthritis with, or preceded by, quotidian spiking fever for &gt;= 2 weeks plus an evanescent rash, lymphadenopathy, hepatosplenomegaly or serositis (about 10-20%); one of the commonest subtypes in India and the one prone to life-threatening macrophage activation syndrome;</w:t>
      </w:r>
    </w:p>
    <w:p>
      <w:pPr>
        <w:spacing w:before="0" w:after="80"/>
      </w:pPr>
      <w:r>
        <w:rPr>
          <w:rFonts w:ascii="Calibri" w:hAnsi="Calibri"/>
          <w:b w:val="0"/>
          <w:i w:val="0"/>
          <w:color w:val="212121"/>
          <w:sz w:val="21"/>
        </w:rPr>
        <w:t>(5) Enthesitis-related arthritis (ERA) - arthritis and/or enthesitis with features such as HLA-B27 positivity, sacroiliac/inflammatory back pain and acute symptomatic anterior uveitis; predominantly boys over 6 years and the commonest or co-commonest subtype in Indian cohorts;</w:t>
      </w:r>
    </w:p>
    <w:p>
      <w:pPr>
        <w:spacing w:before="0" w:after="80"/>
      </w:pPr>
      <w:r>
        <w:rPr>
          <w:rFonts w:ascii="Calibri" w:hAnsi="Calibri"/>
          <w:b w:val="0"/>
          <w:i w:val="0"/>
          <w:color w:val="212121"/>
          <w:sz w:val="21"/>
        </w:rPr>
        <w:t>(6) Juvenile psoriatic arthritis - arthritis with psoriasis, or arthritis plus at least two of dactylitis, nail pitting/onycholysis or a first-degree family history of psoriasis;</w:t>
      </w:r>
    </w:p>
    <w:p>
      <w:pPr>
        <w:spacing w:before="0" w:after="80"/>
      </w:pPr>
      <w:r>
        <w:rPr>
          <w:rFonts w:ascii="Calibri" w:hAnsi="Calibri"/>
          <w:b w:val="0"/>
          <w:i w:val="0"/>
          <w:color w:val="212121"/>
          <w:sz w:val="21"/>
        </w:rPr>
        <w:t>(7) Undifferentiated arthritis - arthritis that fits no category or overlaps two or more of the above.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Immune dysregulation: aberrant activation of innate and adaptive immunity with over-production of the pro-inflammatory cytokines TNF-alpha, IL-6 and IL-1 driving chronic synovitis; these are the targets of modern biologic therapy.</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Genetic susceptibility: strong HLA associations (HLA-B27 with ERA; HLA-DRB1/DR8/DR5 with early-onset oligoarticular disease) and many non-HLA loci; the relative risk in siblings of an affected child is about 15-30 times that of the general population, although overt family clustering is uncommon.</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Environmental and microbial triggers: a gene-environment interaction is thought to initiate disease, with infections, early-life antibiotic exposure and caesarean delivery reported as potential risk factors.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Autoimmune versus autoinflammatory mechanisms: oligo- and polyarticular subtypes are largely antigen-driven (T-cell, ANA) autoimmune diseases, whereas systemic JIA is predominantly autoinflammatory, driven by innate IL-1 and IL-6 like a periodic fever syndrome.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Age and sex: onset is by definition before 16; most subtypes favour girls, but ERA affects mainly boys over 6 years and systemic JIA affects both sexes equally.</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Biomechanical entheseal stress (ERA): in HLA-B27-primed children, mechanical stress at entheses may trigger the local inflammation that characterises enthesitis-related disease.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Toddlers &amp; pre-school children (1-5 years)</w:t>
            </w:r>
          </w:p>
        </w:tc>
        <w:tc>
          <w:tcPr>
            <w:tcW w:type="dxa" w:w="4276"/>
            <w:vAlign w:val="top"/>
          </w:tcPr>
          <w:p>
            <w:pPr>
              <w:spacing w:after="60" w:line="259" w:lineRule="auto"/>
            </w:pPr>
            <w:r>
              <w:rPr>
                <w:rFonts w:ascii="Calibri" w:hAnsi="Calibri"/>
                <w:b w:val="0"/>
                <w:i w:val="0"/>
                <w:color w:val="212121"/>
                <w:sz w:val="19"/>
              </w:rPr>
              <w:t>Early childhood is the peak onset for ANA-positive oligoarticular JIA, which carries the highest risk of chronic, silent anterior uveitis. Young children rarely verbalise pain and instead present with a limp or refusal to use a limb.</w:t>
            </w:r>
          </w:p>
          <w:p>
            <w:pPr>
              <w:spacing w:after="40" w:before="60" w:line="259" w:lineRule="auto"/>
            </w:pPr>
            <w:r>
              <w:rPr>
                <w:rFonts w:ascii="Calibri" w:hAnsi="Calibri"/>
                <w:b w:val="0"/>
                <w:i w:val="0"/>
                <w:color w:val="212121"/>
                <w:sz w:val="19"/>
              </w:rPr>
              <w:t>Oligoarthritis is the commonest Western subtype (about 50-60% of JIA) and typically begins in girls before the age of 6 years.</w:t>
            </w:r>
          </w:p>
          <w:p>
            <w:pPr>
              <w:spacing w:after="40" w:line="252" w:lineRule="auto"/>
            </w:pPr>
            <w:hyperlink r:id="rId9">
              <w:r>
                <w:rPr>
                  <w:rFonts w:ascii="Calibri" w:hAnsi="Calibri" w:cs="Calibri"/>
                  <w:sz w:val="18"/>
                  <w:color w:val="1155CC"/>
                  <w:u w:val="single"/>
                </w:rPr>
                <w:t xml:space="preserve">ncbi.nlm.nih.gov - StatPearls: Juvenile Idiopathic Arthritis</w:t>
              </w:r>
            </w:hyperlink>
          </w:p>
          <w:p>
            <w:pPr>
              <w:spacing w:before="60" w:after="40"/>
            </w:pPr>
            <w:r>
              <w:rPr>
                <w:rFonts w:ascii="Calibri" w:hAnsi="Calibri"/>
                <w:b w:val="0"/>
                <w:i w:val="0"/>
                <w:color w:val="5A5A5A"/>
                <w:sz w:val="18"/>
              </w:rPr>
              <w:t>#jia  #oligoarthritis  #toddlers  #silentuveitis  #ANApositive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School-age &amp; adolescent boys (&gt;6 years)</w:t>
            </w:r>
          </w:p>
        </w:tc>
        <w:tc>
          <w:tcPr>
            <w:tcW w:type="dxa" w:w="4276"/>
            <w:vAlign w:val="top"/>
          </w:tcPr>
          <w:p>
            <w:pPr>
              <w:spacing w:after="60" w:line="259" w:lineRule="auto"/>
            </w:pPr>
            <w:r>
              <w:rPr>
                <w:rFonts w:ascii="Calibri" w:hAnsi="Calibri"/>
                <w:b w:val="0"/>
                <w:i w:val="0"/>
                <w:color w:val="212121"/>
                <w:sz w:val="19"/>
              </w:rPr>
              <w:t>Enthesitis-related arthritis characteristically begins in boys over 6, with heel/foot enthesitis, lower-limb arthritis and later sacroiliac/inflammatory back pain. This is the dominant pattern seen in Indian clinics.</w:t>
            </w:r>
          </w:p>
          <w:p>
            <w:pPr>
              <w:spacing w:after="40" w:before="60" w:line="259" w:lineRule="auto"/>
            </w:pPr>
            <w:r>
              <w:rPr>
                <w:rFonts w:ascii="Calibri" w:hAnsi="Calibri"/>
                <w:b w:val="0"/>
                <w:i w:val="0"/>
                <w:color w:val="212121"/>
                <w:sz w:val="19"/>
              </w:rPr>
              <w:t>ERA is more common in males above the age of 6 years and, with systemic JIA, is among the commonest subtypes in Indian, Chinese and Taiwanese series.</w:t>
            </w:r>
          </w:p>
          <w:p>
            <w:pPr>
              <w:spacing w:after="40" w:line="252" w:lineRule="auto"/>
            </w:pPr>
            <w:hyperlink r:id="rId10">
              <w:r>
                <w:rPr>
                  <w:rFonts w:ascii="Calibri" w:hAnsi="Calibri" w:cs="Calibri"/>
                  <w:sz w:val="18"/>
                  <w:color w:val="1155CC"/>
                  <w:u w:val="single"/>
                </w:rPr>
                <w:t xml:space="preserve">dovepress.com - Enthesitis-related arthritis: current perspectives</w:t>
              </w:r>
            </w:hyperlink>
          </w:p>
          <w:p>
            <w:pPr>
              <w:spacing w:before="60" w:after="40"/>
            </w:pPr>
            <w:r>
              <w:rPr>
                <w:rFonts w:ascii="Calibri" w:hAnsi="Calibri"/>
                <w:b w:val="0"/>
                <w:i w:val="0"/>
                <w:color w:val="5A5A5A"/>
                <w:sz w:val="18"/>
              </w:rPr>
              <w:t>#ERA  #adolescentboys  #enthesitis  #spondyloarthritis  #Indianpattern</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Girls</w:t>
            </w:r>
          </w:p>
        </w:tc>
        <w:tc>
          <w:tcPr>
            <w:tcW w:type="dxa" w:w="4276"/>
            <w:vAlign w:val="top"/>
          </w:tcPr>
          <w:p>
            <w:pPr>
              <w:spacing w:after="60" w:line="259" w:lineRule="auto"/>
            </w:pPr>
            <w:r>
              <w:rPr>
                <w:rFonts w:ascii="Calibri" w:hAnsi="Calibri"/>
                <w:b w:val="0"/>
                <w:i w:val="0"/>
                <w:color w:val="212121"/>
                <w:sz w:val="19"/>
              </w:rPr>
              <w:t>Most JIA subtypes - oligoarticular, RF-negative and especially RF-positive polyarticular disease - are female-predominant, and girls (particularly ANA-positive young girls) carry the greatest chronic uveitis risk.</w:t>
            </w:r>
          </w:p>
          <w:p>
            <w:pPr>
              <w:spacing w:after="40" w:before="60" w:line="259" w:lineRule="auto"/>
            </w:pPr>
            <w:r>
              <w:rPr>
                <w:rFonts w:ascii="Calibri" w:hAnsi="Calibri"/>
                <w:b w:val="0"/>
                <w:i w:val="0"/>
                <w:color w:val="212121"/>
                <w:sz w:val="19"/>
              </w:rPr>
              <w:t>Most subtypes predominantly affect females; RF-positive polyarthritis is most common in preteen and teenage girls.</w:t>
            </w:r>
          </w:p>
          <w:p>
            <w:pPr>
              <w:spacing w:after="40" w:line="252" w:lineRule="auto"/>
            </w:pPr>
            <w:hyperlink r:id="rId11">
              <w:r>
                <w:rPr>
                  <w:rFonts w:ascii="Calibri" w:hAnsi="Calibri" w:cs="Calibri"/>
                  <w:sz w:val="18"/>
                  <w:color w:val="1155CC"/>
                  <w:u w:val="single"/>
                </w:rPr>
                <w:t xml:space="preserve">arthritis.org - juvenile idiopathic arthritis</w:t>
              </w:r>
            </w:hyperlink>
          </w:p>
          <w:p>
            <w:pPr>
              <w:spacing w:before="60" w:after="40"/>
            </w:pPr>
            <w:r>
              <w:rPr>
                <w:rFonts w:ascii="Calibri" w:hAnsi="Calibri"/>
                <w:b w:val="0"/>
                <w:i w:val="0"/>
                <w:color w:val="5A5A5A"/>
                <w:sz w:val="18"/>
              </w:rPr>
              <w:t>#female  #uveitisrisk  #polyarthritis  #ANA  #girls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Boys</w:t>
            </w:r>
          </w:p>
        </w:tc>
        <w:tc>
          <w:tcPr>
            <w:tcW w:type="dxa" w:w="4276"/>
            <w:vAlign w:val="top"/>
          </w:tcPr>
          <w:p>
            <w:pPr>
              <w:spacing w:after="60" w:line="259" w:lineRule="auto"/>
            </w:pPr>
            <w:r>
              <w:rPr>
                <w:rFonts w:ascii="Calibri" w:hAnsi="Calibri"/>
                <w:b w:val="0"/>
                <w:i w:val="0"/>
                <w:color w:val="212121"/>
                <w:sz w:val="19"/>
              </w:rPr>
              <w:t>Boys predominate in enthesitis-related arthritis - the leading Indian subtype - which is strongly HLA-B27 associated and evolves towards juvenile-onset spondyloarthritis.</w:t>
            </w:r>
          </w:p>
          <w:p>
            <w:pPr>
              <w:spacing w:after="40" w:before="60" w:line="259" w:lineRule="auto"/>
            </w:pPr>
            <w:r>
              <w:rPr>
                <w:rFonts w:ascii="Calibri" w:hAnsi="Calibri"/>
                <w:b w:val="0"/>
                <w:i w:val="0"/>
                <w:color w:val="212121"/>
                <w:sz w:val="19"/>
              </w:rPr>
              <w:t>Enthesitis-related arthritis affects mainly males; about three-quarters of ERA patients are HLA-B27 positive.</w:t>
            </w:r>
          </w:p>
          <w:p>
            <w:pPr>
              <w:spacing w:after="40" w:line="252" w:lineRule="auto"/>
            </w:pPr>
            <w:hyperlink r:id="rId10">
              <w:r>
                <w:rPr>
                  <w:rFonts w:ascii="Calibri" w:hAnsi="Calibri" w:cs="Calibri"/>
                  <w:sz w:val="18"/>
                  <w:color w:val="1155CC"/>
                  <w:u w:val="single"/>
                </w:rPr>
                <w:t xml:space="preserve">dovepress.com - Enthesitis-related arthritis: current perspectives</w:t>
              </w:r>
            </w:hyperlink>
          </w:p>
          <w:p>
            <w:pPr>
              <w:spacing w:before="60" w:after="40"/>
            </w:pPr>
            <w:r>
              <w:rPr>
                <w:rFonts w:ascii="Calibri" w:hAnsi="Calibri"/>
                <w:b w:val="0"/>
                <w:i w:val="0"/>
                <w:color w:val="5A5A5A"/>
                <w:sz w:val="18"/>
              </w:rPr>
              <w:t>#male  #HLAB27  #ERA  #juvenilespondyloarthritis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&amp; rural Indian children</w:t>
            </w:r>
          </w:p>
        </w:tc>
        <w:tc>
          <w:tcPr>
            <w:tcW w:type="dxa" w:w="4276"/>
            <w:vAlign w:val="top"/>
          </w:tcPr>
          <w:p>
            <w:pPr>
              <w:spacing w:after="60" w:line="259" w:lineRule="auto"/>
            </w:pPr>
            <w:r>
              <w:rPr>
                <w:rFonts w:ascii="Calibri" w:hAnsi="Calibri"/>
                <w:b w:val="0"/>
                <w:i w:val="0"/>
                <w:color w:val="212121"/>
                <w:sz w:val="19"/>
              </w:rPr>
              <w:t>Scarce paediatric rheumatology services, low awareness and out-of-pocket costs of methotrexate and biologics cause diagnostic delay and under-treatment in India, so children often present late with established deformity, contractures or uveitis-related visual loss.</w:t>
            </w:r>
          </w:p>
          <w:p>
            <w:pPr>
              <w:spacing w:after="40" w:before="60" w:line="259" w:lineRule="auto"/>
            </w:pPr>
            <w:r>
              <w:rPr>
                <w:rFonts w:ascii="Calibri" w:hAnsi="Calibri"/>
                <w:b w:val="0"/>
                <w:i w:val="0"/>
                <w:color w:val="212121"/>
                <w:sz w:val="19"/>
              </w:rPr>
              <w:t>Indian JIA data derive almost entirely from tertiary-care cohorts rather than community screening, reflecting limited access and under-recognition.</w:t>
            </w:r>
          </w:p>
          <w:p>
            <w:pPr>
              <w:spacing w:after="40" w:line="252" w:lineRule="auto"/>
            </w:pPr>
            <w:hyperlink r:id="rId12">
              <w:r>
                <w:rPr>
                  <w:rFonts w:ascii="Calibri" w:hAnsi="Calibri" w:cs="Calibri"/>
                  <w:sz w:val="18"/>
                  <w:color w:val="1155CC"/>
                  <w:u w:val="single"/>
                </w:rPr>
                <w:t xml:space="preserve">pubmed.ncbi.nlm.nih.gov/36702467 - long-term outcomes of ERA, Indian cohort</w:t>
              </w:r>
            </w:hyperlink>
          </w:p>
          <w:p>
            <w:pPr>
              <w:spacing w:before="60" w:after="40"/>
            </w:pPr>
            <w:r>
              <w:rPr>
                <w:rFonts w:ascii="Calibri" w:hAnsi="Calibri"/>
                <w:b w:val="0"/>
                <w:i w:val="0"/>
                <w:color w:val="5A5A5A"/>
                <w:sz w:val="18"/>
              </w:rPr>
              <w:t>#accessgap  #ruralindia  #delayeddiagnosis  #biologiccost  #underdiagnosis</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Indian &amp; other Asian children</w:t>
            </w:r>
          </w:p>
        </w:tc>
        <w:tc>
          <w:tcPr>
            <w:tcW w:type="dxa" w:w="4276"/>
            <w:vAlign w:val="top"/>
          </w:tcPr>
          <w:p>
            <w:pPr>
              <w:spacing w:after="60" w:line="259" w:lineRule="auto"/>
            </w:pPr>
            <w:r>
              <w:rPr>
                <w:rFonts w:ascii="Calibri" w:hAnsi="Calibri"/>
                <w:b w:val="0"/>
                <w:i w:val="0"/>
                <w:color w:val="212121"/>
                <w:sz w:val="19"/>
              </w:rPr>
              <w:t>The subtype spectrum in India differs fundamentally from the West: enthesitis-related arthritis and systemic-onset JIA dominate while ANA-positive oligoarthritis (and hence chronic uveitis) is proportionately less common, shifting screening and treatment priorities.</w:t>
            </w:r>
          </w:p>
          <w:p>
            <w:pPr>
              <w:spacing w:after="40" w:before="60" w:line="259" w:lineRule="auto"/>
            </w:pPr>
            <w:r>
              <w:rPr>
                <w:rFonts w:ascii="Calibri" w:hAnsi="Calibri"/>
                <w:b w:val="0"/>
                <w:i w:val="0"/>
                <w:color w:val="212121"/>
                <w:sz w:val="19"/>
              </w:rPr>
              <w:t>In Asian populations, including series from India, China and Taiwan, systemic-onset JIA and ERA are the commonest described subtypes, unlike the oligoarticular predominance of Europe/North America.</w:t>
            </w:r>
          </w:p>
          <w:p>
            <w:pPr>
              <w:spacing w:after="40" w:line="252" w:lineRule="auto"/>
            </w:pPr>
            <w:hyperlink r:id="rId10">
              <w:r>
                <w:rPr>
                  <w:rFonts w:ascii="Calibri" w:hAnsi="Calibri" w:cs="Calibri"/>
                  <w:sz w:val="18"/>
                  <w:color w:val="1155CC"/>
                  <w:u w:val="single"/>
                </w:rPr>
                <w:t xml:space="preserve">dovepress.com - Enthesitis-related arthritis: current perspectives</w:t>
              </w:r>
            </w:hyperlink>
          </w:p>
          <w:p>
            <w:pPr>
              <w:spacing w:before="60" w:after="40"/>
            </w:pPr>
            <w:r>
              <w:rPr>
                <w:rFonts w:ascii="Calibri" w:hAnsi="Calibri"/>
                <w:b w:val="0"/>
                <w:i w:val="0"/>
                <w:color w:val="5A5A5A"/>
                <w:sz w:val="18"/>
              </w:rPr>
              <w:t>#India  #asianpattern  #ERApredominant  #systemicJIA  #subtypeshift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White European / North American children</w:t>
            </w:r>
          </w:p>
        </w:tc>
        <w:tc>
          <w:tcPr>
            <w:tcW w:type="dxa" w:w="4276"/>
            <w:vAlign w:val="top"/>
          </w:tcPr>
          <w:p>
            <w:pPr>
              <w:spacing w:after="60" w:line="259" w:lineRule="auto"/>
            </w:pPr>
            <w:r>
              <w:rPr>
                <w:rFonts w:ascii="Calibri" w:hAnsi="Calibri"/>
                <w:b w:val="0"/>
                <w:i w:val="0"/>
                <w:color w:val="212121"/>
                <w:sz w:val="19"/>
              </w:rPr>
              <w:t>White populations show the highest reported prevalence and a preponderance of ANA-positive oligoarticular disease, giving these children a comparatively higher burden of chronic anterior uveitis.</w:t>
            </w:r>
          </w:p>
          <w:p>
            <w:pPr>
              <w:spacing w:after="40" w:before="60" w:line="259" w:lineRule="auto"/>
            </w:pPr>
            <w:r>
              <w:rPr>
                <w:rFonts w:ascii="Calibri" w:hAnsi="Calibri"/>
                <w:b w:val="0"/>
                <w:i w:val="0"/>
                <w:color w:val="212121"/>
                <w:sz w:val="19"/>
              </w:rPr>
              <w:t>Prevalence in White populations is about 1.2 per 1,000 children, with oligoarthritis the commonest subtype.</w:t>
            </w:r>
          </w:p>
          <w:p>
            <w:pPr>
              <w:spacing w:after="40" w:line="252" w:lineRule="auto"/>
            </w:pPr>
            <w:hyperlink r:id="rId9">
              <w:r>
                <w:rPr>
                  <w:rFonts w:ascii="Calibri" w:hAnsi="Calibri" w:cs="Calibri"/>
                  <w:sz w:val="18"/>
                  <w:color w:val="1155CC"/>
                  <w:u w:val="single"/>
                </w:rPr>
                <w:t xml:space="preserve">ncbi.nlm.nih.gov - StatPearls: Juvenile Idiopathic Arthritis</w:t>
              </w:r>
            </w:hyperlink>
          </w:p>
          <w:p>
            <w:pPr>
              <w:spacing w:before="60" w:after="40"/>
            </w:pPr>
            <w:r>
              <w:rPr>
                <w:rFonts w:ascii="Calibri" w:hAnsi="Calibri"/>
                <w:b w:val="0"/>
                <w:i w:val="0"/>
                <w:color w:val="5A5A5A"/>
                <w:sz w:val="18"/>
              </w:rPr>
              <w:t>#white  #oligoarthritis  #uveitisburden  #westernpattern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Early-life environment</w:t>
            </w:r>
          </w:p>
        </w:tc>
        <w:tc>
          <w:tcPr>
            <w:tcW w:type="dxa" w:w="2160"/>
            <w:vAlign w:val="top"/>
          </w:tcPr>
          <w:p>
            <w:pPr>
              <w:spacing w:after="40" w:before="0" w:line="259" w:lineRule="auto"/>
            </w:pPr>
            <w:r>
              <w:rPr>
                <w:rFonts w:ascii="Calibri" w:hAnsi="Calibri"/>
                <w:b w:val="0"/>
                <w:i w:val="0"/>
                <w:color w:val="212121"/>
                <w:sz w:val="19"/>
              </w:rPr>
              <w:t>Children with early antibiotic or caesarean exposure</w:t>
            </w:r>
          </w:p>
        </w:tc>
        <w:tc>
          <w:tcPr>
            <w:tcW w:type="dxa" w:w="4276"/>
            <w:vAlign w:val="top"/>
          </w:tcPr>
          <w:p>
            <w:pPr>
              <w:spacing w:after="60" w:line="259" w:lineRule="auto"/>
            </w:pPr>
            <w:r>
              <w:rPr>
                <w:rFonts w:ascii="Calibri" w:hAnsi="Calibri"/>
                <w:b w:val="0"/>
                <w:i w:val="0"/>
                <w:color w:val="212121"/>
                <w:sz w:val="19"/>
              </w:rPr>
              <w:t>Environmental modifiers acting on a susceptible genome are implicated in triggering JIA, plausibly through effects on the developing gut microbiome and immune programming.</w:t>
            </w:r>
          </w:p>
          <w:p>
            <w:pPr>
              <w:spacing w:after="40" w:before="60" w:line="259" w:lineRule="auto"/>
            </w:pPr>
            <w:r>
              <w:rPr>
                <w:rFonts w:ascii="Calibri" w:hAnsi="Calibri"/>
                <w:b w:val="0"/>
                <w:i w:val="0"/>
                <w:color w:val="212121"/>
                <w:sz w:val="19"/>
              </w:rPr>
              <w:t>Antibiotic exposure and caesarean delivery have been reported as potential environmental risk factors for JIA.</w:t>
            </w:r>
          </w:p>
          <w:p>
            <w:pPr>
              <w:spacing w:after="40" w:line="252" w:lineRule="auto"/>
            </w:pPr>
            <w:hyperlink r:id="rId9">
              <w:r>
                <w:rPr>
                  <w:rFonts w:ascii="Calibri" w:hAnsi="Calibri" w:cs="Calibri"/>
                  <w:sz w:val="18"/>
                  <w:color w:val="1155CC"/>
                  <w:u w:val="single"/>
                </w:rPr>
                <w:t xml:space="preserve">ncbi.nlm.nih.gov - StatPearls: Juvenile Idiopathic Arthritis</w:t>
              </w:r>
            </w:hyperlink>
          </w:p>
          <w:p>
            <w:pPr>
              <w:spacing w:before="60" w:after="40"/>
            </w:pPr>
            <w:r>
              <w:rPr>
                <w:rFonts w:ascii="Calibri" w:hAnsi="Calibri"/>
                <w:b w:val="0"/>
                <w:i w:val="0"/>
                <w:color w:val="5A5A5A"/>
                <w:sz w:val="18"/>
              </w:rPr>
              <w:t>#microbiome  #antibiotics  #csection  #geneenvironment</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 / deconditioning</w:t>
            </w:r>
          </w:p>
        </w:tc>
        <w:tc>
          <w:tcPr>
            <w:tcW w:type="dxa" w:w="2160"/>
            <w:vAlign w:val="top"/>
          </w:tcPr>
          <w:p>
            <w:pPr>
              <w:spacing w:after="40" w:before="0" w:line="259" w:lineRule="auto"/>
            </w:pPr>
            <w:r>
              <w:rPr>
                <w:rFonts w:ascii="Calibri" w:hAnsi="Calibri"/>
                <w:b w:val="0"/>
                <w:i w:val="0"/>
                <w:color w:val="212121"/>
                <w:sz w:val="19"/>
              </w:rPr>
              <w:t>Physically inactive children with JIA</w:t>
            </w:r>
          </w:p>
        </w:tc>
        <w:tc>
          <w:tcPr>
            <w:tcW w:type="dxa" w:w="4276"/>
            <w:vAlign w:val="top"/>
          </w:tcPr>
          <w:p>
            <w:pPr>
              <w:spacing w:after="60" w:line="259" w:lineRule="auto"/>
            </w:pPr>
            <w:r>
              <w:rPr>
                <w:rFonts w:ascii="Calibri" w:hAnsi="Calibri"/>
                <w:b w:val="0"/>
                <w:i w:val="0"/>
                <w:color w:val="212121"/>
                <w:sz w:val="19"/>
              </w:rPr>
              <w:t>Inactivity does not cause JIA but rapidly worsens it: disuse leads to muscle wasting around inflamed joints, flexion contractures, stiffness and low bone density, compounding the disease and steroid effects.</w:t>
            </w:r>
          </w:p>
          <w:p>
            <w:pPr>
              <w:spacing w:after="40" w:before="60" w:line="259" w:lineRule="auto"/>
            </w:pPr>
            <w:r>
              <w:rPr>
                <w:rFonts w:ascii="Calibri" w:hAnsi="Calibri"/>
                <w:b w:val="0"/>
                <w:i w:val="0"/>
                <w:color w:val="212121"/>
                <w:sz w:val="19"/>
              </w:rPr>
              <w:t>Physical therapy focused on range of motion and low-impact activity (swimming is frequently recommended) is a core part of JIA management to preserve function.</w:t>
            </w:r>
          </w:p>
          <w:p>
            <w:pPr>
              <w:spacing w:after="40" w:line="252" w:lineRule="auto"/>
            </w:pPr>
            <w:hyperlink r:id="rId9">
              <w:r>
                <w:rPr>
                  <w:rFonts w:ascii="Calibri" w:hAnsi="Calibri" w:cs="Calibri"/>
                  <w:sz w:val="18"/>
                  <w:color w:val="1155CC"/>
                  <w:u w:val="single"/>
                </w:rPr>
                <w:t xml:space="preserve">ncbi.nlm.nih.gov - StatPearls: Juvenile Idiopathic Arthritis</w:t>
              </w:r>
            </w:hyperlink>
          </w:p>
          <w:p>
            <w:pPr>
              <w:spacing w:before="60" w:after="40"/>
            </w:pPr>
            <w:r>
              <w:rPr>
                <w:rFonts w:ascii="Calibri" w:hAnsi="Calibri"/>
                <w:b w:val="0"/>
                <w:i w:val="0"/>
                <w:color w:val="5A5A5A"/>
                <w:sz w:val="18"/>
              </w:rPr>
              <w:t>#deconditioning  #contractures  #musclewasting  #physiotherapy  #lowbmd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Mechanical / entheseal stress</w:t>
            </w:r>
          </w:p>
        </w:tc>
        <w:tc>
          <w:tcPr>
            <w:tcW w:type="dxa" w:w="2160"/>
            <w:vAlign w:val="top"/>
          </w:tcPr>
          <w:p>
            <w:pPr>
              <w:spacing w:after="40" w:before="0" w:line="259" w:lineRule="auto"/>
            </w:pPr>
            <w:r>
              <w:rPr>
                <w:rFonts w:ascii="Calibri" w:hAnsi="Calibri"/>
                <w:b w:val="0"/>
                <w:i w:val="0"/>
                <w:color w:val="212121"/>
                <w:sz w:val="19"/>
              </w:rPr>
              <w:t>Adolescents in high-impact sport (ERA)</w:t>
            </w:r>
          </w:p>
        </w:tc>
        <w:tc>
          <w:tcPr>
            <w:tcW w:type="dxa" w:w="4276"/>
            <w:vAlign w:val="top"/>
          </w:tcPr>
          <w:p>
            <w:pPr>
              <w:spacing w:after="60" w:line="259" w:lineRule="auto"/>
            </w:pPr>
            <w:r>
              <w:rPr>
                <w:rFonts w:ascii="Calibri" w:hAnsi="Calibri"/>
                <w:b w:val="0"/>
                <w:i w:val="0"/>
                <w:color w:val="212121"/>
                <w:sz w:val="19"/>
              </w:rPr>
              <w:t>In HLA-B27-primed children, repetitive mechanical loading at entheses (Achilles, plantar fascia, tibial tuberosity) may provoke or aggravate the enthesitis that defines ERA.</w:t>
            </w:r>
          </w:p>
          <w:p>
            <w:pPr>
              <w:spacing w:after="40" w:before="60" w:line="259" w:lineRule="auto"/>
            </w:pPr>
            <w:r>
              <w:rPr>
                <w:rFonts w:ascii="Calibri" w:hAnsi="Calibri"/>
                <w:b w:val="0"/>
                <w:i w:val="0"/>
                <w:color w:val="212121"/>
                <w:sz w:val="19"/>
              </w:rPr>
              <w:t>ERA characteristically causes enthesitis with or without sacroiliitis in boys over 6 years.</w:t>
            </w:r>
          </w:p>
          <w:p>
            <w:pPr>
              <w:spacing w:after="40" w:line="252" w:lineRule="auto"/>
            </w:pPr>
            <w:hyperlink r:id="rId10">
              <w:r>
                <w:rPr>
                  <w:rFonts w:ascii="Calibri" w:hAnsi="Calibri" w:cs="Calibri"/>
                  <w:sz w:val="18"/>
                  <w:color w:val="1155CC"/>
                  <w:u w:val="single"/>
                </w:rPr>
                <w:t xml:space="preserve">dovepress.com - Enthesitis-related arthritis: current perspectives</w:t>
              </w:r>
            </w:hyperlink>
          </w:p>
          <w:p>
            <w:pPr>
              <w:spacing w:before="60" w:after="40"/>
            </w:pPr>
            <w:r>
              <w:rPr>
                <w:rFonts w:ascii="Calibri" w:hAnsi="Calibri"/>
                <w:b w:val="0"/>
                <w:i w:val="0"/>
                <w:color w:val="5A5A5A"/>
                <w:sz w:val="18"/>
              </w:rPr>
              <w:t>#enthesitis  #mechanicalstress  #HLAB27  #sport  #heelpain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 / smoke exposure</w:t>
            </w:r>
          </w:p>
        </w:tc>
        <w:tc>
          <w:tcPr>
            <w:tcW w:type="dxa" w:w="2160"/>
            <w:vAlign w:val="top"/>
          </w:tcPr>
          <w:p>
            <w:pPr>
              <w:spacing w:after="40" w:before="0" w:line="259" w:lineRule="auto"/>
            </w:pPr>
            <w:r>
              <w:rPr>
                <w:rFonts w:ascii="Calibri" w:hAnsi="Calibri"/>
                <w:b w:val="0"/>
                <w:i w:val="0"/>
                <w:color w:val="212121"/>
                <w:sz w:val="19"/>
              </w:rPr>
              <w:t>Adolescent smokers &amp; children in smoking households</w:t>
            </w:r>
          </w:p>
        </w:tc>
        <w:tc>
          <w:tcPr>
            <w:tcW w:type="dxa" w:w="4276"/>
            <w:vAlign w:val="top"/>
          </w:tcPr>
          <w:p>
            <w:pPr>
              <w:spacing w:after="60" w:line="259" w:lineRule="auto"/>
            </w:pPr>
            <w:r>
              <w:rPr>
                <w:rFonts w:ascii="Calibri" w:hAnsi="Calibri"/>
                <w:b w:val="0"/>
                <w:i w:val="0"/>
                <w:color w:val="212121"/>
                <w:sz w:val="19"/>
              </w:rPr>
              <w:t>Active smoking in adolescents and passive household smoke promote systemic inflammation, are linked to worse spondyloarthritis outcomes, and add long-term cardiovascular and infection risk on top of immunosuppressive therapy.</w:t>
            </w:r>
          </w:p>
          <w:p>
            <w:pPr>
              <w:spacing w:after="40" w:before="60" w:line="259" w:lineRule="auto"/>
            </w:pPr>
            <w:r>
              <w:rPr>
                <w:rFonts w:ascii="Calibri" w:hAnsi="Calibri"/>
                <w:b w:val="0"/>
                <w:i w:val="0"/>
                <w:color w:val="212121"/>
                <w:sz w:val="19"/>
              </w:rPr>
              <w:t>Smoking is a recognised aggravator of spondyloarthritis-spectrum disease, of which ERA is the juvenile form.</w:t>
            </w:r>
          </w:p>
          <w:p>
            <w:pPr>
              <w:spacing w:before="60" w:after="40"/>
            </w:pPr>
            <w:r>
              <w:rPr>
                <w:rFonts w:ascii="Calibri" w:hAnsi="Calibri"/>
                <w:b w:val="0"/>
                <w:i w:val="0"/>
                <w:color w:val="5A5A5A"/>
                <w:sz w:val="18"/>
              </w:rPr>
              <w:t>#smoking  #passivesmoke  #spondyloarthritis  #inflammation  #adolescents</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Vitamin D / calcium status</w:t>
            </w:r>
          </w:p>
        </w:tc>
        <w:tc>
          <w:tcPr>
            <w:tcW w:type="dxa" w:w="2160"/>
            <w:vAlign w:val="top"/>
          </w:tcPr>
          <w:p>
            <w:pPr>
              <w:spacing w:after="40" w:before="0" w:line="259" w:lineRule="auto"/>
            </w:pPr>
            <w:r>
              <w:rPr>
                <w:rFonts w:ascii="Calibri" w:hAnsi="Calibri"/>
                <w:b w:val="0"/>
                <w:i w:val="0"/>
                <w:color w:val="212121"/>
                <w:sz w:val="19"/>
              </w:rPr>
              <w:t>Vitamin-D-deficient Indian children</w:t>
            </w:r>
          </w:p>
        </w:tc>
        <w:tc>
          <w:tcPr>
            <w:tcW w:type="dxa" w:w="4276"/>
            <w:vAlign w:val="top"/>
          </w:tcPr>
          <w:p>
            <w:pPr>
              <w:spacing w:after="60" w:line="259" w:lineRule="auto"/>
            </w:pPr>
            <w:r>
              <w:rPr>
                <w:rFonts w:ascii="Calibri" w:hAnsi="Calibri"/>
                <w:b w:val="0"/>
                <w:i w:val="0"/>
                <w:color w:val="212121"/>
                <w:sz w:val="19"/>
              </w:rPr>
              <w:t>Vitamin D deficiency is highly prevalent in Indian children and, combined with chronic inflammation and glucocorticoid therapy, markedly worsens the osteopenia, poor bone accrual and fracture risk of JIA; low vitamin D is also linked to immune dysregulation.</w:t>
            </w:r>
          </w:p>
          <w:p>
            <w:pPr>
              <w:spacing w:after="40" w:before="60" w:line="259" w:lineRule="auto"/>
            </w:pPr>
            <w:r>
              <w:rPr>
                <w:rFonts w:ascii="Calibri" w:hAnsi="Calibri"/>
                <w:b w:val="0"/>
                <w:i w:val="0"/>
                <w:color w:val="212121"/>
                <w:sz w:val="19"/>
              </w:rPr>
              <w:t>Endocrine and bone abnormalities, including reduced bone mineral density and growth impairment, are recognised complications studied in Indian JIA cohorts.</w:t>
            </w:r>
          </w:p>
          <w:p>
            <w:pPr>
              <w:spacing w:after="40" w:line="252" w:lineRule="auto"/>
            </w:pPr>
            <w:hyperlink r:id="rId13">
              <w:r>
                <w:rPr>
                  <w:rFonts w:ascii="Calibri" w:hAnsi="Calibri" w:cs="Calibri"/>
                  <w:sz w:val="18"/>
                  <w:color w:val="1155CC"/>
                  <w:u w:val="single"/>
                </w:rPr>
                <w:t xml:space="preserve">pubmed.ncbi.nlm.nih.gov/40275257 - endocrine dysfunction in JIA (India)</w:t>
              </w:r>
            </w:hyperlink>
          </w:p>
          <w:p>
            <w:pPr>
              <w:spacing w:before="60" w:after="40"/>
            </w:pPr>
            <w:r>
              <w:rPr>
                <w:rFonts w:ascii="Calibri" w:hAnsi="Calibri"/>
                <w:b w:val="0"/>
                <w:i w:val="0"/>
                <w:color w:val="5A5A5A"/>
                <w:sz w:val="18"/>
              </w:rPr>
              <w:t>#vitaminD  #lowbmd  #Indiandeficiency  #bonehealth  #growth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 / pro-inflammatory diet</w:t>
            </w:r>
          </w:p>
        </w:tc>
        <w:tc>
          <w:tcPr>
            <w:tcW w:type="dxa" w:w="2160"/>
            <w:vAlign w:val="top"/>
          </w:tcPr>
          <w:p>
            <w:pPr>
              <w:spacing w:after="40" w:before="0" w:line="259" w:lineRule="auto"/>
            </w:pPr>
            <w:r>
              <w:rPr>
                <w:rFonts w:ascii="Calibri" w:hAnsi="Calibri"/>
                <w:b w:val="0"/>
                <w:i w:val="0"/>
                <w:color w:val="212121"/>
                <w:sz w:val="19"/>
              </w:rPr>
              <w:t>Overweight children &amp; those on high-sugar diets</w:t>
            </w:r>
          </w:p>
        </w:tc>
        <w:tc>
          <w:tcPr>
            <w:tcW w:type="dxa" w:w="4276"/>
            <w:vAlign w:val="top"/>
          </w:tcPr>
          <w:p>
            <w:pPr>
              <w:spacing w:after="60" w:line="259" w:lineRule="auto"/>
            </w:pPr>
            <w:r>
              <w:rPr>
                <w:rFonts w:ascii="Calibri" w:hAnsi="Calibri"/>
                <w:b w:val="0"/>
                <w:i w:val="0"/>
                <w:color w:val="212121"/>
                <w:sz w:val="19"/>
              </w:rPr>
              <w:t>Excess adiposity adds mechanical load to weight-bearing joints and generates adipokine-driven inflammation, while corticosteroid therapy itself promotes weight gain; both worsen joint symptoms and cardiometabolic risk.</w:t>
            </w:r>
          </w:p>
          <w:p>
            <w:pPr>
              <w:spacing w:after="40" w:before="60" w:line="259" w:lineRule="auto"/>
            </w:pPr>
            <w:r>
              <w:rPr>
                <w:rFonts w:ascii="Calibri" w:hAnsi="Calibri"/>
                <w:b w:val="0"/>
                <w:i w:val="0"/>
                <w:color w:val="212121"/>
                <w:sz w:val="19"/>
              </w:rPr>
              <w:t>Corticosteroids used in JIA can cause weight gain and, with inactivity, obesity, compounding joint load and bone loss.</w:t>
            </w:r>
          </w:p>
          <w:p>
            <w:pPr>
              <w:spacing w:after="40" w:line="252" w:lineRule="auto"/>
            </w:pPr>
            <w:hyperlink r:id="rId14">
              <w:r>
                <w:rPr>
                  <w:rFonts w:ascii="Calibri" w:hAnsi="Calibri" w:cs="Calibri"/>
                  <w:sz w:val="18"/>
                  <w:color w:val="1155CC"/>
                  <w:u w:val="single"/>
                </w:rPr>
                <w:t xml:space="preserve">mayoclinic.org - juvenile idiopathic arthritis</w:t>
              </w:r>
            </w:hyperlink>
          </w:p>
          <w:p>
            <w:pPr>
              <w:spacing w:before="60" w:after="40"/>
            </w:pPr>
            <w:r>
              <w:rPr>
                <w:rFonts w:ascii="Calibri" w:hAnsi="Calibri"/>
                <w:b w:val="0"/>
                <w:i w:val="0"/>
                <w:color w:val="5A5A5A"/>
                <w:sz w:val="18"/>
              </w:rPr>
              <w:t>#overweight  #jointload  #steroidweightgain  #adipokines  #diet</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HLA</w:t>
            </w:r>
          </w:p>
        </w:tc>
        <w:tc>
          <w:tcPr>
            <w:tcW w:type="dxa" w:w="2160"/>
            <w:vAlign w:val="top"/>
          </w:tcPr>
          <w:p>
            <w:pPr>
              <w:spacing w:after="40" w:before="0" w:line="259" w:lineRule="auto"/>
            </w:pPr>
            <w:r>
              <w:rPr>
                <w:rFonts w:ascii="Calibri" w:hAnsi="Calibri"/>
                <w:b w:val="0"/>
                <w:i w:val="0"/>
                <w:color w:val="212121"/>
                <w:sz w:val="19"/>
              </w:rPr>
              <w:t>HLA-B27 carriers &amp; siblings of JIA patients</w:t>
            </w:r>
          </w:p>
        </w:tc>
        <w:tc>
          <w:tcPr>
            <w:tcW w:type="dxa" w:w="4276"/>
            <w:vAlign w:val="top"/>
          </w:tcPr>
          <w:p>
            <w:pPr>
              <w:spacing w:after="60" w:line="259" w:lineRule="auto"/>
            </w:pPr>
            <w:r>
              <w:rPr>
                <w:rFonts w:ascii="Calibri" w:hAnsi="Calibri"/>
                <w:b w:val="0"/>
                <w:i w:val="0"/>
                <w:color w:val="212121"/>
                <w:sz w:val="19"/>
              </w:rPr>
              <w:t>Genetic susceptibility is strong: HLA-B27 underlies most ERA, other HLA and non-HLA genes predispose to particular subtypes, and having an affected sibling raises risk many-fold even though visible family clustering is rare.</w:t>
            </w:r>
          </w:p>
          <w:p>
            <w:pPr>
              <w:spacing w:after="40" w:before="60" w:line="259" w:lineRule="auto"/>
            </w:pPr>
            <w:r>
              <w:rPr>
                <w:rFonts w:ascii="Calibri" w:hAnsi="Calibri"/>
                <w:b w:val="0"/>
                <w:i w:val="0"/>
                <w:color w:val="212121"/>
                <w:sz w:val="19"/>
              </w:rPr>
              <w:t>The relative risk in siblings is about 15-30 times higher than the general population, and about three-quarters of ERA patients carry HLA-B27.</w:t>
            </w:r>
          </w:p>
          <w:p>
            <w:pPr>
              <w:spacing w:after="40" w:line="252" w:lineRule="auto"/>
            </w:pPr>
            <w:hyperlink r:id="rId9">
              <w:r>
                <w:rPr>
                  <w:rFonts w:ascii="Calibri" w:hAnsi="Calibri" w:cs="Calibri"/>
                  <w:sz w:val="18"/>
                  <w:color w:val="1155CC"/>
                  <w:u w:val="single"/>
                </w:rPr>
                <w:t xml:space="preserve">ncbi.nlm.nih.gov - StatPearls: Juvenile Idiopathic Arthritis</w:t>
              </w:r>
            </w:hyperlink>
          </w:p>
          <w:p>
            <w:pPr>
              <w:spacing w:before="60" w:after="40"/>
            </w:pPr>
            <w:r>
              <w:rPr>
                <w:rFonts w:ascii="Calibri" w:hAnsi="Calibri"/>
                <w:b w:val="0"/>
                <w:i w:val="0"/>
                <w:color w:val="5A5A5A"/>
                <w:sz w:val="18"/>
              </w:rPr>
              <w:t>#HLAB27  #siblingrisk  #genetics  #familyhistory  #susceptibility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ANA positivity</w:t>
            </w:r>
          </w:p>
        </w:tc>
        <w:tc>
          <w:tcPr>
            <w:tcW w:type="dxa" w:w="2160"/>
            <w:vAlign w:val="top"/>
          </w:tcPr>
          <w:p>
            <w:pPr>
              <w:spacing w:after="40" w:before="0" w:line="259" w:lineRule="auto"/>
            </w:pPr>
            <w:r>
              <w:rPr>
                <w:rFonts w:ascii="Calibri" w:hAnsi="Calibri"/>
                <w:b w:val="0"/>
                <w:i w:val="0"/>
                <w:color w:val="212121"/>
                <w:sz w:val="19"/>
              </w:rPr>
              <w:t>ANA-positive young children</w:t>
            </w:r>
          </w:p>
        </w:tc>
        <w:tc>
          <w:tcPr>
            <w:tcW w:type="dxa" w:w="4276"/>
            <w:vAlign w:val="top"/>
          </w:tcPr>
          <w:p>
            <w:pPr>
              <w:spacing w:after="60" w:line="259" w:lineRule="auto"/>
            </w:pPr>
            <w:r>
              <w:rPr>
                <w:rFonts w:ascii="Calibri" w:hAnsi="Calibri"/>
                <w:b w:val="0"/>
                <w:i w:val="0"/>
                <w:color w:val="212121"/>
                <w:sz w:val="19"/>
              </w:rPr>
              <w:t>A positive antinuclear antibody, especially in a young child with oligoarticular disease, marks the highest risk of chronic, asymptomatic anterior uveitis and mandates frequent slit-lamp screening to prevent blindness.</w:t>
            </w:r>
          </w:p>
          <w:p>
            <w:pPr>
              <w:spacing w:after="40" w:before="60" w:line="259" w:lineRule="auto"/>
            </w:pPr>
            <w:r>
              <w:rPr>
                <w:rFonts w:ascii="Calibri" w:hAnsi="Calibri"/>
                <w:b w:val="0"/>
                <w:i w:val="0"/>
                <w:color w:val="212121"/>
                <w:sz w:val="19"/>
              </w:rPr>
              <w:t>Chronic uveitis develops in about 25% of children with JIA within four years of diagnosis and is often silent, so ANA-positive children need intensive eye surveillance.</w:t>
            </w:r>
          </w:p>
          <w:p>
            <w:pPr>
              <w:spacing w:after="40" w:line="252" w:lineRule="auto"/>
            </w:pPr>
            <w:hyperlink r:id="rId11">
              <w:r>
                <w:rPr>
                  <w:rFonts w:ascii="Calibri" w:hAnsi="Calibri" w:cs="Calibri"/>
                  <w:sz w:val="18"/>
                  <w:color w:val="1155CC"/>
                  <w:u w:val="single"/>
                </w:rPr>
                <w:t xml:space="preserve">arthritis.org - juvenile idiopathic arthritis</w:t>
              </w:r>
            </w:hyperlink>
          </w:p>
          <w:p>
            <w:pPr>
              <w:spacing w:before="60" w:after="40"/>
            </w:pPr>
            <w:r>
              <w:rPr>
                <w:rFonts w:ascii="Calibri" w:hAnsi="Calibri"/>
                <w:b w:val="0"/>
                <w:i w:val="0"/>
                <w:color w:val="5A5A5A"/>
                <w:sz w:val="18"/>
              </w:rPr>
              <w:t>#ANA  #uveitisscreening  #slitlamp  #silentdisease  #blindnessrisk</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Chronic anterior uveitis</w:t>
            </w:r>
          </w:p>
        </w:tc>
        <w:tc>
          <w:tcPr>
            <w:tcW w:type="dxa" w:w="2160"/>
            <w:vAlign w:val="top"/>
          </w:tcPr>
          <w:p>
            <w:pPr>
              <w:spacing w:after="40" w:before="0" w:line="259" w:lineRule="auto"/>
            </w:pPr>
            <w:r>
              <w:rPr>
                <w:rFonts w:ascii="Calibri" w:hAnsi="Calibri"/>
                <w:b w:val="0"/>
                <w:i w:val="0"/>
                <w:color w:val="212121"/>
                <w:sz w:val="19"/>
              </w:rPr>
              <w:t>Children with ANA-positive oligoarticular JIA</w:t>
            </w:r>
          </w:p>
        </w:tc>
        <w:tc>
          <w:tcPr>
            <w:tcW w:type="dxa" w:w="4276"/>
            <w:vAlign w:val="top"/>
          </w:tcPr>
          <w:p>
            <w:pPr>
              <w:spacing w:after="60" w:line="259" w:lineRule="auto"/>
            </w:pPr>
            <w:r>
              <w:rPr>
                <w:rFonts w:ascii="Calibri" w:hAnsi="Calibri"/>
                <w:b w:val="0"/>
                <w:i w:val="0"/>
                <w:color w:val="212121"/>
                <w:sz w:val="19"/>
              </w:rPr>
              <w:t>JIA-associated uveitis is the most important extra-articular complication; it is usually painless and without redness, so it is detected only by screening and can silently progress to band keratopathy, cataract, glaucoma and blindness.</w:t>
            </w:r>
          </w:p>
          <w:p>
            <w:pPr>
              <w:spacing w:after="40" w:before="60" w:line="259" w:lineRule="auto"/>
            </w:pPr>
            <w:r>
              <w:rPr>
                <w:rFonts w:ascii="Calibri" w:hAnsi="Calibri"/>
                <w:b w:val="0"/>
                <w:i w:val="0"/>
                <w:color w:val="212121"/>
                <w:sz w:val="19"/>
              </w:rPr>
              <w:t>Uveitis occurs in about 25% of children with JIA within four years of diagnosis.</w:t>
            </w:r>
          </w:p>
          <w:p>
            <w:pPr>
              <w:spacing w:after="40" w:line="252" w:lineRule="auto"/>
            </w:pPr>
            <w:hyperlink r:id="rId11">
              <w:r>
                <w:rPr>
                  <w:rFonts w:ascii="Calibri" w:hAnsi="Calibri" w:cs="Calibri"/>
                  <w:sz w:val="18"/>
                  <w:color w:val="1155CC"/>
                  <w:u w:val="single"/>
                </w:rPr>
                <w:t xml:space="preserve">arthritis.org - juvenile idiopathic arthritis</w:t>
              </w:r>
            </w:hyperlink>
          </w:p>
          <w:p>
            <w:pPr>
              <w:spacing w:before="60" w:after="40"/>
            </w:pPr>
            <w:r>
              <w:rPr>
                <w:rFonts w:ascii="Calibri" w:hAnsi="Calibri"/>
                <w:b w:val="0"/>
                <w:i w:val="0"/>
                <w:color w:val="5A5A5A"/>
                <w:sz w:val="18"/>
              </w:rPr>
              <w:t>#uveitis  #bandkeratopathy  #glaucoma  #screening  #blindness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Macrophage activation syndrome</w:t>
            </w:r>
          </w:p>
        </w:tc>
        <w:tc>
          <w:tcPr>
            <w:tcW w:type="dxa" w:w="2160"/>
            <w:vAlign w:val="top"/>
          </w:tcPr>
          <w:p>
            <w:pPr>
              <w:spacing w:after="40" w:before="0" w:line="259" w:lineRule="auto"/>
            </w:pPr>
            <w:r>
              <w:rPr>
                <w:rFonts w:ascii="Calibri" w:hAnsi="Calibri"/>
                <w:b w:val="0"/>
                <w:i w:val="0"/>
                <w:color w:val="212121"/>
                <w:sz w:val="19"/>
              </w:rPr>
              <w:t>Children with systemic-onset JIA</w:t>
            </w:r>
          </w:p>
        </w:tc>
        <w:tc>
          <w:tcPr>
            <w:tcW w:type="dxa" w:w="4276"/>
            <w:vAlign w:val="top"/>
          </w:tcPr>
          <w:p>
            <w:pPr>
              <w:spacing w:after="60" w:line="259" w:lineRule="auto"/>
            </w:pPr>
            <w:r>
              <w:rPr>
                <w:rFonts w:ascii="Calibri" w:hAnsi="Calibri"/>
                <w:b w:val="0"/>
                <w:i w:val="0"/>
                <w:color w:val="212121"/>
                <w:sz w:val="19"/>
              </w:rPr>
              <w:t>MAS is a life-threatening cytokine storm (secondary haemophagocytic lymphohistiocytosis) complicating systemic JIA, presenting with unremitting fever, cytopenias, very high ferritin, falling ESR, hepatic dysfunction and coagulopathy - a paediatric emergency.</w:t>
            </w:r>
          </w:p>
          <w:p>
            <w:pPr>
              <w:spacing w:after="40" w:before="60" w:line="259" w:lineRule="auto"/>
            </w:pPr>
            <w:r>
              <w:rPr>
                <w:rFonts w:ascii="Calibri" w:hAnsi="Calibri"/>
                <w:b w:val="0"/>
                <w:i w:val="0"/>
                <w:color w:val="212121"/>
                <w:sz w:val="19"/>
              </w:rPr>
              <w:t>Macrophage activation syndrome occurs in up to 10% of cases (chiefly systemic JIA).</w:t>
            </w:r>
          </w:p>
          <w:p>
            <w:pPr>
              <w:spacing w:after="40" w:line="252" w:lineRule="auto"/>
            </w:pPr>
            <w:hyperlink r:id="rId9">
              <w:r>
                <w:rPr>
                  <w:rFonts w:ascii="Calibri" w:hAnsi="Calibri" w:cs="Calibri"/>
                  <w:sz w:val="18"/>
                  <w:color w:val="1155CC"/>
                  <w:u w:val="single"/>
                </w:rPr>
                <w:t xml:space="preserve">ncbi.nlm.nih.gov - StatPearls: Juvenile Idiopathic Arthritis</w:t>
              </w:r>
            </w:hyperlink>
          </w:p>
          <w:p>
            <w:pPr>
              <w:spacing w:before="60" w:after="40"/>
            </w:pPr>
            <w:r>
              <w:rPr>
                <w:rFonts w:ascii="Calibri" w:hAnsi="Calibri"/>
                <w:b w:val="0"/>
                <w:i w:val="0"/>
                <w:color w:val="5A5A5A"/>
                <w:sz w:val="18"/>
              </w:rPr>
              <w:t>#MAS  #cytokinestorm  #systemicJIA  #ferritin  #emergency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Temporomandibular joint arthritis</w:t>
            </w:r>
          </w:p>
        </w:tc>
        <w:tc>
          <w:tcPr>
            <w:tcW w:type="dxa" w:w="2160"/>
            <w:vAlign w:val="top"/>
          </w:tcPr>
          <w:p>
            <w:pPr>
              <w:spacing w:after="40" w:before="0" w:line="259" w:lineRule="auto"/>
            </w:pPr>
            <w:r>
              <w:rPr>
                <w:rFonts w:ascii="Calibri" w:hAnsi="Calibri"/>
                <w:b w:val="0"/>
                <w:i w:val="0"/>
                <w:color w:val="212121"/>
                <w:sz w:val="19"/>
              </w:rPr>
              <w:t>Children with polyarticular / long-standing JIA</w:t>
            </w:r>
          </w:p>
        </w:tc>
        <w:tc>
          <w:tcPr>
            <w:tcW w:type="dxa" w:w="4276"/>
            <w:vAlign w:val="top"/>
          </w:tcPr>
          <w:p>
            <w:pPr>
              <w:spacing w:after="60" w:line="259" w:lineRule="auto"/>
            </w:pPr>
            <w:r>
              <w:rPr>
                <w:rFonts w:ascii="Calibri" w:hAnsi="Calibri"/>
                <w:b w:val="0"/>
                <w:i w:val="0"/>
                <w:color w:val="212121"/>
                <w:sz w:val="19"/>
              </w:rPr>
              <w:t>The temporomandibular joints are frequently but silently involved, impairing chewing and mandibular growth and producing micrognathia/retrognathia and facial asymmetry that affect nutrition and appearance.</w:t>
            </w:r>
          </w:p>
          <w:p>
            <w:pPr>
              <w:spacing w:after="40" w:before="60" w:line="259" w:lineRule="auto"/>
            </w:pPr>
            <w:r>
              <w:rPr>
                <w:rFonts w:ascii="Calibri" w:hAnsi="Calibri"/>
                <w:b w:val="0"/>
                <w:i w:val="0"/>
                <w:color w:val="212121"/>
                <w:sz w:val="19"/>
              </w:rPr>
              <w:t>More than half of children with JIA have jaw (TMJ) involvement.</w:t>
            </w:r>
          </w:p>
          <w:p>
            <w:pPr>
              <w:spacing w:after="40" w:line="252" w:lineRule="auto"/>
            </w:pPr>
            <w:hyperlink r:id="rId11">
              <w:r>
                <w:rPr>
                  <w:rFonts w:ascii="Calibri" w:hAnsi="Calibri" w:cs="Calibri"/>
                  <w:sz w:val="18"/>
                  <w:color w:val="1155CC"/>
                  <w:u w:val="single"/>
                </w:rPr>
                <w:t xml:space="preserve">arthritis.org - juvenile idiopathic arthritis</w:t>
              </w:r>
            </w:hyperlink>
          </w:p>
          <w:p>
            <w:pPr>
              <w:spacing w:before="60" w:after="40"/>
            </w:pPr>
            <w:r>
              <w:rPr>
                <w:rFonts w:ascii="Calibri" w:hAnsi="Calibri"/>
                <w:b w:val="0"/>
                <w:i w:val="0"/>
                <w:color w:val="5A5A5A"/>
                <w:sz w:val="18"/>
              </w:rPr>
              <w:t>#TMJ  #micrognathia  #jawgrowth  #facialasymmetry  #feeding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Inflammatory bowel disease / psoriasis</w:t>
            </w:r>
          </w:p>
        </w:tc>
        <w:tc>
          <w:tcPr>
            <w:tcW w:type="dxa" w:w="2160"/>
            <w:vAlign w:val="top"/>
          </w:tcPr>
          <w:p>
            <w:pPr>
              <w:spacing w:after="40" w:before="0" w:line="259" w:lineRule="auto"/>
            </w:pPr>
            <w:r>
              <w:rPr>
                <w:rFonts w:ascii="Calibri" w:hAnsi="Calibri"/>
                <w:b w:val="0"/>
                <w:i w:val="0"/>
                <w:color w:val="212121"/>
                <w:sz w:val="19"/>
              </w:rPr>
              <w:t>Children with ERA or psoriatic JIA</w:t>
            </w:r>
          </w:p>
        </w:tc>
        <w:tc>
          <w:tcPr>
            <w:tcW w:type="dxa" w:w="4276"/>
            <w:vAlign w:val="top"/>
          </w:tcPr>
          <w:p>
            <w:pPr>
              <w:spacing w:after="60" w:line="259" w:lineRule="auto"/>
            </w:pPr>
            <w:r>
              <w:rPr>
                <w:rFonts w:ascii="Calibri" w:hAnsi="Calibri"/>
                <w:b w:val="0"/>
                <w:i w:val="0"/>
                <w:color w:val="212121"/>
                <w:sz w:val="19"/>
              </w:rPr>
              <w:t>ERA and juvenile psoriatic arthritis sit within the spondyloarthritis spectrum and share pathophysiology with inflammatory bowel disease and psoriasis, which may coexist or emerge over time and alter treatment choice.</w:t>
            </w:r>
          </w:p>
          <w:p>
            <w:pPr>
              <w:spacing w:after="40" w:before="60" w:line="259" w:lineRule="auto"/>
            </w:pPr>
            <w:r>
              <w:rPr>
                <w:rFonts w:ascii="Calibri" w:hAnsi="Calibri"/>
                <w:b w:val="0"/>
                <w:i w:val="0"/>
                <w:color w:val="212121"/>
                <w:sz w:val="19"/>
              </w:rPr>
              <w:t>Inflammatory bowel disease is part of the differential and associated spectrum of enthesitis-related arthritis; psoriasis defines and accompanies psoriatic JIA.</w:t>
            </w:r>
          </w:p>
          <w:p>
            <w:pPr>
              <w:spacing w:after="40" w:line="252" w:lineRule="auto"/>
            </w:pPr>
            <w:hyperlink r:id="rId9">
              <w:r>
                <w:rPr>
                  <w:rFonts w:ascii="Calibri" w:hAnsi="Calibri" w:cs="Calibri"/>
                  <w:sz w:val="18"/>
                  <w:color w:val="1155CC"/>
                  <w:u w:val="single"/>
                </w:rPr>
                <w:t xml:space="preserve">ncbi.nlm.nih.gov - StatPearls: Juvenile Idiopathic Arthritis</w:t>
              </w:r>
            </w:hyperlink>
          </w:p>
          <w:p>
            <w:pPr>
              <w:spacing w:before="60" w:after="40"/>
            </w:pPr>
            <w:r>
              <w:rPr>
                <w:rFonts w:ascii="Calibri" w:hAnsi="Calibri"/>
                <w:b w:val="0"/>
                <w:i w:val="0"/>
                <w:color w:val="5A5A5A"/>
                <w:sz w:val="18"/>
              </w:rPr>
              <w:t>#IBD  #psoriasis  #spondyloarthritis  #ERA  #overlap</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Activity neither causes nor prevents JIA, but regular low-impact exercise (swimming, cycling) and physiotherapy preserve joint range, muscle strength and bone density and prevent contractures; overexertion of an actively inflamed joint is harmful, so activity is paced to disease state.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No diet causes or cures JIA, but adequate protein, energy, calcium and vitamin D are critical for catch-up growth and bone accrual during chronic inflammation and steroid therapy; an anti-inflammatory, balanced pattern is supportive and vitamin D deficiency is very common in Indian children.</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Joint pain and inflammation fragment sleep, and poor sleep in turn amplifies pain, fatigue and low mood; sleep disturbance is both a consequence and a modifier of disease activity in children with JIA.</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Not relevant to onset in young children, but adolescent active smoking and passive household smoke promote inflammation, worsen spondyloarthritis-spectrum (ERA) disease and add cardiovascular and infection risk during immunosuppression.</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Not applicable to typical paediatric onset; in adolescents and at transition to adult care, alcohol is important mainly because it compounds the hepatotoxicity of methotrexate and other disease-modifying drugs.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Chronic pain, physical limitation, school absence, visible deformity and long-term steroids drive anxiety, depression and low self-esteem in children and stress in caregivers; poor mental health worsens pain perception and treatment adherence.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link to JIA; adequate hydration supports general health and safe renal handling of nephrotoxic or renally cleared drugs (NSAIDs, methotrexate). Evidence is weak.</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association with JIA; excessive caffeine (energy drinks in adolescents) may worsen sleep and promote urinary calcium loss, of minor relevance to bone health.</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Children on steroids, methotrexate and biologics are immunosuppressed, so hand hygiene, oral/dental care (important given TMJ involvement), infection avoidance and up-to-date non-live vaccination materially reduce complications; live vaccines are contraindicated on biologics.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Infections and possibly early antibiotic exposure or caesarean birth are implicated as triggers; established disease flares with intercurrent infection, physical/psychological stress, mechanical entheseal loading (ERA) and treatment non-adherence.</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Chronic arthritis drives flexion contractures, leg-length discrepancy, micrognathia and, in ERA, reduced spinal and sacroiliac mobility; correct positioning, splinting, orthotics and posture/gait work are integral to preventing fixed deformity.</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Active (swollen/limited) joint count</w:t>
            </w:r>
          </w:p>
        </w:tc>
        <w:tc>
          <w:tcPr>
            <w:tcW w:type="dxa" w:w="1655"/>
            <w:vAlign w:val="top"/>
          </w:tcPr>
          <w:p>
            <w:pPr>
              <w:spacing w:after="40" w:before="0" w:line="259" w:lineRule="auto"/>
            </w:pPr>
            <w:r>
              <w:rPr>
                <w:rFonts w:ascii="Calibri" w:hAnsi="Calibri"/>
                <w:b w:val="0"/>
                <w:i w:val="0"/>
                <w:color w:val="212121"/>
                <w:sz w:val="19"/>
              </w:rPr>
              <w:t>Children with JIA</w:t>
            </w:r>
          </w:p>
        </w:tc>
        <w:tc>
          <w:tcPr>
            <w:tcW w:type="dxa" w:w="1512"/>
            <w:vAlign w:val="top"/>
          </w:tcPr>
          <w:p>
            <w:pPr>
              <w:spacing w:after="40" w:before="0" w:line="259" w:lineRule="auto"/>
            </w:pPr>
            <w:r>
              <w:rPr>
                <w:rFonts w:ascii="Calibri" w:hAnsi="Calibri"/>
                <w:b w:val="0"/>
                <w:i w:val="0"/>
                <w:color w:val="212121"/>
                <w:sz w:val="19"/>
              </w:rPr>
              <w:t>0 active joints (clinical remission)</w:t>
            </w:r>
          </w:p>
        </w:tc>
        <w:tc>
          <w:tcPr>
            <w:tcW w:type="dxa" w:w="1512"/>
            <w:vAlign w:val="top"/>
          </w:tcPr>
          <w:p>
            <w:pPr>
              <w:spacing w:after="40" w:before="0" w:line="259" w:lineRule="auto"/>
            </w:pPr>
            <w:r>
              <w:rPr>
                <w:rFonts w:ascii="Calibri" w:hAnsi="Calibri"/>
                <w:b w:val="0"/>
                <w:i w:val="0"/>
                <w:color w:val="212121"/>
                <w:sz w:val="19"/>
              </w:rPr>
              <w:t>&gt;= 1 persistently active joint</w:t>
            </w:r>
          </w:p>
        </w:tc>
        <w:tc>
          <w:tcPr>
            <w:tcW w:type="dxa" w:w="1468"/>
            <w:vAlign w:val="top"/>
          </w:tcPr>
          <w:p>
            <w:pPr>
              <w:spacing w:after="60" w:line="259" w:lineRule="auto"/>
            </w:pPr>
            <w:r>
              <w:rPr>
                <w:rFonts w:ascii="Calibri" w:hAnsi="Calibri"/>
                <w:b w:val="0"/>
                <w:i w:val="0"/>
                <w:color w:val="212121"/>
                <w:sz w:val="19"/>
              </w:rPr>
              <w:t>Core disease-activity measure (feeds the JADAS); guides treatment escalation</w:t>
            </w:r>
          </w:p>
          <w:p>
            <w:pPr>
              <w:spacing w:after="40" w:line="252" w:lineRule="auto"/>
            </w:pPr>
            <w:hyperlink r:id="rId9">
              <w:r>
                <w:rPr>
                  <w:rFonts w:ascii="Calibri" w:hAnsi="Calibri" w:cs="Calibri"/>
                  <w:sz w:val="18"/>
                  <w:color w:val="1155CC"/>
                  <w:u w:val="single"/>
                </w:rPr>
                <w:t xml:space="preserve">https://www.ncbi.nlm.nih.gov/books/NBK554605/</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Low-impact activity / physiotherapy</w:t>
            </w:r>
          </w:p>
        </w:tc>
        <w:tc>
          <w:tcPr>
            <w:tcW w:type="dxa" w:w="1655"/>
            <w:vAlign w:val="top"/>
          </w:tcPr>
          <w:p>
            <w:pPr>
              <w:spacing w:after="40" w:before="0" w:line="259" w:lineRule="auto"/>
            </w:pPr>
            <w:r>
              <w:rPr>
                <w:rFonts w:ascii="Calibri" w:hAnsi="Calibri"/>
                <w:b w:val="0"/>
                <w:i w:val="0"/>
                <w:color w:val="212121"/>
                <w:sz w:val="19"/>
              </w:rPr>
              <w:t>Children with JIA</w:t>
            </w:r>
          </w:p>
        </w:tc>
        <w:tc>
          <w:tcPr>
            <w:tcW w:type="dxa" w:w="1512"/>
            <w:vAlign w:val="top"/>
          </w:tcPr>
          <w:p>
            <w:pPr>
              <w:spacing w:after="40" w:before="0" w:line="259" w:lineRule="auto"/>
            </w:pPr>
            <w:r>
              <w:rPr>
                <w:rFonts w:ascii="Calibri" w:hAnsi="Calibri"/>
                <w:b w:val="0"/>
                <w:i w:val="0"/>
                <w:color w:val="212121"/>
                <w:sz w:val="19"/>
              </w:rPr>
              <w:t>Daily active play plus structured PT/ROM exercises</w:t>
            </w:r>
          </w:p>
        </w:tc>
        <w:tc>
          <w:tcPr>
            <w:tcW w:type="dxa" w:w="1512"/>
            <w:vAlign w:val="top"/>
          </w:tcPr>
          <w:p>
            <w:pPr>
              <w:spacing w:after="40" w:before="0" w:line="259" w:lineRule="auto"/>
            </w:pPr>
            <w:r>
              <w:rPr>
                <w:rFonts w:ascii="Calibri" w:hAnsi="Calibri"/>
                <w:b w:val="0"/>
                <w:i w:val="0"/>
                <w:color w:val="212121"/>
                <w:sz w:val="19"/>
              </w:rPr>
              <w:t>Prolonged inactivity or rest</w:t>
            </w:r>
          </w:p>
        </w:tc>
        <w:tc>
          <w:tcPr>
            <w:tcW w:type="dxa" w:w="1468"/>
            <w:vAlign w:val="top"/>
          </w:tcPr>
          <w:p>
            <w:pPr>
              <w:spacing w:after="40" w:before="0" w:line="259" w:lineRule="auto"/>
            </w:pPr>
            <w:r>
              <w:rPr>
                <w:rFonts w:ascii="Calibri" w:hAnsi="Calibri"/>
                <w:b w:val="0"/>
                <w:i w:val="0"/>
                <w:color w:val="212121"/>
                <w:sz w:val="19"/>
              </w:rPr>
              <w:t>Preserves range of motion, muscle bulk and bone; swimming/cycling preferred</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BMI-for-age percentile</w:t>
            </w:r>
          </w:p>
        </w:tc>
        <w:tc>
          <w:tcPr>
            <w:tcW w:type="dxa" w:w="1655"/>
            <w:vAlign w:val="top"/>
          </w:tcPr>
          <w:p>
            <w:pPr>
              <w:spacing w:after="40" w:before="0" w:line="259" w:lineRule="auto"/>
            </w:pPr>
            <w:r>
              <w:rPr>
                <w:rFonts w:ascii="Calibri" w:hAnsi="Calibri"/>
                <w:b w:val="0"/>
                <w:i w:val="0"/>
                <w:color w:val="212121"/>
                <w:sz w:val="19"/>
              </w:rPr>
              <w:t>Children on steroids or inactive</w:t>
            </w:r>
          </w:p>
        </w:tc>
        <w:tc>
          <w:tcPr>
            <w:tcW w:type="dxa" w:w="1512"/>
            <w:vAlign w:val="top"/>
          </w:tcPr>
          <w:p>
            <w:pPr>
              <w:spacing w:after="40" w:before="0" w:line="259" w:lineRule="auto"/>
            </w:pPr>
            <w:r>
              <w:rPr>
                <w:rFonts w:ascii="Calibri" w:hAnsi="Calibri"/>
                <w:b w:val="0"/>
                <w:i w:val="0"/>
                <w:color w:val="212121"/>
                <w:sz w:val="19"/>
              </w:rPr>
              <w:t>5th-85th percentile</w:t>
            </w:r>
          </w:p>
        </w:tc>
        <w:tc>
          <w:tcPr>
            <w:tcW w:type="dxa" w:w="1512"/>
            <w:vAlign w:val="top"/>
          </w:tcPr>
          <w:p>
            <w:pPr>
              <w:spacing w:after="40" w:before="0" w:line="259" w:lineRule="auto"/>
            </w:pPr>
            <w:r>
              <w:rPr>
                <w:rFonts w:ascii="Calibri" w:hAnsi="Calibri"/>
                <w:b w:val="0"/>
                <w:i w:val="0"/>
                <w:color w:val="212121"/>
                <w:sz w:val="19"/>
              </w:rPr>
              <w:t>&gt;= 95th (obesity) or &lt; 5th (wasting/growth failure)</w:t>
            </w:r>
          </w:p>
        </w:tc>
        <w:tc>
          <w:tcPr>
            <w:tcW w:type="dxa" w:w="1468"/>
            <w:vAlign w:val="top"/>
          </w:tcPr>
          <w:p>
            <w:pPr>
              <w:spacing w:after="40" w:before="0" w:line="259" w:lineRule="auto"/>
            </w:pPr>
            <w:r>
              <w:rPr>
                <w:rFonts w:ascii="Calibri" w:hAnsi="Calibri"/>
                <w:b w:val="0"/>
                <w:i w:val="0"/>
                <w:color w:val="212121"/>
                <w:sz w:val="19"/>
              </w:rPr>
              <w:t>Steroids and inactivity cause obesity; active disease causes wasting and poor growth</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Serum 25-hydroxyvitamin D</w:t>
            </w:r>
          </w:p>
        </w:tc>
        <w:tc>
          <w:tcPr>
            <w:tcW w:type="dxa" w:w="1655"/>
            <w:vAlign w:val="top"/>
          </w:tcPr>
          <w:p>
            <w:pPr>
              <w:spacing w:after="40" w:before="0" w:line="259" w:lineRule="auto"/>
            </w:pPr>
            <w:r>
              <w:rPr>
                <w:rFonts w:ascii="Calibri" w:hAnsi="Calibri"/>
                <w:b w:val="0"/>
                <w:i w:val="0"/>
                <w:color w:val="212121"/>
                <w:sz w:val="19"/>
              </w:rPr>
              <w:t>Indian children (high deficiency)</w:t>
            </w:r>
          </w:p>
        </w:tc>
        <w:tc>
          <w:tcPr>
            <w:tcW w:type="dxa" w:w="1512"/>
            <w:vAlign w:val="top"/>
          </w:tcPr>
          <w:p>
            <w:pPr>
              <w:spacing w:after="40" w:before="0" w:line="259" w:lineRule="auto"/>
            </w:pPr>
            <w:r>
              <w:rPr>
                <w:rFonts w:ascii="Calibri" w:hAnsi="Calibri"/>
                <w:b w:val="0"/>
                <w:i w:val="0"/>
                <w:color w:val="212121"/>
                <w:sz w:val="19"/>
              </w:rPr>
              <w:t>&gt;= 30 ng/mL (&gt;= 20 sufficient)</w:t>
            </w:r>
          </w:p>
        </w:tc>
        <w:tc>
          <w:tcPr>
            <w:tcW w:type="dxa" w:w="1512"/>
            <w:vAlign w:val="top"/>
          </w:tcPr>
          <w:p>
            <w:pPr>
              <w:spacing w:after="40" w:before="0" w:line="259" w:lineRule="auto"/>
            </w:pPr>
            <w:r>
              <w:rPr>
                <w:rFonts w:ascii="Calibri" w:hAnsi="Calibri"/>
                <w:b w:val="0"/>
                <w:i w:val="0"/>
                <w:color w:val="212121"/>
                <w:sz w:val="19"/>
              </w:rPr>
              <w:t>&lt; 20 ng/mL (deficient)</w:t>
            </w:r>
          </w:p>
        </w:tc>
        <w:tc>
          <w:tcPr>
            <w:tcW w:type="dxa" w:w="1468"/>
            <w:vAlign w:val="top"/>
          </w:tcPr>
          <w:p>
            <w:pPr>
              <w:spacing w:after="40" w:before="0" w:line="259" w:lineRule="auto"/>
            </w:pPr>
            <w:r>
              <w:rPr>
                <w:rFonts w:ascii="Calibri" w:hAnsi="Calibri"/>
                <w:b w:val="0"/>
                <w:i w:val="0"/>
                <w:color w:val="212121"/>
                <w:sz w:val="19"/>
              </w:rPr>
              <w:t>Correct to protect bone during inflammation and glucocorticoids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Age-appropriate dietary calcium</w:t>
            </w:r>
          </w:p>
        </w:tc>
        <w:tc>
          <w:tcPr>
            <w:tcW w:type="dxa" w:w="1655"/>
            <w:vAlign w:val="top"/>
          </w:tcPr>
          <w:p>
            <w:pPr>
              <w:spacing w:after="40" w:before="0" w:line="259" w:lineRule="auto"/>
            </w:pPr>
            <w:r>
              <w:rPr>
                <w:rFonts w:ascii="Calibri" w:hAnsi="Calibri"/>
                <w:b w:val="0"/>
                <w:i w:val="0"/>
                <w:color w:val="212121"/>
                <w:sz w:val="19"/>
              </w:rPr>
              <w:t>Growing children with JIA</w:t>
            </w:r>
          </w:p>
        </w:tc>
        <w:tc>
          <w:tcPr>
            <w:tcW w:type="dxa" w:w="1512"/>
            <w:vAlign w:val="top"/>
          </w:tcPr>
          <w:p>
            <w:pPr>
              <w:spacing w:after="40" w:before="0" w:line="259" w:lineRule="auto"/>
            </w:pPr>
            <w:r>
              <w:rPr>
                <w:rFonts w:ascii="Calibri" w:hAnsi="Calibri"/>
                <w:b w:val="0"/>
                <w:i w:val="0"/>
                <w:color w:val="212121"/>
                <w:sz w:val="19"/>
              </w:rPr>
              <w:t>600-1300 mg/day by age</w:t>
            </w:r>
          </w:p>
        </w:tc>
        <w:tc>
          <w:tcPr>
            <w:tcW w:type="dxa" w:w="1512"/>
            <w:vAlign w:val="top"/>
          </w:tcPr>
          <w:p>
            <w:pPr>
              <w:spacing w:after="40" w:before="0" w:line="259" w:lineRule="auto"/>
            </w:pPr>
            <w:r>
              <w:rPr>
                <w:rFonts w:ascii="Calibri" w:hAnsi="Calibri"/>
                <w:b w:val="0"/>
                <w:i w:val="0"/>
                <w:color w:val="212121"/>
                <w:sz w:val="19"/>
              </w:rPr>
              <w:t>&lt; 600 mg/day</w:t>
            </w:r>
          </w:p>
        </w:tc>
        <w:tc>
          <w:tcPr>
            <w:tcW w:type="dxa" w:w="1468"/>
            <w:vAlign w:val="top"/>
          </w:tcPr>
          <w:p>
            <w:pPr>
              <w:spacing w:after="40" w:before="0" w:line="259" w:lineRule="auto"/>
            </w:pPr>
            <w:r>
              <w:rPr>
                <w:rFonts w:ascii="Calibri" w:hAnsi="Calibri"/>
                <w:b w:val="0"/>
                <w:i w:val="0"/>
                <w:color w:val="212121"/>
                <w:sz w:val="19"/>
              </w:rPr>
              <w:t>Supports bone accrual; critical on steroids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Height &amp; weight velocity (growth charts)</w:t>
            </w:r>
          </w:p>
        </w:tc>
        <w:tc>
          <w:tcPr>
            <w:tcW w:type="dxa" w:w="1655"/>
            <w:vAlign w:val="top"/>
          </w:tcPr>
          <w:p>
            <w:pPr>
              <w:spacing w:after="40" w:before="0" w:line="259" w:lineRule="auto"/>
            </w:pPr>
            <w:r>
              <w:rPr>
                <w:rFonts w:ascii="Calibri" w:hAnsi="Calibri"/>
                <w:b w:val="0"/>
                <w:i w:val="0"/>
                <w:color w:val="212121"/>
                <w:sz w:val="19"/>
              </w:rPr>
              <w:t>Children with chronic/systemic JIA</w:t>
            </w:r>
          </w:p>
        </w:tc>
        <w:tc>
          <w:tcPr>
            <w:tcW w:type="dxa" w:w="1512"/>
            <w:vAlign w:val="top"/>
          </w:tcPr>
          <w:p>
            <w:pPr>
              <w:spacing w:after="40" w:before="0" w:line="259" w:lineRule="auto"/>
            </w:pPr>
            <w:r>
              <w:rPr>
                <w:rFonts w:ascii="Calibri" w:hAnsi="Calibri"/>
                <w:b w:val="0"/>
                <w:i w:val="0"/>
                <w:color w:val="212121"/>
                <w:sz w:val="19"/>
              </w:rPr>
              <w:t>Tracking along percentiles</w:t>
            </w:r>
          </w:p>
        </w:tc>
        <w:tc>
          <w:tcPr>
            <w:tcW w:type="dxa" w:w="1512"/>
            <w:vAlign w:val="top"/>
          </w:tcPr>
          <w:p>
            <w:pPr>
              <w:spacing w:after="40" w:before="0" w:line="259" w:lineRule="auto"/>
            </w:pPr>
            <w:r>
              <w:rPr>
                <w:rFonts w:ascii="Calibri" w:hAnsi="Calibri"/>
                <w:b w:val="0"/>
                <w:i w:val="0"/>
                <w:color w:val="212121"/>
                <w:sz w:val="19"/>
              </w:rPr>
              <w:t>Growth faltering / crossing centiles downward</w:t>
            </w:r>
          </w:p>
        </w:tc>
        <w:tc>
          <w:tcPr>
            <w:tcW w:type="dxa" w:w="1468"/>
            <w:vAlign w:val="top"/>
          </w:tcPr>
          <w:p>
            <w:pPr>
              <w:spacing w:after="60" w:line="259" w:lineRule="auto"/>
            </w:pPr>
            <w:r>
              <w:rPr>
                <w:rFonts w:ascii="Calibri" w:hAnsi="Calibri"/>
                <w:b w:val="0"/>
                <w:i w:val="0"/>
                <w:color w:val="212121"/>
                <w:sz w:val="19"/>
              </w:rPr>
              <w:t>Inflammation and steroids impair linear growth; monitor at every visit</w:t>
            </w:r>
          </w:p>
          <w:p>
            <w:pPr>
              <w:spacing w:after="40" w:line="252" w:lineRule="auto"/>
            </w:pPr>
            <w:hyperlink r:id="rId13">
              <w:r>
                <w:rPr>
                  <w:rFonts w:ascii="Calibri" w:hAnsi="Calibri" w:cs="Calibri"/>
                  <w:sz w:val="18"/>
                  <w:color w:val="1155CC"/>
                  <w:u w:val="single"/>
                </w:rPr>
                <w:t xml:space="preserve">https://pubmed.ncbi.nlm.nih.gov/40275257/</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w:t>
            </w:r>
          </w:p>
        </w:tc>
        <w:tc>
          <w:tcPr>
            <w:tcW w:type="dxa" w:w="1655"/>
            <w:vAlign w:val="top"/>
          </w:tcPr>
          <w:p>
            <w:pPr>
              <w:spacing w:after="40" w:before="0" w:line="259" w:lineRule="auto"/>
            </w:pPr>
            <w:r>
              <w:rPr>
                <w:rFonts w:ascii="Calibri" w:hAnsi="Calibri"/>
                <w:b w:val="0"/>
                <w:i w:val="0"/>
                <w:color w:val="212121"/>
                <w:sz w:val="19"/>
              </w:rPr>
              <w:t>School-age &amp; adolescents with JIA</w:t>
            </w:r>
          </w:p>
        </w:tc>
        <w:tc>
          <w:tcPr>
            <w:tcW w:type="dxa" w:w="1512"/>
            <w:vAlign w:val="top"/>
          </w:tcPr>
          <w:p>
            <w:pPr>
              <w:spacing w:after="40" w:before="0" w:line="259" w:lineRule="auto"/>
            </w:pPr>
            <w:r>
              <w:rPr>
                <w:rFonts w:ascii="Calibri" w:hAnsi="Calibri"/>
                <w:b w:val="0"/>
                <w:i w:val="0"/>
                <w:color w:val="212121"/>
                <w:sz w:val="19"/>
              </w:rPr>
              <w:t>9-11 h (6-13 y); 8-10 h (14-17 y)</w:t>
            </w:r>
          </w:p>
        </w:tc>
        <w:tc>
          <w:tcPr>
            <w:tcW w:type="dxa" w:w="1512"/>
            <w:vAlign w:val="top"/>
          </w:tcPr>
          <w:p>
            <w:pPr>
              <w:spacing w:after="40" w:before="0" w:line="259" w:lineRule="auto"/>
            </w:pPr>
            <w:r>
              <w:rPr>
                <w:rFonts w:ascii="Calibri" w:hAnsi="Calibri"/>
                <w:b w:val="0"/>
                <w:i w:val="0"/>
                <w:color w:val="212121"/>
                <w:sz w:val="19"/>
              </w:rPr>
              <w:t>&lt; 8 h or frequent night waking with pain</w:t>
            </w:r>
          </w:p>
        </w:tc>
        <w:tc>
          <w:tcPr>
            <w:tcW w:type="dxa" w:w="1468"/>
            <w:vAlign w:val="top"/>
          </w:tcPr>
          <w:p>
            <w:pPr>
              <w:spacing w:after="40" w:before="0" w:line="259" w:lineRule="auto"/>
            </w:pPr>
            <w:r>
              <w:rPr>
                <w:rFonts w:ascii="Calibri" w:hAnsi="Calibri"/>
                <w:b w:val="0"/>
                <w:i w:val="0"/>
                <w:color w:val="212121"/>
                <w:sz w:val="19"/>
              </w:rPr>
              <w:t>Night pain signals undertreated disease; optimise analgesia and routine</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Tobacco / household smoke exposure</w:t>
            </w:r>
          </w:p>
        </w:tc>
        <w:tc>
          <w:tcPr>
            <w:tcW w:type="dxa" w:w="1655"/>
            <w:vAlign w:val="top"/>
          </w:tcPr>
          <w:p>
            <w:pPr>
              <w:spacing w:after="40" w:before="0" w:line="259" w:lineRule="auto"/>
            </w:pPr>
            <w:r>
              <w:rPr>
                <w:rFonts w:ascii="Calibri" w:hAnsi="Calibri"/>
                <w:b w:val="0"/>
                <w:i w:val="0"/>
                <w:color w:val="212121"/>
                <w:sz w:val="19"/>
              </w:rPr>
              <w:t>Adolescents &amp; their households</w:t>
            </w:r>
          </w:p>
        </w:tc>
        <w:tc>
          <w:tcPr>
            <w:tcW w:type="dxa" w:w="1512"/>
            <w:vAlign w:val="top"/>
          </w:tcPr>
          <w:p>
            <w:pPr>
              <w:spacing w:after="40" w:before="0" w:line="259" w:lineRule="auto"/>
            </w:pPr>
            <w:r>
              <w:rPr>
                <w:rFonts w:ascii="Calibri" w:hAnsi="Calibri"/>
                <w:b w:val="0"/>
                <w:i w:val="0"/>
                <w:color w:val="212121"/>
                <w:sz w:val="19"/>
              </w:rPr>
              <w:t>0 cigarettes/day; smoke-free home</w:t>
            </w:r>
          </w:p>
        </w:tc>
        <w:tc>
          <w:tcPr>
            <w:tcW w:type="dxa" w:w="1512"/>
            <w:vAlign w:val="top"/>
          </w:tcPr>
          <w:p>
            <w:pPr>
              <w:spacing w:after="40" w:before="0" w:line="259" w:lineRule="auto"/>
            </w:pPr>
            <w:r>
              <w:rPr>
                <w:rFonts w:ascii="Calibri" w:hAnsi="Calibri"/>
                <w:b w:val="0"/>
                <w:i w:val="0"/>
                <w:color w:val="212121"/>
                <w:sz w:val="19"/>
              </w:rPr>
              <w:t>&gt;= 1 cigarette/day or any household smoker</w:t>
            </w:r>
          </w:p>
        </w:tc>
        <w:tc>
          <w:tcPr>
            <w:tcW w:type="dxa" w:w="1468"/>
            <w:vAlign w:val="top"/>
          </w:tcPr>
          <w:p>
            <w:pPr>
              <w:spacing w:after="40" w:before="0" w:line="259" w:lineRule="auto"/>
            </w:pPr>
            <w:r>
              <w:rPr>
                <w:rFonts w:ascii="Calibri" w:hAnsi="Calibri"/>
                <w:b w:val="0"/>
                <w:i w:val="0"/>
                <w:color w:val="212121"/>
                <w:sz w:val="19"/>
              </w:rPr>
              <w:t>Worsens spondyloarthritis and infection risk on immunosuppression</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Depression/anxiety screen</w:t>
            </w:r>
          </w:p>
        </w:tc>
        <w:tc>
          <w:tcPr>
            <w:tcW w:type="dxa" w:w="1655"/>
            <w:vAlign w:val="top"/>
          </w:tcPr>
          <w:p>
            <w:pPr>
              <w:spacing w:after="40" w:before="0" w:line="259" w:lineRule="auto"/>
            </w:pPr>
            <w:r>
              <w:rPr>
                <w:rFonts w:ascii="Calibri" w:hAnsi="Calibri"/>
                <w:b w:val="0"/>
                <w:i w:val="0"/>
                <w:color w:val="212121"/>
                <w:sz w:val="19"/>
              </w:rPr>
              <w:t>Children &amp; adolescents with JIA</w:t>
            </w:r>
          </w:p>
        </w:tc>
        <w:tc>
          <w:tcPr>
            <w:tcW w:type="dxa" w:w="1512"/>
            <w:vAlign w:val="top"/>
          </w:tcPr>
          <w:p>
            <w:pPr>
              <w:spacing w:after="40" w:before="0" w:line="259" w:lineRule="auto"/>
            </w:pPr>
            <w:r>
              <w:rPr>
                <w:rFonts w:ascii="Calibri" w:hAnsi="Calibri"/>
                <w:b w:val="0"/>
                <w:i w:val="0"/>
                <w:color w:val="212121"/>
                <w:sz w:val="19"/>
              </w:rPr>
              <w:t>Negative validated screen</w:t>
            </w:r>
          </w:p>
        </w:tc>
        <w:tc>
          <w:tcPr>
            <w:tcW w:type="dxa" w:w="1512"/>
            <w:vAlign w:val="top"/>
          </w:tcPr>
          <w:p>
            <w:pPr>
              <w:spacing w:after="40" w:before="0" w:line="259" w:lineRule="auto"/>
            </w:pPr>
            <w:r>
              <w:rPr>
                <w:rFonts w:ascii="Calibri" w:hAnsi="Calibri"/>
                <w:b w:val="0"/>
                <w:i w:val="0"/>
                <w:color w:val="212121"/>
                <w:sz w:val="19"/>
              </w:rPr>
              <w:t>Positive screen or school avoidance</w:t>
            </w:r>
          </w:p>
        </w:tc>
        <w:tc>
          <w:tcPr>
            <w:tcW w:type="dxa" w:w="1468"/>
            <w:vAlign w:val="top"/>
          </w:tcPr>
          <w:p>
            <w:pPr>
              <w:spacing w:after="40" w:before="0" w:line="259" w:lineRule="auto"/>
            </w:pPr>
            <w:r>
              <w:rPr>
                <w:rFonts w:ascii="Calibri" w:hAnsi="Calibri"/>
                <w:b w:val="0"/>
                <w:i w:val="0"/>
                <w:color w:val="212121"/>
                <w:sz w:val="19"/>
              </w:rPr>
              <w:t>Chronic pain and disability raise psychological risk; screen periodically</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Vaccination status / live-vaccine check</w:t>
            </w:r>
          </w:p>
        </w:tc>
        <w:tc>
          <w:tcPr>
            <w:tcW w:type="dxa" w:w="1655"/>
            <w:vAlign w:val="top"/>
          </w:tcPr>
          <w:p>
            <w:pPr>
              <w:spacing w:after="40" w:before="0" w:line="259" w:lineRule="auto"/>
            </w:pPr>
            <w:r>
              <w:rPr>
                <w:rFonts w:ascii="Calibri" w:hAnsi="Calibri"/>
                <w:b w:val="0"/>
                <w:i w:val="0"/>
                <w:color w:val="212121"/>
                <w:sz w:val="19"/>
              </w:rPr>
              <w:t>Immunosuppressed children with JIA</w:t>
            </w:r>
          </w:p>
        </w:tc>
        <w:tc>
          <w:tcPr>
            <w:tcW w:type="dxa" w:w="1512"/>
            <w:vAlign w:val="top"/>
          </w:tcPr>
          <w:p>
            <w:pPr>
              <w:spacing w:after="40" w:before="0" w:line="259" w:lineRule="auto"/>
            </w:pPr>
            <w:r>
              <w:rPr>
                <w:rFonts w:ascii="Calibri" w:hAnsi="Calibri"/>
                <w:b w:val="0"/>
                <w:i w:val="0"/>
                <w:color w:val="212121"/>
                <w:sz w:val="19"/>
              </w:rPr>
              <w:t>Up to date; no live vaccines while on biologics</w:t>
            </w:r>
          </w:p>
        </w:tc>
        <w:tc>
          <w:tcPr>
            <w:tcW w:type="dxa" w:w="1512"/>
            <w:vAlign w:val="top"/>
          </w:tcPr>
          <w:p>
            <w:pPr>
              <w:spacing w:after="40" w:before="0" w:line="259" w:lineRule="auto"/>
            </w:pPr>
            <w:r>
              <w:rPr>
                <w:rFonts w:ascii="Calibri" w:hAnsi="Calibri"/>
                <w:b w:val="0"/>
                <w:i w:val="0"/>
                <w:color w:val="212121"/>
                <w:sz w:val="19"/>
              </w:rPr>
              <w:t>Overdue vaccines or live vaccine on biologic</w:t>
            </w:r>
          </w:p>
        </w:tc>
        <w:tc>
          <w:tcPr>
            <w:tcW w:type="dxa" w:w="1468"/>
            <w:vAlign w:val="top"/>
          </w:tcPr>
          <w:p>
            <w:pPr>
              <w:spacing w:after="60" w:line="259" w:lineRule="auto"/>
            </w:pPr>
            <w:r>
              <w:rPr>
                <w:rFonts w:ascii="Calibri" w:hAnsi="Calibri"/>
                <w:b w:val="0"/>
                <w:i w:val="0"/>
                <w:color w:val="212121"/>
                <w:sz w:val="19"/>
              </w:rPr>
              <w:t>Reduces infection risk; plan live vaccines before starting immunosuppression</w:t>
            </w:r>
          </w:p>
          <w:p>
            <w:pPr>
              <w:spacing w:after="40" w:line="252" w:lineRule="auto"/>
            </w:pPr>
            <w:hyperlink r:id="rId9">
              <w:r>
                <w:rPr>
                  <w:rFonts w:ascii="Calibri" w:hAnsi="Calibri" w:cs="Calibri"/>
                  <w:sz w:val="18"/>
                  <w:color w:val="1155CC"/>
                  <w:u w:val="single"/>
                </w:rPr>
                <w:t xml:space="preserve">https://www.ncbi.nlm.nih.gov/books/NBK554605/</w:t>
              </w:r>
            </w:hyperlink>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Daily fluid intake</w:t>
            </w:r>
          </w:p>
        </w:tc>
        <w:tc>
          <w:tcPr>
            <w:tcW w:type="dxa" w:w="1655"/>
            <w:vAlign w:val="top"/>
          </w:tcPr>
          <w:p>
            <w:pPr>
              <w:spacing w:after="40" w:before="0" w:line="259" w:lineRule="auto"/>
            </w:pPr>
            <w:r>
              <w:rPr>
                <w:rFonts w:ascii="Calibri" w:hAnsi="Calibri"/>
                <w:b w:val="0"/>
                <w:i w:val="0"/>
                <w:color w:val="212121"/>
                <w:sz w:val="19"/>
              </w:rPr>
              <w:t>Children on NSAIDs/methotrexate</w:t>
            </w:r>
          </w:p>
        </w:tc>
        <w:tc>
          <w:tcPr>
            <w:tcW w:type="dxa" w:w="1512"/>
            <w:vAlign w:val="top"/>
          </w:tcPr>
          <w:p>
            <w:pPr>
              <w:spacing w:after="40" w:before="0" w:line="259" w:lineRule="auto"/>
            </w:pPr>
            <w:r>
              <w:rPr>
                <w:rFonts w:ascii="Calibri" w:hAnsi="Calibri"/>
                <w:b w:val="0"/>
                <w:i w:val="0"/>
                <w:color w:val="212121"/>
                <w:sz w:val="19"/>
              </w:rPr>
              <w:t>Age-appropriate adequate hydration</w:t>
            </w:r>
          </w:p>
        </w:tc>
        <w:tc>
          <w:tcPr>
            <w:tcW w:type="dxa" w:w="1512"/>
            <w:vAlign w:val="top"/>
          </w:tcPr>
          <w:p>
            <w:pPr>
              <w:spacing w:after="40" w:before="0" w:line="259" w:lineRule="auto"/>
            </w:pPr>
            <w:r>
              <w:rPr>
                <w:rFonts w:ascii="Calibri" w:hAnsi="Calibri"/>
                <w:b w:val="0"/>
                <w:i w:val="0"/>
                <w:color w:val="212121"/>
                <w:sz w:val="19"/>
              </w:rPr>
              <w:t>Dehydration / low intake</w:t>
            </w:r>
          </w:p>
        </w:tc>
        <w:tc>
          <w:tcPr>
            <w:tcW w:type="dxa" w:w="1468"/>
            <w:vAlign w:val="top"/>
          </w:tcPr>
          <w:p>
            <w:pPr>
              <w:spacing w:after="40" w:before="0" w:line="259" w:lineRule="auto"/>
            </w:pPr>
            <w:r>
              <w:rPr>
                <w:rFonts w:ascii="Calibri" w:hAnsi="Calibri"/>
                <w:b w:val="0"/>
                <w:i w:val="0"/>
                <w:color w:val="212121"/>
                <w:sz w:val="19"/>
              </w:rPr>
              <w:t>Protects renal function and drug clearance</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Erythrocyte Sedimentation Rate (ESR)</w:t>
            </w:r>
          </w:p>
        </w:tc>
        <w:tc>
          <w:tcPr>
            <w:tcW w:type="dxa" w:w="892"/>
            <w:vAlign w:val="top"/>
          </w:tcPr>
          <w:p>
            <w:pPr>
              <w:spacing w:after="40" w:before="0" w:line="259" w:lineRule="auto"/>
            </w:pPr>
            <w:r>
              <w:rPr>
                <w:rFonts w:ascii="Calibri" w:hAnsi="Calibri"/>
                <w:b w:val="0"/>
                <w:i w:val="0"/>
                <w:color w:val="212121"/>
                <w:sz w:val="16"/>
              </w:rPr>
              <w:t>Inflammatory marker</w:t>
            </w:r>
          </w:p>
        </w:tc>
        <w:tc>
          <w:tcPr>
            <w:tcW w:type="dxa" w:w="950"/>
            <w:vAlign w:val="top"/>
          </w:tcPr>
          <w:p>
            <w:pPr>
              <w:spacing w:after="40" w:before="0" w:line="259" w:lineRule="auto"/>
            </w:pPr>
            <w:r>
              <w:rPr>
                <w:rFonts w:ascii="Calibri" w:hAnsi="Calibri"/>
                <w:b w:val="0"/>
                <w:i w:val="0"/>
                <w:color w:val="212121"/>
                <w:sz w:val="16"/>
              </w:rPr>
              <w:t>&lt; 20 mm/h (child)</w:t>
            </w:r>
          </w:p>
        </w:tc>
        <w:tc>
          <w:tcPr>
            <w:tcW w:type="dxa" w:w="950"/>
            <w:vAlign w:val="top"/>
          </w:tcPr>
          <w:p>
            <w:pPr>
              <w:spacing w:after="40" w:before="0" w:line="259" w:lineRule="auto"/>
            </w:pPr>
            <w:r>
              <w:rPr>
                <w:rFonts w:ascii="Calibri" w:hAnsi="Calibri"/>
                <w:b w:val="0"/>
                <w:i w:val="0"/>
                <w:color w:val="212121"/>
                <w:sz w:val="16"/>
              </w:rPr>
              <w:t>Raised (often very high in systemic JIA)</w:t>
            </w:r>
          </w:p>
        </w:tc>
        <w:tc>
          <w:tcPr>
            <w:tcW w:type="dxa" w:w="1036"/>
            <w:vAlign w:val="top"/>
          </w:tcPr>
          <w:p>
            <w:pPr>
              <w:spacing w:after="40" w:before="0" w:line="259" w:lineRule="auto"/>
            </w:pPr>
            <w:r>
              <w:rPr>
                <w:rFonts w:ascii="Calibri" w:hAnsi="Calibri"/>
                <w:b w:val="0"/>
                <w:i w:val="0"/>
                <w:color w:val="212121"/>
                <w:sz w:val="16"/>
              </w:rPr>
              <w:t>Marker of inflammation and disease activity; a falling ESR with rising ferritin in systemic JIA suggests evolving MAS</w:t>
            </w:r>
          </w:p>
        </w:tc>
        <w:tc>
          <w:tcPr>
            <w:tcW w:type="dxa" w:w="1036"/>
            <w:vAlign w:val="top"/>
          </w:tcPr>
          <w:p>
            <w:pPr>
              <w:spacing w:after="40" w:before="0" w:line="259" w:lineRule="auto"/>
            </w:pPr>
            <w:r>
              <w:rPr>
                <w:rFonts w:ascii="Calibri" w:hAnsi="Calibri"/>
                <w:b w:val="0"/>
                <w:i w:val="0"/>
                <w:color w:val="212121"/>
                <w:sz w:val="16"/>
              </w:rPr>
              <w:t>All JIA, especially systemic and polyarticular</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May be normal in oligoarthritis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C-reactive Protein (CRP)</w:t>
            </w:r>
          </w:p>
        </w:tc>
        <w:tc>
          <w:tcPr>
            <w:tcW w:type="dxa" w:w="892"/>
            <w:vAlign w:val="top"/>
          </w:tcPr>
          <w:p>
            <w:pPr>
              <w:spacing w:after="40" w:before="0" w:line="259" w:lineRule="auto"/>
            </w:pPr>
            <w:r>
              <w:rPr>
                <w:rFonts w:ascii="Calibri" w:hAnsi="Calibri"/>
                <w:b w:val="0"/>
                <w:i w:val="0"/>
                <w:color w:val="212121"/>
                <w:sz w:val="16"/>
              </w:rPr>
              <w:t>Inflammatory marker</w:t>
            </w:r>
          </w:p>
        </w:tc>
        <w:tc>
          <w:tcPr>
            <w:tcW w:type="dxa" w:w="950"/>
            <w:vAlign w:val="top"/>
          </w:tcPr>
          <w:p>
            <w:pPr>
              <w:spacing w:after="40" w:before="0" w:line="259" w:lineRule="auto"/>
            </w:pPr>
            <w:r>
              <w:rPr>
                <w:rFonts w:ascii="Calibri" w:hAnsi="Calibri"/>
                <w:b w:val="0"/>
                <w:i w:val="0"/>
                <w:color w:val="212121"/>
                <w:sz w:val="16"/>
              </w:rPr>
              <w:t>&lt; 5 mg/L</w:t>
            </w:r>
          </w:p>
        </w:tc>
        <w:tc>
          <w:tcPr>
            <w:tcW w:type="dxa" w:w="950"/>
            <w:vAlign w:val="top"/>
          </w:tcPr>
          <w:p>
            <w:pPr>
              <w:spacing w:after="40" w:before="0" w:line="259" w:lineRule="auto"/>
            </w:pPr>
            <w:r>
              <w:rPr>
                <w:rFonts w:ascii="Calibri" w:hAnsi="Calibri"/>
                <w:b w:val="0"/>
                <w:i w:val="0"/>
                <w:color w:val="212121"/>
                <w:sz w:val="16"/>
              </w:rPr>
              <w:t>&gt; 10 mg/L</w:t>
            </w:r>
          </w:p>
        </w:tc>
        <w:tc>
          <w:tcPr>
            <w:tcW w:type="dxa" w:w="1036"/>
            <w:vAlign w:val="top"/>
          </w:tcPr>
          <w:p>
            <w:pPr>
              <w:spacing w:after="40" w:before="0" w:line="259" w:lineRule="auto"/>
            </w:pPr>
            <w:r>
              <w:rPr>
                <w:rFonts w:ascii="Calibri" w:hAnsi="Calibri"/>
                <w:b w:val="0"/>
                <w:i w:val="0"/>
                <w:color w:val="212121"/>
                <w:sz w:val="16"/>
              </w:rPr>
              <w:t>Reflects active inflammation; markedly raised in systemic disease and flares</w:t>
            </w:r>
          </w:p>
        </w:tc>
        <w:tc>
          <w:tcPr>
            <w:tcW w:type="dxa" w:w="1036"/>
            <w:vAlign w:val="top"/>
          </w:tcPr>
          <w:p>
            <w:pPr>
              <w:spacing w:after="40" w:before="0" w:line="259" w:lineRule="auto"/>
            </w:pPr>
            <w:r>
              <w:rPr>
                <w:rFonts w:ascii="Calibri" w:hAnsi="Calibri"/>
                <w:b w:val="0"/>
                <w:i w:val="0"/>
                <w:color w:val="212121"/>
                <w:sz w:val="16"/>
              </w:rPr>
              <w:t>Suspected/active JIA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Use with ESR; helps track response to therapy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Complete Blood Count with film</w:t>
            </w:r>
          </w:p>
        </w:tc>
        <w:tc>
          <w:tcPr>
            <w:tcW w:type="dxa" w:w="892"/>
            <w:vAlign w:val="top"/>
          </w:tcPr>
          <w:p>
            <w:pPr>
              <w:spacing w:after="40" w:before="0" w:line="259" w:lineRule="auto"/>
            </w:pPr>
            <w:r>
              <w:rPr>
                <w:rFonts w:ascii="Calibri" w:hAnsi="Calibri"/>
                <w:b w:val="0"/>
                <w:i w:val="0"/>
                <w:color w:val="212121"/>
                <w:sz w:val="16"/>
              </w:rPr>
              <w:t>CBC</w:t>
            </w:r>
          </w:p>
        </w:tc>
        <w:tc>
          <w:tcPr>
            <w:tcW w:type="dxa" w:w="950"/>
            <w:vAlign w:val="top"/>
          </w:tcPr>
          <w:p>
            <w:pPr>
              <w:spacing w:after="40" w:before="0" w:line="259" w:lineRule="auto"/>
            </w:pPr>
            <w:r>
              <w:rPr>
                <w:rFonts w:ascii="Calibri" w:hAnsi="Calibri"/>
                <w:b w:val="0"/>
                <w:i w:val="0"/>
                <w:color w:val="212121"/>
                <w:sz w:val="16"/>
              </w:rPr>
              <w:t>Age-appropriate ranges</w:t>
            </w:r>
          </w:p>
        </w:tc>
        <w:tc>
          <w:tcPr>
            <w:tcW w:type="dxa" w:w="950"/>
            <w:vAlign w:val="top"/>
          </w:tcPr>
          <w:p>
            <w:pPr>
              <w:spacing w:after="40" w:before="0" w:line="259" w:lineRule="auto"/>
            </w:pPr>
            <w:r>
              <w:rPr>
                <w:rFonts w:ascii="Calibri" w:hAnsi="Calibri"/>
                <w:b w:val="0"/>
                <w:i w:val="0"/>
                <w:color w:val="212121"/>
                <w:sz w:val="16"/>
              </w:rPr>
              <w:t>Anaemia of chronic disease, leucocytosis, thrombocytosis; cytopenias suggest MAS or leukaemia</w:t>
            </w:r>
          </w:p>
        </w:tc>
        <w:tc>
          <w:tcPr>
            <w:tcW w:type="dxa" w:w="1036"/>
            <w:vAlign w:val="top"/>
          </w:tcPr>
          <w:p>
            <w:pPr>
              <w:spacing w:after="40" w:before="0" w:line="259" w:lineRule="auto"/>
            </w:pPr>
            <w:r>
              <w:rPr>
                <w:rFonts w:ascii="Calibri" w:hAnsi="Calibri"/>
                <w:b w:val="0"/>
                <w:i w:val="0"/>
                <w:color w:val="212121"/>
                <w:sz w:val="16"/>
              </w:rPr>
              <w:t>Screens disease activity and, crucially, excludes leukaemia which can mimic JIA</w:t>
            </w:r>
          </w:p>
        </w:tc>
        <w:tc>
          <w:tcPr>
            <w:tcW w:type="dxa" w:w="1036"/>
            <w:vAlign w:val="top"/>
          </w:tcPr>
          <w:p>
            <w:pPr>
              <w:spacing w:after="40" w:before="0" w:line="259" w:lineRule="auto"/>
            </w:pPr>
            <w:r>
              <w:rPr>
                <w:rFonts w:ascii="Calibri" w:hAnsi="Calibri"/>
                <w:b w:val="0"/>
                <w:i w:val="0"/>
                <w:color w:val="212121"/>
                <w:sz w:val="16"/>
              </w:rPr>
              <w:t>All children with suspected JIA</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 / safety</w:t>
            </w:r>
          </w:p>
        </w:tc>
        <w:tc>
          <w:tcPr>
            <w:tcW w:type="dxa" w:w="720"/>
            <w:vAlign w:val="top"/>
          </w:tcPr>
          <w:p>
            <w:pPr>
              <w:spacing w:after="40" w:before="0" w:line="259" w:lineRule="auto"/>
            </w:pPr>
            <w:r>
              <w:rPr>
                <w:rFonts w:ascii="Calibri" w:hAnsi="Calibri"/>
                <w:b w:val="0"/>
                <w:i w:val="0"/>
                <w:color w:val="212121"/>
                <w:sz w:val="16"/>
              </w:rPr>
              <w:t>Bicytopenia with bone pain warrants marrow exam before steroids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Immunology</w:t>
            </w:r>
          </w:p>
        </w:tc>
        <w:tc>
          <w:tcPr>
            <w:tcW w:type="dxa" w:w="1036"/>
            <w:vAlign w:val="top"/>
          </w:tcPr>
          <w:p>
            <w:pPr>
              <w:spacing w:after="40" w:before="0" w:line="259" w:lineRule="auto"/>
            </w:pPr>
            <w:r>
              <w:rPr>
                <w:rFonts w:ascii="Calibri" w:hAnsi="Calibri"/>
                <w:b w:val="0"/>
                <w:i w:val="0"/>
                <w:color w:val="212121"/>
                <w:sz w:val="16"/>
              </w:rPr>
              <w:t>Antinuclear Antibody (ANA)</w:t>
            </w:r>
          </w:p>
        </w:tc>
        <w:tc>
          <w:tcPr>
            <w:tcW w:type="dxa" w:w="892"/>
            <w:vAlign w:val="top"/>
          </w:tcPr>
          <w:p>
            <w:pPr>
              <w:spacing w:after="40" w:before="0" w:line="259" w:lineRule="auto"/>
            </w:pPr>
            <w:r>
              <w:rPr>
                <w:rFonts w:ascii="Calibri" w:hAnsi="Calibri"/>
                <w:b w:val="0"/>
                <w:i w:val="0"/>
                <w:color w:val="212121"/>
                <w:sz w:val="16"/>
              </w:rPr>
              <w:t>Autoantibody</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Does not diagnose JIA but a positive ANA (esp. young oligoarticular girls) predicts chronic uveitis and dictates slit-lamp frequency</w:t>
            </w:r>
          </w:p>
        </w:tc>
        <w:tc>
          <w:tcPr>
            <w:tcW w:type="dxa" w:w="1036"/>
            <w:vAlign w:val="top"/>
          </w:tcPr>
          <w:p>
            <w:pPr>
              <w:spacing w:after="40" w:before="0" w:line="259" w:lineRule="auto"/>
            </w:pPr>
            <w:r>
              <w:rPr>
                <w:rFonts w:ascii="Calibri" w:hAnsi="Calibri"/>
                <w:b w:val="0"/>
                <w:i w:val="0"/>
                <w:color w:val="212121"/>
                <w:sz w:val="16"/>
              </w:rPr>
              <w:t>Young oligoarticular children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 (uveitis risk)</w:t>
            </w:r>
          </w:p>
        </w:tc>
        <w:tc>
          <w:tcPr>
            <w:tcW w:type="dxa" w:w="720"/>
            <w:vAlign w:val="top"/>
          </w:tcPr>
          <w:p>
            <w:pPr>
              <w:spacing w:after="40" w:before="0" w:line="259" w:lineRule="auto"/>
            </w:pPr>
            <w:r>
              <w:rPr>
                <w:rFonts w:ascii="Calibri" w:hAnsi="Calibri"/>
                <w:b w:val="0"/>
                <w:i w:val="0"/>
                <w:color w:val="212121"/>
                <w:sz w:val="16"/>
              </w:rPr>
              <w:t>Drives eye-screening schedule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Immunology</w:t>
            </w:r>
          </w:p>
        </w:tc>
        <w:tc>
          <w:tcPr>
            <w:tcW w:type="dxa" w:w="1036"/>
            <w:vAlign w:val="top"/>
          </w:tcPr>
          <w:p>
            <w:pPr>
              <w:spacing w:after="40" w:before="0" w:line="259" w:lineRule="auto"/>
            </w:pPr>
            <w:r>
              <w:rPr>
                <w:rFonts w:ascii="Calibri" w:hAnsi="Calibri"/>
                <w:b w:val="0"/>
                <w:i w:val="0"/>
                <w:color w:val="212121"/>
                <w:sz w:val="16"/>
              </w:rPr>
              <w:t>Rheumatoid Factor &amp; Anti-CCP</w:t>
            </w:r>
          </w:p>
        </w:tc>
        <w:tc>
          <w:tcPr>
            <w:tcW w:type="dxa" w:w="892"/>
            <w:vAlign w:val="top"/>
          </w:tcPr>
          <w:p>
            <w:pPr>
              <w:spacing w:after="40" w:before="0" w:line="259" w:lineRule="auto"/>
            </w:pPr>
            <w:r>
              <w:rPr>
                <w:rFonts w:ascii="Calibri" w:hAnsi="Calibri"/>
                <w:b w:val="0"/>
                <w:i w:val="0"/>
                <w:color w:val="212121"/>
                <w:sz w:val="16"/>
              </w:rPr>
              <w:t>Autoantibodies</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RF positive on two occasions &gt;=3 months apart; anti-CCP positive</w:t>
            </w:r>
          </w:p>
        </w:tc>
        <w:tc>
          <w:tcPr>
            <w:tcW w:type="dxa" w:w="1036"/>
            <w:vAlign w:val="top"/>
          </w:tcPr>
          <w:p>
            <w:pPr>
              <w:spacing w:after="40" w:before="0" w:line="259" w:lineRule="auto"/>
            </w:pPr>
            <w:r>
              <w:rPr>
                <w:rFonts w:ascii="Calibri" w:hAnsi="Calibri"/>
                <w:b w:val="0"/>
                <w:i w:val="0"/>
                <w:color w:val="212121"/>
                <w:sz w:val="16"/>
              </w:rPr>
              <w:t>Define RF-positive polyarthritis and predict an erosive, RA-like, poorer-prognosis course</w:t>
            </w:r>
          </w:p>
        </w:tc>
        <w:tc>
          <w:tcPr>
            <w:tcW w:type="dxa" w:w="1036"/>
            <w:vAlign w:val="top"/>
          </w:tcPr>
          <w:p>
            <w:pPr>
              <w:spacing w:after="40" w:before="0" w:line="259" w:lineRule="auto"/>
            </w:pPr>
            <w:r>
              <w:rPr>
                <w:rFonts w:ascii="Calibri" w:hAnsi="Calibri"/>
                <w:b w:val="0"/>
                <w:i w:val="0"/>
                <w:color w:val="212121"/>
                <w:sz w:val="16"/>
              </w:rPr>
              <w:t>Polyarticular JIA, adolescent girls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Classification / prognostic</w:t>
            </w:r>
          </w:p>
        </w:tc>
        <w:tc>
          <w:tcPr>
            <w:tcW w:type="dxa" w:w="720"/>
            <w:vAlign w:val="top"/>
          </w:tcPr>
          <w:p>
            <w:pPr>
              <w:spacing w:after="40" w:before="0" w:line="259" w:lineRule="auto"/>
            </w:pPr>
            <w:r>
              <w:rPr>
                <w:rFonts w:ascii="Calibri" w:hAnsi="Calibri"/>
                <w:b w:val="0"/>
                <w:i w:val="0"/>
                <w:color w:val="212121"/>
                <w:sz w:val="16"/>
              </w:rPr>
              <w:t>Low diagnostic yield if negative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Immunogenetics</w:t>
            </w:r>
          </w:p>
        </w:tc>
        <w:tc>
          <w:tcPr>
            <w:tcW w:type="dxa" w:w="1036"/>
            <w:vAlign w:val="top"/>
          </w:tcPr>
          <w:p>
            <w:pPr>
              <w:spacing w:after="40" w:before="0" w:line="259" w:lineRule="auto"/>
            </w:pPr>
            <w:r>
              <w:rPr>
                <w:rFonts w:ascii="Calibri" w:hAnsi="Calibri"/>
                <w:b w:val="0"/>
                <w:i w:val="0"/>
                <w:color w:val="212121"/>
                <w:sz w:val="16"/>
              </w:rPr>
              <w:t>HLA-B27</w:t>
            </w:r>
          </w:p>
        </w:tc>
        <w:tc>
          <w:tcPr>
            <w:tcW w:type="dxa" w:w="892"/>
            <w:vAlign w:val="top"/>
          </w:tcPr>
          <w:p>
            <w:pPr>
              <w:spacing w:after="40" w:before="0" w:line="259" w:lineRule="auto"/>
            </w:pPr>
            <w:r>
              <w:rPr>
                <w:rFonts w:ascii="Calibri" w:hAnsi="Calibri"/>
                <w:b w:val="0"/>
                <w:i w:val="0"/>
                <w:color w:val="212121"/>
                <w:sz w:val="16"/>
              </w:rPr>
              <w:t>Genetic marker</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Supports enthesitis-related arthritis and predicts axial/sacroiliac disease and acute anterior uveitis</w:t>
            </w:r>
          </w:p>
        </w:tc>
        <w:tc>
          <w:tcPr>
            <w:tcW w:type="dxa" w:w="1036"/>
            <w:vAlign w:val="top"/>
          </w:tcPr>
          <w:p>
            <w:pPr>
              <w:spacing w:after="40" w:before="0" w:line="259" w:lineRule="auto"/>
            </w:pPr>
            <w:r>
              <w:rPr>
                <w:rFonts w:ascii="Calibri" w:hAnsi="Calibri"/>
                <w:b w:val="0"/>
                <w:i w:val="0"/>
                <w:color w:val="212121"/>
                <w:sz w:val="16"/>
              </w:rPr>
              <w:t>Boys &gt;6 with enthesitis/back pain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Classification</w:t>
            </w:r>
          </w:p>
        </w:tc>
        <w:tc>
          <w:tcPr>
            <w:tcW w:type="dxa" w:w="720"/>
            <w:vAlign w:val="top"/>
          </w:tcPr>
          <w:p>
            <w:pPr>
              <w:spacing w:after="40" w:before="0" w:line="259" w:lineRule="auto"/>
            </w:pPr>
            <w:r>
              <w:rPr>
                <w:rFonts w:ascii="Calibri" w:hAnsi="Calibri"/>
                <w:b w:val="0"/>
                <w:i w:val="0"/>
                <w:color w:val="212121"/>
                <w:sz w:val="16"/>
              </w:rPr>
              <w:t>Positive in about three-quarters of ERA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Ferritin, fibrinogen, triglycerides, AST</w:t>
            </w:r>
          </w:p>
        </w:tc>
        <w:tc>
          <w:tcPr>
            <w:tcW w:type="dxa" w:w="892"/>
            <w:vAlign w:val="top"/>
          </w:tcPr>
          <w:p>
            <w:pPr>
              <w:spacing w:after="40" w:before="0" w:line="259" w:lineRule="auto"/>
            </w:pPr>
            <w:r>
              <w:rPr>
                <w:rFonts w:ascii="Calibri" w:hAnsi="Calibri"/>
                <w:b w:val="0"/>
                <w:i w:val="0"/>
                <w:color w:val="212121"/>
                <w:sz w:val="16"/>
              </w:rPr>
              <w:t>MAS panel</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Very high ferritin, falling fibrinogen, high triglycerides, rising transaminases with cytopenias</w:t>
            </w:r>
          </w:p>
        </w:tc>
        <w:tc>
          <w:tcPr>
            <w:tcW w:type="dxa" w:w="1036"/>
            <w:vAlign w:val="top"/>
          </w:tcPr>
          <w:p>
            <w:pPr>
              <w:spacing w:after="40" w:before="0" w:line="259" w:lineRule="auto"/>
            </w:pPr>
            <w:r>
              <w:rPr>
                <w:rFonts w:ascii="Calibri" w:hAnsi="Calibri"/>
                <w:b w:val="0"/>
                <w:i w:val="0"/>
                <w:color w:val="212121"/>
                <w:sz w:val="16"/>
              </w:rPr>
              <w:t>Detects macrophage activation syndrome in systemic JIA - a medical emergency</w:t>
            </w:r>
          </w:p>
        </w:tc>
        <w:tc>
          <w:tcPr>
            <w:tcW w:type="dxa" w:w="1036"/>
            <w:vAlign w:val="top"/>
          </w:tcPr>
          <w:p>
            <w:pPr>
              <w:spacing w:after="40" w:before="0" w:line="259" w:lineRule="auto"/>
            </w:pPr>
            <w:r>
              <w:rPr>
                <w:rFonts w:ascii="Calibri" w:hAnsi="Calibri"/>
                <w:b w:val="0"/>
                <w:i w:val="0"/>
                <w:color w:val="212121"/>
                <w:sz w:val="16"/>
              </w:rPr>
              <w:t>Systemic JIA with persistent fever</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Critical</w:t>
            </w:r>
          </w:p>
        </w:tc>
        <w:tc>
          <w:tcPr>
            <w:tcW w:type="dxa" w:w="720"/>
            <w:vAlign w:val="top"/>
          </w:tcPr>
          <w:p>
            <w:pPr>
              <w:spacing w:after="40" w:before="0" w:line="259" w:lineRule="auto"/>
            </w:pPr>
            <w:r>
              <w:rPr>
                <w:rFonts w:ascii="Calibri" w:hAnsi="Calibri"/>
                <w:b w:val="0"/>
                <w:i w:val="0"/>
                <w:color w:val="212121"/>
                <w:sz w:val="16"/>
              </w:rPr>
              <w:t>Suspect MAS if ferritin very high while ESR falls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Joint ultrasound / MRI and sacroiliac MRI</w:t>
            </w:r>
          </w:p>
        </w:tc>
        <w:tc>
          <w:tcPr>
            <w:tcW w:type="dxa" w:w="892"/>
            <w:vAlign w:val="top"/>
          </w:tcPr>
          <w:p>
            <w:pPr>
              <w:spacing w:after="40" w:before="0" w:line="259" w:lineRule="auto"/>
            </w:pPr>
            <w:r>
              <w:rPr>
                <w:rFonts w:ascii="Calibri" w:hAnsi="Calibri"/>
                <w:b w:val="0"/>
                <w:i w:val="0"/>
                <w:color w:val="212121"/>
                <w:sz w:val="16"/>
              </w:rPr>
              <w:t>Musculoskeletal imaging</w:t>
            </w:r>
          </w:p>
        </w:tc>
        <w:tc>
          <w:tcPr>
            <w:tcW w:type="dxa" w:w="950"/>
            <w:vAlign w:val="top"/>
          </w:tcPr>
          <w:p>
            <w:pPr>
              <w:spacing w:after="40" w:before="0" w:line="259" w:lineRule="auto"/>
            </w:pPr>
            <w:r>
              <w:rPr>
                <w:rFonts w:ascii="Calibri" w:hAnsi="Calibri"/>
                <w:b w:val="0"/>
                <w:i w:val="0"/>
                <w:color w:val="212121"/>
                <w:sz w:val="16"/>
              </w:rPr>
              <w:t>No synovitis/effusion/erosion; no sacroiliitis</w:t>
            </w:r>
          </w:p>
        </w:tc>
        <w:tc>
          <w:tcPr>
            <w:tcW w:type="dxa" w:w="950"/>
            <w:vAlign w:val="top"/>
          </w:tcPr>
          <w:p>
            <w:pPr>
              <w:spacing w:after="40" w:before="0" w:line="259" w:lineRule="auto"/>
            </w:pPr>
            <w:r>
              <w:rPr>
                <w:rFonts w:ascii="Calibri" w:hAnsi="Calibri"/>
                <w:b w:val="0"/>
                <w:i w:val="0"/>
                <w:color w:val="212121"/>
                <w:sz w:val="16"/>
              </w:rPr>
              <w:t>Synovitis, effusion, bone marrow oedema, erosions, or sacroiliitis (ERA)</w:t>
            </w:r>
          </w:p>
        </w:tc>
        <w:tc>
          <w:tcPr>
            <w:tcW w:type="dxa" w:w="1036"/>
            <w:vAlign w:val="top"/>
          </w:tcPr>
          <w:p>
            <w:pPr>
              <w:spacing w:after="40" w:before="0" w:line="259" w:lineRule="auto"/>
            </w:pPr>
            <w:r>
              <w:rPr>
                <w:rFonts w:ascii="Calibri" w:hAnsi="Calibri"/>
                <w:b w:val="0"/>
                <w:i w:val="0"/>
                <w:color w:val="212121"/>
                <w:sz w:val="16"/>
              </w:rPr>
              <w:t>Confirms and quantifies inflammation and detects axial disease not evident clinically</w:t>
            </w:r>
          </w:p>
        </w:tc>
        <w:tc>
          <w:tcPr>
            <w:tcW w:type="dxa" w:w="1036"/>
            <w:vAlign w:val="top"/>
          </w:tcPr>
          <w:p>
            <w:pPr>
              <w:spacing w:after="40" w:before="0" w:line="259" w:lineRule="auto"/>
            </w:pPr>
            <w:r>
              <w:rPr>
                <w:rFonts w:ascii="Calibri" w:hAnsi="Calibri"/>
                <w:b w:val="0"/>
                <w:i w:val="0"/>
                <w:color w:val="212121"/>
                <w:sz w:val="16"/>
              </w:rPr>
              <w:t>Diagnostic uncertainty, suspected axial ERA</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Diagnostic / extent</w:t>
            </w:r>
          </w:p>
        </w:tc>
        <w:tc>
          <w:tcPr>
            <w:tcW w:type="dxa" w:w="720"/>
            <w:vAlign w:val="top"/>
          </w:tcPr>
          <w:p>
            <w:pPr>
              <w:spacing w:after="40" w:before="0" w:line="259" w:lineRule="auto"/>
            </w:pPr>
            <w:r>
              <w:rPr>
                <w:rFonts w:ascii="Calibri" w:hAnsi="Calibri"/>
                <w:b w:val="0"/>
                <w:i w:val="0"/>
                <w:color w:val="212121"/>
                <w:sz w:val="16"/>
              </w:rPr>
              <w:t>MRI is most sensitive for early sacroiliitis and enthesitis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Ophthalmology</w:t>
            </w:r>
          </w:p>
        </w:tc>
        <w:tc>
          <w:tcPr>
            <w:tcW w:type="dxa" w:w="1036"/>
            <w:vAlign w:val="top"/>
          </w:tcPr>
          <w:p>
            <w:pPr>
              <w:spacing w:after="40" w:before="0" w:line="259" w:lineRule="auto"/>
            </w:pPr>
            <w:r>
              <w:rPr>
                <w:rFonts w:ascii="Calibri" w:hAnsi="Calibri"/>
                <w:b w:val="0"/>
                <w:i w:val="0"/>
                <w:color w:val="212121"/>
                <w:sz w:val="16"/>
              </w:rPr>
              <w:t>Slit-lamp biomicroscopy</w:t>
            </w:r>
          </w:p>
        </w:tc>
        <w:tc>
          <w:tcPr>
            <w:tcW w:type="dxa" w:w="892"/>
            <w:vAlign w:val="top"/>
          </w:tcPr>
          <w:p>
            <w:pPr>
              <w:spacing w:after="40" w:before="0" w:line="259" w:lineRule="auto"/>
            </w:pPr>
            <w:r>
              <w:rPr>
                <w:rFonts w:ascii="Calibri" w:hAnsi="Calibri"/>
                <w:b w:val="0"/>
                <w:i w:val="0"/>
                <w:color w:val="212121"/>
                <w:sz w:val="16"/>
              </w:rPr>
              <w:t>Uveitis screening</w:t>
            </w:r>
          </w:p>
        </w:tc>
        <w:tc>
          <w:tcPr>
            <w:tcW w:type="dxa" w:w="950"/>
            <w:vAlign w:val="top"/>
          </w:tcPr>
          <w:p>
            <w:pPr>
              <w:spacing w:after="40" w:before="0" w:line="259" w:lineRule="auto"/>
            </w:pPr>
            <w:r>
              <w:rPr>
                <w:rFonts w:ascii="Calibri" w:hAnsi="Calibri"/>
                <w:b w:val="0"/>
                <w:i w:val="0"/>
                <w:color w:val="212121"/>
                <w:sz w:val="16"/>
              </w:rPr>
              <w:t>No anterior-chamber cells or flare</w:t>
            </w:r>
          </w:p>
        </w:tc>
        <w:tc>
          <w:tcPr>
            <w:tcW w:type="dxa" w:w="950"/>
            <w:vAlign w:val="top"/>
          </w:tcPr>
          <w:p>
            <w:pPr>
              <w:spacing w:after="40" w:before="0" w:line="259" w:lineRule="auto"/>
            </w:pPr>
            <w:r>
              <w:rPr>
                <w:rFonts w:ascii="Calibri" w:hAnsi="Calibri"/>
                <w:b w:val="0"/>
                <w:i w:val="0"/>
                <w:color w:val="212121"/>
                <w:sz w:val="16"/>
              </w:rPr>
              <w:t>Cells/flare, posterior synechiae, band keratopathy, cataract</w:t>
            </w:r>
          </w:p>
        </w:tc>
        <w:tc>
          <w:tcPr>
            <w:tcW w:type="dxa" w:w="1036"/>
            <w:vAlign w:val="top"/>
          </w:tcPr>
          <w:p>
            <w:pPr>
              <w:spacing w:after="40" w:before="0" w:line="259" w:lineRule="auto"/>
            </w:pPr>
            <w:r>
              <w:rPr>
                <w:rFonts w:ascii="Calibri" w:hAnsi="Calibri"/>
                <w:b w:val="0"/>
                <w:i w:val="0"/>
                <w:color w:val="212121"/>
                <w:sz w:val="16"/>
              </w:rPr>
              <w:t>Detects silent, sight-threatening JIA-associated uveitis before symptoms arise</w:t>
            </w:r>
          </w:p>
        </w:tc>
        <w:tc>
          <w:tcPr>
            <w:tcW w:type="dxa" w:w="1036"/>
            <w:vAlign w:val="top"/>
          </w:tcPr>
          <w:p>
            <w:pPr>
              <w:spacing w:after="40" w:before="0" w:line="259" w:lineRule="auto"/>
            </w:pPr>
            <w:r>
              <w:rPr>
                <w:rFonts w:ascii="Calibri" w:hAnsi="Calibri"/>
                <w:b w:val="0"/>
                <w:i w:val="0"/>
                <w:color w:val="212121"/>
                <w:sz w:val="16"/>
              </w:rPr>
              <w:t>All JIA - ANA-positive oligoarticular most intensively</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Critical (screening)</w:t>
            </w:r>
          </w:p>
        </w:tc>
        <w:tc>
          <w:tcPr>
            <w:tcW w:type="dxa" w:w="720"/>
            <w:vAlign w:val="top"/>
          </w:tcPr>
          <w:p>
            <w:pPr>
              <w:spacing w:after="40" w:before="0" w:line="259" w:lineRule="auto"/>
            </w:pPr>
            <w:r>
              <w:rPr>
                <w:rFonts w:ascii="Calibri" w:hAnsi="Calibri"/>
                <w:b w:val="0"/>
                <w:i w:val="0"/>
                <w:color w:val="212121"/>
                <w:sz w:val="16"/>
              </w:rPr>
              <w:t>Schedule per ANA status, age and subtype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Bone / endocrine</w:t>
            </w:r>
          </w:p>
        </w:tc>
        <w:tc>
          <w:tcPr>
            <w:tcW w:type="dxa" w:w="1036"/>
            <w:vAlign w:val="top"/>
          </w:tcPr>
          <w:p>
            <w:pPr>
              <w:spacing w:after="40" w:before="0" w:line="259" w:lineRule="auto"/>
            </w:pPr>
            <w:r>
              <w:rPr>
                <w:rFonts w:ascii="Calibri" w:hAnsi="Calibri"/>
                <w:b w:val="0"/>
                <w:i w:val="0"/>
                <w:color w:val="212121"/>
                <w:sz w:val="16"/>
              </w:rPr>
              <w:t>Serum 25-OH vitamin D &amp; bone density</w:t>
            </w:r>
          </w:p>
        </w:tc>
        <w:tc>
          <w:tcPr>
            <w:tcW w:type="dxa" w:w="892"/>
            <w:vAlign w:val="top"/>
          </w:tcPr>
          <w:p>
            <w:pPr>
              <w:spacing w:after="40" w:before="0" w:line="259" w:lineRule="auto"/>
            </w:pPr>
            <w:r>
              <w:rPr>
                <w:rFonts w:ascii="Calibri" w:hAnsi="Calibri"/>
                <w:b w:val="0"/>
                <w:i w:val="0"/>
                <w:color w:val="212121"/>
                <w:sz w:val="16"/>
              </w:rPr>
              <w:t>Bone health assessment</w:t>
            </w:r>
          </w:p>
        </w:tc>
        <w:tc>
          <w:tcPr>
            <w:tcW w:type="dxa" w:w="950"/>
            <w:vAlign w:val="top"/>
          </w:tcPr>
          <w:p>
            <w:pPr>
              <w:spacing w:after="40" w:before="0" w:line="259" w:lineRule="auto"/>
            </w:pPr>
            <w:r>
              <w:rPr>
                <w:rFonts w:ascii="Calibri" w:hAnsi="Calibri"/>
                <w:b w:val="0"/>
                <w:i w:val="0"/>
                <w:color w:val="212121"/>
                <w:sz w:val="16"/>
              </w:rPr>
              <w:t>Vitamin D &gt;= 30 ng/mL; normal BMD Z-score</w:t>
            </w:r>
          </w:p>
        </w:tc>
        <w:tc>
          <w:tcPr>
            <w:tcW w:type="dxa" w:w="950"/>
            <w:vAlign w:val="top"/>
          </w:tcPr>
          <w:p>
            <w:pPr>
              <w:spacing w:after="40" w:before="0" w:line="259" w:lineRule="auto"/>
            </w:pPr>
            <w:r>
              <w:rPr>
                <w:rFonts w:ascii="Calibri" w:hAnsi="Calibri"/>
                <w:b w:val="0"/>
                <w:i w:val="0"/>
                <w:color w:val="212121"/>
                <w:sz w:val="16"/>
              </w:rPr>
              <w:t>Vitamin D &lt; 20 ng/mL; low BMD Z-score</w:t>
            </w:r>
          </w:p>
        </w:tc>
        <w:tc>
          <w:tcPr>
            <w:tcW w:type="dxa" w:w="1036"/>
            <w:vAlign w:val="top"/>
          </w:tcPr>
          <w:p>
            <w:pPr>
              <w:spacing w:after="40" w:before="0" w:line="259" w:lineRule="auto"/>
            </w:pPr>
            <w:r>
              <w:rPr>
                <w:rFonts w:ascii="Calibri" w:hAnsi="Calibri"/>
                <w:b w:val="0"/>
                <w:i w:val="0"/>
                <w:color w:val="212121"/>
                <w:sz w:val="16"/>
              </w:rPr>
              <w:t>Identifies the osteopenia and vitamin D deficiency that accompany chronic inflammation and steroids, especially in Indian children</w:t>
            </w:r>
          </w:p>
        </w:tc>
        <w:tc>
          <w:tcPr>
            <w:tcW w:type="dxa" w:w="1036"/>
            <w:vAlign w:val="top"/>
          </w:tcPr>
          <w:p>
            <w:pPr>
              <w:spacing w:after="40" w:before="0" w:line="259" w:lineRule="auto"/>
            </w:pPr>
            <w:r>
              <w:rPr>
                <w:rFonts w:ascii="Calibri" w:hAnsi="Calibri"/>
                <w:b w:val="0"/>
                <w:i w:val="0"/>
                <w:color w:val="212121"/>
                <w:sz w:val="16"/>
              </w:rPr>
              <w:t>Steroid-treated, chronic/systemic JIA</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 / safety</w:t>
            </w:r>
          </w:p>
        </w:tc>
        <w:tc>
          <w:tcPr>
            <w:tcW w:type="dxa" w:w="720"/>
            <w:vAlign w:val="top"/>
          </w:tcPr>
          <w:p>
            <w:pPr>
              <w:spacing w:after="40" w:before="0" w:line="259" w:lineRule="auto"/>
            </w:pPr>
            <w:r>
              <w:rPr>
                <w:rFonts w:ascii="Calibri" w:hAnsi="Calibri"/>
                <w:b w:val="0"/>
                <w:i w:val="0"/>
                <w:color w:val="212121"/>
                <w:sz w:val="16"/>
              </w:rPr>
              <w:t>Guides calcium/vitamin D and growth monitoring</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Joint pain, morning stiffness, limp or refusal to walk lasting &gt;= 6 weeks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Persistent pain/stiffness/limp, worse in the morning</w:t>
            </w:r>
          </w:p>
        </w:tc>
        <w:tc>
          <w:tcPr>
            <w:tcW w:type="dxa" w:w="1036"/>
            <w:vAlign w:val="top"/>
          </w:tcPr>
          <w:p>
            <w:pPr>
              <w:spacing w:after="40" w:before="0" w:line="259" w:lineRule="auto"/>
            </w:pPr>
            <w:r>
              <w:rPr>
                <w:rFonts w:ascii="Calibri" w:hAnsi="Calibri"/>
                <w:b w:val="0"/>
                <w:i w:val="0"/>
                <w:color w:val="212121"/>
                <w:sz w:val="16"/>
              </w:rPr>
              <w:t>Cardinal presentation of JIA; young children present with limp rather than complaint</w:t>
            </w:r>
          </w:p>
        </w:tc>
        <w:tc>
          <w:tcPr>
            <w:tcW w:type="dxa" w:w="1036"/>
            <w:vAlign w:val="top"/>
          </w:tcPr>
          <w:p>
            <w:pPr>
              <w:spacing w:after="40" w:before="0" w:line="259" w:lineRule="auto"/>
            </w:pPr>
            <w:r>
              <w:rPr>
                <w:rFonts w:ascii="Calibri" w:hAnsi="Calibri"/>
                <w:b w:val="0"/>
                <w:i w:val="0"/>
                <w:color w:val="212121"/>
                <w:sz w:val="16"/>
              </w:rPr>
              <w:t>Children with a persistent limp or swollen joint</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Duration &gt;= 6 weeks distinguishes JIA from transient arthritis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Systemic features</w:t>
            </w:r>
          </w:p>
        </w:tc>
        <w:tc>
          <w:tcPr>
            <w:tcW w:type="dxa" w:w="979"/>
            <w:vAlign w:val="top"/>
          </w:tcPr>
          <w:p>
            <w:pPr>
              <w:spacing w:after="40" w:before="0" w:line="259" w:lineRule="auto"/>
            </w:pPr>
            <w:r>
              <w:rPr>
                <w:rFonts w:ascii="Calibri" w:hAnsi="Calibri"/>
                <w:b w:val="0"/>
                <w:i w:val="0"/>
                <w:color w:val="212121"/>
                <w:sz w:val="16"/>
              </w:rPr>
              <w:t>Quotidian spiking fever &gt;= 2 weeks, evanescent rash, weight loss</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Daily fever spikes with salmon-pink rash and malaise</w:t>
            </w:r>
          </w:p>
        </w:tc>
        <w:tc>
          <w:tcPr>
            <w:tcW w:type="dxa" w:w="1036"/>
            <w:vAlign w:val="top"/>
          </w:tcPr>
          <w:p>
            <w:pPr>
              <w:spacing w:after="40" w:before="0" w:line="259" w:lineRule="auto"/>
            </w:pPr>
            <w:r>
              <w:rPr>
                <w:rFonts w:ascii="Calibri" w:hAnsi="Calibri"/>
                <w:b w:val="0"/>
                <w:i w:val="0"/>
                <w:color w:val="212121"/>
                <w:sz w:val="16"/>
              </w:rPr>
              <w:t>Points to systemic-onset JIA and prompts vigilance for MAS</w:t>
            </w:r>
          </w:p>
        </w:tc>
        <w:tc>
          <w:tcPr>
            <w:tcW w:type="dxa" w:w="1036"/>
            <w:vAlign w:val="top"/>
          </w:tcPr>
          <w:p>
            <w:pPr>
              <w:spacing w:after="40" w:before="0" w:line="259" w:lineRule="auto"/>
            </w:pPr>
            <w:r>
              <w:rPr>
                <w:rFonts w:ascii="Calibri" w:hAnsi="Calibri"/>
                <w:b w:val="0"/>
                <w:i w:val="0"/>
                <w:color w:val="212121"/>
                <w:sz w:val="16"/>
              </w:rPr>
              <w:t>Children with prolonged fever of unknown origin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Critical</w:t>
            </w:r>
          </w:p>
        </w:tc>
        <w:tc>
          <w:tcPr>
            <w:tcW w:type="dxa" w:w="720"/>
            <w:vAlign w:val="top"/>
          </w:tcPr>
          <w:p>
            <w:pPr>
              <w:spacing w:after="40" w:before="0" w:line="259" w:lineRule="auto"/>
            </w:pPr>
            <w:r>
              <w:rPr>
                <w:rFonts w:ascii="Calibri" w:hAnsi="Calibri"/>
                <w:b w:val="0"/>
                <w:i w:val="0"/>
                <w:color w:val="212121"/>
                <w:sz w:val="16"/>
              </w:rPr>
              <w:t>Exclude infection and malignancy first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Eye &amp; family history</w:t>
            </w:r>
          </w:p>
        </w:tc>
        <w:tc>
          <w:tcPr>
            <w:tcW w:type="dxa" w:w="979"/>
            <w:vAlign w:val="top"/>
          </w:tcPr>
          <w:p>
            <w:pPr>
              <w:spacing w:after="40" w:before="0" w:line="259" w:lineRule="auto"/>
            </w:pPr>
            <w:r>
              <w:rPr>
                <w:rFonts w:ascii="Calibri" w:hAnsi="Calibri"/>
                <w:b w:val="0"/>
                <w:i w:val="0"/>
                <w:color w:val="212121"/>
                <w:sz w:val="16"/>
              </w:rPr>
              <w:t>Eye redness/pain (often none), family history of psoriasis, spondyloarthritis or IBD</w:t>
            </w:r>
          </w:p>
        </w:tc>
        <w:tc>
          <w:tcPr>
            <w:tcW w:type="dxa" w:w="950"/>
            <w:vAlign w:val="top"/>
          </w:tcPr>
          <w:p>
            <w:pPr>
              <w:spacing w:after="40" w:before="0" w:line="259" w:lineRule="auto"/>
            </w:pPr>
            <w:r>
              <w:rPr>
                <w:rFonts w:ascii="Calibri" w:hAnsi="Calibri"/>
                <w:b w:val="0"/>
                <w:i w:val="0"/>
                <w:color w:val="212121"/>
                <w:sz w:val="16"/>
              </w:rPr>
              <w:t>No ocular symptoms; no relevant family history</w:t>
            </w:r>
          </w:p>
        </w:tc>
        <w:tc>
          <w:tcPr>
            <w:tcW w:type="dxa" w:w="950"/>
            <w:vAlign w:val="top"/>
          </w:tcPr>
          <w:p>
            <w:pPr>
              <w:spacing w:after="40" w:before="0" w:line="259" w:lineRule="auto"/>
            </w:pPr>
            <w:r>
              <w:rPr>
                <w:rFonts w:ascii="Calibri" w:hAnsi="Calibri"/>
                <w:b w:val="0"/>
                <w:i w:val="0"/>
                <w:color w:val="212121"/>
                <w:sz w:val="16"/>
              </w:rPr>
              <w:t>Ocular symptoms or positive family history</w:t>
            </w:r>
          </w:p>
        </w:tc>
        <w:tc>
          <w:tcPr>
            <w:tcW w:type="dxa" w:w="1036"/>
            <w:vAlign w:val="top"/>
          </w:tcPr>
          <w:p>
            <w:pPr>
              <w:spacing w:after="40" w:before="0" w:line="259" w:lineRule="auto"/>
            </w:pPr>
            <w:r>
              <w:rPr>
                <w:rFonts w:ascii="Calibri" w:hAnsi="Calibri"/>
                <w:b w:val="0"/>
                <w:i w:val="0"/>
                <w:color w:val="212121"/>
                <w:sz w:val="16"/>
              </w:rPr>
              <w:t>Uveitis is usually silent, so history is insensitive - screening is essential; family history informs subtype</w:t>
            </w:r>
          </w:p>
        </w:tc>
        <w:tc>
          <w:tcPr>
            <w:tcW w:type="dxa" w:w="1036"/>
            <w:vAlign w:val="top"/>
          </w:tcPr>
          <w:p>
            <w:pPr>
              <w:spacing w:after="40" w:before="0" w:line="259" w:lineRule="auto"/>
            </w:pPr>
            <w:r>
              <w:rPr>
                <w:rFonts w:ascii="Calibri" w:hAnsi="Calibri"/>
                <w:b w:val="0"/>
                <w:i w:val="0"/>
                <w:color w:val="212121"/>
                <w:sz w:val="16"/>
              </w:rPr>
              <w:t>All JIA</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Never rely on eye symptoms to exclude uveitis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Joint examination</w:t>
            </w:r>
          </w:p>
        </w:tc>
        <w:tc>
          <w:tcPr>
            <w:tcW w:type="dxa" w:w="979"/>
            <w:vAlign w:val="top"/>
          </w:tcPr>
          <w:p>
            <w:pPr>
              <w:spacing w:after="40" w:before="0" w:line="259" w:lineRule="auto"/>
            </w:pPr>
            <w:r>
              <w:rPr>
                <w:rFonts w:ascii="Calibri" w:hAnsi="Calibri"/>
                <w:b w:val="0"/>
                <w:i w:val="0"/>
                <w:color w:val="212121"/>
                <w:sz w:val="16"/>
              </w:rPr>
              <w:t>Swelling, warmth, effusion, tenderness, limited range of motion, active joint count</w:t>
            </w:r>
          </w:p>
        </w:tc>
        <w:tc>
          <w:tcPr>
            <w:tcW w:type="dxa" w:w="950"/>
            <w:vAlign w:val="top"/>
          </w:tcPr>
          <w:p>
            <w:pPr>
              <w:spacing w:after="40" w:before="0" w:line="259" w:lineRule="auto"/>
            </w:pPr>
            <w:r>
              <w:rPr>
                <w:rFonts w:ascii="Calibri" w:hAnsi="Calibri"/>
                <w:b w:val="0"/>
                <w:i w:val="0"/>
                <w:color w:val="212121"/>
                <w:sz w:val="16"/>
              </w:rPr>
              <w:t>Full painless movement, no swelling</w:t>
            </w:r>
          </w:p>
        </w:tc>
        <w:tc>
          <w:tcPr>
            <w:tcW w:type="dxa" w:w="950"/>
            <w:vAlign w:val="top"/>
          </w:tcPr>
          <w:p>
            <w:pPr>
              <w:spacing w:after="40" w:before="0" w:line="259" w:lineRule="auto"/>
            </w:pPr>
            <w:r>
              <w:rPr>
                <w:rFonts w:ascii="Calibri" w:hAnsi="Calibri"/>
                <w:b w:val="0"/>
                <w:i w:val="0"/>
                <w:color w:val="212121"/>
                <w:sz w:val="16"/>
              </w:rPr>
              <w:t>Objective synovitis with restricted motion</w:t>
            </w:r>
          </w:p>
        </w:tc>
        <w:tc>
          <w:tcPr>
            <w:tcW w:type="dxa" w:w="1036"/>
            <w:vAlign w:val="top"/>
          </w:tcPr>
          <w:p>
            <w:pPr>
              <w:spacing w:after="40" w:before="0" w:line="259" w:lineRule="auto"/>
            </w:pPr>
            <w:r>
              <w:rPr>
                <w:rFonts w:ascii="Calibri" w:hAnsi="Calibri"/>
                <w:b w:val="0"/>
                <w:i w:val="0"/>
                <w:color w:val="212121"/>
                <w:sz w:val="16"/>
              </w:rPr>
              <w:t>Confirms arthritis and defines oligo- versus polyarticular pattern</w:t>
            </w:r>
          </w:p>
        </w:tc>
        <w:tc>
          <w:tcPr>
            <w:tcW w:type="dxa" w:w="1036"/>
            <w:vAlign w:val="top"/>
          </w:tcPr>
          <w:p>
            <w:pPr>
              <w:spacing w:after="40" w:before="0" w:line="259" w:lineRule="auto"/>
            </w:pPr>
            <w:r>
              <w:rPr>
                <w:rFonts w:ascii="Calibri" w:hAnsi="Calibri"/>
                <w:b w:val="0"/>
                <w:i w:val="0"/>
                <w:color w:val="212121"/>
                <w:sz w:val="16"/>
              </w:rPr>
              <w:t>Children with suspected JIA</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Objective swelling or limited motion with pain is required, not pain alone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Enthesitis &amp; sacroiliac assessment</w:t>
            </w:r>
          </w:p>
        </w:tc>
        <w:tc>
          <w:tcPr>
            <w:tcW w:type="dxa" w:w="979"/>
            <w:vAlign w:val="top"/>
          </w:tcPr>
          <w:p>
            <w:pPr>
              <w:spacing w:after="40" w:before="0" w:line="259" w:lineRule="auto"/>
            </w:pPr>
            <w:r>
              <w:rPr>
                <w:rFonts w:ascii="Calibri" w:hAnsi="Calibri"/>
                <w:b w:val="0"/>
                <w:i w:val="0"/>
                <w:color w:val="212121"/>
                <w:sz w:val="16"/>
              </w:rPr>
              <w:t>Tenderness at Achilles/plantar fascia/tibial tuberosity, SI-joint tenderness, spinal mobility</w:t>
            </w:r>
          </w:p>
        </w:tc>
        <w:tc>
          <w:tcPr>
            <w:tcW w:type="dxa" w:w="950"/>
            <w:vAlign w:val="top"/>
          </w:tcPr>
          <w:p>
            <w:pPr>
              <w:spacing w:after="40" w:before="0" w:line="259" w:lineRule="auto"/>
            </w:pPr>
            <w:r>
              <w:rPr>
                <w:rFonts w:ascii="Calibri" w:hAnsi="Calibri"/>
                <w:b w:val="0"/>
                <w:i w:val="0"/>
                <w:color w:val="212121"/>
                <w:sz w:val="16"/>
              </w:rPr>
              <w:t>Non-tender entheses, full spinal/SI movement</w:t>
            </w:r>
          </w:p>
        </w:tc>
        <w:tc>
          <w:tcPr>
            <w:tcW w:type="dxa" w:w="950"/>
            <w:vAlign w:val="top"/>
          </w:tcPr>
          <w:p>
            <w:pPr>
              <w:spacing w:after="40" w:before="0" w:line="259" w:lineRule="auto"/>
            </w:pPr>
            <w:r>
              <w:rPr>
                <w:rFonts w:ascii="Calibri" w:hAnsi="Calibri"/>
                <w:b w:val="0"/>
                <w:i w:val="0"/>
                <w:color w:val="212121"/>
                <w:sz w:val="16"/>
              </w:rPr>
              <w:t>Entheseal tenderness, reduced modified Schober, SI tenderness</w:t>
            </w:r>
          </w:p>
        </w:tc>
        <w:tc>
          <w:tcPr>
            <w:tcW w:type="dxa" w:w="1036"/>
            <w:vAlign w:val="top"/>
          </w:tcPr>
          <w:p>
            <w:pPr>
              <w:spacing w:after="40" w:before="0" w:line="259" w:lineRule="auto"/>
            </w:pPr>
            <w:r>
              <w:rPr>
                <w:rFonts w:ascii="Calibri" w:hAnsi="Calibri"/>
                <w:b w:val="0"/>
                <w:i w:val="0"/>
                <w:color w:val="212121"/>
                <w:sz w:val="16"/>
              </w:rPr>
              <w:t>Identifies enthesitis-related arthritis, the leading Indian subtype</w:t>
            </w:r>
          </w:p>
        </w:tc>
        <w:tc>
          <w:tcPr>
            <w:tcW w:type="dxa" w:w="1036"/>
            <w:vAlign w:val="top"/>
          </w:tcPr>
          <w:p>
            <w:pPr>
              <w:spacing w:after="40" w:before="0" w:line="259" w:lineRule="auto"/>
            </w:pPr>
            <w:r>
              <w:rPr>
                <w:rFonts w:ascii="Calibri" w:hAnsi="Calibri"/>
                <w:b w:val="0"/>
                <w:i w:val="0"/>
                <w:color w:val="212121"/>
                <w:sz w:val="16"/>
              </w:rPr>
              <w:t>Boys &gt;6 with heel/back pain</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Enthesitis is easily missed unless specifically examined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Growth, TMJ &amp; deformity assessment</w:t>
            </w:r>
          </w:p>
        </w:tc>
        <w:tc>
          <w:tcPr>
            <w:tcW w:type="dxa" w:w="979"/>
            <w:vAlign w:val="top"/>
          </w:tcPr>
          <w:p>
            <w:pPr>
              <w:spacing w:after="40" w:before="0" w:line="259" w:lineRule="auto"/>
            </w:pPr>
            <w:r>
              <w:rPr>
                <w:rFonts w:ascii="Calibri" w:hAnsi="Calibri"/>
                <w:b w:val="0"/>
                <w:i w:val="0"/>
                <w:color w:val="212121"/>
                <w:sz w:val="16"/>
              </w:rPr>
              <w:t>Height/weight percentiles, jaw opening/micrognathia, leg-length discrepancy, muscle wasting</w:t>
            </w:r>
          </w:p>
        </w:tc>
        <w:tc>
          <w:tcPr>
            <w:tcW w:type="dxa" w:w="950"/>
            <w:vAlign w:val="top"/>
          </w:tcPr>
          <w:p>
            <w:pPr>
              <w:spacing w:after="40" w:before="0" w:line="259" w:lineRule="auto"/>
            </w:pPr>
            <w:r>
              <w:rPr>
                <w:rFonts w:ascii="Calibri" w:hAnsi="Calibri"/>
                <w:b w:val="0"/>
                <w:i w:val="0"/>
                <w:color w:val="212121"/>
                <w:sz w:val="16"/>
              </w:rPr>
              <w:t>Normal growth and symmetry</w:t>
            </w:r>
          </w:p>
        </w:tc>
        <w:tc>
          <w:tcPr>
            <w:tcW w:type="dxa" w:w="950"/>
            <w:vAlign w:val="top"/>
          </w:tcPr>
          <w:p>
            <w:pPr>
              <w:spacing w:after="40" w:before="0" w:line="259" w:lineRule="auto"/>
            </w:pPr>
            <w:r>
              <w:rPr>
                <w:rFonts w:ascii="Calibri" w:hAnsi="Calibri"/>
                <w:b w:val="0"/>
                <w:i w:val="0"/>
                <w:color w:val="212121"/>
                <w:sz w:val="16"/>
              </w:rPr>
              <w:t>Growth faltering, micrognathia, limb-length inequality, contractures, periarticular wasting</w:t>
            </w:r>
          </w:p>
        </w:tc>
        <w:tc>
          <w:tcPr>
            <w:tcW w:type="dxa" w:w="1036"/>
            <w:vAlign w:val="top"/>
          </w:tcPr>
          <w:p>
            <w:pPr>
              <w:spacing w:after="40" w:before="0" w:line="259" w:lineRule="auto"/>
            </w:pPr>
            <w:r>
              <w:rPr>
                <w:rFonts w:ascii="Calibri" w:hAnsi="Calibri"/>
                <w:b w:val="0"/>
                <w:i w:val="0"/>
                <w:color w:val="212121"/>
                <w:sz w:val="16"/>
              </w:rPr>
              <w:t>Reveals the growth and musculoskeletal harms of chronic arthritis and therapy</w:t>
            </w:r>
          </w:p>
        </w:tc>
        <w:tc>
          <w:tcPr>
            <w:tcW w:type="dxa" w:w="1036"/>
            <w:vAlign w:val="top"/>
          </w:tcPr>
          <w:p>
            <w:pPr>
              <w:spacing w:after="40" w:before="0" w:line="259" w:lineRule="auto"/>
            </w:pPr>
            <w:r>
              <w:rPr>
                <w:rFonts w:ascii="Calibri" w:hAnsi="Calibri"/>
                <w:b w:val="0"/>
                <w:i w:val="0"/>
                <w:color w:val="212121"/>
                <w:sz w:val="16"/>
              </w:rPr>
              <w:t>Chronic/polyarticular JIA</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TMJ involvement is common yet clinically silent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Skin &amp; nail examination</w:t>
            </w:r>
          </w:p>
        </w:tc>
        <w:tc>
          <w:tcPr>
            <w:tcW w:type="dxa" w:w="979"/>
            <w:vAlign w:val="top"/>
          </w:tcPr>
          <w:p>
            <w:pPr>
              <w:spacing w:after="40" w:before="0" w:line="259" w:lineRule="auto"/>
            </w:pPr>
            <w:r>
              <w:rPr>
                <w:rFonts w:ascii="Calibri" w:hAnsi="Calibri"/>
                <w:b w:val="0"/>
                <w:i w:val="0"/>
                <w:color w:val="212121"/>
                <w:sz w:val="16"/>
              </w:rPr>
              <w:t>Psoriatic plaques, nail pitting/onycholysis, dactylitis, rheumatoid nodules</w:t>
            </w:r>
          </w:p>
        </w:tc>
        <w:tc>
          <w:tcPr>
            <w:tcW w:type="dxa" w:w="950"/>
            <w:vAlign w:val="top"/>
          </w:tcPr>
          <w:p>
            <w:pPr>
              <w:spacing w:after="40" w:before="0" w:line="259" w:lineRule="auto"/>
            </w:pPr>
            <w:r>
              <w:rPr>
                <w:rFonts w:ascii="Calibri" w:hAnsi="Calibri"/>
                <w:b w:val="0"/>
                <w:i w:val="0"/>
                <w:color w:val="212121"/>
                <w:sz w:val="16"/>
              </w:rPr>
              <w:t>Normal skin and nails</w:t>
            </w:r>
          </w:p>
        </w:tc>
        <w:tc>
          <w:tcPr>
            <w:tcW w:type="dxa" w:w="950"/>
            <w:vAlign w:val="top"/>
          </w:tcPr>
          <w:p>
            <w:pPr>
              <w:spacing w:after="40" w:before="0" w:line="259" w:lineRule="auto"/>
            </w:pPr>
            <w:r>
              <w:rPr>
                <w:rFonts w:ascii="Calibri" w:hAnsi="Calibri"/>
                <w:b w:val="0"/>
                <w:i w:val="0"/>
                <w:color w:val="212121"/>
                <w:sz w:val="16"/>
              </w:rPr>
              <w:t>Psoriasis, nail changes, sausage digits or nodules</w:t>
            </w:r>
          </w:p>
        </w:tc>
        <w:tc>
          <w:tcPr>
            <w:tcW w:type="dxa" w:w="1036"/>
            <w:vAlign w:val="top"/>
          </w:tcPr>
          <w:p>
            <w:pPr>
              <w:spacing w:after="40" w:before="0" w:line="259" w:lineRule="auto"/>
            </w:pPr>
            <w:r>
              <w:rPr>
                <w:rFonts w:ascii="Calibri" w:hAnsi="Calibri"/>
                <w:b w:val="0"/>
                <w:i w:val="0"/>
                <w:color w:val="212121"/>
                <w:sz w:val="16"/>
              </w:rPr>
              <w:t>Helps assign psoriatic JIA or RF-positive disease</w:t>
            </w:r>
          </w:p>
        </w:tc>
        <w:tc>
          <w:tcPr>
            <w:tcW w:type="dxa" w:w="1036"/>
            <w:vAlign w:val="top"/>
          </w:tcPr>
          <w:p>
            <w:pPr>
              <w:spacing w:after="40" w:before="0" w:line="259" w:lineRule="auto"/>
            </w:pPr>
            <w:r>
              <w:rPr>
                <w:rFonts w:ascii="Calibri" w:hAnsi="Calibri"/>
                <w:b w:val="0"/>
                <w:i w:val="0"/>
                <w:color w:val="212121"/>
                <w:sz w:val="16"/>
              </w:rPr>
              <w:t>Children with rashes or dactylitis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Classification</w:t>
            </w:r>
          </w:p>
        </w:tc>
        <w:tc>
          <w:tcPr>
            <w:tcW w:type="dxa" w:w="720"/>
            <w:vAlign w:val="top"/>
          </w:tcPr>
          <w:p>
            <w:pPr>
              <w:spacing w:after="40" w:before="0" w:line="259" w:lineRule="auto"/>
            </w:pPr>
            <w:r>
              <w:rPr>
                <w:rFonts w:ascii="Calibri" w:hAnsi="Calibri"/>
                <w:b w:val="0"/>
                <w:i w:val="0"/>
                <w:color w:val="212121"/>
                <w:sz w:val="16"/>
              </w:rPr>
              <w:t>Skin signs may precede or follow the arthritis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Joint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Aching in one or more joints, often worse after rest; young children may show it only as reluctance to use a limb.</w:t>
            </w:r>
          </w:p>
        </w:tc>
      </w:tr>
      <w:tr>
        <w:trPr>
          <w:cantSplit/>
        </w:trPr>
        <w:tc>
          <w:tcPr>
            <w:tcW w:type="dxa" w:w="2304"/>
            <w:vAlign w:val="top"/>
          </w:tcPr>
          <w:p>
            <w:pPr>
              <w:spacing w:after="40" w:before="0" w:line="259" w:lineRule="auto"/>
            </w:pPr>
            <w:r>
              <w:rPr>
                <w:rFonts w:ascii="Calibri" w:hAnsi="Calibri"/>
                <w:b/>
                <w:i w:val="0"/>
                <w:color w:val="212121"/>
                <w:sz w:val="19"/>
              </w:rPr>
              <w:t>Morning stiffness / gelling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Stiffness on waking or after inactivity that eases with movement; a hallmark of inflammatory arthritis.</w:t>
            </w:r>
          </w:p>
        </w:tc>
      </w:tr>
      <w:tr>
        <w:trPr>
          <w:cantSplit/>
        </w:trPr>
        <w:tc>
          <w:tcPr>
            <w:tcW w:type="dxa" w:w="2304"/>
            <w:vAlign w:val="top"/>
          </w:tcPr>
          <w:p>
            <w:pPr>
              <w:spacing w:after="40" w:before="0" w:line="259" w:lineRule="auto"/>
            </w:pPr>
            <w:r>
              <w:rPr>
                <w:rFonts w:ascii="Calibri" w:hAnsi="Calibri"/>
                <w:b/>
                <w:i w:val="0"/>
                <w:color w:val="212121"/>
                <w:sz w:val="19"/>
              </w:rPr>
              <w:t>Joint swelling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Visible or palpable swelling, first noticed most often in large joints such as the knee.</w:t>
            </w:r>
          </w:p>
        </w:tc>
      </w:tr>
      <w:tr>
        <w:trPr>
          <w:cantSplit/>
        </w:trPr>
        <w:tc>
          <w:tcPr>
            <w:tcW w:type="dxa" w:w="2304"/>
            <w:vAlign w:val="top"/>
          </w:tcPr>
          <w:p>
            <w:pPr>
              <w:spacing w:after="40" w:before="0" w:line="259" w:lineRule="auto"/>
            </w:pPr>
            <w:r>
              <w:rPr>
                <w:rFonts w:ascii="Calibri" w:hAnsi="Calibri"/>
                <w:b/>
                <w:i w:val="0"/>
                <w:color w:val="212121"/>
                <w:sz w:val="19"/>
              </w:rPr>
              <w:t>Limp or refusal to bear weight (especially mornings)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common presenting feature in toddlers who cannot verbalise pain.</w:t>
            </w:r>
          </w:p>
        </w:tc>
      </w:tr>
      <w:tr>
        <w:trPr>
          <w:cantSplit/>
        </w:trPr>
        <w:tc>
          <w:tcPr>
            <w:tcW w:type="dxa" w:w="2304"/>
            <w:vAlign w:val="top"/>
          </w:tcPr>
          <w:p>
            <w:pPr>
              <w:spacing w:after="40" w:before="0" w:line="259" w:lineRule="auto"/>
            </w:pPr>
            <w:r>
              <w:rPr>
                <w:rFonts w:ascii="Calibri" w:hAnsi="Calibri"/>
                <w:b/>
                <w:i w:val="0"/>
                <w:color w:val="212121"/>
                <w:sz w:val="19"/>
              </w:rPr>
              <w:t>Warm, tender, stiff joints with reduced motion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Signs of active synovitis limiting the child's usual activities and play.</w:t>
            </w:r>
          </w:p>
        </w:tc>
      </w:tr>
      <w:tr>
        <w:trPr>
          <w:cantSplit/>
        </w:trPr>
        <w:tc>
          <w:tcPr>
            <w:tcW w:type="dxa" w:w="2304"/>
            <w:vAlign w:val="top"/>
          </w:tcPr>
          <w:p>
            <w:pPr>
              <w:spacing w:after="40" w:before="0" w:line="259" w:lineRule="auto"/>
            </w:pPr>
            <w:r>
              <w:rPr>
                <w:rFonts w:ascii="Calibri" w:hAnsi="Calibri"/>
                <w:b/>
                <w:i w:val="0"/>
                <w:color w:val="212121"/>
                <w:sz w:val="19"/>
              </w:rPr>
              <w:t>Fatigue and irritability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Systemic effect of chronic inflammation, affecting mood, school and play.</w:t>
            </w:r>
          </w:p>
        </w:tc>
      </w:tr>
      <w:tr>
        <w:trPr>
          <w:cantSplit/>
        </w:trPr>
        <w:tc>
          <w:tcPr>
            <w:tcW w:type="dxa" w:w="2304"/>
            <w:vAlign w:val="top"/>
          </w:tcPr>
          <w:p>
            <w:pPr>
              <w:spacing w:after="40" w:before="0" w:line="259" w:lineRule="auto"/>
            </w:pPr>
            <w:r>
              <w:rPr>
                <w:rFonts w:ascii="Calibri" w:hAnsi="Calibri"/>
                <w:b/>
                <w:i w:val="0"/>
                <w:color w:val="212121"/>
                <w:sz w:val="19"/>
              </w:rPr>
              <w:t>Poor appetite and reduced weight gain / growth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Chronic inflammation (and TMJ involvement limiting chewing) impairs nutrition and growth.</w:t>
            </w:r>
          </w:p>
        </w:tc>
      </w:tr>
      <w:tr>
        <w:trPr>
          <w:cantSplit/>
        </w:trPr>
        <w:tc>
          <w:tcPr>
            <w:tcW w:type="dxa" w:w="2304"/>
            <w:vAlign w:val="top"/>
          </w:tcPr>
          <w:p>
            <w:pPr>
              <w:spacing w:after="40" w:before="0" w:line="259" w:lineRule="auto"/>
            </w:pPr>
            <w:r>
              <w:rPr>
                <w:rFonts w:ascii="Calibri" w:hAnsi="Calibri"/>
                <w:b/>
                <w:i w:val="0"/>
                <w:color w:val="212121"/>
                <w:sz w:val="19"/>
              </w:rPr>
              <w:t>High spiking (quotidian) fever for &gt;= 2 weeks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Characteristic of systemic-onset JIA; typically peaks once or twice daily and returns to normal in between.</w:t>
            </w:r>
          </w:p>
        </w:tc>
      </w:tr>
      <w:tr>
        <w:trPr>
          <w:cantSplit/>
        </w:trPr>
        <w:tc>
          <w:tcPr>
            <w:tcW w:type="dxa" w:w="2304"/>
            <w:vAlign w:val="top"/>
          </w:tcPr>
          <w:p>
            <w:pPr>
              <w:spacing w:after="40" w:before="0" w:line="259" w:lineRule="auto"/>
            </w:pPr>
            <w:r>
              <w:rPr>
                <w:rFonts w:ascii="Calibri" w:hAnsi="Calibri"/>
                <w:b/>
                <w:i w:val="0"/>
                <w:color w:val="212121"/>
                <w:sz w:val="19"/>
              </w:rPr>
              <w:t>Evanescent salmon-pink rash</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 fleeting rash of systemic JIA, usually on the trunk and worse in the evenings or with fever.</w:t>
            </w:r>
          </w:p>
        </w:tc>
      </w:tr>
      <w:tr>
        <w:trPr>
          <w:cantSplit/>
        </w:trPr>
        <w:tc>
          <w:tcPr>
            <w:tcW w:type="dxa" w:w="2304"/>
            <w:vAlign w:val="top"/>
          </w:tcPr>
          <w:p>
            <w:pPr>
              <w:spacing w:after="40" w:before="0" w:line="259" w:lineRule="auto"/>
            </w:pPr>
            <w:r>
              <w:rPr>
                <w:rFonts w:ascii="Calibri" w:hAnsi="Calibri"/>
                <w:b/>
                <w:i w:val="0"/>
                <w:color w:val="212121"/>
                <w:sz w:val="19"/>
              </w:rPr>
              <w:t>Heel, foot or other entheseal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Enthesitis of the Achilles or plantar fascia, characteristic of enthesitis-related arthritis in boys.</w:t>
            </w:r>
          </w:p>
        </w:tc>
      </w:tr>
      <w:tr>
        <w:trPr>
          <w:cantSplit/>
        </w:trPr>
        <w:tc>
          <w:tcPr>
            <w:tcW w:type="dxa" w:w="2304"/>
            <w:vAlign w:val="top"/>
          </w:tcPr>
          <w:p>
            <w:pPr>
              <w:spacing w:after="40" w:before="0" w:line="259" w:lineRule="auto"/>
            </w:pPr>
            <w:r>
              <w:rPr>
                <w:rFonts w:ascii="Calibri" w:hAnsi="Calibri"/>
                <w:b/>
                <w:i w:val="0"/>
                <w:color w:val="212121"/>
                <w:sz w:val="19"/>
              </w:rPr>
              <w:t>Inflammatory low back / buttock pain and stiffness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sacroiliac/axial involvement in ERA; improves with activity and worsens with rest.</w:t>
            </w:r>
          </w:p>
        </w:tc>
      </w:tr>
      <w:tr>
        <w:trPr>
          <w:cantSplit/>
        </w:trPr>
        <w:tc>
          <w:tcPr>
            <w:tcW w:type="dxa" w:w="2304"/>
            <w:vAlign w:val="top"/>
          </w:tcPr>
          <w:p>
            <w:pPr>
              <w:spacing w:after="40" w:before="0" w:line="259" w:lineRule="auto"/>
            </w:pPr>
            <w:r>
              <w:rPr>
                <w:rFonts w:ascii="Calibri" w:hAnsi="Calibri"/>
                <w:b/>
                <w:i w:val="0"/>
                <w:color w:val="212121"/>
                <w:sz w:val="19"/>
              </w:rPr>
              <w:t>Jaw pain, reduced mouth opening or difficulty chewing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Reflects frequently silent temporomandibular joint arthritis.</w:t>
            </w:r>
          </w:p>
        </w:tc>
      </w:tr>
      <w:tr>
        <w:trPr>
          <w:cantSplit/>
        </w:trPr>
        <w:tc>
          <w:tcPr>
            <w:tcW w:type="dxa" w:w="2304"/>
            <w:vAlign w:val="top"/>
          </w:tcPr>
          <w:p>
            <w:pPr>
              <w:spacing w:after="40" w:before="0" w:line="259" w:lineRule="auto"/>
            </w:pPr>
            <w:r>
              <w:rPr>
                <w:rFonts w:ascii="Calibri" w:hAnsi="Calibri"/>
                <w:b/>
                <w:i w:val="0"/>
                <w:color w:val="212121"/>
                <w:sz w:val="19"/>
              </w:rPr>
              <w:t>Eye redness, pain, photophobia or blurred vision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JIA uveitis is usually asymptomatic; overt eye symptoms are uncommon and, when acute and painful, point to ERA-type uveitis - either way an ophthalmology emergency.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Objective joint swelling / effusion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Detectable synovial thickening or fluid; required (with or without limited motion) to diagnose arthritis.</w:t>
            </w:r>
          </w:p>
        </w:tc>
      </w:tr>
      <w:tr>
        <w:trPr>
          <w:cantSplit/>
        </w:trPr>
        <w:tc>
          <w:tcPr>
            <w:tcW w:type="dxa" w:w="3456"/>
            <w:vAlign w:val="top"/>
          </w:tcPr>
          <w:p>
            <w:pPr>
              <w:spacing w:after="40" w:before="0" w:line="259" w:lineRule="auto"/>
            </w:pPr>
            <w:r>
              <w:rPr>
                <w:rFonts w:ascii="Calibri" w:hAnsi="Calibri"/>
                <w:b/>
                <w:i w:val="0"/>
                <w:color w:val="212121"/>
                <w:sz w:val="19"/>
              </w:rPr>
              <w:t>Limited, painful range of motion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Restriction of active and passive movement of the affected joint.</w:t>
            </w:r>
          </w:p>
        </w:tc>
      </w:tr>
      <w:tr>
        <w:trPr>
          <w:cantSplit/>
        </w:trPr>
        <w:tc>
          <w:tcPr>
            <w:tcW w:type="dxa" w:w="3456"/>
            <w:vAlign w:val="top"/>
          </w:tcPr>
          <w:p>
            <w:pPr>
              <w:spacing w:after="40" w:before="0" w:line="259" w:lineRule="auto"/>
            </w:pPr>
            <w:r>
              <w:rPr>
                <w:rFonts w:ascii="Calibri" w:hAnsi="Calibri"/>
                <w:b/>
                <w:i w:val="0"/>
                <w:color w:val="212121"/>
                <w:sz w:val="19"/>
              </w:rPr>
              <w:t>Joint warmth without marked erythema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Warmth over the joint reflects active synovitis; overlying redness is usually mild.</w:t>
            </w:r>
          </w:p>
        </w:tc>
      </w:tr>
      <w:tr>
        <w:trPr>
          <w:cantSplit/>
        </w:trPr>
        <w:tc>
          <w:tcPr>
            <w:tcW w:type="dxa" w:w="3456"/>
            <w:vAlign w:val="top"/>
          </w:tcPr>
          <w:p>
            <w:pPr>
              <w:spacing w:after="40" w:before="0" w:line="259" w:lineRule="auto"/>
            </w:pPr>
            <w:r>
              <w:rPr>
                <w:rFonts w:ascii="Calibri" w:hAnsi="Calibri"/>
                <w:b/>
                <w:i w:val="0"/>
                <w:color w:val="212121"/>
                <w:sz w:val="19"/>
              </w:rPr>
              <w:t>Antalgic gait / limp</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Guarding of a painful lower-limb joint, often most obvious in the morning.</w:t>
            </w:r>
          </w:p>
        </w:tc>
      </w:tr>
      <w:tr>
        <w:trPr>
          <w:cantSplit/>
        </w:trPr>
        <w:tc>
          <w:tcPr>
            <w:tcW w:type="dxa" w:w="3456"/>
            <w:vAlign w:val="top"/>
          </w:tcPr>
          <w:p>
            <w:pPr>
              <w:spacing w:after="40" w:before="0" w:line="259" w:lineRule="auto"/>
            </w:pPr>
            <w:r>
              <w:rPr>
                <w:rFonts w:ascii="Calibri" w:hAnsi="Calibri"/>
                <w:b/>
                <w:i w:val="0"/>
                <w:color w:val="212121"/>
                <w:sz w:val="19"/>
              </w:rPr>
              <w:t>Periarticular muscle wasting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Wasting (e.g. quadriceps around an affected knee) from disuse and chronic inflammation.</w:t>
            </w:r>
          </w:p>
        </w:tc>
      </w:tr>
      <w:tr>
        <w:trPr>
          <w:cantSplit/>
        </w:trPr>
        <w:tc>
          <w:tcPr>
            <w:tcW w:type="dxa" w:w="3456"/>
            <w:vAlign w:val="top"/>
          </w:tcPr>
          <w:p>
            <w:pPr>
              <w:spacing w:after="40" w:before="0" w:line="259" w:lineRule="auto"/>
            </w:pPr>
            <w:r>
              <w:rPr>
                <w:rFonts w:ascii="Calibri" w:hAnsi="Calibri"/>
                <w:b/>
                <w:i w:val="0"/>
                <w:color w:val="212121"/>
                <w:sz w:val="19"/>
              </w:rPr>
              <w:t>Enthesitis (tenderness at Achilles, plantar fascia, tibial tuberosity)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Localised entheseal tenderness/swelling characteristic of ERA.</w:t>
            </w:r>
          </w:p>
        </w:tc>
      </w:tr>
      <w:tr>
        <w:trPr>
          <w:cantSplit/>
        </w:trPr>
        <w:tc>
          <w:tcPr>
            <w:tcW w:type="dxa" w:w="3456"/>
            <w:vAlign w:val="top"/>
          </w:tcPr>
          <w:p>
            <w:pPr>
              <w:spacing w:after="40" w:before="0" w:line="259" w:lineRule="auto"/>
            </w:pPr>
            <w:r>
              <w:rPr>
                <w:rFonts w:ascii="Calibri" w:hAnsi="Calibri"/>
                <w:b/>
                <w:i w:val="0"/>
                <w:color w:val="212121"/>
                <w:sz w:val="19"/>
              </w:rPr>
              <w:t>Sacroiliac tenderness / reduced spinal mobility (modified Schober)</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Signs of axial involvement in enthesitis-related arthritis.</w:t>
            </w:r>
          </w:p>
        </w:tc>
      </w:tr>
      <w:tr>
        <w:trPr>
          <w:cantSplit/>
        </w:trPr>
        <w:tc>
          <w:tcPr>
            <w:tcW w:type="dxa" w:w="3456"/>
            <w:vAlign w:val="top"/>
          </w:tcPr>
          <w:p>
            <w:pPr>
              <w:spacing w:after="40" w:before="0" w:line="259" w:lineRule="auto"/>
            </w:pPr>
            <w:r>
              <w:rPr>
                <w:rFonts w:ascii="Calibri" w:hAnsi="Calibri"/>
                <w:b/>
                <w:i w:val="0"/>
                <w:color w:val="212121"/>
                <w:sz w:val="19"/>
              </w:rPr>
              <w:t>Anterior uveitis on slit-lamp (cells/flare, synechiae, band keratopathy)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Detected only on screening in most children; a silent, sight-threatening sign.</w:t>
            </w:r>
          </w:p>
        </w:tc>
      </w:tr>
      <w:tr>
        <w:trPr>
          <w:cantSplit/>
        </w:trPr>
        <w:tc>
          <w:tcPr>
            <w:tcW w:type="dxa" w:w="3456"/>
            <w:vAlign w:val="top"/>
          </w:tcPr>
          <w:p>
            <w:pPr>
              <w:spacing w:after="40" w:before="0" w:line="259" w:lineRule="auto"/>
            </w:pPr>
            <w:r>
              <w:rPr>
                <w:rFonts w:ascii="Calibri" w:hAnsi="Calibri"/>
                <w:b/>
                <w:i w:val="0"/>
                <w:color w:val="212121"/>
                <w:sz w:val="19"/>
              </w:rPr>
              <w:t>Salmon-pink evanescent rash with hepatosplenomegaly / lymphadenopathy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Systemic-JIA signs accompanying the quotidian fever.</w:t>
            </w:r>
          </w:p>
        </w:tc>
      </w:tr>
      <w:tr>
        <w:trPr>
          <w:cantSplit/>
        </w:trPr>
        <w:tc>
          <w:tcPr>
            <w:tcW w:type="dxa" w:w="3456"/>
            <w:vAlign w:val="top"/>
          </w:tcPr>
          <w:p>
            <w:pPr>
              <w:spacing w:after="40" w:before="0" w:line="259" w:lineRule="auto"/>
            </w:pPr>
            <w:r>
              <w:rPr>
                <w:rFonts w:ascii="Calibri" w:hAnsi="Calibri"/>
                <w:b/>
                <w:i w:val="0"/>
                <w:color w:val="212121"/>
                <w:sz w:val="19"/>
              </w:rPr>
              <w:t>Micrognathia / retrognathia and leg-length discrepancy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Growth disturbances from TMJ arthritis and asymmetric epiphyseal growth around inflamed joints.</w:t>
            </w:r>
          </w:p>
        </w:tc>
      </w:tr>
      <w:tr>
        <w:trPr>
          <w:cantSplit/>
        </w:trPr>
        <w:tc>
          <w:tcPr>
            <w:tcW w:type="dxa" w:w="3456"/>
            <w:vAlign w:val="top"/>
          </w:tcPr>
          <w:p>
            <w:pPr>
              <w:spacing w:after="40" w:before="0" w:line="259" w:lineRule="auto"/>
            </w:pPr>
            <w:r>
              <w:rPr>
                <w:rFonts w:ascii="Calibri" w:hAnsi="Calibri"/>
                <w:b/>
                <w:i w:val="0"/>
                <w:color w:val="212121"/>
                <w:sz w:val="19"/>
              </w:rPr>
              <w:t>Dactylitis, nail pitting or psoriatic plaques; rheumatoid nodules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Point to psoriatic JIA or, with nodules, RF-positive polyarticular disease.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synovitis with joint pain, swelling and morning stiffness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Joint effusions and restricted range of motion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Flexion contractures and periarticular muscle wasting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Functional disability, school absence and impaired play/development</w:t>
            </w:r>
          </w:p>
        </w:tc>
        <w:tc>
          <w:tcPr>
            <w:tcW w:type="dxa" w:w="2980"/>
            <w:vAlign w:val="top"/>
          </w:tcPr>
          <w:p>
            <w:pPr>
              <w:spacing w:after="40" w:before="0" w:line="259" w:lineRule="auto"/>
            </w:pPr>
            <w:r>
              <w:rPr>
                <w:rFonts w:ascii="Calibri" w:hAnsi="Calibri"/>
                <w:b w:val="0"/>
                <w:i w:val="0"/>
                <w:color w:val="212121"/>
                <w:sz w:val="19"/>
              </w:rPr>
              <w:t>Direct consequences of ongoing joint inflammation on the growing musculoskeletal system</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anterior uveitis (band keratopathy, posterior synechiae, cataract, glaucoma) - about 25% within 4 years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Macrophage activation syndrome in systemic JIA (up to ~10%)</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Growth disturbance: localised overgrowth/undergrowth, leg-length discrepancy, micrognathia and overall short stature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Osteopenia/osteoporosis and low bone mineral density with fracture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Temporomandibular joint arthritis (&gt;50%) and axial/sacroiliac disease in ERA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Anaemia of chronic disease and, in systemic JIA, serositis (pericarditis, pleuritis)</w:t>
            </w:r>
          </w:p>
        </w:tc>
        <w:tc>
          <w:tcPr>
            <w:tcW w:type="dxa" w:w="2980"/>
            <w:vAlign w:val="top"/>
          </w:tcPr>
          <w:p>
            <w:pPr>
              <w:spacing w:after="40" w:before="0" w:line="259" w:lineRule="auto"/>
            </w:pPr>
            <w:r>
              <w:rPr>
                <w:rFonts w:ascii="Calibri" w:hAnsi="Calibri"/>
                <w:b w:val="0"/>
                <w:i w:val="0"/>
                <w:color w:val="212121"/>
                <w:sz w:val="19"/>
              </w:rPr>
              <w:t>Disease- and treatment-associated complications from chronic inflammation, cytokine excess and glucocorticoids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joint damage and erosions needing joint replacement (e.g. hip prosthesis)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Blindness from uncontrolled uveitis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(AA) amyloidosis with renal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Fixed deformity, permanent growth failure and disability persisting into adulthood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Life-threatening MAS; treatment-related harm (steroid toxicity, serious infection on immunosuppression)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Psychosocial disability, chronic pain and reduced quality of life</w:t>
            </w:r>
          </w:p>
        </w:tc>
        <w:tc>
          <w:tcPr>
            <w:tcW w:type="dxa" w:w="2980"/>
            <w:vAlign w:val="top"/>
          </w:tcPr>
          <w:p>
            <w:pPr>
              <w:spacing w:after="40" w:before="0" w:line="259" w:lineRule="auto"/>
            </w:pPr>
            <w:r>
              <w:rPr>
                <w:rFonts w:ascii="Calibri" w:hAnsi="Calibri"/>
                <w:b w:val="0"/>
                <w:i w:val="0"/>
                <w:color w:val="212121"/>
                <w:sz w:val="19"/>
              </w:rPr>
              <w:t>Irreversible, disabling end-stage outcomes of longstanding or poorly controlled disease and its therapy</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JIA-associated chronic anterior uveitis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most important extra-articular complication; usually painless and detected only by slit-lamp screening, it can progress silently to band keratopathy, cataract, glaucoma and blindness, dominating long-term surveillance.</w:t>
            </w:r>
          </w:p>
          <w:p>
            <w:pPr>
              <w:spacing w:after="40" w:before="0" w:line="259" w:lineRule="auto"/>
            </w:pPr>
            <w:r>
              <w:rPr>
                <w:rFonts w:ascii="Calibri" w:hAnsi="Calibri"/>
                <w:b/>
                <w:i w:val="0"/>
                <w:color w:val="212121"/>
                <w:sz w:val="19"/>
              </w:rPr>
              <w:t>Up to 25% within 4 years</w:t>
            </w:r>
          </w:p>
        </w:tc>
      </w:tr>
      <w:tr>
        <w:trPr>
          <w:cantSplit/>
        </w:trPr>
        <w:tc>
          <w:tcPr>
            <w:tcW w:type="dxa" w:w="2232"/>
            <w:vAlign w:val="top"/>
          </w:tcPr>
          <w:p>
            <w:pPr>
              <w:spacing w:after="40" w:before="0" w:line="259" w:lineRule="auto"/>
            </w:pPr>
            <w:r>
              <w:rPr>
                <w:rFonts w:ascii="Calibri" w:hAnsi="Calibri"/>
                <w:b/>
                <w:i w:val="0"/>
                <w:color w:val="212121"/>
                <w:sz w:val="19"/>
              </w:rPr>
              <w:t>Macrophage activation syndrome (MAS)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cytokine storm (secondary HLH) complicating systemic JIA with fever, cytopenias, very high ferritin and coagulopathy; a paediatric emergency that transforms management.</w:t>
            </w:r>
          </w:p>
          <w:p>
            <w:pPr>
              <w:spacing w:after="40" w:before="0" w:line="259" w:lineRule="auto"/>
            </w:pPr>
            <w:r>
              <w:rPr>
                <w:rFonts w:ascii="Calibri" w:hAnsi="Calibri"/>
                <w:b/>
                <w:i w:val="0"/>
                <w:color w:val="212121"/>
                <w:sz w:val="19"/>
              </w:rPr>
              <w:t>Up to ~10% (systemic JIA)</w:t>
            </w:r>
          </w:p>
        </w:tc>
      </w:tr>
      <w:tr>
        <w:trPr>
          <w:cantSplit/>
        </w:trPr>
        <w:tc>
          <w:tcPr>
            <w:tcW w:type="dxa" w:w="2232"/>
            <w:vAlign w:val="top"/>
          </w:tcPr>
          <w:p>
            <w:pPr>
              <w:spacing w:after="40" w:before="0" w:line="259" w:lineRule="auto"/>
            </w:pPr>
            <w:r>
              <w:rPr>
                <w:rFonts w:ascii="Calibri" w:hAnsi="Calibri"/>
                <w:b/>
                <w:i w:val="0"/>
                <w:color w:val="212121"/>
                <w:sz w:val="19"/>
              </w:rPr>
              <w:t>Temporomandibular joint arthritis / micrognathia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Frequent but clinically silent jaw involvement impairs chewing and mandibular growth, causing micrognathia and facial asymmetry that affect nutrition and appearance.</w:t>
            </w:r>
          </w:p>
          <w:p>
            <w:pPr>
              <w:spacing w:after="40" w:before="0" w:line="259" w:lineRule="auto"/>
            </w:pPr>
            <w:r>
              <w:rPr>
                <w:rFonts w:ascii="Calibri" w:hAnsi="Calibri"/>
                <w:b/>
                <w:i w:val="0"/>
                <w:color w:val="212121"/>
                <w:sz w:val="19"/>
              </w:rPr>
              <w:t>More than 50%</w:t>
            </w:r>
          </w:p>
        </w:tc>
      </w:tr>
      <w:tr>
        <w:trPr>
          <w:cantSplit/>
        </w:trPr>
        <w:tc>
          <w:tcPr>
            <w:tcW w:type="dxa" w:w="2232"/>
            <w:vAlign w:val="top"/>
          </w:tcPr>
          <w:p>
            <w:pPr>
              <w:spacing w:after="40" w:before="0" w:line="259" w:lineRule="auto"/>
            </w:pPr>
            <w:r>
              <w:rPr>
                <w:rFonts w:ascii="Calibri" w:hAnsi="Calibri"/>
                <w:b/>
                <w:i w:val="0"/>
                <w:color w:val="212121"/>
                <w:sz w:val="19"/>
              </w:rPr>
              <w:t>Growth impairment, short stature &amp; osteoporosis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inflammation and glucocorticoids suppress linear growth and bone accrual, producing short stature, low bone mineral density and fracture risk - accentuated by the widespread vitamin D deficiency in Indian children.</w:t>
            </w:r>
          </w:p>
        </w:tc>
      </w:tr>
      <w:tr>
        <w:trPr>
          <w:cantSplit/>
        </w:trPr>
        <w:tc>
          <w:tcPr>
            <w:tcW w:type="dxa" w:w="2232"/>
            <w:vAlign w:val="top"/>
          </w:tcPr>
          <w:p>
            <w:pPr>
              <w:spacing w:after="40" w:before="0" w:line="259" w:lineRule="auto"/>
            </w:pPr>
            <w:r>
              <w:rPr>
                <w:rFonts w:ascii="Calibri" w:hAnsi="Calibri"/>
                <w:b/>
                <w:i w:val="0"/>
                <w:color w:val="212121"/>
                <w:sz w:val="19"/>
              </w:rPr>
              <w:t>Juvenile-onset spondyloarthritis / ankylosing spondylitis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ERA frequently evolves into axial spondyloarthritis, with progressive sacroiliitis and spinal involvement into adulthood; HLA-B27 links the two.</w:t>
            </w:r>
          </w:p>
        </w:tc>
      </w:tr>
      <w:tr>
        <w:trPr>
          <w:cantSplit/>
        </w:trPr>
        <w:tc>
          <w:tcPr>
            <w:tcW w:type="dxa" w:w="2232"/>
            <w:vAlign w:val="top"/>
          </w:tcPr>
          <w:p>
            <w:pPr>
              <w:spacing w:after="40" w:before="0" w:line="259" w:lineRule="auto"/>
            </w:pPr>
            <w:r>
              <w:rPr>
                <w:rFonts w:ascii="Calibri" w:hAnsi="Calibri"/>
                <w:b/>
                <w:i w:val="0"/>
                <w:color w:val="212121"/>
                <w:sz w:val="19"/>
              </w:rPr>
              <w:t>Inflammatory bowel disease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Part of the ERA spondyloarthritis spectrum; gut inflammation may coexist or emerge and influences drug choice (favouring anti-TNF over IL-17 in some cases).</w:t>
            </w:r>
          </w:p>
        </w:tc>
      </w:tr>
      <w:tr>
        <w:trPr>
          <w:cantSplit/>
        </w:trPr>
        <w:tc>
          <w:tcPr>
            <w:tcW w:type="dxa" w:w="2232"/>
            <w:vAlign w:val="top"/>
          </w:tcPr>
          <w:p>
            <w:pPr>
              <w:spacing w:after="40" w:before="0" w:line="259" w:lineRule="auto"/>
            </w:pPr>
            <w:r>
              <w:rPr>
                <w:rFonts w:ascii="Calibri" w:hAnsi="Calibri"/>
                <w:b/>
                <w:i w:val="0"/>
                <w:color w:val="212121"/>
                <w:sz w:val="19"/>
              </w:rPr>
              <w:t>Psoriasis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Defines and accompanies psoriatic JIA and shares immunogenetic mechanisms; skin disease may precede or follow the arthritis.</w:t>
            </w:r>
          </w:p>
        </w:tc>
      </w:tr>
      <w:tr>
        <w:trPr>
          <w:cantSplit/>
        </w:trPr>
        <w:tc>
          <w:tcPr>
            <w:tcW w:type="dxa" w:w="2232"/>
            <w:vAlign w:val="top"/>
          </w:tcPr>
          <w:p>
            <w:pPr>
              <w:spacing w:after="40" w:before="0" w:line="259" w:lineRule="auto"/>
            </w:pPr>
            <w:r>
              <w:rPr>
                <w:rFonts w:ascii="Calibri" w:hAnsi="Calibri"/>
                <w:b/>
                <w:i w:val="0"/>
                <w:color w:val="212121"/>
                <w:sz w:val="19"/>
              </w:rPr>
              <w:t>Acute anterior uveitis (HLA-B27, ERA type)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In contrast to the silent chronic uveitis of oligoarticular disease, ERA causes recurrent, painful, red-eye acute anterior uveitis linked to HLA-B27.</w:t>
            </w:r>
          </w:p>
        </w:tc>
      </w:tr>
      <w:tr>
        <w:trPr>
          <w:cantSplit/>
        </w:trPr>
        <w:tc>
          <w:tcPr>
            <w:tcW w:type="dxa" w:w="2232"/>
            <w:vAlign w:val="top"/>
          </w:tcPr>
          <w:p>
            <w:pPr>
              <w:spacing w:after="40" w:before="0" w:line="259" w:lineRule="auto"/>
            </w:pPr>
            <w:r>
              <w:rPr>
                <w:rFonts w:ascii="Calibri" w:hAnsi="Calibri"/>
                <w:b/>
                <w:i w:val="0"/>
                <w:color w:val="212121"/>
                <w:sz w:val="19"/>
              </w:rPr>
              <w:t>Anaemia of chronic disease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Chronic inflammation suppresses erythropoiesis; worsening anaemia with cytopenias should also raise suspicion of MAS or an alternative diagnosis.</w:t>
            </w:r>
          </w:p>
        </w:tc>
      </w:tr>
      <w:tr>
        <w:trPr>
          <w:cantSplit/>
        </w:trPr>
        <w:tc>
          <w:tcPr>
            <w:tcW w:type="dxa" w:w="2232"/>
            <w:vAlign w:val="top"/>
          </w:tcPr>
          <w:p>
            <w:pPr>
              <w:spacing w:after="40" w:before="0" w:line="259" w:lineRule="auto"/>
            </w:pPr>
            <w:r>
              <w:rPr>
                <w:rFonts w:ascii="Calibri" w:hAnsi="Calibri"/>
                <w:b/>
                <w:i w:val="0"/>
                <w:color w:val="212121"/>
                <w:sz w:val="19"/>
              </w:rPr>
              <w:t>Vitamin D deficiency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Highly prevalent in Indian children and bidirectionally linked with autoimmunity; it aggravates the bone loss of JIA and its correction is central to safe long-term care.</w:t>
            </w:r>
          </w:p>
        </w:tc>
      </w:tr>
      <w:tr>
        <w:trPr>
          <w:cantSplit/>
        </w:trPr>
        <w:tc>
          <w:tcPr>
            <w:tcW w:type="dxa" w:w="2232"/>
            <w:vAlign w:val="top"/>
          </w:tcPr>
          <w:p>
            <w:pPr>
              <w:spacing w:after="40" w:before="0" w:line="259" w:lineRule="auto"/>
            </w:pPr>
            <w:r>
              <w:rPr>
                <w:rFonts w:ascii="Calibri" w:hAnsi="Calibri"/>
                <w:b/>
                <w:i w:val="0"/>
                <w:color w:val="212121"/>
                <w:sz w:val="19"/>
              </w:rPr>
              <w:t>Secondary (AA) amyloidosis</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A late complication of persistently active, poorly controlled inflammation (classically systemic JIA), leading to proteinuria and renal failure.</w:t>
            </w:r>
          </w:p>
        </w:tc>
      </w:tr>
      <w:tr>
        <w:trPr>
          <w:cantSplit/>
        </w:trPr>
        <w:tc>
          <w:tcPr>
            <w:tcW w:type="dxa" w:w="2232"/>
            <w:vAlign w:val="top"/>
          </w:tcPr>
          <w:p>
            <w:pPr>
              <w:spacing w:after="40" w:before="0" w:line="259" w:lineRule="auto"/>
            </w:pPr>
            <w:r>
              <w:rPr>
                <w:rFonts w:ascii="Calibri" w:hAnsi="Calibri"/>
                <w:b/>
                <w:i w:val="0"/>
                <w:color w:val="212121"/>
                <w:sz w:val="19"/>
              </w:rPr>
              <w:t>Depression &amp; anxiety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pain, disability, visible deformity and school disruption raise psychological morbidity in children and caregivers, worsening pain and adherence and warranting routine screening.</w:t>
            </w:r>
          </w:p>
        </w:tc>
      </w:tr>
      <w:tr>
        <w:trPr>
          <w:cantSplit/>
        </w:trPr>
        <w:tc>
          <w:tcPr>
            <w:tcW w:type="dxa" w:w="2232"/>
            <w:vAlign w:val="top"/>
          </w:tcPr>
          <w:p>
            <w:pPr>
              <w:spacing w:after="40" w:before="0" w:line="259" w:lineRule="auto"/>
            </w:pPr>
            <w:r>
              <w:rPr>
                <w:rFonts w:ascii="Calibri" w:hAnsi="Calibri"/>
                <w:b/>
                <w:i w:val="0"/>
                <w:color w:val="212121"/>
                <w:sz w:val="19"/>
              </w:rPr>
              <w:t>Treatment-related infection &amp; methotrexate hepatotoxicity</w:t>
            </w:r>
          </w:p>
        </w:tc>
        <w:tc>
          <w:tcPr>
            <w:tcW w:type="dxa" w:w="2520"/>
            <w:vAlign w:val="top"/>
          </w:tcPr>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Immunosuppression with steroids, methotrexate and biologics raises infection risk (live vaccines contraindicated), and methotrexate/alcohol combine to threaten the liver - shaping monitoring and counselling.</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objective joint swelling or a limp lasting more than 6 weeks in a child is NOT 'growing pains' and needs paediatric or rheumatology assessment.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the Indian pattern: JIA often presents as enthesitis-related arthritis in boys over 6 (heel and low-back pain) or as systemic disease with prolonged fever and rash, not only swollen joints.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that JIA eye inflammation (uveitis) is usually painless and silent, so regular slit-lamp screening is essential even when the child feels and looks well.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early referral; the severe shortage of paediatric rheumatologists in India makes delay common, yet early treatment prevents joint, eye and growth damage.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the danger signs of macrophage activation syndrome in systemic JIA (unremitting high fever, drowsiness, bruising/bleeding) as a medical emergency.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&amp; 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School teachers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Primary-care doctors &amp; paediatricians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of affected children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Give medicines (NSAIDs, methotrexate, biologics) exactly as prescribed and do not stop them when the child feels better - untreated inflammation silently damages joints and eyes.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every scheduled slit-lamp eye check and joint review, including during periods of remission.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routine vaccinations up to date but avoid live vaccines while on biologics or high-dose steroids - always check with the treating team.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fevers and infections promptly, as immunosuppressive drugs increase infection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Partner with physiotherapy and the school so the child stays active, included and in education.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established JIA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managing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on immunosuppression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approaching transition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regular low-impact activity - swimming and cycling are ideal - to preserve joint motion and muscle strength.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daily range-of-motion and stretching exercises guided by a physiotherapist to prevent flexion contractures.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splints, orthotics and joint-protection techniques as advised, especially for the wrists, knees and feet.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weight-bearing and strengthening work to protect bone density during glucocorticoid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Pace activity and rest actively inflamed joints during flares, resuming gently as inflammation settles.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JIA on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at risk of contractures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Steroid-treated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ERA with enthesitis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children generally active and at a healthy weight to reduce mechanical load on joints.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prolonged immobility and excessive screen time, which worsen stiffness and deconditioning.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participation in school sport and play within the child's tolerance.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in remission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calcium and vitamin D - correcting the widespread deficiency in Indian children - to protect bone during inflammation and steroids.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sufficient protein and energy (dals, milk, curd, eggs, paneer) to support catch-up growth, as chronic disease and jaw involvement impair intake.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Favour an anti-inflammatory, balanced diet rich in fruits, vegetables, whole grains/millets and omega-3 sources.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ultra-processed, high-salt and high-sugar foods to counter steroid-related weight gain and blood-pressure rise.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softer or modified-texture foods when temporomandibular (jaw) involvement limits chewing.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on glucocorticoids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Vitamin-D-deficient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TMJ involvement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poor growth</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vitamin D sufficiency through safe sun exposure, diet and supplements where needed.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a varied, balanced, calcium-rich diet and a healthy weight from early childhood.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sugary drinks and junk food to support bone and metabolic health.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low sun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children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pain and inflammation adequately so the child can sleep; persistent night pain signals undertreated disease and should be reported.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consistent bedtimes and a calming routine; a supportive mattress and joint positioning ease stiff joints.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Where glucocorticoids disturb sleep, take the dose in the morning as advised.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evening screens and caffeinated energy drinks in adolescents.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active disease/pain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Steroid-treated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with JIA</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the home and car completely smoke-free; second-hand smoke promotes inflammation and respiratory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Counsel adolescents with JIA never to start smoking, which worsens spondyloarthritis and long-term cardiovascular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household smoking-cessation support to protect the child.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with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with ERA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on immunosuppression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adolescent patients who smoke to quit, as smoking worsens disease activity and drug response in spondyloarthritis.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strictly smoke-free environment during immunosuppressive therapy to reduce infection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 smokers with JIA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ERA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on biologics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Educate adolescents that alcohol is unsafe with methotrexate because of additive liver toxicity and should be avoided.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Discuss alcohol risks proactively before transition to adult services.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on methotrexate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Older teens approaching transition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entirely while on methotrexate or other hepatotoxic drugs, and monitor liver function tests.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Counsel adolescent patients and families on drug-alcohol interactions as part of treatment planning.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on methotrexate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hepatotoxic therapy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regularly for anxiety, depression and low self-esteem, which are common with chronic pain, disability and school absence.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age-appropriate counselling, peer support and school liaison to maintain participation and normal development.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Involve and support parents; address caregiver stress and the burden of a chronic childhood illness.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Watch for glucocorticoid-related mood changes and report them promptly.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Reassure families that, with modern treatment, many children achieve remission and good function.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&amp; adolescents with JIA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disability or frequent flares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Steroid-treated children</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554605/" TargetMode="External"/><Relationship Id="rId10" Type="http://schemas.openxmlformats.org/officeDocument/2006/relationships/hyperlink" Target="https://www.dovepress.com/enthesitis-related-arthritis-current-perspectives-peer-reviewed-fulltext-article-OARRR" TargetMode="External"/><Relationship Id="rId11" Type="http://schemas.openxmlformats.org/officeDocument/2006/relationships/hyperlink" Target="https://www.arthritis.org/diseases/juvenile-idiopathic-arthritis" TargetMode="External"/><Relationship Id="rId12" Type="http://schemas.openxmlformats.org/officeDocument/2006/relationships/hyperlink" Target="https://pubmed.ncbi.nlm.nih.gov/36702467/" TargetMode="External"/><Relationship Id="rId13" Type="http://schemas.openxmlformats.org/officeDocument/2006/relationships/hyperlink" Target="https://pubmed.ncbi.nlm.nih.gov/40275257/" TargetMode="External"/><Relationship Id="rId14" Type="http://schemas.openxmlformats.org/officeDocument/2006/relationships/hyperlink" Target="https://www.mayoclinic.org/diseases-conditions/juvenile-idiopathic-arthritis/symptoms-causes/syc-203740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