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Frozen Shoulder / Adhesive Capsulitis</w:t>
      </w:r>
    </w:p>
    <w:p>
      <w:pPr>
        <w:spacing w:before="0" w:after="160"/>
      </w:pPr>
      <w:r>
        <w:rPr>
          <w:rFonts w:ascii="Calibri" w:hAnsi="Calibri"/>
          <w:b/>
          <w:i w:val="0"/>
          <w:color w:val="212121"/>
          <w:sz w:val="22"/>
        </w:rPr>
        <w:t xml:space="preserve">AKA </w:t>
      </w:r>
      <w:r>
        <w:rPr>
          <w:rFonts w:ascii="Calibri" w:hAnsi="Calibri"/>
          <w:b w:val="0"/>
          <w:i w:val="0"/>
          <w:color w:val="212121"/>
          <w:sz w:val="22"/>
        </w:rPr>
        <w:t>i.e., Adhesive capsulitis, Periarthritis of shoulder, Scapulohumeral periarthritis, Duplay's disease, Stiff painful shoulder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Frozen shoulder (adhesive capsulitis) is a painful, usually self-limiting disorder of the glenohumeral joint characterised by progressive inflammation, fibrosis and contracture of the joint capsule — especially the coracohumeral ligament and rotator interval — leading to global restriction of both active and passive shoulder movement. It classically evolves through a painful “freezing” phase, a stiff “frozen” phase and a gradually resolving “thawing” phase over about one to three years. It may be primary (idiopathic) or secondary to systemic disease (notably diabetes mellitus and thyroid disorders) or to shoulder immobilisation.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the general population, frozen shoulder affects roughly 2–5% of adults during their lifetime, rising to about 10–20% among people with diabetes — a pooled prevalence of adhesive capsulitis of 13.4% in diabetics, while around 30% of frozen-shoulder patients are found to be diabetic. In India, where the diabetes burden is very high, an observational study at a tertiary care centre reported frozen shoulder in about 11% of diabetic patients. It is one of the commonest causes of shoulder pain and disability presenting to orthopaedic and physiotherapy outpatient departments, particularly in adults aged 40–60 years and in women.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Frozen shoulder is a clinical diagnosis based on a characteristic history and examination, with imaging used mainly to exclude other shoulder pathology. It is suggested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insidious onset of shoulder pain (often worse at night and on movement) progressing to stiffness over weeks to months, usually without significant preceding trauma;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global restriction of active AND passive glenohumeral range of motion in a “capsular pattern”, with external rotation the earliest and most affected (external rotation &gt; abduction &gt; internal rotation);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loss of passive external rotation with the arm at the side — a hallmark that distinguishes frozen shoulder from rotator cuff disease, in which passive motion is relatively preserved;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essentially normal plain radiographs of the shoulder (used to exclude glenohumeral osteoarthritis, dislocation, fracture or calcific tendinitis);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intact distal neurovascular examination, with pain and stiffness not explained by another structural lesion.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Frozen shoulder is classified by aetiology and by clinical stage:</w:t>
      </w:r>
    </w:p>
    <w:p>
      <w:pPr>
        <w:spacing w:before="0" w:after="80"/>
      </w:pPr>
      <w:r>
        <w:rPr>
          <w:rFonts w:ascii="Calibri" w:hAnsi="Calibri"/>
          <w:b w:val="0"/>
          <w:i w:val="0"/>
          <w:color w:val="212121"/>
          <w:sz w:val="21"/>
        </w:rPr>
        <w:t>(1) Primary (idiopathic) adhesive capsulitis — arising spontaneously without an identifiable precipitating cause, frequently associated with systemic conditions such as diabetes mellitus and thyroid disease;</w:t>
      </w:r>
    </w:p>
    <w:p>
      <w:pPr>
        <w:spacing w:before="0" w:after="80"/>
      </w:pPr>
      <w:r>
        <w:rPr>
          <w:rFonts w:ascii="Calibri" w:hAnsi="Calibri"/>
          <w:b w:val="0"/>
          <w:i w:val="0"/>
          <w:color w:val="212121"/>
          <w:sz w:val="21"/>
        </w:rPr>
        <w:t>(2) Secondary adhesive capsulitis — following an identifiable insult, subdivided into intrinsic (rotator cuff tendinopathy or tear, calcific tendinitis, biceps tendinopathy), extrinsic (prior trauma, fracture, shoulder surgery, stroke, cardiac disease or prolonged immobilisation) and systemic (diabetes, thyroid dysfunction) causes;</w:t>
      </w:r>
    </w:p>
    <w:p>
      <w:pPr>
        <w:spacing w:before="0" w:after="80"/>
      </w:pPr>
      <w:r>
        <w:rPr>
          <w:rFonts w:ascii="Calibri" w:hAnsi="Calibri"/>
          <w:b w:val="0"/>
          <w:i w:val="0"/>
          <w:color w:val="212121"/>
          <w:sz w:val="21"/>
        </w:rPr>
        <w:t>Clinically it evolves through (Stage 1) the painful “freezing” phase (about 2–9 months) with diffuse, disabling pain that is worse at night and progressive stiffness; (Stage 2) the “frozen” / adhesive phase (about 4–12 months) with reduced pain but marked, fixed stiffness limiting daily function; and (Stage 3) the “thawing” / recovery phase (about 5–24 months) with gradual return of range of motion. Some arthroscopic classifications add a very early pre-adhesive inflammatory stage.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Diabetes mellitus: Chronic hyperglycaemia drives non-enzymatic glycation and accumulation of advanced glycation end-products (AGEs), causing collagen cross-linking, capsular fibrosis and stiffness; diabetics carry roughly a five-fold higher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Thyroid dysfunction: Both hypo- and hyperthyroidism are linked to capsular fibrosis, with hypothyroidism clearly over-represented among frozen-shoulder patients.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Prolonged immobilisation: Immobility after trauma, shoulder surgery, stroke or cardiac events promotes capsular contracture and adhesion formation (secondary adhesive capsulitis).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 and sex / hormonal factors: Peak incidence at 40–60 years and a female predominance suggest roles for age-related collagen change and peri-menopausal hormonal shifts.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Inflammation and fibrosis: Cytokines (IL-1, IL-6, TNF-α) and growth factors (TGF-β, VEGF, PDGF) drive synovial inflammation followed by myofibroblast-mediated capsular fibrosis.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Familial clustering and the association with Dupuytren's disease point to an inherited fibromatosis tendency.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Systemic / metabolic associations: Dyslipidaemia, obesity, cardiovascular disease and vitamin-D deficiency are all associated with higher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Frozen shoulder peaks in mid-adult life, when age-related capsular collagen change combines with the highest burden of diabetes and metabolic disease. Onset before 40 is uncommon and should prompt a search for a secondary cause.</w:t>
            </w:r>
          </w:p>
          <w:p>
            <w:pPr>
              <w:spacing w:after="40" w:before="60" w:line="259" w:lineRule="auto"/>
            </w:pPr>
            <w:r>
              <w:rPr>
                <w:rFonts w:ascii="Calibri" w:hAnsi="Calibri"/>
                <w:b w:val="0"/>
                <w:i w:val="0"/>
                <w:color w:val="212121"/>
                <w:sz w:val="19"/>
              </w:rPr>
              <w:t>Peak incidence occurs between 40 and 60 years of age, with a mean age of onset around 55 years.</w:t>
            </w:r>
          </w:p>
          <w:p>
            <w:pPr>
              <w:spacing w:after="40" w:line="252" w:lineRule="auto"/>
            </w:pPr>
            <w:hyperlink r:id="rId9">
              <w:r>
                <w:rPr>
                  <w:rFonts w:ascii="Calibri" w:hAnsi="Calibri" w:cs="Calibri"/>
                  <w:sz w:val="18"/>
                  <w:color w:val="1155CC"/>
                  <w:u w:val="single"/>
                </w:rPr>
                <w:t xml:space="preserve">aafp.org — adhesive capsulitis diagnosis &amp; management</w:t>
              </w:r>
            </w:hyperlink>
          </w:p>
          <w:p>
            <w:pPr>
              <w:spacing w:before="60" w:after="40"/>
            </w:pPr>
            <w:r>
              <w:rPr>
                <w:rFonts w:ascii="Calibri" w:hAnsi="Calibri"/>
                <w:b w:val="0"/>
                <w:i w:val="0"/>
                <w:color w:val="5A5A5A"/>
                <w:sz w:val="18"/>
              </w:rPr>
              <w:t>#frozenshoulder  #adhesivecapsulitis  #midadult  #capsularfibrosis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Although incidence falls after 60, older adults still develop frozen shoulder, more often secondary to immobilisation after stroke, fracture, surgery or cardiac events, and tend to recover more slowly.</w:t>
            </w:r>
          </w:p>
          <w:p>
            <w:pPr>
              <w:spacing w:after="40" w:before="60" w:line="259" w:lineRule="auto"/>
            </w:pPr>
            <w:r>
              <w:rPr>
                <w:rFonts w:ascii="Calibri" w:hAnsi="Calibri"/>
                <w:b w:val="0"/>
                <w:i w:val="0"/>
                <w:color w:val="212121"/>
                <w:sz w:val="19"/>
              </w:rPr>
              <w:t>Recovery is often slower in older adults; overall about 10–20% of patients retain some long-term restriction of movement.</w:t>
            </w:r>
          </w:p>
          <w:p>
            <w:pPr>
              <w:spacing w:after="40" w:line="252" w:lineRule="auto"/>
            </w:pPr>
            <w:hyperlink r:id="rId10">
              <w:r>
                <w:rPr>
                  <w:rFonts w:ascii="Calibri" w:hAnsi="Calibri" w:cs="Calibri"/>
                  <w:sz w:val="18"/>
                  <w:color w:val="1155CC"/>
                  <w:u w:val="single"/>
                </w:rPr>
                <w:t xml:space="preserve">ncbi.nlm.nih.gov — StatPearls, adhesive capsulitis</w:t>
              </w:r>
            </w:hyperlink>
          </w:p>
          <w:p>
            <w:pPr>
              <w:spacing w:before="60" w:after="40"/>
            </w:pPr>
            <w:r>
              <w:rPr>
                <w:rFonts w:ascii="Calibri" w:hAnsi="Calibri"/>
                <w:b w:val="0"/>
                <w:i w:val="0"/>
                <w:color w:val="5A5A5A"/>
                <w:sz w:val="18"/>
              </w:rPr>
              <w:t>#elderly  #immobilisation  #slowrecovery  #secondaryAC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more often than men, possibly reflecting peri-menopausal hormonal changes affecting collagen, and a higher burden of thyroid disease. Household and caregiving roles in India can also delay presentation.</w:t>
            </w:r>
          </w:p>
          <w:p>
            <w:pPr>
              <w:spacing w:after="40" w:before="60" w:line="259" w:lineRule="auto"/>
            </w:pPr>
            <w:r>
              <w:rPr>
                <w:rFonts w:ascii="Calibri" w:hAnsi="Calibri"/>
                <w:b w:val="0"/>
                <w:i w:val="0"/>
                <w:color w:val="212121"/>
                <w:sz w:val="19"/>
              </w:rPr>
              <w:t>Women predominate at roughly 1.4:1 compared with men.</w:t>
            </w:r>
          </w:p>
          <w:p>
            <w:pPr>
              <w:spacing w:after="40" w:line="252" w:lineRule="auto"/>
            </w:pPr>
            <w:hyperlink r:id="rId10">
              <w:r>
                <w:rPr>
                  <w:rFonts w:ascii="Calibri" w:hAnsi="Calibri" w:cs="Calibri"/>
                  <w:sz w:val="18"/>
                  <w:color w:val="1155CC"/>
                  <w:u w:val="single"/>
                </w:rPr>
                <w:t xml:space="preserve">ncbi.nlm.nih.gov — StatPearls, adhesive capsulitis</w:t>
              </w:r>
            </w:hyperlink>
          </w:p>
          <w:p>
            <w:pPr>
              <w:spacing w:before="60" w:after="40"/>
            </w:pPr>
            <w:r>
              <w:rPr>
                <w:rFonts w:ascii="Calibri" w:hAnsi="Calibri"/>
                <w:b w:val="0"/>
                <w:i w:val="0"/>
                <w:color w:val="5A5A5A"/>
                <w:sz w:val="18"/>
              </w:rPr>
              <w:t>#female  #hormonal  #perimenopause  #thyroidlink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workers &amp; those with poor healthcare access</w:t>
            </w:r>
          </w:p>
        </w:tc>
        <w:tc>
          <w:tcPr>
            <w:tcW w:type="dxa" w:w="4276"/>
            <w:vAlign w:val="top"/>
          </w:tcPr>
          <w:p>
            <w:pPr>
              <w:spacing w:after="60" w:line="259" w:lineRule="auto"/>
            </w:pPr>
            <w:r>
              <w:rPr>
                <w:rFonts w:ascii="Calibri" w:hAnsi="Calibri"/>
                <w:b w:val="0"/>
                <w:i w:val="0"/>
                <w:color w:val="212121"/>
                <w:sz w:val="19"/>
              </w:rPr>
              <w:t>Manual and daily-wage workers who cannot rest the arm, and patients with limited access to early physiotherapy, tend to present late in the frozen phase with established stiffness and greater functional loss.</w:t>
            </w:r>
          </w:p>
          <w:p>
            <w:pPr>
              <w:spacing w:after="40" w:before="60" w:line="259" w:lineRule="auto"/>
            </w:pPr>
            <w:r>
              <w:rPr>
                <w:rFonts w:ascii="Calibri" w:hAnsi="Calibri"/>
                <w:b w:val="0"/>
                <w:i w:val="0"/>
                <w:color w:val="212121"/>
                <w:sz w:val="19"/>
              </w:rPr>
              <w:t>Late presentation with established stiffness is common where early diagnosis and structured physiotherapy are not readily accessible.</w:t>
            </w:r>
          </w:p>
          <w:p>
            <w:pPr>
              <w:spacing w:before="60" w:after="40"/>
            </w:pPr>
            <w:r>
              <w:rPr>
                <w:rFonts w:ascii="Calibri" w:hAnsi="Calibri"/>
                <w:b w:val="0"/>
                <w:i w:val="0"/>
                <w:color w:val="5A5A5A"/>
                <w:sz w:val="18"/>
              </w:rPr>
              <w:t>#accessgap  #latepresentation  #occupationalload  #disability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adults (high diabetes burden)</w:t>
            </w:r>
          </w:p>
        </w:tc>
        <w:tc>
          <w:tcPr>
            <w:tcW w:type="dxa" w:w="4276"/>
            <w:vAlign w:val="top"/>
          </w:tcPr>
          <w:p>
            <w:pPr>
              <w:spacing w:after="60" w:line="259" w:lineRule="auto"/>
            </w:pPr>
            <w:r>
              <w:rPr>
                <w:rFonts w:ascii="Calibri" w:hAnsi="Calibri"/>
                <w:b w:val="0"/>
                <w:i w:val="0"/>
                <w:color w:val="212121"/>
                <w:sz w:val="19"/>
              </w:rPr>
              <w:t>India's large and growing population of people with diabetes and prediabetes amplifies the burden of frozen shoulder, since diabetes is the single strongest systemic risk factor.</w:t>
            </w:r>
          </w:p>
          <w:p>
            <w:pPr>
              <w:spacing w:after="40" w:before="60" w:line="259" w:lineRule="auto"/>
            </w:pPr>
            <w:r>
              <w:rPr>
                <w:rFonts w:ascii="Calibri" w:hAnsi="Calibri"/>
                <w:b w:val="0"/>
                <w:i w:val="0"/>
                <w:color w:val="212121"/>
                <w:sz w:val="19"/>
              </w:rPr>
              <w:t>An Indian tertiary-care study found frozen shoulder in about 11% of diabetic patients.</w:t>
            </w:r>
          </w:p>
          <w:p>
            <w:pPr>
              <w:spacing w:after="40" w:line="252" w:lineRule="auto"/>
            </w:pPr>
            <w:hyperlink r:id="rId11">
              <w:r>
                <w:rPr>
                  <w:rFonts w:ascii="Calibri" w:hAnsi="Calibri" w:cs="Calibri"/>
                  <w:sz w:val="18"/>
                  <w:color w:val="1155CC"/>
                  <w:u w:val="single"/>
                </w:rPr>
                <w:t xml:space="preserve">doaj.org — frozen shoulder among diabetes patients (India)</w:t>
              </w:r>
            </w:hyperlink>
          </w:p>
          <w:p>
            <w:pPr>
              <w:spacing w:before="60" w:after="40"/>
            </w:pPr>
            <w:r>
              <w:rPr>
                <w:rFonts w:ascii="Calibri" w:hAnsi="Calibri"/>
                <w:b w:val="0"/>
                <w:i w:val="0"/>
                <w:color w:val="5A5A5A"/>
                <w:sz w:val="18"/>
              </w:rPr>
              <w:t>#India  #diabetesburden  #tertiarycare  #NCD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Sunlight exposure / Vitamin D</w:t>
            </w:r>
          </w:p>
        </w:tc>
        <w:tc>
          <w:tcPr>
            <w:tcW w:type="dxa" w:w="2160"/>
            <w:vAlign w:val="top"/>
          </w:tcPr>
          <w:p>
            <w:pPr>
              <w:spacing w:after="40" w:before="0" w:line="259" w:lineRule="auto"/>
            </w:pPr>
            <w:r>
              <w:rPr>
                <w:rFonts w:ascii="Calibri" w:hAnsi="Calibri"/>
                <w:b w:val="0"/>
                <w:i w:val="0"/>
                <w:color w:val="212121"/>
                <w:sz w:val="19"/>
              </w:rPr>
              <w:t>Indoor urban Indians &amp; veiled/homebound individuals</w:t>
            </w:r>
          </w:p>
        </w:tc>
        <w:tc>
          <w:tcPr>
            <w:tcW w:type="dxa" w:w="4276"/>
            <w:vAlign w:val="top"/>
          </w:tcPr>
          <w:p>
            <w:pPr>
              <w:spacing w:after="60" w:line="259" w:lineRule="auto"/>
            </w:pPr>
            <w:r>
              <w:rPr>
                <w:rFonts w:ascii="Calibri" w:hAnsi="Calibri"/>
                <w:b w:val="0"/>
                <w:i w:val="0"/>
                <w:color w:val="212121"/>
                <w:sz w:val="19"/>
              </w:rPr>
              <w:t>Low sun exposure and largely vegetarian diets make vitamin-D deficiency very common in urban India; low vitamin D is significantly associated with restricted shoulder abduction and frozen shoulder.</w:t>
            </w:r>
          </w:p>
          <w:p>
            <w:pPr>
              <w:spacing w:after="40" w:before="60" w:line="259" w:lineRule="auto"/>
            </w:pPr>
            <w:r>
              <w:rPr>
                <w:rFonts w:ascii="Calibri" w:hAnsi="Calibri"/>
                <w:b w:val="0"/>
                <w:i w:val="0"/>
                <w:color w:val="212121"/>
                <w:sz w:val="19"/>
              </w:rPr>
              <w:t>In a large Indian cohort, vitamin-D deficiency (levels &lt;20 ng/mL in ~89% of subjects) was significantly associated with restricted shoulder abduction.</w:t>
            </w:r>
          </w:p>
          <w:p>
            <w:pPr>
              <w:spacing w:after="40" w:line="252" w:lineRule="auto"/>
            </w:pPr>
            <w:hyperlink r:id="rId12">
              <w:r>
                <w:rPr>
                  <w:rFonts w:ascii="Calibri" w:hAnsi="Calibri" w:cs="Calibri"/>
                  <w:sz w:val="18"/>
                  <w:color w:val="1155CC"/>
                  <w:u w:val="single"/>
                </w:rPr>
                <w:t xml:space="preserve">saudijournals.com — vitamin D deficiency &amp; frozen shoulder (India)</w:t>
              </w:r>
            </w:hyperlink>
          </w:p>
          <w:p>
            <w:pPr>
              <w:spacing w:before="60" w:after="40"/>
            </w:pPr>
            <w:r>
              <w:rPr>
                <w:rFonts w:ascii="Calibri" w:hAnsi="Calibri"/>
                <w:b w:val="0"/>
                <w:i w:val="0"/>
                <w:color w:val="5A5A5A"/>
                <w:sz w:val="18"/>
              </w:rPr>
              <w:t>#vitaminD  #indoorlifestyle  #urbanIndia  #deficiency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Immobilisation</w:t>
            </w:r>
          </w:p>
        </w:tc>
        <w:tc>
          <w:tcPr>
            <w:tcW w:type="dxa" w:w="2160"/>
            <w:vAlign w:val="top"/>
          </w:tcPr>
          <w:p>
            <w:pPr>
              <w:spacing w:after="40" w:before="0" w:line="259" w:lineRule="auto"/>
            </w:pPr>
            <w:r>
              <w:rPr>
                <w:rFonts w:ascii="Calibri" w:hAnsi="Calibri"/>
                <w:b w:val="0"/>
                <w:i w:val="0"/>
                <w:color w:val="212121"/>
                <w:sz w:val="19"/>
              </w:rPr>
              <w:t>Post-surgery, post-stroke, arm-in-sling, prolonged bed rest</w:t>
            </w:r>
          </w:p>
        </w:tc>
        <w:tc>
          <w:tcPr>
            <w:tcW w:type="dxa" w:w="4276"/>
            <w:vAlign w:val="top"/>
          </w:tcPr>
          <w:p>
            <w:pPr>
              <w:spacing w:after="60" w:line="259" w:lineRule="auto"/>
            </w:pPr>
            <w:r>
              <w:rPr>
                <w:rFonts w:ascii="Calibri" w:hAnsi="Calibri"/>
                <w:b w:val="0"/>
                <w:i w:val="0"/>
                <w:color w:val="212121"/>
                <w:sz w:val="19"/>
              </w:rPr>
              <w:t>Immobility is a major driver of secondary adhesive capsulitis: a rested, adducted, internally rotated arm allows the capsule to contract and adhere. Early guided movement after injury or surgery reduces this risk.</w:t>
            </w:r>
          </w:p>
          <w:p>
            <w:pPr>
              <w:spacing w:after="40" w:before="60" w:line="259" w:lineRule="auto"/>
            </w:pPr>
            <w:r>
              <w:rPr>
                <w:rFonts w:ascii="Calibri" w:hAnsi="Calibri"/>
                <w:b w:val="0"/>
                <w:i w:val="0"/>
                <w:color w:val="212121"/>
                <w:sz w:val="19"/>
              </w:rPr>
              <w:t>Prolonged immobilisation after trauma, surgery, stroke or cardiac illness is a well-recognised precipitant of secondary frozen shoulder.</w:t>
            </w:r>
          </w:p>
          <w:p>
            <w:pPr>
              <w:spacing w:after="40" w:line="252" w:lineRule="auto"/>
            </w:pPr>
            <w:hyperlink r:id="rId9">
              <w:r>
                <w:rPr>
                  <w:rFonts w:ascii="Calibri" w:hAnsi="Calibri" w:cs="Calibri"/>
                  <w:sz w:val="18"/>
                  <w:color w:val="1155CC"/>
                  <w:u w:val="single"/>
                </w:rPr>
                <w:t xml:space="preserve">aafp.org — adhesive capsulitis diagnosis &amp; management</w:t>
              </w:r>
            </w:hyperlink>
          </w:p>
          <w:p>
            <w:pPr>
              <w:spacing w:before="60" w:after="40"/>
            </w:pPr>
            <w:r>
              <w:rPr>
                <w:rFonts w:ascii="Calibri" w:hAnsi="Calibri"/>
                <w:b w:val="0"/>
                <w:i w:val="0"/>
                <w:color w:val="5A5A5A"/>
                <w:sz w:val="18"/>
              </w:rPr>
              <w:t>#immobilisation  #disuse  #poststroke  #postsurgery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Smoking impairs microvascular perfusion and collagen repair and promotes a pro-fibrotic, pro-inflammatory state, and is reported among the risk factors for adhesive capsulitis and poorer recovery.</w:t>
            </w:r>
          </w:p>
          <w:p>
            <w:pPr>
              <w:spacing w:after="40" w:before="60" w:line="259" w:lineRule="auto"/>
            </w:pPr>
            <w:r>
              <w:rPr>
                <w:rFonts w:ascii="Calibri" w:hAnsi="Calibri"/>
                <w:b w:val="0"/>
                <w:i w:val="0"/>
                <w:color w:val="212121"/>
                <w:sz w:val="19"/>
              </w:rPr>
              <w:t>Smoking is listed among the characteristics associated with a higher risk of frozen shoulder.</w:t>
            </w:r>
          </w:p>
          <w:p>
            <w:pPr>
              <w:spacing w:after="40" w:line="252" w:lineRule="auto"/>
            </w:pPr>
            <w:hyperlink r:id="rId13">
              <w:r>
                <w:rPr>
                  <w:rFonts w:ascii="Calibri" w:hAnsi="Calibri" w:cs="Calibri"/>
                  <w:sz w:val="18"/>
                  <w:color w:val="1155CC"/>
                  <w:u w:val="single"/>
                </w:rPr>
                <w:t xml:space="preserve">emjreviews.com — diabetes &amp; near four-fold risk of adhesive capsulitis</w:t>
              </w:r>
            </w:hyperlink>
          </w:p>
          <w:p>
            <w:pPr>
              <w:spacing w:before="60" w:after="40"/>
            </w:pPr>
            <w:r>
              <w:rPr>
                <w:rFonts w:ascii="Calibri" w:hAnsi="Calibri"/>
                <w:b w:val="0"/>
                <w:i w:val="0"/>
                <w:color w:val="5A5A5A"/>
                <w:sz w:val="18"/>
              </w:rPr>
              <w:t>#smoking  #microvascular  #collagenrepair  #profibrotic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Excess alcohol worsens glycaemic and metabolic control and impairs rehabilitation adherence and sleep; it is reported among the associated risk factors, though direct causal evidence is limited.</w:t>
            </w:r>
          </w:p>
          <w:p>
            <w:pPr>
              <w:spacing w:after="40" w:before="60" w:line="259" w:lineRule="auto"/>
            </w:pPr>
            <w:r>
              <w:rPr>
                <w:rFonts w:ascii="Calibri" w:hAnsi="Calibri"/>
                <w:b w:val="0"/>
                <w:i w:val="0"/>
                <w:color w:val="212121"/>
                <w:sz w:val="19"/>
              </w:rPr>
              <w:t>Alcohol use appears among the characteristics associated with frozen shoulder.</w:t>
            </w:r>
          </w:p>
          <w:p>
            <w:pPr>
              <w:spacing w:after="40" w:line="252" w:lineRule="auto"/>
            </w:pPr>
            <w:hyperlink r:id="rId13">
              <w:r>
                <w:rPr>
                  <w:rFonts w:ascii="Calibri" w:hAnsi="Calibri" w:cs="Calibri"/>
                  <w:sz w:val="18"/>
                  <w:color w:val="1155CC"/>
                  <w:u w:val="single"/>
                </w:rPr>
                <w:t xml:space="preserve">emjreviews.com — diabetes &amp; near four-fold risk of adhesive capsulitis</w:t>
              </w:r>
            </w:hyperlink>
          </w:p>
          <w:p>
            <w:pPr>
              <w:spacing w:before="60" w:after="40"/>
            </w:pPr>
            <w:r>
              <w:rPr>
                <w:rFonts w:ascii="Calibri" w:hAnsi="Calibri"/>
                <w:b w:val="0"/>
                <w:i w:val="0"/>
                <w:color w:val="5A5A5A"/>
                <w:sz w:val="18"/>
              </w:rPr>
              <w:t>#alcohol  #metabolic  #rehabadherence  #riskfactor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refined-carbohydrate diets</w:t>
            </w:r>
          </w:p>
        </w:tc>
        <w:tc>
          <w:tcPr>
            <w:tcW w:type="dxa" w:w="4276"/>
            <w:vAlign w:val="top"/>
          </w:tcPr>
          <w:p>
            <w:pPr>
              <w:spacing w:after="60" w:line="259" w:lineRule="auto"/>
            </w:pPr>
            <w:r>
              <w:rPr>
                <w:rFonts w:ascii="Calibri" w:hAnsi="Calibri"/>
                <w:b w:val="0"/>
                <w:i w:val="0"/>
                <w:color w:val="212121"/>
                <w:sz w:val="19"/>
              </w:rPr>
              <w:t>Diets rich in refined grains (polished rice, maida) and sugar promote hyperglycaemia and AGE formation, which cross-link capsular collagen and drive fibrosis — the mechanism linking diabetes to frozen shoulder.</w:t>
            </w:r>
          </w:p>
          <w:p>
            <w:pPr>
              <w:spacing w:after="40" w:before="60" w:line="259" w:lineRule="auto"/>
            </w:pPr>
            <w:r>
              <w:rPr>
                <w:rFonts w:ascii="Calibri" w:hAnsi="Calibri"/>
                <w:b w:val="0"/>
                <w:i w:val="0"/>
                <w:color w:val="212121"/>
                <w:sz w:val="19"/>
              </w:rPr>
              <w:t>Chronic hyperglycaemia generates advanced glycation end-products that cross-link collagen and cause capsular fibrosis and stiffness.</w:t>
            </w:r>
          </w:p>
          <w:p>
            <w:pPr>
              <w:spacing w:after="40" w:line="252" w:lineRule="auto"/>
            </w:pPr>
            <w:hyperlink r:id="rId14">
              <w:r>
                <w:rPr>
                  <w:rFonts w:ascii="Calibri" w:hAnsi="Calibri" w:cs="Calibri"/>
                  <w:sz w:val="18"/>
                  <w:color w:val="1155CC"/>
                  <w:u w:val="single"/>
                </w:rPr>
                <w:t xml:space="preserve">pmc.ncbi.nlm.nih.gov — adhesive capsulitis with diabetes (review)</w:t>
              </w:r>
            </w:hyperlink>
          </w:p>
          <w:p>
            <w:pPr>
              <w:spacing w:before="60" w:after="40"/>
            </w:pPr>
            <w:r>
              <w:rPr>
                <w:rFonts w:ascii="Calibri" w:hAnsi="Calibri"/>
                <w:b w:val="0"/>
                <w:i w:val="0"/>
                <w:color w:val="5A5A5A"/>
                <w:sz w:val="18"/>
              </w:rPr>
              <w:t>#highGI  #AGEs  #refinedcarbs  #glycation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 micronutrient intake</w:t>
            </w:r>
          </w:p>
        </w:tc>
        <w:tc>
          <w:tcPr>
            <w:tcW w:type="dxa" w:w="2160"/>
            <w:vAlign w:val="top"/>
          </w:tcPr>
          <w:p>
            <w:pPr>
              <w:spacing w:after="40" w:before="0" w:line="259" w:lineRule="auto"/>
            </w:pPr>
            <w:r>
              <w:rPr>
                <w:rFonts w:ascii="Calibri" w:hAnsi="Calibri"/>
                <w:b w:val="0"/>
                <w:i w:val="0"/>
                <w:color w:val="212121"/>
                <w:sz w:val="19"/>
              </w:rPr>
              <w:t>Vegetarians &amp; those with low vitamin-D intake</w:t>
            </w:r>
          </w:p>
        </w:tc>
        <w:tc>
          <w:tcPr>
            <w:tcW w:type="dxa" w:w="4276"/>
            <w:vAlign w:val="top"/>
          </w:tcPr>
          <w:p>
            <w:pPr>
              <w:spacing w:after="60" w:line="259" w:lineRule="auto"/>
            </w:pPr>
            <w:r>
              <w:rPr>
                <w:rFonts w:ascii="Calibri" w:hAnsi="Calibri"/>
                <w:b w:val="0"/>
                <w:i w:val="0"/>
                <w:color w:val="212121"/>
                <w:sz w:val="19"/>
              </w:rPr>
              <w:t>Diets low in vitamin D combined with limited sun exposure are associated with restricted shoulder movement; correction may support recovery.</w:t>
            </w:r>
          </w:p>
          <w:p>
            <w:pPr>
              <w:spacing w:after="40" w:before="60" w:line="259" w:lineRule="auto"/>
            </w:pPr>
            <w:r>
              <w:rPr>
                <w:rFonts w:ascii="Calibri" w:hAnsi="Calibri"/>
                <w:b w:val="0"/>
                <w:i w:val="0"/>
                <w:color w:val="212121"/>
                <w:sz w:val="19"/>
              </w:rPr>
              <w:t>Low vitamin-D levels were significantly associated with restricted shoulder abduction across all ages and occupations in an Indian study.</w:t>
            </w:r>
          </w:p>
          <w:p>
            <w:pPr>
              <w:spacing w:after="40" w:line="252" w:lineRule="auto"/>
            </w:pPr>
            <w:hyperlink r:id="rId12">
              <w:r>
                <w:rPr>
                  <w:rFonts w:ascii="Calibri" w:hAnsi="Calibri" w:cs="Calibri"/>
                  <w:sz w:val="18"/>
                  <w:color w:val="1155CC"/>
                  <w:u w:val="single"/>
                </w:rPr>
                <w:t xml:space="preserve">saudijournals.com — vitamin D deficiency &amp; frozen shoulder (India)</w:t>
              </w:r>
            </w:hyperlink>
          </w:p>
          <w:p>
            <w:pPr>
              <w:spacing w:before="60" w:after="40"/>
            </w:pPr>
            <w:r>
              <w:rPr>
                <w:rFonts w:ascii="Calibri" w:hAnsi="Calibri"/>
                <w:b w:val="0"/>
                <w:i w:val="0"/>
                <w:color w:val="5A5A5A"/>
                <w:sz w:val="18"/>
              </w:rPr>
              <w:t>#vitaminD  #vegetarian  #micronutrient  #abduction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Relatives with frozen shoulder or fibromatosis</w:t>
            </w:r>
          </w:p>
        </w:tc>
        <w:tc>
          <w:tcPr>
            <w:tcW w:type="dxa" w:w="4276"/>
            <w:vAlign w:val="top"/>
          </w:tcPr>
          <w:p>
            <w:pPr>
              <w:spacing w:after="60" w:line="259" w:lineRule="auto"/>
            </w:pPr>
            <w:r>
              <w:rPr>
                <w:rFonts w:ascii="Calibri" w:hAnsi="Calibri"/>
                <w:b w:val="0"/>
                <w:i w:val="0"/>
                <w:color w:val="212121"/>
                <w:sz w:val="19"/>
              </w:rPr>
              <w:t>Familial clustering suggests an inherited tendency to capsular fibrosis; a family history of frozen shoulder or related fibromatoses raises individual risk.</w:t>
            </w:r>
          </w:p>
          <w:p>
            <w:pPr>
              <w:spacing w:after="40" w:before="60" w:line="259" w:lineRule="auto"/>
            </w:pPr>
            <w:r>
              <w:rPr>
                <w:rFonts w:ascii="Calibri" w:hAnsi="Calibri"/>
                <w:b w:val="0"/>
                <w:i w:val="0"/>
                <w:color w:val="212121"/>
                <w:sz w:val="19"/>
              </w:rPr>
              <w:t>Familial clustering and associated fibromatoses point to a genetic predisposition to adhesive capsulitis.</w:t>
            </w:r>
          </w:p>
          <w:p>
            <w:pPr>
              <w:spacing w:before="60" w:after="40"/>
            </w:pPr>
            <w:r>
              <w:rPr>
                <w:rFonts w:ascii="Calibri" w:hAnsi="Calibri"/>
                <w:b w:val="0"/>
                <w:i w:val="0"/>
                <w:color w:val="5A5A5A"/>
                <w:sz w:val="18"/>
              </w:rPr>
              <w:t>#familyhistory  #fibromatosis  #geneticrisk  #collagen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Dupuytren's disease</w:t>
            </w:r>
          </w:p>
        </w:tc>
        <w:tc>
          <w:tcPr>
            <w:tcW w:type="dxa" w:w="2160"/>
            <w:vAlign w:val="top"/>
          </w:tcPr>
          <w:p>
            <w:pPr>
              <w:spacing w:after="40" w:before="0" w:line="259" w:lineRule="auto"/>
            </w:pPr>
            <w:r>
              <w:rPr>
                <w:rFonts w:ascii="Calibri" w:hAnsi="Calibri"/>
                <w:b w:val="0"/>
                <w:i w:val="0"/>
                <w:color w:val="212121"/>
                <w:sz w:val="19"/>
              </w:rPr>
              <w:t>Patients with Dupuytren's contracture</w:t>
            </w:r>
          </w:p>
        </w:tc>
        <w:tc>
          <w:tcPr>
            <w:tcW w:type="dxa" w:w="4276"/>
            <w:vAlign w:val="top"/>
          </w:tcPr>
          <w:p>
            <w:pPr>
              <w:spacing w:after="60" w:line="259" w:lineRule="auto"/>
            </w:pPr>
            <w:r>
              <w:rPr>
                <w:rFonts w:ascii="Calibri" w:hAnsi="Calibri"/>
                <w:b w:val="0"/>
                <w:i w:val="0"/>
                <w:color w:val="212121"/>
                <w:sz w:val="19"/>
              </w:rPr>
              <w:t>Dupuytren's disease and frozen shoulder share a myofibroblast-driven fibroproliferative pathology; patients with Dupuytren's have a notably higher frequency of adhesive capsulitis.</w:t>
            </w:r>
          </w:p>
          <w:p>
            <w:pPr>
              <w:spacing w:after="40" w:before="60" w:line="259" w:lineRule="auto"/>
            </w:pPr>
            <w:r>
              <w:rPr>
                <w:rFonts w:ascii="Calibri" w:hAnsi="Calibri"/>
                <w:b w:val="0"/>
                <w:i w:val="0"/>
                <w:color w:val="212121"/>
                <w:sz w:val="19"/>
              </w:rPr>
              <w:t>Adhesive capsulitis is associated with Dupuytren's disease through a shared fibroproliferative process.</w:t>
            </w:r>
          </w:p>
          <w:p>
            <w:pPr>
              <w:spacing w:before="60" w:after="40"/>
            </w:pPr>
            <w:r>
              <w:rPr>
                <w:rFonts w:ascii="Calibri" w:hAnsi="Calibri"/>
                <w:b w:val="0"/>
                <w:i w:val="0"/>
                <w:color w:val="5A5A5A"/>
                <w:sz w:val="18"/>
              </w:rPr>
              <w:t>#Dupuytren  #fibroproliferation  #myofibroblast  #sharedbiology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Diabetics (especially long-standing or Type 1)</w:t>
            </w:r>
          </w:p>
        </w:tc>
        <w:tc>
          <w:tcPr>
            <w:tcW w:type="dxa" w:w="4276"/>
            <w:vAlign w:val="top"/>
          </w:tcPr>
          <w:p>
            <w:pPr>
              <w:spacing w:after="60" w:line="259" w:lineRule="auto"/>
            </w:pPr>
            <w:r>
              <w:rPr>
                <w:rFonts w:ascii="Calibri" w:hAnsi="Calibri"/>
                <w:b w:val="0"/>
                <w:i w:val="0"/>
                <w:color w:val="212121"/>
                <w:sz w:val="19"/>
              </w:rPr>
              <w:t>Diabetes is the strongest systemic risk factor. Hyperglycaemia-driven AGE cross-linking stiffens the capsule; frozen shoulder in diabetics is often bilateral, more severe and more refractory to treatment.</w:t>
            </w:r>
          </w:p>
          <w:p>
            <w:pPr>
              <w:spacing w:after="40" w:before="60" w:line="259" w:lineRule="auto"/>
            </w:pPr>
            <w:r>
              <w:rPr>
                <w:rFonts w:ascii="Calibri" w:hAnsi="Calibri"/>
                <w:b w:val="0"/>
                <w:i w:val="0"/>
                <w:color w:val="212121"/>
                <w:sz w:val="19"/>
              </w:rPr>
              <w:t>Diabetics are about 5 times more likely to develop adhesive capsulitis (OR ~5, 95% CI 3.2–7.7); prevalence in Type 1 diabetes reaches 35–59%.</w:t>
            </w:r>
          </w:p>
          <w:p>
            <w:pPr>
              <w:spacing w:after="40" w:line="252" w:lineRule="auto"/>
            </w:pPr>
            <w:hyperlink r:id="rId15">
              <w:r>
                <w:rPr>
                  <w:rFonts w:ascii="Calibri" w:hAnsi="Calibri" w:cs="Calibri"/>
                  <w:sz w:val="18"/>
                  <w:color w:val="1155CC"/>
                  <w:u w:val="single"/>
                </w:rPr>
                <w:t xml:space="preserve">pubmed.ncbi.nlm.nih.gov/27331029 — AC &amp; diabetes meta-analysis</w:t>
              </w:r>
            </w:hyperlink>
          </w:p>
          <w:p>
            <w:pPr>
              <w:spacing w:before="60" w:after="40"/>
            </w:pPr>
            <w:r>
              <w:rPr>
                <w:rFonts w:ascii="Calibri" w:hAnsi="Calibri"/>
                <w:b w:val="0"/>
                <w:i w:val="0"/>
                <w:color w:val="5A5A5A"/>
                <w:sz w:val="18"/>
              </w:rPr>
              <w:t>#diabetes  #AGEs  #refractory  #bilateral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disorders</w:t>
            </w:r>
          </w:p>
        </w:tc>
        <w:tc>
          <w:tcPr>
            <w:tcW w:type="dxa" w:w="2160"/>
            <w:vAlign w:val="top"/>
          </w:tcPr>
          <w:p>
            <w:pPr>
              <w:spacing w:after="40" w:before="0" w:line="259" w:lineRule="auto"/>
            </w:pPr>
            <w:r>
              <w:rPr>
                <w:rFonts w:ascii="Calibri" w:hAnsi="Calibri"/>
                <w:b w:val="0"/>
                <w:i w:val="0"/>
                <w:color w:val="212121"/>
                <w:sz w:val="19"/>
              </w:rPr>
              <w:t>Patients with hypothyroidism / thyroid disease</w:t>
            </w:r>
          </w:p>
        </w:tc>
        <w:tc>
          <w:tcPr>
            <w:tcW w:type="dxa" w:w="4276"/>
            <w:vAlign w:val="top"/>
          </w:tcPr>
          <w:p>
            <w:pPr>
              <w:spacing w:after="60" w:line="259" w:lineRule="auto"/>
            </w:pPr>
            <w:r>
              <w:rPr>
                <w:rFonts w:ascii="Calibri" w:hAnsi="Calibri"/>
                <w:b w:val="0"/>
                <w:i w:val="0"/>
                <w:color w:val="212121"/>
                <w:sz w:val="19"/>
              </w:rPr>
              <w:t>Thyroid dysfunction, particularly hypothyroidism, is strongly over-represented in frozen shoulder, likely through altered connective-tissue metabolism and capsular fibrosis.</w:t>
            </w:r>
          </w:p>
          <w:p>
            <w:pPr>
              <w:spacing w:after="40" w:before="60" w:line="259" w:lineRule="auto"/>
            </w:pPr>
            <w:r>
              <w:rPr>
                <w:rFonts w:ascii="Calibri" w:hAnsi="Calibri"/>
                <w:b w:val="0"/>
                <w:i w:val="0"/>
                <w:color w:val="212121"/>
                <w:sz w:val="19"/>
              </w:rPr>
              <w:t>Hypothyroidism is present in about 27% of adhesive capsulitis patients versus ~11% of controls; thyropathy raises frozen-shoulder risk roughly 2.7-fold.</w:t>
            </w:r>
          </w:p>
          <w:p>
            <w:pPr>
              <w:spacing w:after="40" w:line="252" w:lineRule="auto"/>
            </w:pPr>
            <w:hyperlink r:id="rId16">
              <w:r>
                <w:rPr>
                  <w:rFonts w:ascii="Calibri" w:hAnsi="Calibri" w:cs="Calibri"/>
                  <w:sz w:val="18"/>
                  <w:color w:val="1155CC"/>
                  <w:u w:val="single"/>
                </w:rPr>
                <w:t xml:space="preserve">pubmed.ncbi.nlm.nih.gov/32904783 — frozen shoulder &amp; thyroid</w:t>
              </w:r>
            </w:hyperlink>
          </w:p>
          <w:p>
            <w:pPr>
              <w:spacing w:before="60" w:after="40"/>
            </w:pPr>
            <w:r>
              <w:rPr>
                <w:rFonts w:ascii="Calibri" w:hAnsi="Calibri"/>
                <w:b w:val="0"/>
                <w:i w:val="0"/>
                <w:color w:val="5A5A5A"/>
                <w:sz w:val="18"/>
              </w:rPr>
              <w:t>#hypothyroidism  #thyroid  #connectivetissue  #endocrine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shoulder pathology / immobilisation</w:t>
            </w:r>
          </w:p>
        </w:tc>
        <w:tc>
          <w:tcPr>
            <w:tcW w:type="dxa" w:w="2160"/>
            <w:vAlign w:val="top"/>
          </w:tcPr>
          <w:p>
            <w:pPr>
              <w:spacing w:after="40" w:before="0" w:line="259" w:lineRule="auto"/>
            </w:pPr>
            <w:r>
              <w:rPr>
                <w:rFonts w:ascii="Calibri" w:hAnsi="Calibri"/>
                <w:b w:val="0"/>
                <w:i w:val="0"/>
                <w:color w:val="212121"/>
                <w:sz w:val="19"/>
              </w:rPr>
              <w:t>Rotator cuff disease, fracture or shoulder surgery</w:t>
            </w:r>
          </w:p>
        </w:tc>
        <w:tc>
          <w:tcPr>
            <w:tcW w:type="dxa" w:w="4276"/>
            <w:vAlign w:val="top"/>
          </w:tcPr>
          <w:p>
            <w:pPr>
              <w:spacing w:after="60" w:line="259" w:lineRule="auto"/>
            </w:pPr>
            <w:r>
              <w:rPr>
                <w:rFonts w:ascii="Calibri" w:hAnsi="Calibri"/>
                <w:b w:val="0"/>
                <w:i w:val="0"/>
                <w:color w:val="212121"/>
                <w:sz w:val="19"/>
              </w:rPr>
              <w:t>Intrinsic shoulder disorders and post-injury or post-operative immobilisation trigger secondary adhesive capsulitis, as pain-driven guarding and disuse lead to capsular contracture.</w:t>
            </w:r>
          </w:p>
          <w:p>
            <w:pPr>
              <w:spacing w:after="40" w:before="60" w:line="259" w:lineRule="auto"/>
            </w:pPr>
            <w:r>
              <w:rPr>
                <w:rFonts w:ascii="Calibri" w:hAnsi="Calibri"/>
                <w:b w:val="0"/>
                <w:i w:val="0"/>
                <w:color w:val="212121"/>
                <w:sz w:val="19"/>
              </w:rPr>
              <w:t>Secondary frozen shoulder frequently follows rotator cuff disease, proximal humeral fracture or shoulder surgery with prolonged immobilisation.</w:t>
            </w:r>
          </w:p>
          <w:p>
            <w:pPr>
              <w:spacing w:after="40" w:line="252" w:lineRule="auto"/>
            </w:pPr>
            <w:hyperlink r:id="rId10">
              <w:r>
                <w:rPr>
                  <w:rFonts w:ascii="Calibri" w:hAnsi="Calibri" w:cs="Calibri"/>
                  <w:sz w:val="18"/>
                  <w:color w:val="1155CC"/>
                  <w:u w:val="single"/>
                </w:rPr>
                <w:t xml:space="preserve">ncbi.nlm.nih.gov — StatPearls, adhesive capsulitis</w:t>
              </w:r>
            </w:hyperlink>
          </w:p>
          <w:p>
            <w:pPr>
              <w:spacing w:before="60" w:after="40"/>
            </w:pPr>
            <w:r>
              <w:rPr>
                <w:rFonts w:ascii="Calibri" w:hAnsi="Calibri"/>
                <w:b w:val="0"/>
                <w:i w:val="0"/>
                <w:color w:val="5A5A5A"/>
                <w:sz w:val="18"/>
              </w:rPr>
              <w:t>#rotatorcuff  #postfracture  #postop  #secondaryAC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 / stroke</w:t>
            </w:r>
          </w:p>
        </w:tc>
        <w:tc>
          <w:tcPr>
            <w:tcW w:type="dxa" w:w="2160"/>
            <w:vAlign w:val="top"/>
          </w:tcPr>
          <w:p>
            <w:pPr>
              <w:spacing w:after="40" w:before="0" w:line="259" w:lineRule="auto"/>
            </w:pPr>
            <w:r>
              <w:rPr>
                <w:rFonts w:ascii="Calibri" w:hAnsi="Calibri"/>
                <w:b w:val="0"/>
                <w:i w:val="0"/>
                <w:color w:val="212121"/>
                <w:sz w:val="19"/>
              </w:rPr>
              <w:t>Post-myocardial-infarction &amp; post-stroke patients</w:t>
            </w:r>
          </w:p>
        </w:tc>
        <w:tc>
          <w:tcPr>
            <w:tcW w:type="dxa" w:w="4276"/>
            <w:vAlign w:val="top"/>
          </w:tcPr>
          <w:p>
            <w:pPr>
              <w:spacing w:after="60" w:line="259" w:lineRule="auto"/>
            </w:pPr>
            <w:r>
              <w:rPr>
                <w:rFonts w:ascii="Calibri" w:hAnsi="Calibri"/>
                <w:b w:val="0"/>
                <w:i w:val="0"/>
                <w:color w:val="212121"/>
                <w:sz w:val="19"/>
              </w:rPr>
              <w:t>Reduced arm use and autonomic changes after myocardial infarction or stroke predispose to secondary frozen shoulder, especially on a hemiplegic or protected side.</w:t>
            </w:r>
          </w:p>
          <w:p>
            <w:pPr>
              <w:spacing w:after="40" w:before="60" w:line="259" w:lineRule="auto"/>
            </w:pPr>
            <w:r>
              <w:rPr>
                <w:rFonts w:ascii="Calibri" w:hAnsi="Calibri"/>
                <w:b w:val="0"/>
                <w:i w:val="0"/>
                <w:color w:val="212121"/>
                <w:sz w:val="19"/>
              </w:rPr>
              <w:t>Cardiac disease and stroke, through immobility and autonomic dysfunction, are recognised precipitants of secondary adhesive capsulitis.</w:t>
            </w:r>
          </w:p>
          <w:p>
            <w:pPr>
              <w:spacing w:after="40" w:line="252" w:lineRule="auto"/>
            </w:pPr>
            <w:hyperlink r:id="rId10">
              <w:r>
                <w:rPr>
                  <w:rFonts w:ascii="Calibri" w:hAnsi="Calibri" w:cs="Calibri"/>
                  <w:sz w:val="18"/>
                  <w:color w:val="1155CC"/>
                  <w:u w:val="single"/>
                </w:rPr>
                <w:t xml:space="preserve">ncbi.nlm.nih.gov — StatPearls, adhesive capsulitis</w:t>
              </w:r>
            </w:hyperlink>
          </w:p>
          <w:p>
            <w:pPr>
              <w:spacing w:before="60" w:after="40"/>
            </w:pPr>
            <w:r>
              <w:rPr>
                <w:rFonts w:ascii="Calibri" w:hAnsi="Calibri"/>
                <w:b w:val="0"/>
                <w:i w:val="0"/>
                <w:color w:val="5A5A5A"/>
                <w:sz w:val="18"/>
              </w:rPr>
              <w:t>#poststroke  #postMI  #hemiplegicshoulder  #autonomic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Dyslipidaemia / obesity</w:t>
            </w:r>
          </w:p>
        </w:tc>
        <w:tc>
          <w:tcPr>
            <w:tcW w:type="dxa" w:w="2160"/>
            <w:vAlign w:val="top"/>
          </w:tcPr>
          <w:p>
            <w:pPr>
              <w:spacing w:after="40" w:before="0" w:line="259" w:lineRule="auto"/>
            </w:pPr>
            <w:r>
              <w:rPr>
                <w:rFonts w:ascii="Calibri" w:hAnsi="Calibri"/>
                <w:b w:val="0"/>
                <w:i w:val="0"/>
                <w:color w:val="212121"/>
                <w:sz w:val="19"/>
              </w:rPr>
              <w:t>Metabolic-syndrome patients</w:t>
            </w:r>
          </w:p>
        </w:tc>
        <w:tc>
          <w:tcPr>
            <w:tcW w:type="dxa" w:w="4276"/>
            <w:vAlign w:val="top"/>
          </w:tcPr>
          <w:p>
            <w:pPr>
              <w:spacing w:after="60" w:line="259" w:lineRule="auto"/>
            </w:pPr>
            <w:r>
              <w:rPr>
                <w:rFonts w:ascii="Calibri" w:hAnsi="Calibri"/>
                <w:b w:val="0"/>
                <w:i w:val="0"/>
                <w:color w:val="212121"/>
                <w:sz w:val="19"/>
              </w:rPr>
              <w:t>Dyslipidaemia and obesity, as components of metabolic syndrome, are associated with a higher risk of frozen shoulder, sharing insulin-resistant and pro-inflammatory pathways with diabetes.</w:t>
            </w:r>
          </w:p>
          <w:p>
            <w:pPr>
              <w:spacing w:after="40" w:before="60" w:line="259" w:lineRule="auto"/>
            </w:pPr>
            <w:r>
              <w:rPr>
                <w:rFonts w:ascii="Calibri" w:hAnsi="Calibri"/>
                <w:b w:val="0"/>
                <w:i w:val="0"/>
                <w:color w:val="212121"/>
                <w:sz w:val="19"/>
              </w:rPr>
              <w:t>Obesity, hyperlipidaemia and hypertension are listed among the comorbidities associated with adhesive capsulitis.</w:t>
            </w:r>
          </w:p>
          <w:p>
            <w:pPr>
              <w:spacing w:after="40" w:line="252" w:lineRule="auto"/>
            </w:pPr>
            <w:hyperlink r:id="rId13">
              <w:r>
                <w:rPr>
                  <w:rFonts w:ascii="Calibri" w:hAnsi="Calibri" w:cs="Calibri"/>
                  <w:sz w:val="18"/>
                  <w:color w:val="1155CC"/>
                  <w:u w:val="single"/>
                </w:rPr>
                <w:t xml:space="preserve">emjreviews.com — diabetes &amp; near four-fold risk of adhesive capsulitis</w:t>
              </w:r>
            </w:hyperlink>
          </w:p>
          <w:p>
            <w:pPr>
              <w:spacing w:before="60" w:after="40"/>
            </w:pPr>
            <w:r>
              <w:rPr>
                <w:rFonts w:ascii="Calibri" w:hAnsi="Calibri"/>
                <w:b w:val="0"/>
                <w:i w:val="0"/>
                <w:color w:val="5A5A5A"/>
                <w:sz w:val="18"/>
              </w:rPr>
              <w:t>#dyslipidaemia  #obesity  #metabolicsyndrome  #inflammation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Immobilisation and disuse strongly promote capsular contracture, so maintained gentle movement and early guided mobilisation after shoulder injury or surgery reduce stiffness; however, forced, aggressive movement during the painful freezing phase can worsen inflammation.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driving hyperglycaemia, dyslipidaemia and obesity raise risk via AGE-mediated capsular fibrosis, and vitamin-D-poor diets are associated with restricted shoulder motion; good glycaemic control supports recovery.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Severe night pain is characteristic of the freezing phase and disrupts sleep, while poor sleep amplifies pain perception — a mainly secondary, bidirectional influence.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microvascular perfusion and collagen repair and is reported among risk factors for adhesive capsulitis and poorer functional recovery.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alcohol is listed among associated risk factors and worsens glycaemic control and rehabilitation adherence, but direct causal evidence is limited.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pain and functional loss are strongly associated with anxiety and depression, which lower pain thresholds and impair adherence to a prolonged rehabilitation programme.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direct role in adhesive capsulitis; adequate hydration supports general tissue health but evidence for prevention is lacking.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association; excess caffeine may indirectly worsen night pain by disturbing sleep and heightening pain sensitivity.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is relevant mainly around intra-articular injections and surgery (infection risk); it has no direct role in the causation of frozen shoulder.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Minor trauma, shoulder or breast surgery, prolonged sling immobilisation, stroke, myocardial infarction and poorly controlled diabetes commonly precipitate or unmask frozen shoulder.</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protective postures (an adducted, internally rotated, guarded arm) and rounded, forward-shoulder posture accelerate capsular tightening and disuse stiffness.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Passive external rotation, arm at side (degrees)</w:t>
            </w:r>
          </w:p>
        </w:tc>
        <w:tc>
          <w:tcPr>
            <w:tcW w:type="dxa" w:w="1655"/>
            <w:vAlign w:val="top"/>
          </w:tcPr>
          <w:p>
            <w:pPr>
              <w:spacing w:after="40" w:before="0" w:line="259" w:lineRule="auto"/>
            </w:pPr>
            <w:r>
              <w:rPr>
                <w:rFonts w:ascii="Calibri" w:hAnsi="Calibri"/>
                <w:b w:val="0"/>
                <w:i w:val="0"/>
                <w:color w:val="212121"/>
                <w:sz w:val="19"/>
              </w:rPr>
              <w:t>Adults with shoulder pain</w:t>
            </w:r>
          </w:p>
        </w:tc>
        <w:tc>
          <w:tcPr>
            <w:tcW w:type="dxa" w:w="1512"/>
            <w:vAlign w:val="top"/>
          </w:tcPr>
          <w:p>
            <w:pPr>
              <w:spacing w:after="40" w:before="0" w:line="259" w:lineRule="auto"/>
            </w:pPr>
            <w:r>
              <w:rPr>
                <w:rFonts w:ascii="Calibri" w:hAnsi="Calibri"/>
                <w:b w:val="0"/>
                <w:i w:val="0"/>
                <w:color w:val="212121"/>
                <w:sz w:val="19"/>
              </w:rPr>
              <w:t>Symmetrical with opposite side (~60–80°)</w:t>
            </w:r>
          </w:p>
        </w:tc>
        <w:tc>
          <w:tcPr>
            <w:tcW w:type="dxa" w:w="1512"/>
            <w:vAlign w:val="top"/>
          </w:tcPr>
          <w:p>
            <w:pPr>
              <w:spacing w:after="40" w:before="0" w:line="259" w:lineRule="auto"/>
            </w:pPr>
            <w:r>
              <w:rPr>
                <w:rFonts w:ascii="Calibri" w:hAnsi="Calibri"/>
                <w:b w:val="0"/>
                <w:i w:val="0"/>
                <w:color w:val="212121"/>
                <w:sz w:val="19"/>
              </w:rPr>
              <w:t>Marked loss vs contralateral side / &lt; 50%</w:t>
            </w:r>
          </w:p>
        </w:tc>
        <w:tc>
          <w:tcPr>
            <w:tcW w:type="dxa" w:w="1468"/>
            <w:vAlign w:val="top"/>
          </w:tcPr>
          <w:p>
            <w:pPr>
              <w:spacing w:after="60" w:line="259" w:lineRule="auto"/>
            </w:pPr>
            <w:r>
              <w:rPr>
                <w:rFonts w:ascii="Calibri" w:hAnsi="Calibri"/>
                <w:b w:val="0"/>
                <w:i w:val="0"/>
                <w:color w:val="212121"/>
                <w:sz w:val="19"/>
              </w:rPr>
              <w:t>Hallmark restriction; earliest and most affected motion in adhesive capsulitis</w:t>
            </w:r>
          </w:p>
          <w:p>
            <w:pPr>
              <w:spacing w:after="40" w:line="252" w:lineRule="auto"/>
            </w:pPr>
            <w:hyperlink r:id="rId9">
              <w:r>
                <w:rPr>
                  <w:rFonts w:ascii="Calibri" w:hAnsi="Calibri" w:cs="Calibri"/>
                  <w:sz w:val="18"/>
                  <w:color w:val="1155CC"/>
                  <w:u w:val="single"/>
                </w:rPr>
                <w:t xml:space="preserve">https://www.aafp.org/pubs/afp/issues/2019/0301/p297.html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Passive abduction (degrees)</w:t>
            </w:r>
          </w:p>
        </w:tc>
        <w:tc>
          <w:tcPr>
            <w:tcW w:type="dxa" w:w="1655"/>
            <w:vAlign w:val="top"/>
          </w:tcPr>
          <w:p>
            <w:pPr>
              <w:spacing w:after="40" w:before="0" w:line="259" w:lineRule="auto"/>
            </w:pPr>
            <w:r>
              <w:rPr>
                <w:rFonts w:ascii="Calibri" w:hAnsi="Calibri"/>
                <w:b w:val="0"/>
                <w:i w:val="0"/>
                <w:color w:val="212121"/>
                <w:sz w:val="19"/>
              </w:rPr>
              <w:t>Adults with stiff shoulder</w:t>
            </w:r>
          </w:p>
        </w:tc>
        <w:tc>
          <w:tcPr>
            <w:tcW w:type="dxa" w:w="1512"/>
            <w:vAlign w:val="top"/>
          </w:tcPr>
          <w:p>
            <w:pPr>
              <w:spacing w:after="40" w:before="0" w:line="259" w:lineRule="auto"/>
            </w:pPr>
            <w:r>
              <w:rPr>
                <w:rFonts w:ascii="Calibri" w:hAnsi="Calibri"/>
                <w:b w:val="0"/>
                <w:i w:val="0"/>
                <w:color w:val="212121"/>
                <w:sz w:val="19"/>
              </w:rPr>
              <w:t>~150–180°</w:t>
            </w:r>
          </w:p>
        </w:tc>
        <w:tc>
          <w:tcPr>
            <w:tcW w:type="dxa" w:w="1512"/>
            <w:vAlign w:val="top"/>
          </w:tcPr>
          <w:p>
            <w:pPr>
              <w:spacing w:after="40" w:before="0" w:line="259" w:lineRule="auto"/>
            </w:pPr>
            <w:r>
              <w:rPr>
                <w:rFonts w:ascii="Calibri" w:hAnsi="Calibri"/>
                <w:b w:val="0"/>
                <w:i w:val="0"/>
                <w:color w:val="212121"/>
                <w:sz w:val="19"/>
              </w:rPr>
              <w:t>&lt; 120° with capsular end-feel</w:t>
            </w:r>
          </w:p>
        </w:tc>
        <w:tc>
          <w:tcPr>
            <w:tcW w:type="dxa" w:w="1468"/>
            <w:vAlign w:val="top"/>
          </w:tcPr>
          <w:p>
            <w:pPr>
              <w:spacing w:after="40" w:before="0" w:line="259" w:lineRule="auto"/>
            </w:pPr>
            <w:r>
              <w:rPr>
                <w:rFonts w:ascii="Calibri" w:hAnsi="Calibri"/>
                <w:b w:val="0"/>
                <w:i w:val="0"/>
                <w:color w:val="212121"/>
                <w:sz w:val="19"/>
              </w:rPr>
              <w:t>Global glenohumeral restriction in capsular pattern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of shoulder immobilisation after injury/surgery</w:t>
            </w:r>
          </w:p>
        </w:tc>
        <w:tc>
          <w:tcPr>
            <w:tcW w:type="dxa" w:w="1655"/>
            <w:vAlign w:val="top"/>
          </w:tcPr>
          <w:p>
            <w:pPr>
              <w:spacing w:after="40" w:before="0" w:line="259" w:lineRule="auto"/>
            </w:pPr>
            <w:r>
              <w:rPr>
                <w:rFonts w:ascii="Calibri" w:hAnsi="Calibri"/>
                <w:b w:val="0"/>
                <w:i w:val="0"/>
                <w:color w:val="212121"/>
                <w:sz w:val="19"/>
              </w:rPr>
              <w:t>Post-trauma, post-op, post-stroke</w:t>
            </w:r>
          </w:p>
        </w:tc>
        <w:tc>
          <w:tcPr>
            <w:tcW w:type="dxa" w:w="1512"/>
            <w:vAlign w:val="top"/>
          </w:tcPr>
          <w:p>
            <w:pPr>
              <w:spacing w:after="40" w:before="0" w:line="259" w:lineRule="auto"/>
            </w:pPr>
            <w:r>
              <w:rPr>
                <w:rFonts w:ascii="Calibri" w:hAnsi="Calibri"/>
                <w:b w:val="0"/>
                <w:i w:val="0"/>
                <w:color w:val="212121"/>
                <w:sz w:val="19"/>
              </w:rPr>
              <w:t>Early guided movement within pain limits</w:t>
            </w:r>
          </w:p>
        </w:tc>
        <w:tc>
          <w:tcPr>
            <w:tcW w:type="dxa" w:w="1512"/>
            <w:vAlign w:val="top"/>
          </w:tcPr>
          <w:p>
            <w:pPr>
              <w:spacing w:after="40" w:before="0" w:line="259" w:lineRule="auto"/>
            </w:pPr>
            <w:r>
              <w:rPr>
                <w:rFonts w:ascii="Calibri" w:hAnsi="Calibri"/>
                <w:b w:val="0"/>
                <w:i w:val="0"/>
                <w:color w:val="212121"/>
                <w:sz w:val="19"/>
              </w:rPr>
              <w:t>Prolonged sling / immobility &gt; 2–3 weeks</w:t>
            </w:r>
          </w:p>
        </w:tc>
        <w:tc>
          <w:tcPr>
            <w:tcW w:type="dxa" w:w="1468"/>
            <w:vAlign w:val="top"/>
          </w:tcPr>
          <w:p>
            <w:pPr>
              <w:spacing w:after="40" w:before="0" w:line="259" w:lineRule="auto"/>
            </w:pPr>
            <w:r>
              <w:rPr>
                <w:rFonts w:ascii="Calibri" w:hAnsi="Calibri"/>
                <w:b w:val="0"/>
                <w:i w:val="0"/>
                <w:color w:val="212121"/>
                <w:sz w:val="19"/>
              </w:rPr>
              <w:t>Prolonged immobilisation drives secondary capsular contracture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Diabetics &amp; prediabetics</w:t>
            </w:r>
          </w:p>
        </w:tc>
        <w:tc>
          <w:tcPr>
            <w:tcW w:type="dxa" w:w="1512"/>
            <w:vAlign w:val="top"/>
          </w:tcPr>
          <w:p>
            <w:pPr>
              <w:spacing w:after="40" w:before="0" w:line="259" w:lineRule="auto"/>
            </w:pPr>
            <w:r>
              <w:rPr>
                <w:rFonts w:ascii="Calibri" w:hAnsi="Calibri"/>
                <w:b w:val="0"/>
                <w:i w:val="0"/>
                <w:color w:val="212121"/>
                <w:sz w:val="19"/>
              </w:rPr>
              <w:t>&lt; 7.0%</w:t>
            </w:r>
          </w:p>
        </w:tc>
        <w:tc>
          <w:tcPr>
            <w:tcW w:type="dxa" w:w="1512"/>
            <w:vAlign w:val="top"/>
          </w:tcPr>
          <w:p>
            <w:pPr>
              <w:spacing w:after="40" w:before="0" w:line="259" w:lineRule="auto"/>
            </w:pPr>
            <w:r>
              <w:rPr>
                <w:rFonts w:ascii="Calibri" w:hAnsi="Calibri"/>
                <w:b w:val="0"/>
                <w:i w:val="0"/>
                <w:color w:val="212121"/>
                <w:sz w:val="19"/>
              </w:rPr>
              <w:t>≥ 7.0% (poor control)</w:t>
            </w:r>
          </w:p>
        </w:tc>
        <w:tc>
          <w:tcPr>
            <w:tcW w:type="dxa" w:w="1468"/>
            <w:vAlign w:val="top"/>
          </w:tcPr>
          <w:p>
            <w:pPr>
              <w:spacing w:after="60" w:line="259" w:lineRule="auto"/>
            </w:pPr>
            <w:r>
              <w:rPr>
                <w:rFonts w:ascii="Calibri" w:hAnsi="Calibri"/>
                <w:b w:val="0"/>
                <w:i w:val="0"/>
                <w:color w:val="212121"/>
                <w:sz w:val="19"/>
              </w:rPr>
              <w:t>Poor glycaemic control drives AGE-mediated capsular fibrosis and refractory disease</w:t>
            </w:r>
          </w:p>
          <w:p>
            <w:pPr>
              <w:spacing w:after="40" w:line="252" w:lineRule="auto"/>
            </w:pPr>
            <w:hyperlink r:id="rId14">
              <w:r>
                <w:rPr>
                  <w:rFonts w:ascii="Calibri" w:hAnsi="Calibri" w:cs="Calibri"/>
                  <w:sz w:val="18"/>
                  <w:color w:val="1155CC"/>
                  <w:u w:val="single"/>
                </w:rPr>
                <w:t xml:space="preserve">https://pmc.ncbi.nlm.nih.gov/articles/PMC11477401/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Adults with frozen shoulder</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60" w:line="259" w:lineRule="auto"/>
            </w:pPr>
            <w:r>
              <w:rPr>
                <w:rFonts w:ascii="Calibri" w:hAnsi="Calibri"/>
                <w:b w:val="0"/>
                <w:i w:val="0"/>
                <w:color w:val="212121"/>
                <w:sz w:val="19"/>
              </w:rPr>
              <w:t>Screen every frozen-shoulder patient for undiagnosed diabetes</w:t>
            </w:r>
          </w:p>
          <w:p>
            <w:pPr>
              <w:spacing w:after="40" w:line="252" w:lineRule="auto"/>
            </w:pPr>
            <w:hyperlink r:id="rId9">
              <w:r>
                <w:rPr>
                  <w:rFonts w:ascii="Calibri" w:hAnsi="Calibri" w:cs="Calibri"/>
                  <w:sz w:val="18"/>
                  <w:color w:val="1155CC"/>
                  <w:u w:val="single"/>
                </w:rPr>
                <w:t xml:space="preserve">https://www.aafp.org/pubs/afp/issues/2019/0301/p297.html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Indoor / vegetarian adults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w:t>
            </w:r>
          </w:p>
        </w:tc>
        <w:tc>
          <w:tcPr>
            <w:tcW w:type="dxa" w:w="1468"/>
            <w:vAlign w:val="top"/>
          </w:tcPr>
          <w:p>
            <w:pPr>
              <w:spacing w:after="60" w:line="259" w:lineRule="auto"/>
            </w:pPr>
            <w:r>
              <w:rPr>
                <w:rFonts w:ascii="Calibri" w:hAnsi="Calibri"/>
                <w:b w:val="0"/>
                <w:i w:val="0"/>
                <w:color w:val="212121"/>
                <w:sz w:val="19"/>
              </w:rPr>
              <w:t>Deficiency associated with restricted shoulder abduction</w:t>
            </w:r>
          </w:p>
          <w:p>
            <w:pPr>
              <w:spacing w:after="40" w:line="252" w:lineRule="auto"/>
            </w:pPr>
            <w:hyperlink r:id="rId12">
              <w:r>
                <w:rPr>
                  <w:rFonts w:ascii="Calibri" w:hAnsi="Calibri" w:cs="Calibri"/>
                  <w:sz w:val="18"/>
                  <w:color w:val="1155CC"/>
                  <w:u w:val="single"/>
                </w:rPr>
                <w:t xml:space="preserve">https://saudijournals.com/media/articles/JASPE_88_168-174_FTc.pdf</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Night pain / awakenings</w:t>
            </w:r>
          </w:p>
        </w:tc>
        <w:tc>
          <w:tcPr>
            <w:tcW w:type="dxa" w:w="1655"/>
            <w:vAlign w:val="top"/>
          </w:tcPr>
          <w:p>
            <w:pPr>
              <w:spacing w:after="40" w:before="0" w:line="259" w:lineRule="auto"/>
            </w:pPr>
            <w:r>
              <w:rPr>
                <w:rFonts w:ascii="Calibri" w:hAnsi="Calibri"/>
                <w:b w:val="0"/>
                <w:i w:val="0"/>
                <w:color w:val="212121"/>
                <w:sz w:val="19"/>
              </w:rPr>
              <w:t>Patients in freezing phase</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Frequent night waking, unable to lie on shoulder</w:t>
            </w:r>
          </w:p>
        </w:tc>
        <w:tc>
          <w:tcPr>
            <w:tcW w:type="dxa" w:w="1468"/>
            <w:vAlign w:val="top"/>
          </w:tcPr>
          <w:p>
            <w:pPr>
              <w:spacing w:after="40" w:before="0" w:line="259" w:lineRule="auto"/>
            </w:pPr>
            <w:r>
              <w:rPr>
                <w:rFonts w:ascii="Calibri" w:hAnsi="Calibri"/>
                <w:b w:val="0"/>
                <w:i w:val="0"/>
                <w:color w:val="212121"/>
                <w:sz w:val="19"/>
              </w:rPr>
              <w:t>Characteristic of the painful freezing phase; guides analgesia timing</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surgical candidates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Impairs microvascular perfusion and collagen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Nil to light</w:t>
            </w:r>
          </w:p>
        </w:tc>
        <w:tc>
          <w:tcPr>
            <w:tcW w:type="dxa" w:w="1512"/>
            <w:vAlign w:val="top"/>
          </w:tcPr>
          <w:p>
            <w:pPr>
              <w:spacing w:after="40" w:before="0" w:line="259" w:lineRule="auto"/>
            </w:pPr>
            <w:r>
              <w:rPr>
                <w:rFonts w:ascii="Calibri" w:hAnsi="Calibri"/>
                <w:b w:val="0"/>
                <w:i w:val="0"/>
                <w:color w:val="212121"/>
                <w:sz w:val="19"/>
              </w:rPr>
              <w:t>Heavy / regular use</w:t>
            </w:r>
          </w:p>
        </w:tc>
        <w:tc>
          <w:tcPr>
            <w:tcW w:type="dxa" w:w="1468"/>
            <w:vAlign w:val="top"/>
          </w:tcPr>
          <w:p>
            <w:pPr>
              <w:spacing w:after="40" w:before="0" w:line="259" w:lineRule="auto"/>
            </w:pPr>
            <w:r>
              <w:rPr>
                <w:rFonts w:ascii="Calibri" w:hAnsi="Calibri"/>
                <w:b w:val="0"/>
                <w:i w:val="0"/>
                <w:color w:val="212121"/>
                <w:sz w:val="19"/>
              </w:rPr>
              <w:t>Worsens glycaemic control and rehabilitation adherence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(e.g. PHQ-9)</w:t>
            </w:r>
          </w:p>
        </w:tc>
        <w:tc>
          <w:tcPr>
            <w:tcW w:type="dxa" w:w="1655"/>
            <w:vAlign w:val="top"/>
          </w:tcPr>
          <w:p>
            <w:pPr>
              <w:spacing w:after="40" w:before="0" w:line="259" w:lineRule="auto"/>
            </w:pPr>
            <w:r>
              <w:rPr>
                <w:rFonts w:ascii="Calibri" w:hAnsi="Calibri"/>
                <w:b w:val="0"/>
                <w:i w:val="0"/>
                <w:color w:val="212121"/>
                <w:sz w:val="19"/>
              </w:rPr>
              <w:t>Chronic / refractory cases</w:t>
            </w:r>
          </w:p>
        </w:tc>
        <w:tc>
          <w:tcPr>
            <w:tcW w:type="dxa" w:w="1512"/>
            <w:vAlign w:val="top"/>
          </w:tcPr>
          <w:p>
            <w:pPr>
              <w:spacing w:after="40" w:before="0" w:line="259" w:lineRule="auto"/>
            </w:pPr>
            <w:r>
              <w:rPr>
                <w:rFonts w:ascii="Calibri" w:hAnsi="Calibri"/>
                <w:b w:val="0"/>
                <w:i w:val="0"/>
                <w:color w:val="212121"/>
                <w:sz w:val="19"/>
              </w:rPr>
              <w:t>Minimal symptoms</w:t>
            </w:r>
          </w:p>
        </w:tc>
        <w:tc>
          <w:tcPr>
            <w:tcW w:type="dxa" w:w="1512"/>
            <w:vAlign w:val="top"/>
          </w:tcPr>
          <w:p>
            <w:pPr>
              <w:spacing w:after="40" w:before="0" w:line="259" w:lineRule="auto"/>
            </w:pPr>
            <w:r>
              <w:rPr>
                <w:rFonts w:ascii="Calibri" w:hAnsi="Calibri"/>
                <w:b w:val="0"/>
                <w:i w:val="0"/>
                <w:color w:val="212121"/>
                <w:sz w:val="19"/>
              </w:rPr>
              <w:t>Moderate–severe symptoms</w:t>
            </w:r>
          </w:p>
        </w:tc>
        <w:tc>
          <w:tcPr>
            <w:tcW w:type="dxa" w:w="1468"/>
            <w:vAlign w:val="top"/>
          </w:tcPr>
          <w:p>
            <w:pPr>
              <w:spacing w:after="40" w:before="0" w:line="259" w:lineRule="auto"/>
            </w:pPr>
            <w:r>
              <w:rPr>
                <w:rFonts w:ascii="Calibri" w:hAnsi="Calibri"/>
                <w:b w:val="0"/>
                <w:i w:val="0"/>
                <w:color w:val="212121"/>
                <w:sz w:val="19"/>
              </w:rPr>
              <w:t>Distress lowers pain threshold and reduces rehab adherence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Thyroid-stimulating hormone (mIU/L)</w:t>
            </w:r>
          </w:p>
        </w:tc>
        <w:tc>
          <w:tcPr>
            <w:tcW w:type="dxa" w:w="1655"/>
            <w:vAlign w:val="top"/>
          </w:tcPr>
          <w:p>
            <w:pPr>
              <w:spacing w:after="40" w:before="0" w:line="259" w:lineRule="auto"/>
            </w:pPr>
            <w:r>
              <w:rPr>
                <w:rFonts w:ascii="Calibri" w:hAnsi="Calibri"/>
                <w:b w:val="0"/>
                <w:i w:val="0"/>
                <w:color w:val="212121"/>
                <w:sz w:val="19"/>
              </w:rPr>
              <w:t>Frozen-shoulder patients</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&gt; 4.0 mIU/L (hypothyroid)</w:t>
            </w:r>
          </w:p>
        </w:tc>
        <w:tc>
          <w:tcPr>
            <w:tcW w:type="dxa" w:w="1468"/>
            <w:vAlign w:val="top"/>
          </w:tcPr>
          <w:p>
            <w:pPr>
              <w:spacing w:after="60" w:line="259" w:lineRule="auto"/>
            </w:pPr>
            <w:r>
              <w:rPr>
                <w:rFonts w:ascii="Calibri" w:hAnsi="Calibri"/>
                <w:b w:val="0"/>
                <w:i w:val="0"/>
                <w:color w:val="212121"/>
                <w:sz w:val="19"/>
              </w:rPr>
              <w:t>Hypothyroidism over-represented; screen and treat</w:t>
            </w:r>
          </w:p>
          <w:p>
            <w:pPr>
              <w:spacing w:after="40" w:line="252" w:lineRule="auto"/>
            </w:pPr>
            <w:hyperlink r:id="rId16">
              <w:r>
                <w:rPr>
                  <w:rFonts w:ascii="Calibri" w:hAnsi="Calibri" w:cs="Calibri"/>
                  <w:sz w:val="18"/>
                  <w:color w:val="1155CC"/>
                  <w:u w:val="single"/>
                </w:rPr>
                <w:t xml:space="preserve">https://pubmed.ncbi.nlm.nih.gov/32904783/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Glenohumeral joint</w:t>
            </w:r>
          </w:p>
        </w:tc>
        <w:tc>
          <w:tcPr>
            <w:tcW w:type="dxa" w:w="892"/>
            <w:vAlign w:val="top"/>
          </w:tcPr>
          <w:p>
            <w:pPr>
              <w:spacing w:after="40" w:before="0" w:line="259" w:lineRule="auto"/>
            </w:pPr>
            <w:r>
              <w:rPr>
                <w:rFonts w:ascii="Calibri" w:hAnsi="Calibri"/>
                <w:b w:val="0"/>
                <w:i w:val="0"/>
                <w:color w:val="212121"/>
                <w:sz w:val="16"/>
              </w:rPr>
              <w:t>Plain radiograph (AP + axillary/scapular-Y)</w:t>
            </w:r>
          </w:p>
        </w:tc>
        <w:tc>
          <w:tcPr>
            <w:tcW w:type="dxa" w:w="950"/>
            <w:vAlign w:val="top"/>
          </w:tcPr>
          <w:p>
            <w:pPr>
              <w:spacing w:after="40" w:before="0" w:line="259" w:lineRule="auto"/>
            </w:pPr>
            <w:r>
              <w:rPr>
                <w:rFonts w:ascii="Calibri" w:hAnsi="Calibri"/>
                <w:b w:val="0"/>
                <w:i w:val="0"/>
                <w:color w:val="212121"/>
                <w:sz w:val="16"/>
              </w:rPr>
              <w:t>Normal joint space; no fracture, arthritis or calcification</w:t>
            </w:r>
          </w:p>
        </w:tc>
        <w:tc>
          <w:tcPr>
            <w:tcW w:type="dxa" w:w="950"/>
            <w:vAlign w:val="top"/>
          </w:tcPr>
          <w:p>
            <w:pPr>
              <w:spacing w:after="40" w:before="0" w:line="259" w:lineRule="auto"/>
            </w:pPr>
            <w:r>
              <w:rPr>
                <w:rFonts w:ascii="Calibri" w:hAnsi="Calibri"/>
                <w:b w:val="0"/>
                <w:i w:val="0"/>
                <w:color w:val="212121"/>
                <w:sz w:val="16"/>
              </w:rPr>
              <w:t>Typically normal in adhesive capsulitis</w:t>
            </w:r>
          </w:p>
        </w:tc>
        <w:tc>
          <w:tcPr>
            <w:tcW w:type="dxa" w:w="1036"/>
            <w:vAlign w:val="top"/>
          </w:tcPr>
          <w:p>
            <w:pPr>
              <w:spacing w:after="40" w:before="0" w:line="259" w:lineRule="auto"/>
            </w:pPr>
            <w:r>
              <w:rPr>
                <w:rFonts w:ascii="Calibri" w:hAnsi="Calibri"/>
                <w:b w:val="0"/>
                <w:i w:val="0"/>
                <w:color w:val="212121"/>
                <w:sz w:val="16"/>
              </w:rPr>
              <w:t>Used to exclude osteoarthritis, dislocation, fracture and calcific tendinitis rather than to confirm AC</w:t>
            </w:r>
          </w:p>
        </w:tc>
        <w:tc>
          <w:tcPr>
            <w:tcW w:type="dxa" w:w="1036"/>
            <w:vAlign w:val="top"/>
          </w:tcPr>
          <w:p>
            <w:pPr>
              <w:spacing w:after="40" w:before="0" w:line="259" w:lineRule="auto"/>
            </w:pPr>
            <w:r>
              <w:rPr>
                <w:rFonts w:ascii="Calibri" w:hAnsi="Calibri"/>
                <w:b w:val="0"/>
                <w:i w:val="0"/>
                <w:color w:val="212121"/>
                <w:sz w:val="16"/>
              </w:rPr>
              <w:t>All adults with a stiff, painful shoulder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exclusion</w:t>
            </w:r>
          </w:p>
        </w:tc>
        <w:tc>
          <w:tcPr>
            <w:tcW w:type="dxa" w:w="720"/>
            <w:vAlign w:val="top"/>
          </w:tcPr>
          <w:p>
            <w:pPr>
              <w:spacing w:after="40" w:before="0" w:line="259" w:lineRule="auto"/>
            </w:pPr>
            <w:r>
              <w:rPr>
                <w:rFonts w:ascii="Calibri" w:hAnsi="Calibri"/>
                <w:b w:val="0"/>
                <w:i w:val="0"/>
                <w:color w:val="212121"/>
                <w:sz w:val="16"/>
              </w:rPr>
              <w:t>Frozen shoulder shows no diagnostic radiographic 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Coracohumeral ligament, axillary recess, rotator interval</w:t>
            </w:r>
          </w:p>
        </w:tc>
        <w:tc>
          <w:tcPr>
            <w:tcW w:type="dxa" w:w="892"/>
            <w:vAlign w:val="top"/>
          </w:tcPr>
          <w:p>
            <w:pPr>
              <w:spacing w:after="40" w:before="0" w:line="259" w:lineRule="auto"/>
            </w:pPr>
            <w:r>
              <w:rPr>
                <w:rFonts w:ascii="Calibri" w:hAnsi="Calibri"/>
                <w:b w:val="0"/>
                <w:i w:val="0"/>
                <w:color w:val="212121"/>
                <w:sz w:val="16"/>
              </w:rPr>
              <w:t>MRI shoulder (with/without arthrography)</w:t>
            </w:r>
          </w:p>
        </w:tc>
        <w:tc>
          <w:tcPr>
            <w:tcW w:type="dxa" w:w="950"/>
            <w:vAlign w:val="top"/>
          </w:tcPr>
          <w:p>
            <w:pPr>
              <w:spacing w:after="40" w:before="0" w:line="259" w:lineRule="auto"/>
            </w:pPr>
            <w:r>
              <w:rPr>
                <w:rFonts w:ascii="Calibri" w:hAnsi="Calibri"/>
                <w:b w:val="0"/>
                <w:i w:val="0"/>
                <w:color w:val="212121"/>
                <w:sz w:val="16"/>
              </w:rPr>
              <w:t>Thin capsule and coracohumeral ligament</w:t>
            </w:r>
          </w:p>
        </w:tc>
        <w:tc>
          <w:tcPr>
            <w:tcW w:type="dxa" w:w="950"/>
            <w:vAlign w:val="top"/>
          </w:tcPr>
          <w:p>
            <w:pPr>
              <w:spacing w:after="40" w:before="0" w:line="259" w:lineRule="auto"/>
            </w:pPr>
            <w:r>
              <w:rPr>
                <w:rFonts w:ascii="Calibri" w:hAnsi="Calibri"/>
                <w:b w:val="0"/>
                <w:i w:val="0"/>
                <w:color w:val="212121"/>
                <w:sz w:val="16"/>
              </w:rPr>
              <w:t>CHL thickening (&gt;4 mm), axillary-recess capsular thickening/oedema, rotator-interval obliteration</w:t>
            </w:r>
          </w:p>
        </w:tc>
        <w:tc>
          <w:tcPr>
            <w:tcW w:type="dxa" w:w="1036"/>
            <w:vAlign w:val="top"/>
          </w:tcPr>
          <w:p>
            <w:pPr>
              <w:spacing w:after="40" w:before="0" w:line="259" w:lineRule="auto"/>
            </w:pPr>
            <w:r>
              <w:rPr>
                <w:rFonts w:ascii="Calibri" w:hAnsi="Calibri"/>
                <w:b w:val="0"/>
                <w:i w:val="0"/>
                <w:color w:val="212121"/>
                <w:sz w:val="16"/>
              </w:rPr>
              <w:t>Supports diagnosis and excludes rotator cuff tear or labral pathology</w:t>
            </w:r>
          </w:p>
        </w:tc>
        <w:tc>
          <w:tcPr>
            <w:tcW w:type="dxa" w:w="1036"/>
            <w:vAlign w:val="top"/>
          </w:tcPr>
          <w:p>
            <w:pPr>
              <w:spacing w:after="40" w:before="0" w:line="259" w:lineRule="auto"/>
            </w:pPr>
            <w:r>
              <w:rPr>
                <w:rFonts w:ascii="Calibri" w:hAnsi="Calibri"/>
                <w:b w:val="0"/>
                <w:i w:val="0"/>
                <w:color w:val="212121"/>
                <w:sz w:val="16"/>
              </w:rPr>
              <w:t>Atypical, refractory or pre-operative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 / problem-solving</w:t>
            </w:r>
          </w:p>
        </w:tc>
        <w:tc>
          <w:tcPr>
            <w:tcW w:type="dxa" w:w="720"/>
            <w:vAlign w:val="top"/>
          </w:tcPr>
          <w:p>
            <w:pPr>
              <w:spacing w:after="40" w:before="0" w:line="259" w:lineRule="auto"/>
            </w:pPr>
            <w:r>
              <w:rPr>
                <w:rFonts w:ascii="Calibri" w:hAnsi="Calibri"/>
                <w:b w:val="0"/>
                <w:i w:val="0"/>
                <w:color w:val="212121"/>
                <w:sz w:val="16"/>
              </w:rPr>
              <w:t>Not required for a typical clinical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Coracohumeral ligament &amp; dynamic glide</w:t>
            </w:r>
          </w:p>
        </w:tc>
        <w:tc>
          <w:tcPr>
            <w:tcW w:type="dxa" w:w="892"/>
            <w:vAlign w:val="top"/>
          </w:tcPr>
          <w:p>
            <w:pPr>
              <w:spacing w:after="40" w:before="0" w:line="259" w:lineRule="auto"/>
            </w:pPr>
            <w:r>
              <w:rPr>
                <w:rFonts w:ascii="Calibri" w:hAnsi="Calibri"/>
                <w:b w:val="0"/>
                <w:i w:val="0"/>
                <w:color w:val="212121"/>
                <w:sz w:val="16"/>
              </w:rPr>
              <w:t>Ultrasound shoulder</w:t>
            </w:r>
          </w:p>
        </w:tc>
        <w:tc>
          <w:tcPr>
            <w:tcW w:type="dxa" w:w="950"/>
            <w:vAlign w:val="top"/>
          </w:tcPr>
          <w:p>
            <w:pPr>
              <w:spacing w:after="40" w:before="0" w:line="259" w:lineRule="auto"/>
            </w:pPr>
            <w:r>
              <w:rPr>
                <w:rFonts w:ascii="Calibri" w:hAnsi="Calibri"/>
                <w:b w:val="0"/>
                <w:i w:val="0"/>
                <w:color w:val="212121"/>
                <w:sz w:val="16"/>
              </w:rPr>
              <w:t>Normal capsule; free tendon gliding</w:t>
            </w:r>
          </w:p>
        </w:tc>
        <w:tc>
          <w:tcPr>
            <w:tcW w:type="dxa" w:w="950"/>
            <w:vAlign w:val="top"/>
          </w:tcPr>
          <w:p>
            <w:pPr>
              <w:spacing w:after="40" w:before="0" w:line="259" w:lineRule="auto"/>
            </w:pPr>
            <w:r>
              <w:rPr>
                <w:rFonts w:ascii="Calibri" w:hAnsi="Calibri"/>
                <w:b w:val="0"/>
                <w:i w:val="0"/>
                <w:color w:val="212121"/>
                <w:sz w:val="16"/>
              </w:rPr>
              <w:t>CHL/rotator-interval thickening, hypervascularity, restricted supraspinatus gliding</w:t>
            </w:r>
          </w:p>
        </w:tc>
        <w:tc>
          <w:tcPr>
            <w:tcW w:type="dxa" w:w="1036"/>
            <w:vAlign w:val="top"/>
          </w:tcPr>
          <w:p>
            <w:pPr>
              <w:spacing w:after="40" w:before="0" w:line="259" w:lineRule="auto"/>
            </w:pPr>
            <w:r>
              <w:rPr>
                <w:rFonts w:ascii="Calibri" w:hAnsi="Calibri"/>
                <w:b w:val="0"/>
                <w:i w:val="0"/>
                <w:color w:val="212121"/>
                <w:sz w:val="16"/>
              </w:rPr>
              <w:t>Bedside, dynamic assessment supporting AC and excluding cuff pathology</w:t>
            </w:r>
          </w:p>
        </w:tc>
        <w:tc>
          <w:tcPr>
            <w:tcW w:type="dxa" w:w="1036"/>
            <w:vAlign w:val="top"/>
          </w:tcPr>
          <w:p>
            <w:pPr>
              <w:spacing w:after="40" w:before="0" w:line="259" w:lineRule="auto"/>
            </w:pPr>
            <w:r>
              <w:rPr>
                <w:rFonts w:ascii="Calibri" w:hAnsi="Calibri"/>
                <w:b w:val="0"/>
                <w:i w:val="0"/>
                <w:color w:val="212121"/>
                <w:sz w:val="16"/>
              </w:rPr>
              <w:t>Outpatient / point-of-care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Operator dependent; useful and inexpensive in Indian OPD settings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Detects underlying diabetes/prediabetes, present in ~30% of frozen-shoulder patients</w:t>
            </w:r>
          </w:p>
        </w:tc>
        <w:tc>
          <w:tcPr>
            <w:tcW w:type="dxa" w:w="1036"/>
            <w:vAlign w:val="top"/>
          </w:tcPr>
          <w:p>
            <w:pPr>
              <w:spacing w:after="40" w:before="0" w:line="259" w:lineRule="auto"/>
            </w:pPr>
            <w:r>
              <w:rPr>
                <w:rFonts w:ascii="Calibri" w:hAnsi="Calibri"/>
                <w:b w:val="0"/>
                <w:i w:val="0"/>
                <w:color w:val="212121"/>
                <w:sz w:val="16"/>
              </w:rPr>
              <w:t>All frozen-shoulder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High-yield screen</w:t>
            </w:r>
          </w:p>
        </w:tc>
        <w:tc>
          <w:tcPr>
            <w:tcW w:type="dxa" w:w="720"/>
            <w:vAlign w:val="top"/>
          </w:tcPr>
          <w:p>
            <w:pPr>
              <w:spacing w:after="40" w:before="0" w:line="259" w:lineRule="auto"/>
            </w:pPr>
            <w:r>
              <w:rPr>
                <w:rFonts w:ascii="Calibri" w:hAnsi="Calibri"/>
                <w:b w:val="0"/>
                <w:i w:val="0"/>
                <w:color w:val="212121"/>
                <w:sz w:val="16"/>
              </w:rPr>
              <w:t>Frozen shoulder may be the first clue to undiagnosed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free T4</w:t>
            </w:r>
          </w:p>
        </w:tc>
        <w:tc>
          <w:tcPr>
            <w:tcW w:type="dxa" w:w="892"/>
            <w:vAlign w:val="top"/>
          </w:tcPr>
          <w:p>
            <w:pPr>
              <w:spacing w:after="40" w:before="0" w:line="259" w:lineRule="auto"/>
            </w:pPr>
            <w:r>
              <w:rPr>
                <w:rFonts w:ascii="Calibri" w:hAnsi="Calibri"/>
                <w:b w:val="0"/>
                <w:i w:val="0"/>
                <w:color w:val="212121"/>
                <w:sz w:val="16"/>
              </w:rPr>
              <w:t>Thyroid function tests</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TSH &gt; 4.0 mIU/L (hypothyroid) or suppressed (hyperthyroid)</w:t>
            </w:r>
          </w:p>
        </w:tc>
        <w:tc>
          <w:tcPr>
            <w:tcW w:type="dxa" w:w="1036"/>
            <w:vAlign w:val="top"/>
          </w:tcPr>
          <w:p>
            <w:pPr>
              <w:spacing w:after="40" w:before="0" w:line="259" w:lineRule="auto"/>
            </w:pPr>
            <w:r>
              <w:rPr>
                <w:rFonts w:ascii="Calibri" w:hAnsi="Calibri"/>
                <w:b w:val="0"/>
                <w:i w:val="0"/>
                <w:color w:val="212121"/>
                <w:sz w:val="16"/>
              </w:rPr>
              <w:t>Identifies thyroid dysfunction, notably hypothyroidism (~27% of AC patients)</w:t>
            </w:r>
          </w:p>
        </w:tc>
        <w:tc>
          <w:tcPr>
            <w:tcW w:type="dxa" w:w="1036"/>
            <w:vAlign w:val="top"/>
          </w:tcPr>
          <w:p>
            <w:pPr>
              <w:spacing w:after="40" w:before="0" w:line="259" w:lineRule="auto"/>
            </w:pPr>
            <w:r>
              <w:rPr>
                <w:rFonts w:ascii="Calibri" w:hAnsi="Calibri"/>
                <w:b w:val="0"/>
                <w:i w:val="0"/>
                <w:color w:val="212121"/>
                <w:sz w:val="16"/>
              </w:rPr>
              <w:t>Frozen-shoulder patients, especially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Correcting thyroid status aids recovery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25-OH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Deficiency associated with restricted shoulder abduction; correctable</w:t>
            </w:r>
          </w:p>
        </w:tc>
        <w:tc>
          <w:tcPr>
            <w:tcW w:type="dxa" w:w="1036"/>
            <w:vAlign w:val="top"/>
          </w:tcPr>
          <w:p>
            <w:pPr>
              <w:spacing w:after="40" w:before="0" w:line="259" w:lineRule="auto"/>
            </w:pPr>
            <w:r>
              <w:rPr>
                <w:rFonts w:ascii="Calibri" w:hAnsi="Calibri"/>
                <w:b w:val="0"/>
                <w:i w:val="0"/>
                <w:color w:val="212121"/>
                <w:sz w:val="16"/>
              </w:rPr>
              <w:t>Indoor, veiled or vegetarian Indians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Vitamin-D deficiency is highly prevalent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testing</w:t>
            </w:r>
          </w:p>
        </w:tc>
        <w:tc>
          <w:tcPr>
            <w:tcW w:type="dxa" w:w="950"/>
            <w:vAlign w:val="top"/>
          </w:tcPr>
          <w:p>
            <w:pPr>
              <w:spacing w:after="40" w:before="0" w:line="259" w:lineRule="auto"/>
            </w:pPr>
            <w:r>
              <w:rPr>
                <w:rFonts w:ascii="Calibri" w:hAnsi="Calibri"/>
                <w:b w:val="0"/>
                <w:i w:val="0"/>
                <w:color w:val="212121"/>
                <w:sz w:val="16"/>
              </w:rPr>
              <w:t>LDL &lt; 100 mg/dL; TG &lt; 150 mg/dL</w:t>
            </w:r>
          </w:p>
        </w:tc>
        <w:tc>
          <w:tcPr>
            <w:tcW w:type="dxa" w:w="950"/>
            <w:vAlign w:val="top"/>
          </w:tcPr>
          <w:p>
            <w:pPr>
              <w:spacing w:after="40" w:before="0" w:line="259" w:lineRule="auto"/>
            </w:pPr>
            <w:r>
              <w:rPr>
                <w:rFonts w:ascii="Calibri" w:hAnsi="Calibri"/>
                <w:b w:val="0"/>
                <w:i w:val="0"/>
                <w:color w:val="212121"/>
                <w:sz w:val="16"/>
              </w:rPr>
              <w:t>Elevated LDL/TG, low HDL</w:t>
            </w:r>
          </w:p>
        </w:tc>
        <w:tc>
          <w:tcPr>
            <w:tcW w:type="dxa" w:w="1036"/>
            <w:vAlign w:val="top"/>
          </w:tcPr>
          <w:p>
            <w:pPr>
              <w:spacing w:after="40" w:before="0" w:line="259" w:lineRule="auto"/>
            </w:pPr>
            <w:r>
              <w:rPr>
                <w:rFonts w:ascii="Calibri" w:hAnsi="Calibri"/>
                <w:b w:val="0"/>
                <w:i w:val="0"/>
                <w:color w:val="212121"/>
                <w:sz w:val="16"/>
              </w:rPr>
              <w:t>Detects dyslipidaemia associated with adhesive capsulitis</w:t>
            </w:r>
          </w:p>
        </w:tc>
        <w:tc>
          <w:tcPr>
            <w:tcW w:type="dxa" w:w="1036"/>
            <w:vAlign w:val="top"/>
          </w:tcPr>
          <w:p>
            <w:pPr>
              <w:spacing w:after="40" w:before="0" w:line="259" w:lineRule="auto"/>
            </w:pPr>
            <w:r>
              <w:rPr>
                <w:rFonts w:ascii="Calibri" w:hAnsi="Calibri"/>
                <w:b w:val="0"/>
                <w:i w:val="0"/>
                <w:color w:val="212121"/>
                <w:sz w:val="16"/>
              </w:rPr>
              <w:t>Metabolic-syndrome and diabetic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Part of overall metabolic-risk assessment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Insidious shoulder pain progressing to stiffness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 with night pain and progressive restriction</w:t>
            </w:r>
          </w:p>
        </w:tc>
        <w:tc>
          <w:tcPr>
            <w:tcW w:type="dxa" w:w="1036"/>
            <w:vAlign w:val="top"/>
          </w:tcPr>
          <w:p>
            <w:pPr>
              <w:spacing w:after="40" w:before="0" w:line="259" w:lineRule="auto"/>
            </w:pPr>
            <w:r>
              <w:rPr>
                <w:rFonts w:ascii="Calibri" w:hAnsi="Calibri"/>
                <w:b w:val="0"/>
                <w:i w:val="0"/>
                <w:color w:val="212121"/>
                <w:sz w:val="16"/>
              </w:rPr>
              <w:t>Cardinal history of adhesive capsulitis</w:t>
            </w:r>
          </w:p>
        </w:tc>
        <w:tc>
          <w:tcPr>
            <w:tcW w:type="dxa" w:w="1036"/>
            <w:vAlign w:val="top"/>
          </w:tcPr>
          <w:p>
            <w:pPr>
              <w:spacing w:after="40" w:before="0" w:line="259" w:lineRule="auto"/>
            </w:pPr>
            <w:r>
              <w:rPr>
                <w:rFonts w:ascii="Calibri" w:hAnsi="Calibri"/>
                <w:b w:val="0"/>
                <w:i w:val="0"/>
                <w:color w:val="212121"/>
                <w:sz w:val="16"/>
              </w:rPr>
              <w:t>Adults 40–60 years, diabetics,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trauma, surgery or immobilisation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drug history</w:t>
            </w:r>
          </w:p>
        </w:tc>
        <w:tc>
          <w:tcPr>
            <w:tcW w:type="dxa" w:w="979"/>
            <w:vAlign w:val="top"/>
          </w:tcPr>
          <w:p>
            <w:pPr>
              <w:spacing w:after="40" w:before="0" w:line="259" w:lineRule="auto"/>
            </w:pPr>
            <w:r>
              <w:rPr>
                <w:rFonts w:ascii="Calibri" w:hAnsi="Calibri"/>
                <w:b w:val="0"/>
                <w:i w:val="0"/>
                <w:color w:val="212121"/>
                <w:sz w:val="16"/>
              </w:rPr>
              <w:t>Diabetes, thyroid disease, prior immobilisation, cardiac/stroke history</w:t>
            </w:r>
          </w:p>
        </w:tc>
        <w:tc>
          <w:tcPr>
            <w:tcW w:type="dxa" w:w="950"/>
            <w:vAlign w:val="top"/>
          </w:tcPr>
          <w:p>
            <w:pPr>
              <w:spacing w:after="40" w:before="0" w:line="259" w:lineRule="auto"/>
            </w:pPr>
            <w:r>
              <w:rPr>
                <w:rFonts w:ascii="Calibri" w:hAnsi="Calibri"/>
                <w:b w:val="0"/>
                <w:i w:val="0"/>
                <w:color w:val="212121"/>
                <w:sz w:val="16"/>
              </w:rPr>
              <w:t>No relevant comorbidity</w:t>
            </w:r>
          </w:p>
        </w:tc>
        <w:tc>
          <w:tcPr>
            <w:tcW w:type="dxa" w:w="950"/>
            <w:vAlign w:val="top"/>
          </w:tcPr>
          <w:p>
            <w:pPr>
              <w:spacing w:after="40" w:before="0" w:line="259" w:lineRule="auto"/>
            </w:pPr>
            <w:r>
              <w:rPr>
                <w:rFonts w:ascii="Calibri" w:hAnsi="Calibri"/>
                <w:b w:val="0"/>
                <w:i w:val="0"/>
                <w:color w:val="212121"/>
                <w:sz w:val="16"/>
              </w:rPr>
              <w:t>One or more risk conditions present</w:t>
            </w:r>
          </w:p>
        </w:tc>
        <w:tc>
          <w:tcPr>
            <w:tcW w:type="dxa" w:w="1036"/>
            <w:vAlign w:val="top"/>
          </w:tcPr>
          <w:p>
            <w:pPr>
              <w:spacing w:after="40" w:before="0" w:line="259" w:lineRule="auto"/>
            </w:pPr>
            <w:r>
              <w:rPr>
                <w:rFonts w:ascii="Calibri" w:hAnsi="Calibri"/>
                <w:b w:val="0"/>
                <w:i w:val="0"/>
                <w:color w:val="212121"/>
                <w:sz w:val="16"/>
              </w:rPr>
              <w:t>Identifies primary vs secondary AC and treatable drivers</w:t>
            </w:r>
          </w:p>
        </w:tc>
        <w:tc>
          <w:tcPr>
            <w:tcW w:type="dxa" w:w="1036"/>
            <w:vAlign w:val="top"/>
          </w:tcPr>
          <w:p>
            <w:pPr>
              <w:spacing w:after="40" w:before="0" w:line="259" w:lineRule="auto"/>
            </w:pPr>
            <w:r>
              <w:rPr>
                <w:rFonts w:ascii="Calibri" w:hAnsi="Calibri"/>
                <w:b w:val="0"/>
                <w:i w:val="0"/>
                <w:color w:val="212121"/>
                <w:sz w:val="16"/>
              </w:rPr>
              <w:t>Diabetics, thyroid patients, post-stroke/post-op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Diabetic frozen shoulder is often more refractory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Passive external rotation (arm at side)</w:t>
            </w:r>
          </w:p>
        </w:tc>
        <w:tc>
          <w:tcPr>
            <w:tcW w:type="dxa" w:w="979"/>
            <w:vAlign w:val="top"/>
          </w:tcPr>
          <w:p>
            <w:pPr>
              <w:spacing w:after="40" w:before="0" w:line="259" w:lineRule="auto"/>
            </w:pPr>
            <w:r>
              <w:rPr>
                <w:rFonts w:ascii="Calibri" w:hAnsi="Calibri"/>
                <w:b w:val="0"/>
                <w:i w:val="0"/>
                <w:color w:val="212121"/>
                <w:sz w:val="16"/>
              </w:rPr>
              <w:t>External-rotation range vs contralateral</w:t>
            </w:r>
          </w:p>
        </w:tc>
        <w:tc>
          <w:tcPr>
            <w:tcW w:type="dxa" w:w="950"/>
            <w:vAlign w:val="top"/>
          </w:tcPr>
          <w:p>
            <w:pPr>
              <w:spacing w:after="40" w:before="0" w:line="259" w:lineRule="auto"/>
            </w:pPr>
            <w:r>
              <w:rPr>
                <w:rFonts w:ascii="Calibri" w:hAnsi="Calibri"/>
                <w:b w:val="0"/>
                <w:i w:val="0"/>
                <w:color w:val="212121"/>
                <w:sz w:val="16"/>
              </w:rPr>
              <w:t>Symmetrical, full</w:t>
            </w:r>
          </w:p>
        </w:tc>
        <w:tc>
          <w:tcPr>
            <w:tcW w:type="dxa" w:w="950"/>
            <w:vAlign w:val="top"/>
          </w:tcPr>
          <w:p>
            <w:pPr>
              <w:spacing w:after="40" w:before="0" w:line="259" w:lineRule="auto"/>
            </w:pPr>
            <w:r>
              <w:rPr>
                <w:rFonts w:ascii="Calibri" w:hAnsi="Calibri"/>
                <w:b w:val="0"/>
                <w:i w:val="0"/>
                <w:color w:val="212121"/>
                <w:sz w:val="16"/>
              </w:rPr>
              <w:t>Marked loss compared with the opposite shoulder</w:t>
            </w:r>
          </w:p>
        </w:tc>
        <w:tc>
          <w:tcPr>
            <w:tcW w:type="dxa" w:w="1036"/>
            <w:vAlign w:val="top"/>
          </w:tcPr>
          <w:p>
            <w:pPr>
              <w:spacing w:after="40" w:before="0" w:line="259" w:lineRule="auto"/>
            </w:pPr>
            <w:r>
              <w:rPr>
                <w:rFonts w:ascii="Calibri" w:hAnsi="Calibri"/>
                <w:b w:val="0"/>
                <w:i w:val="0"/>
                <w:color w:val="212121"/>
                <w:sz w:val="16"/>
              </w:rPr>
              <w:t>Hallmark that distinguishes frozen shoulder from rotator cuff disease</w:t>
            </w:r>
          </w:p>
        </w:tc>
        <w:tc>
          <w:tcPr>
            <w:tcW w:type="dxa" w:w="1036"/>
            <w:vAlign w:val="top"/>
          </w:tcPr>
          <w:p>
            <w:pPr>
              <w:spacing w:after="40" w:before="0" w:line="259" w:lineRule="auto"/>
            </w:pPr>
            <w:r>
              <w:rPr>
                <w:rFonts w:ascii="Calibri" w:hAnsi="Calibri"/>
                <w:b w:val="0"/>
                <w:i w:val="0"/>
                <w:color w:val="212121"/>
                <w:sz w:val="16"/>
              </w:rPr>
              <w:t>All patients with a stiff shoulder</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Loss of passive external rotation is the key discriminating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Global active + passive range of motion</w:t>
            </w:r>
          </w:p>
        </w:tc>
        <w:tc>
          <w:tcPr>
            <w:tcW w:type="dxa" w:w="979"/>
            <w:vAlign w:val="top"/>
          </w:tcPr>
          <w:p>
            <w:pPr>
              <w:spacing w:after="40" w:before="0" w:line="259" w:lineRule="auto"/>
            </w:pPr>
            <w:r>
              <w:rPr>
                <w:rFonts w:ascii="Calibri" w:hAnsi="Calibri"/>
                <w:b w:val="0"/>
                <w:i w:val="0"/>
                <w:color w:val="212121"/>
                <w:sz w:val="16"/>
              </w:rPr>
              <w:t>Capsular pattern (ER &gt; abduction &gt; IR)</w:t>
            </w:r>
          </w:p>
        </w:tc>
        <w:tc>
          <w:tcPr>
            <w:tcW w:type="dxa" w:w="950"/>
            <w:vAlign w:val="top"/>
          </w:tcPr>
          <w:p>
            <w:pPr>
              <w:spacing w:after="40" w:before="0" w:line="259" w:lineRule="auto"/>
            </w:pPr>
            <w:r>
              <w:rPr>
                <w:rFonts w:ascii="Calibri" w:hAnsi="Calibri"/>
                <w:b w:val="0"/>
                <w:i w:val="0"/>
                <w:color w:val="212121"/>
                <w:sz w:val="16"/>
              </w:rPr>
              <w:t>Full, pain-free movement</w:t>
            </w:r>
          </w:p>
        </w:tc>
        <w:tc>
          <w:tcPr>
            <w:tcW w:type="dxa" w:w="950"/>
            <w:vAlign w:val="top"/>
          </w:tcPr>
          <w:p>
            <w:pPr>
              <w:spacing w:after="40" w:before="0" w:line="259" w:lineRule="auto"/>
            </w:pPr>
            <w:r>
              <w:rPr>
                <w:rFonts w:ascii="Calibri" w:hAnsi="Calibri"/>
                <w:b w:val="0"/>
                <w:i w:val="0"/>
                <w:color w:val="212121"/>
                <w:sz w:val="16"/>
              </w:rPr>
              <w:t>Equal loss of active and passive motion in a capsular pattern</w:t>
            </w:r>
          </w:p>
        </w:tc>
        <w:tc>
          <w:tcPr>
            <w:tcW w:type="dxa" w:w="1036"/>
            <w:vAlign w:val="top"/>
          </w:tcPr>
          <w:p>
            <w:pPr>
              <w:spacing w:after="40" w:before="0" w:line="259" w:lineRule="auto"/>
            </w:pPr>
            <w:r>
              <w:rPr>
                <w:rFonts w:ascii="Calibri" w:hAnsi="Calibri"/>
                <w:b w:val="0"/>
                <w:i w:val="0"/>
                <w:color w:val="212121"/>
                <w:sz w:val="16"/>
              </w:rPr>
              <w:t>Confirms global glenohumeral capsular restriction</w:t>
            </w:r>
          </w:p>
        </w:tc>
        <w:tc>
          <w:tcPr>
            <w:tcW w:type="dxa" w:w="1036"/>
            <w:vAlign w:val="top"/>
          </w:tcPr>
          <w:p>
            <w:pPr>
              <w:spacing w:after="40" w:before="0" w:line="259" w:lineRule="auto"/>
            </w:pPr>
            <w:r>
              <w:rPr>
                <w:rFonts w:ascii="Calibri" w:hAnsi="Calibri"/>
                <w:b w:val="0"/>
                <w:i w:val="0"/>
                <w:color w:val="212121"/>
                <w:sz w:val="16"/>
              </w:rPr>
              <w:t>Frozen / freezing-phase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Active loss equals passive loss, unlike a cuff tear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Scapulohumeral rhythm</w:t>
            </w:r>
          </w:p>
        </w:tc>
        <w:tc>
          <w:tcPr>
            <w:tcW w:type="dxa" w:w="979"/>
            <w:vAlign w:val="top"/>
          </w:tcPr>
          <w:p>
            <w:pPr>
              <w:spacing w:after="40" w:before="0" w:line="259" w:lineRule="auto"/>
            </w:pPr>
            <w:r>
              <w:rPr>
                <w:rFonts w:ascii="Calibri" w:hAnsi="Calibri"/>
                <w:b w:val="0"/>
                <w:i w:val="0"/>
                <w:color w:val="212121"/>
                <w:sz w:val="16"/>
              </w:rPr>
              <w:t>Scapular substitution / shoulder hitching on abduction</w:t>
            </w:r>
          </w:p>
        </w:tc>
        <w:tc>
          <w:tcPr>
            <w:tcW w:type="dxa" w:w="950"/>
            <w:vAlign w:val="top"/>
          </w:tcPr>
          <w:p>
            <w:pPr>
              <w:spacing w:after="40" w:before="0" w:line="259" w:lineRule="auto"/>
            </w:pPr>
            <w:r>
              <w:rPr>
                <w:rFonts w:ascii="Calibri" w:hAnsi="Calibri"/>
                <w:b w:val="0"/>
                <w:i w:val="0"/>
                <w:color w:val="212121"/>
                <w:sz w:val="16"/>
              </w:rPr>
              <w:t>Smooth, coordinated rhythm</w:t>
            </w:r>
          </w:p>
        </w:tc>
        <w:tc>
          <w:tcPr>
            <w:tcW w:type="dxa" w:w="950"/>
            <w:vAlign w:val="top"/>
          </w:tcPr>
          <w:p>
            <w:pPr>
              <w:spacing w:after="40" w:before="0" w:line="259" w:lineRule="auto"/>
            </w:pPr>
            <w:r>
              <w:rPr>
                <w:rFonts w:ascii="Calibri" w:hAnsi="Calibri"/>
                <w:b w:val="0"/>
                <w:i w:val="0"/>
                <w:color w:val="212121"/>
                <w:sz w:val="16"/>
              </w:rPr>
              <w:t>Early scapular elevation compensating for lost glenohumeral motion</w:t>
            </w:r>
          </w:p>
        </w:tc>
        <w:tc>
          <w:tcPr>
            <w:tcW w:type="dxa" w:w="1036"/>
            <w:vAlign w:val="top"/>
          </w:tcPr>
          <w:p>
            <w:pPr>
              <w:spacing w:after="40" w:before="0" w:line="259" w:lineRule="auto"/>
            </w:pPr>
            <w:r>
              <w:rPr>
                <w:rFonts w:ascii="Calibri" w:hAnsi="Calibri"/>
                <w:b w:val="0"/>
                <w:i w:val="0"/>
                <w:color w:val="212121"/>
                <w:sz w:val="16"/>
              </w:rPr>
              <w:t>Indicates significant glenohumeral restriction</w:t>
            </w:r>
          </w:p>
        </w:tc>
        <w:tc>
          <w:tcPr>
            <w:tcW w:type="dxa" w:w="1036"/>
            <w:vAlign w:val="top"/>
          </w:tcPr>
          <w:p>
            <w:pPr>
              <w:spacing w:after="40" w:before="0" w:line="259" w:lineRule="auto"/>
            </w:pPr>
            <w:r>
              <w:rPr>
                <w:rFonts w:ascii="Calibri" w:hAnsi="Calibri"/>
                <w:b w:val="0"/>
                <w:i w:val="0"/>
                <w:color w:val="212121"/>
                <w:sz w:val="16"/>
              </w:rPr>
              <w:t>Frozen-phase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Observe from behind during abduction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Rotator cuff strength &amp; impingement tests</w:t>
            </w:r>
          </w:p>
        </w:tc>
        <w:tc>
          <w:tcPr>
            <w:tcW w:type="dxa" w:w="979"/>
            <w:vAlign w:val="top"/>
          </w:tcPr>
          <w:p>
            <w:pPr>
              <w:spacing w:after="40" w:before="0" w:line="259" w:lineRule="auto"/>
            </w:pPr>
            <w:r>
              <w:rPr>
                <w:rFonts w:ascii="Calibri" w:hAnsi="Calibri"/>
                <w:b w:val="0"/>
                <w:i w:val="0"/>
                <w:color w:val="212121"/>
                <w:sz w:val="16"/>
              </w:rPr>
              <w:t>Cuff power and provocative tests</w:t>
            </w:r>
          </w:p>
        </w:tc>
        <w:tc>
          <w:tcPr>
            <w:tcW w:type="dxa" w:w="950"/>
            <w:vAlign w:val="top"/>
          </w:tcPr>
          <w:p>
            <w:pPr>
              <w:spacing w:after="40" w:before="0" w:line="259" w:lineRule="auto"/>
            </w:pPr>
            <w:r>
              <w:rPr>
                <w:rFonts w:ascii="Calibri" w:hAnsi="Calibri"/>
                <w:b w:val="0"/>
                <w:i w:val="0"/>
                <w:color w:val="212121"/>
                <w:sz w:val="16"/>
              </w:rPr>
              <w:t>Preserved strength within available range</w:t>
            </w:r>
          </w:p>
        </w:tc>
        <w:tc>
          <w:tcPr>
            <w:tcW w:type="dxa" w:w="950"/>
            <w:vAlign w:val="top"/>
          </w:tcPr>
          <w:p>
            <w:pPr>
              <w:spacing w:after="40" w:before="0" w:line="259" w:lineRule="auto"/>
            </w:pPr>
            <w:r>
              <w:rPr>
                <w:rFonts w:ascii="Calibri" w:hAnsi="Calibri"/>
                <w:b w:val="0"/>
                <w:i w:val="0"/>
                <w:color w:val="212121"/>
                <w:sz w:val="16"/>
              </w:rPr>
              <w:t>Weakness/pain suggesting cuff tear instead</w:t>
            </w:r>
          </w:p>
        </w:tc>
        <w:tc>
          <w:tcPr>
            <w:tcW w:type="dxa" w:w="1036"/>
            <w:vAlign w:val="top"/>
          </w:tcPr>
          <w:p>
            <w:pPr>
              <w:spacing w:after="40" w:before="0" w:line="259" w:lineRule="auto"/>
            </w:pPr>
            <w:r>
              <w:rPr>
                <w:rFonts w:ascii="Calibri" w:hAnsi="Calibri"/>
                <w:b w:val="0"/>
                <w:i w:val="0"/>
                <w:color w:val="212121"/>
                <w:sz w:val="16"/>
              </w:rPr>
              <w:t>Helps exclude rotator cuff pathology as the cause</w:t>
            </w:r>
          </w:p>
        </w:tc>
        <w:tc>
          <w:tcPr>
            <w:tcW w:type="dxa" w:w="1036"/>
            <w:vAlign w:val="top"/>
          </w:tcPr>
          <w:p>
            <w:pPr>
              <w:spacing w:after="40" w:before="0" w:line="259" w:lineRule="auto"/>
            </w:pPr>
            <w:r>
              <w:rPr>
                <w:rFonts w:ascii="Calibri" w:hAnsi="Calibri"/>
                <w:b w:val="0"/>
                <w:i w:val="0"/>
                <w:color w:val="212121"/>
                <w:sz w:val="16"/>
              </w:rPr>
              <w:t>Differential-diagnosis workup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Cuff strength is usually preserved in pure AC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Distal neurovascular examination</w:t>
            </w:r>
          </w:p>
        </w:tc>
        <w:tc>
          <w:tcPr>
            <w:tcW w:type="dxa" w:w="979"/>
            <w:vAlign w:val="top"/>
          </w:tcPr>
          <w:p>
            <w:pPr>
              <w:spacing w:after="40" w:before="0" w:line="259" w:lineRule="auto"/>
            </w:pPr>
            <w:r>
              <w:rPr>
                <w:rFonts w:ascii="Calibri" w:hAnsi="Calibri"/>
                <w:b w:val="0"/>
                <w:i w:val="0"/>
                <w:color w:val="212121"/>
                <w:sz w:val="16"/>
              </w:rPr>
              <w:t>Sensation, power, pulses of the limb</w:t>
            </w:r>
          </w:p>
        </w:tc>
        <w:tc>
          <w:tcPr>
            <w:tcW w:type="dxa" w:w="950"/>
            <w:vAlign w:val="top"/>
          </w:tcPr>
          <w:p>
            <w:pPr>
              <w:spacing w:after="40" w:before="0" w:line="259" w:lineRule="auto"/>
            </w:pPr>
            <w:r>
              <w:rPr>
                <w:rFonts w:ascii="Calibri" w:hAnsi="Calibri"/>
                <w:b w:val="0"/>
                <w:i w:val="0"/>
                <w:color w:val="212121"/>
                <w:sz w:val="16"/>
              </w:rPr>
              <w:t>Intact throughout</w:t>
            </w:r>
          </w:p>
        </w:tc>
        <w:tc>
          <w:tcPr>
            <w:tcW w:type="dxa" w:w="950"/>
            <w:vAlign w:val="top"/>
          </w:tcPr>
          <w:p>
            <w:pPr>
              <w:spacing w:after="40" w:before="0" w:line="259" w:lineRule="auto"/>
            </w:pPr>
            <w:r>
              <w:rPr>
                <w:rFonts w:ascii="Calibri" w:hAnsi="Calibri"/>
                <w:b w:val="0"/>
                <w:i w:val="0"/>
                <w:color w:val="212121"/>
                <w:sz w:val="16"/>
              </w:rPr>
              <w:t>Any deficit points to an alternative diagnosis</w:t>
            </w:r>
          </w:p>
        </w:tc>
        <w:tc>
          <w:tcPr>
            <w:tcW w:type="dxa" w:w="1036"/>
            <w:vAlign w:val="top"/>
          </w:tcPr>
          <w:p>
            <w:pPr>
              <w:spacing w:after="40" w:before="0" w:line="259" w:lineRule="auto"/>
            </w:pPr>
            <w:r>
              <w:rPr>
                <w:rFonts w:ascii="Calibri" w:hAnsi="Calibri"/>
                <w:b w:val="0"/>
                <w:i w:val="0"/>
                <w:color w:val="212121"/>
                <w:sz w:val="16"/>
              </w:rPr>
              <w:t>Excludes cervical radiculopathy, neuropathy or vascular cause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w:t>
            </w:r>
          </w:p>
        </w:tc>
        <w:tc>
          <w:tcPr>
            <w:tcW w:type="dxa" w:w="720"/>
            <w:vAlign w:val="top"/>
          </w:tcPr>
          <w:p>
            <w:pPr>
              <w:spacing w:after="40" w:before="0" w:line="259" w:lineRule="auto"/>
            </w:pPr>
            <w:r>
              <w:rPr>
                <w:rFonts w:ascii="Calibri" w:hAnsi="Calibri"/>
                <w:b w:val="0"/>
                <w:i w:val="0"/>
                <w:color w:val="212121"/>
                <w:sz w:val="16"/>
              </w:rPr>
              <w:t>Neurovascular exam is normal in adhesive capsulitis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Deep, aching shoulder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Insidious, diffuse pain over the outer shoulder/upper arm, worse with movement; dominant in the freezing phase.</w:t>
            </w:r>
          </w:p>
        </w:tc>
      </w:tr>
      <w:tr>
        <w:trPr>
          <w:cantSplit/>
        </w:trPr>
        <w:tc>
          <w:tcPr>
            <w:tcW w:type="dxa" w:w="2304"/>
            <w:vAlign w:val="top"/>
          </w:tcPr>
          <w:p>
            <w:pPr>
              <w:spacing w:after="40" w:before="0" w:line="259" w:lineRule="auto"/>
            </w:pPr>
            <w:r>
              <w:rPr>
                <w:rFonts w:ascii="Calibri" w:hAnsi="Calibri"/>
                <w:b/>
                <w:i w:val="0"/>
                <w:color w:val="212121"/>
                <w:sz w:val="19"/>
              </w:rPr>
              <w:t>Night pain / inability to lie on the affected side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disabling night pain that disrupts sleep, especially early in the disease.</w:t>
            </w:r>
          </w:p>
        </w:tc>
      </w:tr>
      <w:tr>
        <w:trPr>
          <w:cantSplit/>
        </w:trPr>
        <w:tc>
          <w:tcPr>
            <w:tcW w:type="dxa" w:w="2304"/>
            <w:vAlign w:val="top"/>
          </w:tcPr>
          <w:p>
            <w:pPr>
              <w:spacing w:after="40" w:before="0" w:line="259" w:lineRule="auto"/>
            </w:pPr>
            <w:r>
              <w:rPr>
                <w:rFonts w:ascii="Calibri" w:hAnsi="Calibri"/>
                <w:b/>
                <w:i w:val="0"/>
                <w:color w:val="212121"/>
                <w:sz w:val="19"/>
              </w:rPr>
              <w:t>Progressive shoulder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Global loss of movement that dominates the frozen phase as pain begins to settle.</w:t>
            </w:r>
          </w:p>
        </w:tc>
      </w:tr>
      <w:tr>
        <w:trPr>
          <w:cantSplit/>
        </w:trPr>
        <w:tc>
          <w:tcPr>
            <w:tcW w:type="dxa" w:w="2304"/>
            <w:vAlign w:val="top"/>
          </w:tcPr>
          <w:p>
            <w:pPr>
              <w:spacing w:after="40" w:before="0" w:line="259" w:lineRule="auto"/>
            </w:pPr>
            <w:r>
              <w:rPr>
                <w:rFonts w:ascii="Calibri" w:hAnsi="Calibri"/>
                <w:b/>
                <w:i w:val="0"/>
                <w:color w:val="212121"/>
                <w:sz w:val="19"/>
              </w:rPr>
              <w:t>Difficulty with overhead and behind-the-back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combing hair, reaching a back pocket, fastening a bra/blouse or dressing.</w:t>
            </w:r>
          </w:p>
        </w:tc>
      </w:tr>
      <w:tr>
        <w:trPr>
          <w:cantSplit/>
        </w:trPr>
        <w:tc>
          <w:tcPr>
            <w:tcW w:type="dxa" w:w="2304"/>
            <w:vAlign w:val="top"/>
          </w:tcPr>
          <w:p>
            <w:pPr>
              <w:spacing w:after="40" w:before="0" w:line="259" w:lineRule="auto"/>
            </w:pPr>
            <w:r>
              <w:rPr>
                <w:rFonts w:ascii="Calibri" w:hAnsi="Calibri"/>
                <w:b/>
                <w:i w:val="0"/>
                <w:color w:val="212121"/>
                <w:sz w:val="19"/>
              </w:rPr>
              <w:t>Sharp catching pain on sudden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jarring of the arm provokes acute pain due to the tight, inflamed capsule.</w:t>
            </w:r>
          </w:p>
        </w:tc>
      </w:tr>
      <w:tr>
        <w:trPr>
          <w:cantSplit/>
        </w:trPr>
        <w:tc>
          <w:tcPr>
            <w:tcW w:type="dxa" w:w="2304"/>
            <w:vAlign w:val="top"/>
          </w:tcPr>
          <w:p>
            <w:pPr>
              <w:spacing w:after="40" w:before="0" w:line="259" w:lineRule="auto"/>
            </w:pPr>
            <w:r>
              <w:rPr>
                <w:rFonts w:ascii="Calibri" w:hAnsi="Calibri"/>
                <w:b/>
                <w:i w:val="0"/>
                <w:color w:val="212121"/>
                <w:sz w:val="19"/>
              </w:rPr>
              <w:t>Guarding with reduced arm swing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arm is held adducted and internally rotated, with reduced swing while walking.</w:t>
            </w:r>
          </w:p>
        </w:tc>
      </w:tr>
      <w:tr>
        <w:trPr>
          <w:cantSplit/>
        </w:trPr>
        <w:tc>
          <w:tcPr>
            <w:tcW w:type="dxa" w:w="2304"/>
            <w:vAlign w:val="top"/>
          </w:tcPr>
          <w:p>
            <w:pPr>
              <w:spacing w:after="40" w:before="0" w:line="259" w:lineRule="auto"/>
            </w:pPr>
            <w:r>
              <w:rPr>
                <w:rFonts w:ascii="Calibri" w:hAnsi="Calibri"/>
                <w:b/>
                <w:i w:val="0"/>
                <w:color w:val="212121"/>
                <w:sz w:val="19"/>
              </w:rPr>
              <w:t>Functional disability affecting work and daily activities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driving, lifting, carrying and performing occupational tasks.</w:t>
            </w:r>
          </w:p>
        </w:tc>
      </w:tr>
      <w:tr>
        <w:trPr>
          <w:cantSplit/>
        </w:trPr>
        <w:tc>
          <w:tcPr>
            <w:tcW w:type="dxa" w:w="2304"/>
            <w:vAlign w:val="top"/>
          </w:tcPr>
          <w:p>
            <w:pPr>
              <w:spacing w:after="40" w:before="0" w:line="259" w:lineRule="auto"/>
            </w:pPr>
            <w:r>
              <w:rPr>
                <w:rFonts w:ascii="Calibri" w:hAnsi="Calibri"/>
                <w:b/>
                <w:i w:val="0"/>
                <w:color w:val="212121"/>
                <w:sz w:val="19"/>
              </w:rPr>
              <w:t>Referred pain into the upper arm/deltoid region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may radiate down the arm to the deltoid insertion but not below the elbow.</w:t>
            </w:r>
          </w:p>
        </w:tc>
      </w:tr>
      <w:tr>
        <w:trPr>
          <w:cantSplit/>
        </w:trPr>
        <w:tc>
          <w:tcPr>
            <w:tcW w:type="dxa" w:w="2304"/>
            <w:vAlign w:val="top"/>
          </w:tcPr>
          <w:p>
            <w:pPr>
              <w:spacing w:after="40" w:before="0" w:line="259" w:lineRule="auto"/>
            </w:pPr>
            <w:r>
              <w:rPr>
                <w:rFonts w:ascii="Calibri" w:hAnsi="Calibri"/>
                <w:b/>
                <w:i w:val="0"/>
                <w:color w:val="212121"/>
                <w:sz w:val="19"/>
              </w:rPr>
              <w:t>Gradual easing of pain with persistent stiffness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Marks the transition from the freezing to the frozen phase.</w:t>
            </w:r>
          </w:p>
        </w:tc>
      </w:tr>
      <w:tr>
        <w:trPr>
          <w:cantSplit/>
        </w:trPr>
        <w:tc>
          <w:tcPr>
            <w:tcW w:type="dxa" w:w="2304"/>
            <w:vAlign w:val="top"/>
          </w:tcPr>
          <w:p>
            <w:pPr>
              <w:spacing w:after="40" w:before="0" w:line="259" w:lineRule="auto"/>
            </w:pPr>
            <w:r>
              <w:rPr>
                <w:rFonts w:ascii="Calibri" w:hAnsi="Calibri"/>
                <w:b/>
                <w:i w:val="0"/>
                <w:color w:val="212121"/>
                <w:sz w:val="19"/>
              </w:rPr>
              <w:t>Aching of neck and periscapular muscles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Compensatory overuse of scapular and cervical muscles causes secondary aching.</w:t>
            </w:r>
          </w:p>
        </w:tc>
      </w:tr>
      <w:tr>
        <w:trPr>
          <w:cantSplit/>
        </w:trPr>
        <w:tc>
          <w:tcPr>
            <w:tcW w:type="dxa" w:w="2304"/>
            <w:vAlign w:val="top"/>
          </w:tcPr>
          <w:p>
            <w:pPr>
              <w:spacing w:after="40" w:before="0" w:line="259" w:lineRule="auto"/>
            </w:pPr>
            <w:r>
              <w:rPr>
                <w:rFonts w:ascii="Calibri" w:hAnsi="Calibri"/>
                <w:b/>
                <w:i w:val="0"/>
                <w:color w:val="212121"/>
                <w:sz w:val="19"/>
              </w:rPr>
              <w:t>Bilateral or sequential shoulder involvement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Both shoulders may be affected (about 14%), more often in diabetics.</w:t>
            </w:r>
          </w:p>
        </w:tc>
      </w:tr>
      <w:tr>
        <w:trPr>
          <w:cantSplit/>
        </w:trPr>
        <w:tc>
          <w:tcPr>
            <w:tcW w:type="dxa" w:w="2304"/>
            <w:vAlign w:val="top"/>
          </w:tcPr>
          <w:p>
            <w:pPr>
              <w:spacing w:after="40" w:before="0" w:line="259" w:lineRule="auto"/>
            </w:pPr>
            <w:r>
              <w:rPr>
                <w:rFonts w:ascii="Calibri" w:hAnsi="Calibri"/>
                <w:b/>
                <w:i w:val="0"/>
                <w:color w:val="212121"/>
                <w:sz w:val="19"/>
              </w:rPr>
              <w:t>Arm heaviness or diffuse tingling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Usually reflects guarding and disuse rather than true neurological compression.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Loss of passive external rotation (arm at side)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sign; external rotation is the earliest and most severely restricted movement.</w:t>
            </w:r>
          </w:p>
        </w:tc>
      </w:tr>
      <w:tr>
        <w:trPr>
          <w:cantSplit/>
        </w:trPr>
        <w:tc>
          <w:tcPr>
            <w:tcW w:type="dxa" w:w="3456"/>
            <w:vAlign w:val="top"/>
          </w:tcPr>
          <w:p>
            <w:pPr>
              <w:spacing w:after="40" w:before="0" w:line="259" w:lineRule="auto"/>
            </w:pPr>
            <w:r>
              <w:rPr>
                <w:rFonts w:ascii="Calibri" w:hAnsi="Calibri"/>
                <w:b/>
                <w:i w:val="0"/>
                <w:color w:val="212121"/>
                <w:sz w:val="19"/>
              </w:rPr>
              <w:t>Capsular pattern of restriction (ER &gt; abduction &gt; IR)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Global glenohumeral limitation in the classic capsular pattern.</w:t>
            </w:r>
          </w:p>
        </w:tc>
      </w:tr>
      <w:tr>
        <w:trPr>
          <w:cantSplit/>
        </w:trPr>
        <w:tc>
          <w:tcPr>
            <w:tcW w:type="dxa" w:w="3456"/>
            <w:vAlign w:val="top"/>
          </w:tcPr>
          <w:p>
            <w:pPr>
              <w:spacing w:after="40" w:before="0" w:line="259" w:lineRule="auto"/>
            </w:pPr>
            <w:r>
              <w:rPr>
                <w:rFonts w:ascii="Calibri" w:hAnsi="Calibri"/>
                <w:b/>
                <w:i w:val="0"/>
                <w:color w:val="212121"/>
                <w:sz w:val="19"/>
              </w:rPr>
              <w:t>Equal loss of active and passive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Distinguishes frozen shoulder from rotator cuff tear, where active loss exceeds passive.</w:t>
            </w:r>
          </w:p>
        </w:tc>
      </w:tr>
      <w:tr>
        <w:trPr>
          <w:cantSplit/>
        </w:trPr>
        <w:tc>
          <w:tcPr>
            <w:tcW w:type="dxa" w:w="3456"/>
            <w:vAlign w:val="top"/>
          </w:tcPr>
          <w:p>
            <w:pPr>
              <w:spacing w:after="40" w:before="0" w:line="259" w:lineRule="auto"/>
            </w:pPr>
            <w:r>
              <w:rPr>
                <w:rFonts w:ascii="Calibri" w:hAnsi="Calibri"/>
                <w:b/>
                <w:i w:val="0"/>
                <w:color w:val="212121"/>
                <w:sz w:val="19"/>
              </w:rPr>
              <w:t>Scapulothoracic substitution (shoulder hitching)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early scapular elevation on attempted abduction.</w:t>
            </w:r>
          </w:p>
        </w:tc>
      </w:tr>
      <w:tr>
        <w:trPr>
          <w:cantSplit/>
        </w:trPr>
        <w:tc>
          <w:tcPr>
            <w:tcW w:type="dxa" w:w="3456"/>
            <w:vAlign w:val="top"/>
          </w:tcPr>
          <w:p>
            <w:pPr>
              <w:spacing w:after="40" w:before="0" w:line="259" w:lineRule="auto"/>
            </w:pPr>
            <w:r>
              <w:rPr>
                <w:rFonts w:ascii="Calibri" w:hAnsi="Calibri"/>
                <w:b/>
                <w:i w:val="0"/>
                <w:color w:val="212121"/>
                <w:sz w:val="19"/>
              </w:rPr>
              <w:t>Diffuse anterior and lateral shoulder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Generalised tenderness, often maximal near the coracoid and rotator interval.</w:t>
            </w:r>
          </w:p>
        </w:tc>
      </w:tr>
      <w:tr>
        <w:trPr>
          <w:cantSplit/>
        </w:trPr>
        <w:tc>
          <w:tcPr>
            <w:tcW w:type="dxa" w:w="3456"/>
            <w:vAlign w:val="top"/>
          </w:tcPr>
          <w:p>
            <w:pPr>
              <w:spacing w:after="40" w:before="0" w:line="259" w:lineRule="auto"/>
            </w:pPr>
            <w:r>
              <w:rPr>
                <w:rFonts w:ascii="Calibri" w:hAnsi="Calibri"/>
                <w:b/>
                <w:i w:val="0"/>
                <w:color w:val="212121"/>
                <w:sz w:val="19"/>
              </w:rPr>
              <w:t>Preserved rotator cuff strength within available range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Cuff power is usually maintained, helping to exclude a cuff tear.</w:t>
            </w:r>
          </w:p>
        </w:tc>
      </w:tr>
      <w:tr>
        <w:trPr>
          <w:cantSplit/>
        </w:trPr>
        <w:tc>
          <w:tcPr>
            <w:tcW w:type="dxa" w:w="3456"/>
            <w:vAlign w:val="top"/>
          </w:tcPr>
          <w:p>
            <w:pPr>
              <w:spacing w:after="40" w:before="0" w:line="259" w:lineRule="auto"/>
            </w:pPr>
            <w:r>
              <w:rPr>
                <w:rFonts w:ascii="Calibri" w:hAnsi="Calibri"/>
                <w:b/>
                <w:i w:val="0"/>
                <w:color w:val="212121"/>
                <w:sz w:val="19"/>
              </w:rPr>
              <w:t>Intact distal neurovascular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sensation, power and pulses distally; no neurological deficit.</w:t>
            </w:r>
          </w:p>
        </w:tc>
      </w:tr>
      <w:tr>
        <w:trPr>
          <w:cantSplit/>
        </w:trPr>
        <w:tc>
          <w:tcPr>
            <w:tcW w:type="dxa" w:w="3456"/>
            <w:vAlign w:val="top"/>
          </w:tcPr>
          <w:p>
            <w:pPr>
              <w:spacing w:after="40" w:before="0" w:line="259" w:lineRule="auto"/>
            </w:pPr>
            <w:r>
              <w:rPr>
                <w:rFonts w:ascii="Calibri" w:hAnsi="Calibri"/>
                <w:b/>
                <w:i w:val="0"/>
                <w:color w:val="212121"/>
                <w:sz w:val="19"/>
              </w:rPr>
              <w:t>Positive coracoid pain /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Marked tenderness over the coracoid process supports adhesive capsulitis.</w:t>
            </w:r>
          </w:p>
        </w:tc>
      </w:tr>
      <w:tr>
        <w:trPr>
          <w:cantSplit/>
        </w:trPr>
        <w:tc>
          <w:tcPr>
            <w:tcW w:type="dxa" w:w="3456"/>
            <w:vAlign w:val="top"/>
          </w:tcPr>
          <w:p>
            <w:pPr>
              <w:spacing w:after="40" w:before="0" w:line="259" w:lineRule="auto"/>
            </w:pPr>
            <w:r>
              <w:rPr>
                <w:rFonts w:ascii="Calibri" w:hAnsi="Calibri"/>
                <w:b/>
                <w:i w:val="0"/>
                <w:color w:val="212121"/>
                <w:sz w:val="19"/>
              </w:rPr>
              <w:t>Deltoid and periscapular muscle wasting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Visible disuse atrophy in longstanding or refractory cases.</w:t>
            </w:r>
          </w:p>
        </w:tc>
      </w:tr>
      <w:tr>
        <w:trPr>
          <w:cantSplit/>
        </w:trPr>
        <w:tc>
          <w:tcPr>
            <w:tcW w:type="dxa" w:w="3456"/>
            <w:vAlign w:val="top"/>
          </w:tcPr>
          <w:p>
            <w:pPr>
              <w:spacing w:after="40" w:before="0" w:line="259" w:lineRule="auto"/>
            </w:pPr>
            <w:r>
              <w:rPr>
                <w:rFonts w:ascii="Calibri" w:hAnsi="Calibri"/>
                <w:b/>
                <w:i w:val="0"/>
                <w:color w:val="212121"/>
                <w:sz w:val="19"/>
              </w:rPr>
              <w:t>Normal plain radiographs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bony, joint-space or calcific abnormality on X-ray; imaging serves to exclude other causes.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diffuse shoulder pain, characteristically worse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global loss of glenohumeral range of motion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persistent night pain</w:t>
            </w:r>
          </w:p>
        </w:tc>
        <w:tc>
          <w:tcPr>
            <w:tcW w:type="dxa" w:w="2980"/>
            <w:vAlign w:val="top"/>
          </w:tcPr>
          <w:p>
            <w:pPr>
              <w:spacing w:after="40" w:before="0" w:line="259" w:lineRule="auto"/>
            </w:pPr>
            <w:r>
              <w:rPr>
                <w:rFonts w:ascii="Calibri" w:hAnsi="Calibri"/>
                <w:b w:val="0"/>
                <w:i w:val="0"/>
                <w:color w:val="212121"/>
                <w:sz w:val="19"/>
              </w:rPr>
              <w:t>Direct consequences of capsular inflammation, fibrosis and contracture.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Disuse atrophy of deltoid, rotator cuff and periscapular muscles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Compensatory scapulothoracic and cervical overload causing neck and upper-back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Bilateral or contralateral shoulder involvement (bilateral in ~14%; contralateral in up to ~17% within five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disability affecting dressing, grooming, driving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low mood from prolonged pain and dependence</w:t>
            </w:r>
          </w:p>
        </w:tc>
        <w:tc>
          <w:tcPr>
            <w:tcW w:type="dxa" w:w="2980"/>
            <w:vAlign w:val="top"/>
          </w:tcPr>
          <w:p>
            <w:pPr>
              <w:spacing w:after="40" w:before="0" w:line="259" w:lineRule="auto"/>
            </w:pPr>
            <w:r>
              <w:rPr>
                <w:rFonts w:ascii="Calibri" w:hAnsi="Calibri"/>
                <w:b w:val="0"/>
                <w:i w:val="0"/>
                <w:color w:val="212121"/>
                <w:sz w:val="19"/>
              </w:rPr>
              <w:t>Arise from sustained pain, stiffness and altered shoulder-girdle biomechanics.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residual stiffness or pain (10–20% retain a long-term deficit)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functional and occupational limitation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Procedure-related injury: post-injection infection, or humeral fracture, rotator cuff or labral tear during manipulation under anaesthesia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with long-term loss of independence in refractory cases</w:t>
            </w:r>
          </w:p>
        </w:tc>
        <w:tc>
          <w:tcPr>
            <w:tcW w:type="dxa" w:w="2980"/>
            <w:vAlign w:val="top"/>
          </w:tcPr>
          <w:p>
            <w:pPr>
              <w:spacing w:after="40" w:before="0" w:line="259" w:lineRule="auto"/>
            </w:pPr>
            <w:r>
              <w:rPr>
                <w:rFonts w:ascii="Calibri" w:hAnsi="Calibri"/>
                <w:b w:val="0"/>
                <w:i w:val="0"/>
                <w:color w:val="212121"/>
                <w:sz w:val="19"/>
              </w:rPr>
              <w:t>Irreversible or treatment-related sequelae in refractory or poorly managed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Present in about 30% of frozen-shoulder patients; hyperglycaemia-driven AGE cross-linking causes capsular fibrosis, and the disease is often bilateral, more severe and refractory.</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Thyroid disorders (esp. hypothyroidism)</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Over-represented in frozen shoulder; hypothyroidism affects ~27% of patients versus ~11% of controls, and thyropathy raises risk ~2.7-fold.</w:t>
            </w:r>
          </w:p>
          <w:p>
            <w:pPr>
              <w:spacing w:after="40" w:before="0" w:line="259" w:lineRule="auto"/>
            </w:pPr>
            <w:r>
              <w:rPr>
                <w:rFonts w:ascii="Calibri" w:hAnsi="Calibri"/>
                <w:b/>
                <w:i w:val="0"/>
                <w:color w:val="212121"/>
                <w:sz w:val="19"/>
              </w:rPr>
              <w:t>~27%</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and significantly associated with restricted shoulder abduction; correction may aid recovery.</w:t>
            </w:r>
          </w:p>
        </w:tc>
      </w:tr>
      <w:tr>
        <w:trPr>
          <w:cantSplit/>
        </w:trPr>
        <w:tc>
          <w:tcPr>
            <w:tcW w:type="dxa" w:w="2232"/>
            <w:vAlign w:val="top"/>
          </w:tcPr>
          <w:p>
            <w:pPr>
              <w:spacing w:after="40" w:before="0" w:line="259" w:lineRule="auto"/>
            </w:pPr>
            <w:r>
              <w:rPr>
                <w:rFonts w:ascii="Calibri" w:hAnsi="Calibri"/>
                <w:b/>
                <w:i w:val="0"/>
                <w:color w:val="212121"/>
                <w:sz w:val="19"/>
              </w:rPr>
              <w:t>Dupuytren's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a myofibroblast-driven fibroproliferative pathology; frozen shoulder is more frequent in Dupuytren's patients.</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 metabolic-syndrome component associated with a higher risk of adhesive capsulitis.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Linked to frozen shoulder through insulin-resistant, pro-inflammatory pathways shared with diabetes.</w:t>
            </w:r>
          </w:p>
        </w:tc>
      </w:tr>
      <w:tr>
        <w:trPr>
          <w:cantSplit/>
        </w:trPr>
        <w:tc>
          <w:tcPr>
            <w:tcW w:type="dxa" w:w="2232"/>
            <w:vAlign w:val="top"/>
          </w:tcPr>
          <w:p>
            <w:pPr>
              <w:spacing w:after="40" w:before="0" w:line="259" w:lineRule="auto"/>
            </w:pPr>
            <w:r>
              <w:rPr>
                <w:rFonts w:ascii="Calibri" w:hAnsi="Calibri"/>
                <w:b/>
                <w:i w:val="0"/>
                <w:color w:val="212121"/>
                <w:sz w:val="19"/>
              </w:rPr>
              <w:t>Cardiovascular disease / stroke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Immobility and autonomic change after myocardial infarction or stroke precipitate secondary adhesive capsulitis.</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Bidirectionally linked with chronic shoulder pain, disability and impaired rehabilitation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frozen shoulder is usually self-limiting but can take one to three years; early diagnosis and gentle mobilisation shorten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any shoulder injury, stroke or surgery, avoid prolonged immobilisation and begin gentle movement within pain limits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increasing shoulder pain (especially at night) with progressive stiffness and inability to reach overhead or behind the back — and seek early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diabetes or thyroid disease, be aware of the higher risk and report shoulder stiffness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force painful end-range stretching during the acute freezing phase, as it can aggravate inflammation.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40–60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thyroid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Post-surgery / post-stroke / immobilised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metabolic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daily gentle pendulum, passive and active-assisted range-of-motion exercises within a pain-tolerable range to maintain and restore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moist heat before stretching and progress to capsular stretches (cross-body adduction, external rotation at a doorframe, wall walks) as pain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supervised physiotherapy; combining it with an intra-articular corticosteroid injection gives greater short-term pain and function improvement than exercise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Match exercise intensity to the stage — gentle in the painful freezing phase, more assertive stretching in the frozen and thawing phases.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shoulder-girdle and postural strengthening once pain has settled to restore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frozen shoulder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Freezing- and frozen-phase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adhesive capsulitis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Post-immobilisation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shoulder trauma, stroke or surgery, follow early guided mobilisation rather than prolonged sling use to prevent secondary capsulitis.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shoulder generally active with daily full-range movements; avoid long periods of a completely rested, immobile 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posture and take regular shoulder-movement breaks during sedentary or desk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Post-surgery and post-stroke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Immobilised or bed-bound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and desk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(target HbA1c &lt; 7%) through a low-glycaemic, fibre-rich diet to limit AGE-mediated capsular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with whole grains and millets (ragi, jowar, bajra), pulses and vegetables; limit refined grains (polished rice, maida) and sugar-sweetened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calcium through sun exposure, fortified foods and supplementation when deficient, as low vitamin D is linked to restricted shoulder motion.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weight and blood lipids to reduce the metabolic risk associated with frozen shoulder.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the affected arm on a pillow and sleep semi-reclined or on the unaffected side to reduce night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prescribed analgesia to cover the night and apply heat before bed during the painful freezing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 disruption actively, since poor sleep amplifies pain and slows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Freezing-phase patients with night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disturbed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as it impairs microvascular perfusion and collagen healing and is associated with adhesive capsulitis and poorer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nicotine-replacement therapy), particularly before any planned shoulder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worsens glycaemic and metabolic control associated with frozen shoulder.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that impairs sleep and adherence to a prolonged rehabilitation programme.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low mood related to chronic pain and disability through reassurance and education about the generally favourable natural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pain-coping strategies, activity pacing and graded goal-setting to sustain adherence to the long rehabilitation programme.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referral for cognitive behavioural approaches or psychological support in persistent pain and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or refractory frozen shoulder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afp.org/pubs/afp/issues/2019/0301/p297.html" TargetMode="External"/><Relationship Id="rId10" Type="http://schemas.openxmlformats.org/officeDocument/2006/relationships/hyperlink" Target="https://www.ncbi.nlm.nih.gov/books/NBK532955/" TargetMode="External"/><Relationship Id="rId11" Type="http://schemas.openxmlformats.org/officeDocument/2006/relationships/hyperlink" Target="https://doaj.org/article/e62173207a1a41ba824304ea821d94c8" TargetMode="External"/><Relationship Id="rId12" Type="http://schemas.openxmlformats.org/officeDocument/2006/relationships/hyperlink" Target="https://saudijournals.com/media/articles/JASPE_88_168-174_FTc.pdf" TargetMode="External"/><Relationship Id="rId13" Type="http://schemas.openxmlformats.org/officeDocument/2006/relationships/hyperlink" Target="https://www.emjreviews.com/diabetes/news/diabetes-shoulder-near-fourfold-higher-risk-of-adhesive-capsulitis/" TargetMode="External"/><Relationship Id="rId14" Type="http://schemas.openxmlformats.org/officeDocument/2006/relationships/hyperlink" Target="https://pmc.ncbi.nlm.nih.gov/articles/PMC11477401/" TargetMode="External"/><Relationship Id="rId15" Type="http://schemas.openxmlformats.org/officeDocument/2006/relationships/hyperlink" Target="https://pubmed.ncbi.nlm.nih.gov/27331029/" TargetMode="External"/><Relationship Id="rId16" Type="http://schemas.openxmlformats.org/officeDocument/2006/relationships/hyperlink" Target="https://pubmed.ncbi.nlm.nih.gov/329047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