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Myositis (inflammatory)</w:t>
      </w:r>
    </w:p>
    <w:p>
      <w:pPr>
        <w:spacing w:before="0" w:after="160"/>
      </w:pPr>
      <w:r>
        <w:rPr>
          <w:rFonts w:ascii="Calibri" w:hAnsi="Calibri"/>
          <w:b/>
          <w:i w:val="0"/>
          <w:color w:val="212121"/>
          <w:sz w:val="22"/>
        </w:rPr>
        <w:t xml:space="preserve">AKA </w:t>
      </w:r>
      <w:r>
        <w:rPr>
          <w:rFonts w:ascii="Calibri" w:hAnsi="Calibri"/>
          <w:b w:val="0"/>
          <w:i w:val="0"/>
          <w:color w:val="212121"/>
          <w:sz w:val="22"/>
        </w:rPr>
        <w:t>i.e., Idiopathic inflammatory myopathies (IIM), Inflammatory myopathy, Autoimmune muscle disease; the group includes Dermatomyositis (DM), Polymyositis (PM), Inclusion body myositis (IBM), Immune-mediated necrotizing myopathy (IMNM) and the Antisynthetase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Inflammatory (idiopathic inflammatory) myopathies are a heterogeneous group of acquired, immune-mediated diseases of skeletal muscle characterised by chronic muscle inflammation that produces symmetric, predominantly proximal muscle weakness, raised muscle enzymes and — in several subtypes — characteristic skin, lung, joint and systemic involvement. The principal subtypes are dermatomyositis, polymyositis, immune-mediated necrotizing myopathy, the antisynthetase syndrome and inclusion body myositis, distinguished by their clinical pattern, myositis-specific autoantibodies and muscle-biopsy appearance. Most forms are autoimmune and respond to immunosuppression, whereas inclusion body myositis is a largely degenerative, treatment-resistant disease of older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idiopathic inflammatory myopathies are rare: reported prevalence is of the order of 5–22 per 100,000 people and annual incidence roughly 1–19 per million, with dermatomyositis alone estimated at about 9.6 cases per million per year. Robust population-based prevalence figures from India are lacking, and most Indian evidence comes from tertiary-care rheumatology and neurology cohorts — in which dermatomyositis is generally the commonest subtype, anti-MDA5-associated disease with rapidly progressive interstitial lung disease is increasingly recognised, and juvenile dermatomyositis is a relatively frequent childhood inflammatory myopathy. Late diagnosis is common in India because early proximal weakness is easily mistaken for general fatigue, thyroid disease or age-related deconditioning.</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Inflammatory myositis is diagnosed by combining the clinical pattern of weakness and skin/systemic features with muscle enzymes, electromyography, muscle imaging, myositis-specific autoantibodies and, in most cases, a muscle biopsy; the 2017 EULAR/ACR classification criteria standardise diagnosis, while the older Bohan and Peter criteria remain widely used clinically: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2017 EULAR/ACR classification criteria: a weighted probability score combining age at onset, the pattern of muscle weakness, characteristic skin features (heliotrope rash, Gottron papules/sign), dysphagia, serum enzyme elevation (CK, LDH, AST, ALT), anti-Jo-1 antibody and muscle-biopsy findings; the criteria achieve roughly 87–93% sensitivity and 82–88% specificity (higher with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Symmetric, predominantly proximal muscle weakness (shoulder/pelvic girdle) — a core Bohan and Peter criterion; inclusion body myositis is the exception, with asymmetric finger-flexor and quadriceps weakness.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Elevation of serum muscle enzymes — creatine kinase (CK/CPK) is the principal marker and broadly tracks muscle inflammation; aldolase, AST, ALT and LDH are also raised.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Electromyography (EMG) showing a myopathic pattern with small, short, polyphasic units, fibrillations and positive sharp waves.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Muscle biopsy — perifascicular atrophy with perivascular inflammation (dermatomyositis), endomysial CD8+ T-cell invasion of non-necrotic fibres (polymyositis, inclusion body myositis), rimmed vacuoles (inclusion body myositis) or scattered myofibre necrosis with sparse inflammation (necrotizing myopathy).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cutaneous features of dermatomyositis — heliotrope rash of the eyelids and Gottron papules over the knuckles/extensors (may be harder to see on brown or Black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Myositis-specific and myositis-associated autoantibodies — anti-Jo-1 and other anti-synthetases, anti-Mi-2, anti-MDA5, anti-SRP, anti-HMGCR, anti-TIF1-γ and anti-NXP2 — which define subtypes and predict lung disease, malignancy and prognosis.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Muscle MRI (STIR/T2) showing muscle oedema to detect subclinical inflammation, guide the biopsy site and distinguish active inflammation from chronic fatty/atrophic change.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Inflammatory myositis spans several clinicopathological subtypes, increasingly defined by myositis-specific autoantibodies as much as by biopsy; the main categories are:</w:t>
      </w:r>
    </w:p>
    <w:p>
      <w:pPr>
        <w:spacing w:before="0" w:after="80"/>
      </w:pPr>
      <w:r>
        <w:rPr>
          <w:rFonts w:ascii="Calibri" w:hAnsi="Calibri"/>
          <w:b w:val="0"/>
          <w:i w:val="0"/>
          <w:color w:val="212121"/>
          <w:sz w:val="21"/>
        </w:rPr>
        <w:t>(1) Dermatomyositis (DM) — muscle inflammation with characteristic skin disease (heliotrope rash, Gottron papules), perifascicular atrophy and a type-I-interferon signature; autoantibody subsets include anti-Mi-2 (classic rash, steroid-responsive), anti-TIF1-γ and anti-NXP2 (malignancy-associated in adults) and anti-MDA5 (often clinically amyopathic with rapidly progressive interstitial lung disease and skin ulcers). Includes juvenile dermatomyositis and clinically amyopathic dermatomyositis;</w:t>
      </w:r>
    </w:p>
    <w:p>
      <w:pPr>
        <w:spacing w:before="0" w:after="80"/>
      </w:pPr>
      <w:r>
        <w:rPr>
          <w:rFonts w:ascii="Calibri" w:hAnsi="Calibri"/>
          <w:b w:val="0"/>
          <w:i w:val="0"/>
          <w:color w:val="212121"/>
          <w:sz w:val="21"/>
        </w:rPr>
        <w:t>(2) Polymyositis (PM) — proximal weakness without the dermatomyositis rash, with endomysial CD8+ T-cell infiltration; increasingly regarded as a diagnosis of exclusion or part of an overlap syndrome;</w:t>
      </w:r>
    </w:p>
    <w:p>
      <w:pPr>
        <w:spacing w:before="0" w:after="80"/>
      </w:pPr>
      <w:r>
        <w:rPr>
          <w:rFonts w:ascii="Calibri" w:hAnsi="Calibri"/>
          <w:b w:val="0"/>
          <w:i w:val="0"/>
          <w:color w:val="212121"/>
          <w:sz w:val="21"/>
        </w:rPr>
        <w:t>(3) Immune-mediated necrotizing myopathy (IMNM) — severe weakness with very high CK and prominent myofibre necrosis but little inflammation, associated with anti-SRP or anti-HMGCR (the latter often statin-triggered);</w:t>
      </w:r>
    </w:p>
    <w:p>
      <w:pPr>
        <w:spacing w:before="0" w:after="80"/>
      </w:pPr>
      <w:r>
        <w:rPr>
          <w:rFonts w:ascii="Calibri" w:hAnsi="Calibri"/>
          <w:b w:val="0"/>
          <w:i w:val="0"/>
          <w:color w:val="212121"/>
          <w:sz w:val="21"/>
        </w:rPr>
        <w:t>(4) Antisynthetase syndrome — anti-Jo-1 (or other tRNA-synthetase) antibodies with a cluster of myositis, interstitial lung disease, non-erosive arthritis, Raynaud phenomenon, mechanic's hands and fever;</w:t>
      </w:r>
    </w:p>
    <w:p>
      <w:pPr>
        <w:spacing w:before="0" w:after="80"/>
      </w:pPr>
      <w:r>
        <w:rPr>
          <w:rFonts w:ascii="Calibri" w:hAnsi="Calibri"/>
          <w:b w:val="0"/>
          <w:i w:val="0"/>
          <w:color w:val="212121"/>
          <w:sz w:val="21"/>
        </w:rPr>
        <w:t>(5) Inclusion body myositis (IBM) — a slowly progressive disease of adults over 50, commoner in men, with asymmetric finger-flexor and quadriceps weakness, rimmed vacuoles on biopsy and characteristically poor response to immunosuppression;</w:t>
      </w:r>
    </w:p>
    <w:p>
      <w:pPr>
        <w:spacing w:before="0" w:after="80"/>
      </w:pPr>
      <w:r>
        <w:rPr>
          <w:rFonts w:ascii="Calibri" w:hAnsi="Calibri"/>
          <w:b w:val="0"/>
          <w:i w:val="0"/>
          <w:color w:val="212121"/>
          <w:sz w:val="21"/>
        </w:rPr>
        <w:t>(6) Overlap myositis — inflammatory myopathy occurring with another connective-tissue disease such as systemic sclerosis, systemic lupus erythematosus or Sjögren syndrome.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muscle injury: Myositis-specific autoantibodies, complement-mediated microangiopathy (perifascicular atrophy in dermatomyositis) and CD8+ cytotoxic T-cell invasion of muscle fibres (polymyositis, inclusion body myositis) drive muscle inflammation, with a prominent type-I-interferon signature in dermatomyositis.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HLA class II alleles — particularly the 8.1 ancestral haplotype (HLA-DRB1*03:01, DQA1*05:01) — confer susceptibility, and individual autoantibody subtypes cluster with specific HLA backgrounds.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Environmental and infective triggers: Ultraviolet radiation (dermatomyositis, especially anti-Mi-2), viral infection and reported temporal clustering of anti-MDA5 disease have been implicated in onset or flares.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Statins can trigger anti-HMGCR immune-mediated necrotizing myopathy that persists after stopping the drug, and immune-checkpoint inhibitors used in cancer can precipitate an inflammatory myositis.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Malignancy: Some inflammatory myopathies — classically anti-TIF1-γ-positive dermatomyositis in adults — are paraneoplastic, with an occult cancer driving the muscle and skin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Sex and hormonal factors: Dermatomyositis and polymyositis show a roughly 2–3:1 female preponderance, whereas inclusion body myositis predominates in older men.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Degeneration combined with inflammation (IBM): Inclusion body myositis couples autoimmune inflammation with a degenerative process (rimmed vacuoles, protein aggregation), which explains its resistance to immunosuppression.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Dermatomyositis and polymyositis characteristically begin in mid-adult life, when autoantibody-driven muscle inflammation peaks. Weakness develops over weeks to months, often after a period of vague fatigue that delays presentation.</w:t>
            </w:r>
          </w:p>
          <w:p>
            <w:pPr>
              <w:spacing w:after="40" w:before="60" w:line="259" w:lineRule="auto"/>
            </w:pPr>
            <w:r>
              <w:rPr>
                <w:rFonts w:ascii="Calibri" w:hAnsi="Calibri"/>
                <w:b w:val="0"/>
                <w:i w:val="0"/>
                <w:color w:val="212121"/>
                <w:sz w:val="19"/>
              </w:rPr>
              <w:t>Dermatomyositis most often begins around a mean age of the mid-40s, and polymyositis peaks at about 45–60 years.</w:t>
            </w:r>
          </w:p>
          <w:p>
            <w:pPr>
              <w:spacing w:after="40" w:line="252" w:lineRule="auto"/>
            </w:pPr>
            <w:hyperlink r:id="rId9">
              <w:r>
                <w:rPr>
                  <w:rFonts w:ascii="Calibri" w:hAnsi="Calibri" w:cs="Calibri"/>
                  <w:sz w:val="18"/>
                  <w:color w:val="1155CC"/>
                  <w:u w:val="single"/>
                </w:rPr>
                <w:t xml:space="preserve">ncbi.nlm.nih.gov/books/NBK558917 — StatPearls: Dermatomyositis</w:t>
              </w:r>
            </w:hyperlink>
          </w:p>
          <w:p>
            <w:pPr>
              <w:spacing w:before="60" w:after="40"/>
            </w:pPr>
            <w:r>
              <w:rPr>
                <w:rFonts w:ascii="Calibri" w:hAnsi="Calibri"/>
                <w:b w:val="0"/>
                <w:i w:val="0"/>
                <w:color w:val="5A5A5A"/>
                <w:sz w:val="18"/>
              </w:rPr>
              <w:t>#dermatomyositis  #polymyositis  #proximalweakness  #adultonset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men (&gt; 50 years)</w:t>
            </w:r>
          </w:p>
        </w:tc>
        <w:tc>
          <w:tcPr>
            <w:tcW w:type="dxa" w:w="4276"/>
            <w:vAlign w:val="top"/>
          </w:tcPr>
          <w:p>
            <w:pPr>
              <w:spacing w:after="60" w:line="259" w:lineRule="auto"/>
            </w:pPr>
            <w:r>
              <w:rPr>
                <w:rFonts w:ascii="Calibri" w:hAnsi="Calibri"/>
                <w:b w:val="0"/>
                <w:i w:val="0"/>
                <w:color w:val="212121"/>
                <w:sz w:val="19"/>
              </w:rPr>
              <w:t>Inclusion body myositis is a disease of older adults, developing after age 50 and progressing slowly over years; it preferentially wastes the finger flexors and quadriceps, causing falls and loss of grip, and responds poorly to immunosuppression.</w:t>
            </w:r>
          </w:p>
          <w:p>
            <w:pPr>
              <w:spacing w:after="40" w:before="60" w:line="259" w:lineRule="auto"/>
            </w:pPr>
            <w:r>
              <w:rPr>
                <w:rFonts w:ascii="Calibri" w:hAnsi="Calibri"/>
                <w:b w:val="0"/>
                <w:i w:val="0"/>
                <w:color w:val="212121"/>
                <w:sz w:val="19"/>
              </w:rPr>
              <w:t>Inclusion body myositis usually develops after age 50, is more common in men, and is the commonest inflammatory myopathy in people over 45.</w:t>
            </w:r>
          </w:p>
          <w:p>
            <w:pPr>
              <w:spacing w:after="40" w:line="252" w:lineRule="auto"/>
            </w:pPr>
            <w:hyperlink r:id="rId10">
              <w:r>
                <w:rPr>
                  <w:rFonts w:ascii="Calibri" w:hAnsi="Calibri" w:cs="Calibri"/>
                  <w:sz w:val="18"/>
                  <w:color w:val="1155CC"/>
                  <w:u w:val="single"/>
                </w:rPr>
                <w:t xml:space="preserve">mda.org — inclusion body myositis</w:t>
              </w:r>
            </w:hyperlink>
          </w:p>
          <w:p>
            <w:pPr>
              <w:spacing w:before="60" w:after="40"/>
            </w:pPr>
            <w:r>
              <w:rPr>
                <w:rFonts w:ascii="Calibri" w:hAnsi="Calibri"/>
                <w:b w:val="0"/>
                <w:i w:val="0"/>
                <w:color w:val="5A5A5A"/>
                <w:sz w:val="18"/>
              </w:rPr>
              <w:t>#inclusionbodymyositis  #elderly  #fingerflexors  #quadriceps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(juvenile dermatomyositis, 5–15 yrs)</w:t>
            </w:r>
          </w:p>
        </w:tc>
        <w:tc>
          <w:tcPr>
            <w:tcW w:type="dxa" w:w="4276"/>
            <w:vAlign w:val="top"/>
          </w:tcPr>
          <w:p>
            <w:pPr>
              <w:spacing w:after="60" w:line="259" w:lineRule="auto"/>
            </w:pPr>
            <w:r>
              <w:rPr>
                <w:rFonts w:ascii="Calibri" w:hAnsi="Calibri"/>
                <w:b w:val="0"/>
                <w:i w:val="0"/>
                <w:color w:val="212121"/>
                <w:sz w:val="19"/>
              </w:rPr>
              <w:t>Juvenile dermatomyositis is the commonest inflammatory myopathy of childhood; onset is often more abrupt than in adults and calcinosis (calcium deposits in skin and muscle) is far more frequent and widespread than in adult disease.</w:t>
            </w:r>
          </w:p>
          <w:p>
            <w:pPr>
              <w:spacing w:after="40" w:before="60" w:line="259" w:lineRule="auto"/>
            </w:pPr>
            <w:r>
              <w:rPr>
                <w:rFonts w:ascii="Calibri" w:hAnsi="Calibri"/>
                <w:b w:val="0"/>
                <w:i w:val="0"/>
                <w:color w:val="212121"/>
                <w:sz w:val="19"/>
              </w:rPr>
              <w:t>Juvenile dermatomyositis affects roughly 3 children per million, typically between ages 5 and 15, with calcinosis notably more common than in adults.</w:t>
            </w:r>
          </w:p>
          <w:p>
            <w:pPr>
              <w:spacing w:after="40" w:line="252" w:lineRule="auto"/>
            </w:pPr>
            <w:hyperlink r:id="rId11">
              <w:r>
                <w:rPr>
                  <w:rFonts w:ascii="Calibri" w:hAnsi="Calibri" w:cs="Calibri"/>
                  <w:sz w:val="18"/>
                  <w:color w:val="1155CC"/>
                  <w:u w:val="single"/>
                </w:rPr>
                <w:t xml:space="preserve">rarediseases.org — dermatomyositis (NORD)</w:t>
              </w:r>
            </w:hyperlink>
          </w:p>
          <w:p>
            <w:pPr>
              <w:spacing w:before="60" w:after="40"/>
            </w:pPr>
            <w:r>
              <w:rPr>
                <w:rFonts w:ascii="Calibri" w:hAnsi="Calibri"/>
                <w:b w:val="0"/>
                <w:i w:val="0"/>
                <w:color w:val="5A5A5A"/>
                <w:sz w:val="18"/>
              </w:rPr>
              <w:t>#juveniledermatomyositis  #children  #calcinosis  #paediatric</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about twice as often as men by dermatomyositis and polymyositis, reflecting the general female predominance of systemic autoimmunity and hormonal influences on immune tolerance.</w:t>
            </w:r>
          </w:p>
          <w:p>
            <w:pPr>
              <w:spacing w:after="40" w:before="60" w:line="259" w:lineRule="auto"/>
            </w:pPr>
            <w:r>
              <w:rPr>
                <w:rFonts w:ascii="Calibri" w:hAnsi="Calibri"/>
                <w:b w:val="0"/>
                <w:i w:val="0"/>
                <w:color w:val="212121"/>
                <w:sz w:val="19"/>
              </w:rPr>
              <w:t>Females are affected roughly twice as often as males in dermatomyositis and polymyositis (female-to-male incidence about 2–3:1).</w:t>
            </w:r>
          </w:p>
          <w:p>
            <w:pPr>
              <w:spacing w:after="40" w:line="252" w:lineRule="auto"/>
            </w:pPr>
            <w:hyperlink r:id="rId12">
              <w:r>
                <w:rPr>
                  <w:rFonts w:ascii="Calibri" w:hAnsi="Calibri" w:cs="Calibri"/>
                  <w:sz w:val="18"/>
                  <w:color w:val="1155CC"/>
                  <w:u w:val="single"/>
                </w:rPr>
                <w:t xml:space="preserve">rarediseases.org — polymyositis (NORD)</w:t>
              </w:r>
            </w:hyperlink>
          </w:p>
          <w:p>
            <w:pPr>
              <w:spacing w:before="60" w:after="40"/>
            </w:pPr>
            <w:r>
              <w:rPr>
                <w:rFonts w:ascii="Calibri" w:hAnsi="Calibri"/>
                <w:b w:val="0"/>
                <w:i w:val="0"/>
                <w:color w:val="5A5A5A"/>
                <w:sz w:val="18"/>
              </w:rPr>
              <w:t>#female  #autoimmunity  #hormonal  #2to1</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(inclusion body myositis)</w:t>
            </w:r>
          </w:p>
        </w:tc>
        <w:tc>
          <w:tcPr>
            <w:tcW w:type="dxa" w:w="4276"/>
            <w:vAlign w:val="top"/>
          </w:tcPr>
          <w:p>
            <w:pPr>
              <w:spacing w:after="60" w:line="259" w:lineRule="auto"/>
            </w:pPr>
            <w:r>
              <w:rPr>
                <w:rFonts w:ascii="Calibri" w:hAnsi="Calibri"/>
                <w:b w:val="0"/>
                <w:i w:val="0"/>
                <w:color w:val="212121"/>
                <w:sz w:val="19"/>
              </w:rPr>
              <w:t>Inclusion body myositis reverses the usual pattern, occurring predominantly in older men. Its insidious, painless weakness of grip and knee extension is frequently misattributed to ageing, delaying diagnosis.</w:t>
            </w:r>
          </w:p>
          <w:p>
            <w:pPr>
              <w:spacing w:after="40" w:before="60" w:line="259" w:lineRule="auto"/>
            </w:pPr>
            <w:r>
              <w:rPr>
                <w:rFonts w:ascii="Calibri" w:hAnsi="Calibri"/>
                <w:b w:val="0"/>
                <w:i w:val="0"/>
                <w:color w:val="212121"/>
                <w:sz w:val="19"/>
              </w:rPr>
              <w:t>Inclusion body myositis is more likely to affect men than women and typically presents after age 50.</w:t>
            </w:r>
          </w:p>
          <w:p>
            <w:pPr>
              <w:spacing w:after="40" w:line="252" w:lineRule="auto"/>
            </w:pPr>
            <w:hyperlink r:id="rId10">
              <w:r>
                <w:rPr>
                  <w:rFonts w:ascii="Calibri" w:hAnsi="Calibri" w:cs="Calibri"/>
                  <w:sz w:val="18"/>
                  <w:color w:val="1155CC"/>
                  <w:u w:val="single"/>
                </w:rPr>
                <w:t xml:space="preserve">mda.org — inclusion body myositis</w:t>
              </w:r>
            </w:hyperlink>
          </w:p>
          <w:p>
            <w:pPr>
              <w:spacing w:before="60" w:after="40"/>
            </w:pPr>
            <w:r>
              <w:rPr>
                <w:rFonts w:ascii="Calibri" w:hAnsi="Calibri"/>
                <w:b w:val="0"/>
                <w:i w:val="0"/>
                <w:color w:val="5A5A5A"/>
                <w:sz w:val="18"/>
              </w:rPr>
              <w:t>#male  #ibm  #insidious  #gripweakness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low-awareness groups</w:t>
            </w:r>
          </w:p>
        </w:tc>
        <w:tc>
          <w:tcPr>
            <w:tcW w:type="dxa" w:w="4276"/>
            <w:vAlign w:val="top"/>
          </w:tcPr>
          <w:p>
            <w:pPr>
              <w:spacing w:after="60" w:line="259" w:lineRule="auto"/>
            </w:pPr>
            <w:r>
              <w:rPr>
                <w:rFonts w:ascii="Calibri" w:hAnsi="Calibri"/>
                <w:b w:val="0"/>
                <w:i w:val="0"/>
                <w:color w:val="212121"/>
                <w:sz w:val="19"/>
              </w:rPr>
              <w:t>Limited access to rheumatology/neurology, autoantibody testing, EMG and muscle biopsy causes late presentation with advanced weakness or established lung disease. In India the high background burden of tuberculosis also complicates the immunosuppression these patients need.</w:t>
            </w:r>
          </w:p>
          <w:p>
            <w:pPr>
              <w:spacing w:after="40" w:before="60" w:line="259" w:lineRule="auto"/>
            </w:pPr>
            <w:r>
              <w:rPr>
                <w:rFonts w:ascii="Calibri" w:hAnsi="Calibri"/>
                <w:b w:val="0"/>
                <w:i w:val="0"/>
                <w:color w:val="212121"/>
                <w:sz w:val="19"/>
              </w:rPr>
              <w:t>Delayed diagnosis and limited access to specialist testing and immunosuppression monitoring worsen outcomes, particularly where tuberculosis is endemic.</w:t>
            </w:r>
          </w:p>
          <w:p>
            <w:pPr>
              <w:spacing w:before="60" w:after="40"/>
            </w:pPr>
            <w:r>
              <w:rPr>
                <w:rFonts w:ascii="Calibri" w:hAnsi="Calibri"/>
                <w:b w:val="0"/>
                <w:i w:val="0"/>
                <w:color w:val="5A5A5A"/>
                <w:sz w:val="18"/>
              </w:rPr>
              <w:t>#accesstocare  #diagnosticdelay  #tuberculosis  #immunosuppression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 Indian ancestry</w:t>
            </w:r>
          </w:p>
        </w:tc>
        <w:tc>
          <w:tcPr>
            <w:tcW w:type="dxa" w:w="4276"/>
            <w:vAlign w:val="top"/>
          </w:tcPr>
          <w:p>
            <w:pPr>
              <w:spacing w:after="60" w:line="259" w:lineRule="auto"/>
            </w:pPr>
            <w:r>
              <w:rPr>
                <w:rFonts w:ascii="Calibri" w:hAnsi="Calibri"/>
                <w:b w:val="0"/>
                <w:i w:val="0"/>
                <w:color w:val="212121"/>
                <w:sz w:val="19"/>
              </w:rPr>
              <w:t>Indian tertiary-care series describe dermatomyositis as the commonest subtype and a rising recognition of anti-MDA5 dermatomyositis with rapidly progressive interstitial lung disease, which carries a high early mortality and demands aggressive combined immunosuppression.</w:t>
            </w:r>
          </w:p>
          <w:p>
            <w:pPr>
              <w:spacing w:after="40" w:before="60" w:line="259" w:lineRule="auto"/>
            </w:pPr>
            <w:r>
              <w:rPr>
                <w:rFonts w:ascii="Calibri" w:hAnsi="Calibri"/>
                <w:b w:val="0"/>
                <w:i w:val="0"/>
                <w:color w:val="212121"/>
                <w:sz w:val="19"/>
              </w:rPr>
              <w:t>In Indian rheumatology and neurology cohorts dermatomyositis predominates, and anti-MDA5-associated rapidly progressive interstitial lung disease is increasingly reported.</w:t>
            </w:r>
          </w:p>
          <w:p>
            <w:pPr>
              <w:spacing w:before="60" w:after="40"/>
            </w:pPr>
            <w:r>
              <w:rPr>
                <w:rFonts w:ascii="Calibri" w:hAnsi="Calibri"/>
                <w:b w:val="0"/>
                <w:i w:val="0"/>
                <w:color w:val="5A5A5A"/>
                <w:sz w:val="18"/>
              </w:rPr>
              <w:t>#india  #southasian  #antiMDA5  #rapidILD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Regional (India)</w:t>
            </w:r>
          </w:p>
        </w:tc>
        <w:tc>
          <w:tcPr>
            <w:tcW w:type="dxa" w:w="2160"/>
            <w:vAlign w:val="top"/>
          </w:tcPr>
          <w:p>
            <w:pPr>
              <w:spacing w:after="40" w:before="0" w:line="259" w:lineRule="auto"/>
            </w:pPr>
            <w:r>
              <w:rPr>
                <w:rFonts w:ascii="Calibri" w:hAnsi="Calibri"/>
                <w:b w:val="0"/>
                <w:i w:val="0"/>
                <w:color w:val="212121"/>
                <w:sz w:val="19"/>
              </w:rPr>
              <w:t>High-TB-burden &amp; sun-rich settings</w:t>
            </w:r>
          </w:p>
        </w:tc>
        <w:tc>
          <w:tcPr>
            <w:tcW w:type="dxa" w:w="4276"/>
            <w:vAlign w:val="top"/>
          </w:tcPr>
          <w:p>
            <w:pPr>
              <w:spacing w:after="60" w:line="259" w:lineRule="auto"/>
            </w:pPr>
            <w:r>
              <w:rPr>
                <w:rFonts w:ascii="Calibri" w:hAnsi="Calibri"/>
                <w:b w:val="0"/>
                <w:i w:val="0"/>
                <w:color w:val="212121"/>
                <w:sz w:val="19"/>
              </w:rPr>
              <w:t>India's high tuberculosis prevalence raises the risk of reactivation during corticosteroid and immunosuppressive therapy, while intense ambient ultraviolet exposure can aggravate the photosensitive rash of dermatomyositis in outdoor workers and farmers.</w:t>
            </w:r>
          </w:p>
          <w:p>
            <w:pPr>
              <w:spacing w:after="40" w:before="60" w:line="259" w:lineRule="auto"/>
            </w:pPr>
            <w:r>
              <w:rPr>
                <w:rFonts w:ascii="Calibri" w:hAnsi="Calibri"/>
                <w:b w:val="0"/>
                <w:i w:val="0"/>
                <w:color w:val="212121"/>
                <w:sz w:val="19"/>
              </w:rPr>
              <w:t>Endemic tuberculosis and high ultraviolet exposure are region-specific factors that shape immunosuppression safety and cutaneous disease activity in Indian patients.</w:t>
            </w:r>
          </w:p>
          <w:p>
            <w:pPr>
              <w:spacing w:before="60" w:after="40"/>
            </w:pPr>
            <w:r>
              <w:rPr>
                <w:rFonts w:ascii="Calibri" w:hAnsi="Calibri"/>
                <w:b w:val="0"/>
                <w:i w:val="0"/>
                <w:color w:val="5A5A5A"/>
                <w:sz w:val="18"/>
              </w:rPr>
              <w:t>#tuberculosis  #uvexposure  #photosensitivity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Ultraviolet / sun exposure</w:t>
            </w:r>
          </w:p>
        </w:tc>
        <w:tc>
          <w:tcPr>
            <w:tcW w:type="dxa" w:w="2160"/>
            <w:vAlign w:val="top"/>
          </w:tcPr>
          <w:p>
            <w:pPr>
              <w:spacing w:after="40" w:before="0" w:line="259" w:lineRule="auto"/>
            </w:pPr>
            <w:r>
              <w:rPr>
                <w:rFonts w:ascii="Calibri" w:hAnsi="Calibri"/>
                <w:b w:val="0"/>
                <w:i w:val="0"/>
                <w:color w:val="212121"/>
                <w:sz w:val="19"/>
              </w:rPr>
              <w:t>Outdoor workers, photosensitive DM patients</w:t>
            </w:r>
          </w:p>
        </w:tc>
        <w:tc>
          <w:tcPr>
            <w:tcW w:type="dxa" w:w="4276"/>
            <w:vAlign w:val="top"/>
          </w:tcPr>
          <w:p>
            <w:pPr>
              <w:spacing w:after="60" w:line="259" w:lineRule="auto"/>
            </w:pPr>
            <w:r>
              <w:rPr>
                <w:rFonts w:ascii="Calibri" w:hAnsi="Calibri"/>
                <w:b w:val="0"/>
                <w:i w:val="0"/>
                <w:color w:val="212121"/>
                <w:sz w:val="19"/>
              </w:rPr>
              <w:t>Ultraviolet light is a recognised trigger and aggravator of dermatomyositis skin disease; the characteristic heliotrope and Gottron rashes are photodistributed and flare with sun exposure.</w:t>
            </w:r>
          </w:p>
          <w:p>
            <w:pPr>
              <w:spacing w:after="40" w:before="60" w:line="259" w:lineRule="auto"/>
            </w:pPr>
            <w:r>
              <w:rPr>
                <w:rFonts w:ascii="Calibri" w:hAnsi="Calibri"/>
                <w:b w:val="0"/>
                <w:i w:val="0"/>
                <w:color w:val="212121"/>
                <w:sz w:val="19"/>
              </w:rPr>
              <w:t>The dermatomyositis rash is photosensitive and can worsen with ultraviolet exposure; it may be harder to see on brown or Black skin, contributing to missed diagnosis.</w:t>
            </w:r>
          </w:p>
          <w:p>
            <w:pPr>
              <w:spacing w:after="40" w:line="252" w:lineRule="auto"/>
            </w:pPr>
            <w:hyperlink r:id="rId13">
              <w:r>
                <w:rPr>
                  <w:rFonts w:ascii="Calibri" w:hAnsi="Calibri" w:cs="Calibri"/>
                  <w:sz w:val="18"/>
                  <w:color w:val="1155CC"/>
                  <w:u w:val="single"/>
                </w:rPr>
                <w:t xml:space="preserve">mayoclinic.org — dermatomyositis</w:t>
              </w:r>
            </w:hyperlink>
          </w:p>
          <w:p>
            <w:pPr>
              <w:spacing w:before="60" w:after="40"/>
            </w:pPr>
            <w:r>
              <w:rPr>
                <w:rFonts w:ascii="Calibri" w:hAnsi="Calibri"/>
                <w:b w:val="0"/>
                <w:i w:val="0"/>
                <w:color w:val="5A5A5A"/>
                <w:sz w:val="18"/>
              </w:rPr>
              <w:t>#uvlight  #photosensitivity  #heliotrope  #gottron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antisynthetase / ILD</w:t>
            </w:r>
          </w:p>
        </w:tc>
        <w:tc>
          <w:tcPr>
            <w:tcW w:type="dxa" w:w="4276"/>
            <w:vAlign w:val="top"/>
          </w:tcPr>
          <w:p>
            <w:pPr>
              <w:spacing w:after="60" w:line="259" w:lineRule="auto"/>
            </w:pPr>
            <w:r>
              <w:rPr>
                <w:rFonts w:ascii="Calibri" w:hAnsi="Calibri"/>
                <w:b w:val="0"/>
                <w:i w:val="0"/>
                <w:color w:val="212121"/>
                <w:sz w:val="19"/>
              </w:rPr>
              <w:t>Smoking is associated with anti-Jo-1/antisynthetase disease and adds to interstitial lung disease and cardiovascular risk; in a myopathy already threatened by respiratory muscle and lung involvement, tobacco compounds the danger.</w:t>
            </w:r>
          </w:p>
          <w:p>
            <w:pPr>
              <w:spacing w:after="40" w:before="60" w:line="259" w:lineRule="auto"/>
            </w:pPr>
            <w:r>
              <w:rPr>
                <w:rFonts w:ascii="Calibri" w:hAnsi="Calibri"/>
                <w:b w:val="0"/>
                <w:i w:val="0"/>
                <w:color w:val="212121"/>
                <w:sz w:val="19"/>
              </w:rPr>
              <w:t>Smoking adds to the pulmonary and cardiovascular burden of inflammatory myositis, which is frequently complicated by interstitial lung disease.</w:t>
            </w:r>
          </w:p>
          <w:p>
            <w:pPr>
              <w:spacing w:before="60" w:after="40"/>
            </w:pPr>
            <w:r>
              <w:rPr>
                <w:rFonts w:ascii="Calibri" w:hAnsi="Calibri"/>
                <w:b w:val="0"/>
                <w:i w:val="0"/>
                <w:color w:val="5A5A5A"/>
                <w:sz w:val="18"/>
              </w:rPr>
              <w:t>#smoking  #interstitiallung  #antisynthetase  #cardiovascular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(in)activity</w:t>
            </w:r>
          </w:p>
        </w:tc>
        <w:tc>
          <w:tcPr>
            <w:tcW w:type="dxa" w:w="2160"/>
            <w:vAlign w:val="top"/>
          </w:tcPr>
          <w:p>
            <w:pPr>
              <w:spacing w:after="40" w:before="0" w:line="259" w:lineRule="auto"/>
            </w:pPr>
            <w:r>
              <w:rPr>
                <w:rFonts w:ascii="Calibri" w:hAnsi="Calibri"/>
                <w:b w:val="0"/>
                <w:i w:val="0"/>
                <w:color w:val="212121"/>
                <w:sz w:val="19"/>
              </w:rPr>
              <w:t>Deconditioned &amp; bed-bound patients</w:t>
            </w:r>
          </w:p>
        </w:tc>
        <w:tc>
          <w:tcPr>
            <w:tcW w:type="dxa" w:w="4276"/>
            <w:vAlign w:val="top"/>
          </w:tcPr>
          <w:p>
            <w:pPr>
              <w:spacing w:after="60" w:line="259" w:lineRule="auto"/>
            </w:pPr>
            <w:r>
              <w:rPr>
                <w:rFonts w:ascii="Calibri" w:hAnsi="Calibri"/>
                <w:b w:val="0"/>
                <w:i w:val="0"/>
                <w:color w:val="212121"/>
                <w:sz w:val="19"/>
              </w:rPr>
              <w:t>Prolonged inactivity during a flare causes disuse atrophy and contractures that magnify disability, yet supervised graded exercise once disease is stabilising is safe and improves strength without raising muscle enzymes — a balance that must be individualised to disease activity.</w:t>
            </w:r>
          </w:p>
          <w:p>
            <w:pPr>
              <w:spacing w:after="40" w:before="60" w:line="259" w:lineRule="auto"/>
            </w:pPr>
            <w:r>
              <w:rPr>
                <w:rFonts w:ascii="Calibri" w:hAnsi="Calibri"/>
                <w:b w:val="0"/>
                <w:i w:val="0"/>
                <w:color w:val="212121"/>
                <w:sz w:val="19"/>
              </w:rPr>
              <w:t>Disuse and immobility worsen weakness and contractures, whereas supervised graded exercise in stabilised disease improves strength and function.</w:t>
            </w:r>
          </w:p>
          <w:p>
            <w:pPr>
              <w:spacing w:before="60" w:after="40"/>
            </w:pPr>
            <w:r>
              <w:rPr>
                <w:rFonts w:ascii="Calibri" w:hAnsi="Calibri"/>
                <w:b w:val="0"/>
                <w:i w:val="0"/>
                <w:color w:val="5A5A5A"/>
                <w:sz w:val="18"/>
              </w:rPr>
              <w:t>#deconditioning  #disuseatrophy  #gradedexercise  #rehabilitation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Statin exposure</w:t>
            </w:r>
          </w:p>
        </w:tc>
        <w:tc>
          <w:tcPr>
            <w:tcW w:type="dxa" w:w="2160"/>
            <w:vAlign w:val="top"/>
          </w:tcPr>
          <w:p>
            <w:pPr>
              <w:spacing w:after="40" w:before="0" w:line="259" w:lineRule="auto"/>
            </w:pPr>
            <w:r>
              <w:rPr>
                <w:rFonts w:ascii="Calibri" w:hAnsi="Calibri"/>
                <w:b w:val="0"/>
                <w:i w:val="0"/>
                <w:color w:val="212121"/>
                <w:sz w:val="19"/>
              </w:rPr>
              <w:t>Statin users (anti-HMGCR IMNM)</w:t>
            </w:r>
          </w:p>
        </w:tc>
        <w:tc>
          <w:tcPr>
            <w:tcW w:type="dxa" w:w="4276"/>
            <w:vAlign w:val="top"/>
          </w:tcPr>
          <w:p>
            <w:pPr>
              <w:spacing w:after="60" w:line="259" w:lineRule="auto"/>
            </w:pPr>
            <w:r>
              <w:rPr>
                <w:rFonts w:ascii="Calibri" w:hAnsi="Calibri"/>
                <w:b w:val="0"/>
                <w:i w:val="0"/>
                <w:color w:val="212121"/>
                <w:sz w:val="19"/>
              </w:rPr>
              <w:t>Statins can trigger an anti-HMGCR immune-mediated necrotizing myopathy in which weakness and very high CK persist and even progress after the statin is stopped, unlike simple self-limiting statin myalgia.</w:t>
            </w:r>
          </w:p>
          <w:p>
            <w:pPr>
              <w:spacing w:after="40" w:before="60" w:line="259" w:lineRule="auto"/>
            </w:pPr>
            <w:r>
              <w:rPr>
                <w:rFonts w:ascii="Calibri" w:hAnsi="Calibri"/>
                <w:b w:val="0"/>
                <w:i w:val="0"/>
                <w:color w:val="212121"/>
                <w:sz w:val="19"/>
              </w:rPr>
              <w:t>Statin exposure is linked to anti-HMGCR necrotizing myopathy, which continues after drug withdrawal and requires immunosuppression rather than simple statin cessation.</w:t>
            </w:r>
          </w:p>
          <w:p>
            <w:pPr>
              <w:spacing w:before="60" w:after="40"/>
            </w:pPr>
            <w:r>
              <w:rPr>
                <w:rFonts w:ascii="Calibri" w:hAnsi="Calibri"/>
                <w:b w:val="0"/>
                <w:i w:val="0"/>
                <w:color w:val="5A5A5A"/>
                <w:sz w:val="18"/>
              </w:rPr>
              <w:t>#statin  #antiHMGCR  #necrotizingmyopathy  #highCK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&amp; calcium</w:t>
            </w:r>
          </w:p>
        </w:tc>
        <w:tc>
          <w:tcPr>
            <w:tcW w:type="dxa" w:w="2160"/>
            <w:vAlign w:val="top"/>
          </w:tcPr>
          <w:p>
            <w:pPr>
              <w:spacing w:after="40" w:before="0" w:line="259" w:lineRule="auto"/>
            </w:pPr>
            <w:r>
              <w:rPr>
                <w:rFonts w:ascii="Calibri" w:hAnsi="Calibri"/>
                <w:b w:val="0"/>
                <w:i w:val="0"/>
                <w:color w:val="212121"/>
                <w:sz w:val="19"/>
              </w:rPr>
              <w:t>Deficient patients on steroids</w:t>
            </w:r>
          </w:p>
        </w:tc>
        <w:tc>
          <w:tcPr>
            <w:tcW w:type="dxa" w:w="4276"/>
            <w:vAlign w:val="top"/>
          </w:tcPr>
          <w:p>
            <w:pPr>
              <w:spacing w:after="60" w:line="259" w:lineRule="auto"/>
            </w:pPr>
            <w:r>
              <w:rPr>
                <w:rFonts w:ascii="Calibri" w:hAnsi="Calibri"/>
                <w:b w:val="0"/>
                <w:i w:val="0"/>
                <w:color w:val="212121"/>
                <w:sz w:val="19"/>
              </w:rPr>
              <w:t>Vitamin D deficiency is very common in India and, combined with long-term corticosteroids, accelerates bone loss; adequate calcium and vitamin D are needed to counter steroid-induced osteoporosis in these often-immobile patients.</w:t>
            </w:r>
          </w:p>
          <w:p>
            <w:pPr>
              <w:spacing w:after="40" w:before="60" w:line="259" w:lineRule="auto"/>
            </w:pPr>
            <w:r>
              <w:rPr>
                <w:rFonts w:ascii="Calibri" w:hAnsi="Calibri"/>
                <w:b w:val="0"/>
                <w:i w:val="0"/>
                <w:color w:val="212121"/>
                <w:sz w:val="19"/>
              </w:rPr>
              <w:t>Long-term corticosteroid therapy plus widespread vitamin D deficiency predisposes myositis patients to steroid-induced osteoporosis and fracture.</w:t>
            </w:r>
          </w:p>
          <w:p>
            <w:pPr>
              <w:spacing w:before="60" w:after="40"/>
            </w:pPr>
            <w:r>
              <w:rPr>
                <w:rFonts w:ascii="Calibri" w:hAnsi="Calibri"/>
                <w:b w:val="0"/>
                <w:i w:val="0"/>
                <w:color w:val="5A5A5A"/>
                <w:sz w:val="18"/>
              </w:rPr>
              <w:t>#vitamind  #calcium  #steroidosteoporosis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Protein-energy intake / dysphagia</w:t>
            </w:r>
          </w:p>
        </w:tc>
        <w:tc>
          <w:tcPr>
            <w:tcW w:type="dxa" w:w="2160"/>
            <w:vAlign w:val="top"/>
          </w:tcPr>
          <w:p>
            <w:pPr>
              <w:spacing w:after="40" w:before="0" w:line="259" w:lineRule="auto"/>
            </w:pPr>
            <w:r>
              <w:rPr>
                <w:rFonts w:ascii="Calibri" w:hAnsi="Calibri"/>
                <w:b w:val="0"/>
                <w:i w:val="0"/>
                <w:color w:val="212121"/>
                <w:sz w:val="19"/>
              </w:rPr>
              <w:t>Patients with swallowing weakness</w:t>
            </w:r>
          </w:p>
        </w:tc>
        <w:tc>
          <w:tcPr>
            <w:tcW w:type="dxa" w:w="4276"/>
            <w:vAlign w:val="top"/>
          </w:tcPr>
          <w:p>
            <w:pPr>
              <w:spacing w:after="60" w:line="259" w:lineRule="auto"/>
            </w:pPr>
            <w:r>
              <w:rPr>
                <w:rFonts w:ascii="Calibri" w:hAnsi="Calibri"/>
                <w:b w:val="0"/>
                <w:i w:val="0"/>
                <w:color w:val="212121"/>
                <w:sz w:val="19"/>
              </w:rPr>
              <w:t>Pharyngeal and oesophageal muscle weakness causes dysphagia, weight loss and aspiration, while corticosteroids drive muscle catabolism; adequate protein and calorie intake with texture-modified diets protects nutrition and the airway.</w:t>
            </w:r>
          </w:p>
          <w:p>
            <w:pPr>
              <w:spacing w:after="40" w:before="60" w:line="259" w:lineRule="auto"/>
            </w:pPr>
            <w:r>
              <w:rPr>
                <w:rFonts w:ascii="Calibri" w:hAnsi="Calibri"/>
                <w:b w:val="0"/>
                <w:i w:val="0"/>
                <w:color w:val="212121"/>
                <w:sz w:val="19"/>
              </w:rPr>
              <w:t>Dermatomyositis and polymyositis can weaken the swallowing muscles, causing dysphagia, weight loss and aspiration pneumonia.</w:t>
            </w:r>
          </w:p>
          <w:p>
            <w:pPr>
              <w:spacing w:after="40" w:line="252" w:lineRule="auto"/>
            </w:pPr>
            <w:hyperlink r:id="rId13">
              <w:r>
                <w:rPr>
                  <w:rFonts w:ascii="Calibri" w:hAnsi="Calibri" w:cs="Calibri"/>
                  <w:sz w:val="18"/>
                  <w:color w:val="1155CC"/>
                  <w:u w:val="single"/>
                </w:rPr>
                <w:t xml:space="preserve">mayoclinic.org — dermatomyositis</w:t>
              </w:r>
            </w:hyperlink>
          </w:p>
          <w:p>
            <w:pPr>
              <w:spacing w:before="60" w:after="40"/>
            </w:pPr>
            <w:r>
              <w:rPr>
                <w:rFonts w:ascii="Calibri" w:hAnsi="Calibri"/>
                <w:b w:val="0"/>
                <w:i w:val="0"/>
                <w:color w:val="5A5A5A"/>
                <w:sz w:val="18"/>
              </w:rPr>
              <w:t>#dysphagia  #aspiration  #malnutrition  #proteinintake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HLA-susceptible individuals</w:t>
            </w:r>
          </w:p>
        </w:tc>
        <w:tc>
          <w:tcPr>
            <w:tcW w:type="dxa" w:w="4276"/>
            <w:vAlign w:val="top"/>
          </w:tcPr>
          <w:p>
            <w:pPr>
              <w:spacing w:after="60" w:line="259" w:lineRule="auto"/>
            </w:pPr>
            <w:r>
              <w:rPr>
                <w:rFonts w:ascii="Calibri" w:hAnsi="Calibri"/>
                <w:b w:val="0"/>
                <w:i w:val="0"/>
                <w:color w:val="212121"/>
                <w:sz w:val="19"/>
              </w:rPr>
              <w:t>Inflammatory myopathies cluster with the 8.1 ancestral HLA haplotype and with other autoimmune diseases in families; specific myositis autoantibodies associate with particular HLA class II alleles.</w:t>
            </w:r>
          </w:p>
          <w:p>
            <w:pPr>
              <w:spacing w:after="40" w:before="60" w:line="259" w:lineRule="auto"/>
            </w:pPr>
            <w:r>
              <w:rPr>
                <w:rFonts w:ascii="Calibri" w:hAnsi="Calibri"/>
                <w:b w:val="0"/>
                <w:i w:val="0"/>
                <w:color w:val="212121"/>
                <w:sz w:val="19"/>
              </w:rPr>
              <w:t>HLA class II alleles (notably the DRB1*03:01/DQA1*05:01 8.1 haplotype) confer susceptibility and cluster with individual autoantibody subtypes.</w:t>
            </w:r>
          </w:p>
          <w:p>
            <w:pPr>
              <w:spacing w:before="60" w:after="40"/>
            </w:pPr>
            <w:r>
              <w:rPr>
                <w:rFonts w:ascii="Calibri" w:hAnsi="Calibri"/>
                <w:b w:val="0"/>
                <w:i w:val="0"/>
                <w:color w:val="5A5A5A"/>
                <w:sz w:val="18"/>
              </w:rPr>
              <w:t>#hla  #geneticpredisposition  #autoimmunefamily  #8point1haplotype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Interstitial lung disease</w:t>
            </w:r>
          </w:p>
        </w:tc>
        <w:tc>
          <w:tcPr>
            <w:tcW w:type="dxa" w:w="2160"/>
            <w:vAlign w:val="top"/>
          </w:tcPr>
          <w:p>
            <w:pPr>
              <w:spacing w:after="40" w:before="0" w:line="259" w:lineRule="auto"/>
            </w:pPr>
            <w:r>
              <w:rPr>
                <w:rFonts w:ascii="Calibri" w:hAnsi="Calibri"/>
                <w:b w:val="0"/>
                <w:i w:val="0"/>
                <w:color w:val="212121"/>
                <w:sz w:val="19"/>
              </w:rPr>
              <w:t>Myositis with anti-MDA5 / anti-Jo-1</w:t>
            </w:r>
          </w:p>
        </w:tc>
        <w:tc>
          <w:tcPr>
            <w:tcW w:type="dxa" w:w="4276"/>
            <w:vAlign w:val="top"/>
          </w:tcPr>
          <w:p>
            <w:pPr>
              <w:spacing w:after="60" w:line="259" w:lineRule="auto"/>
            </w:pPr>
            <w:r>
              <w:rPr>
                <w:rFonts w:ascii="Calibri" w:hAnsi="Calibri"/>
                <w:b w:val="0"/>
                <w:i w:val="0"/>
                <w:color w:val="212121"/>
                <w:sz w:val="19"/>
              </w:rPr>
              <w:t>Interstitial lung disease is one of the most serious complications and a leading cause of death; it is strongly linked to the anti-synthetase (anti-Jo-1) and anti-MDA5 antibodies, the latter causing rapidly progressive, often fatal lung fibrosis.</w:t>
            </w:r>
          </w:p>
          <w:p>
            <w:pPr>
              <w:spacing w:after="40" w:before="60" w:line="259" w:lineRule="auto"/>
            </w:pPr>
            <w:r>
              <w:rPr>
                <w:rFonts w:ascii="Calibri" w:hAnsi="Calibri"/>
                <w:b w:val="0"/>
                <w:i w:val="0"/>
                <w:color w:val="212121"/>
                <w:sz w:val="19"/>
              </w:rPr>
              <w:t>Interstitial lung disease affects roughly one-third of dermatomyositis patients and is strongly associated with anti-Jo-1 (and anti-MDA5) antibodies.</w:t>
            </w:r>
          </w:p>
          <w:p>
            <w:pPr>
              <w:spacing w:after="40" w:line="252" w:lineRule="auto"/>
            </w:pPr>
            <w:hyperlink r:id="rId9">
              <w:r>
                <w:rPr>
                  <w:rFonts w:ascii="Calibri" w:hAnsi="Calibri" w:cs="Calibri"/>
                  <w:sz w:val="18"/>
                  <w:color w:val="1155CC"/>
                  <w:u w:val="single"/>
                </w:rPr>
                <w:t xml:space="preserve">ncbi.nlm.nih.gov/books/NBK558917 — StatPearls: Dermatomyositis</w:t>
              </w:r>
            </w:hyperlink>
          </w:p>
          <w:p>
            <w:pPr>
              <w:spacing w:before="60" w:after="40"/>
            </w:pPr>
            <w:r>
              <w:rPr>
                <w:rFonts w:ascii="Calibri" w:hAnsi="Calibri"/>
                <w:b w:val="0"/>
                <w:i w:val="0"/>
                <w:color w:val="5A5A5A"/>
                <w:sz w:val="18"/>
              </w:rPr>
              <w:t>#interstitiallung  #antiMDA5  #antiJo1  #respiratoryfailure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Adults with dermatomyositis</w:t>
            </w:r>
          </w:p>
        </w:tc>
        <w:tc>
          <w:tcPr>
            <w:tcW w:type="dxa" w:w="4276"/>
            <w:vAlign w:val="top"/>
          </w:tcPr>
          <w:p>
            <w:pPr>
              <w:spacing w:after="60" w:line="259" w:lineRule="auto"/>
            </w:pPr>
            <w:r>
              <w:rPr>
                <w:rFonts w:ascii="Calibri" w:hAnsi="Calibri"/>
                <w:b w:val="0"/>
                <w:i w:val="0"/>
                <w:color w:val="212121"/>
                <w:sz w:val="19"/>
              </w:rPr>
              <w:t>Adult dermatomyositis carries a substantially raised risk of occult cancer — classically with the anti-TIF1-γ antibody — greatest in the first years after diagnosis, mandating age- and antibody-guided malignancy screening.</w:t>
            </w:r>
          </w:p>
          <w:p>
            <w:pPr>
              <w:spacing w:after="40" w:before="60" w:line="259" w:lineRule="auto"/>
            </w:pPr>
            <w:r>
              <w:rPr>
                <w:rFonts w:ascii="Calibri" w:hAnsi="Calibri"/>
                <w:b w:val="0"/>
                <w:i w:val="0"/>
                <w:color w:val="212121"/>
                <w:sz w:val="19"/>
              </w:rPr>
              <w:t>About 24% of dermatomyositis patients harbour an underlying malignancy, with the highest risk in the first five years after diagnosis.</w:t>
            </w:r>
          </w:p>
          <w:p>
            <w:pPr>
              <w:spacing w:after="40" w:line="252" w:lineRule="auto"/>
            </w:pPr>
            <w:hyperlink r:id="rId9">
              <w:r>
                <w:rPr>
                  <w:rFonts w:ascii="Calibri" w:hAnsi="Calibri" w:cs="Calibri"/>
                  <w:sz w:val="18"/>
                  <w:color w:val="1155CC"/>
                  <w:u w:val="single"/>
                </w:rPr>
                <w:t xml:space="preserve">ncbi.nlm.nih.gov/books/NBK558917 — StatPearls: Dermatomyositis</w:t>
              </w:r>
            </w:hyperlink>
          </w:p>
          <w:p>
            <w:pPr>
              <w:spacing w:before="60" w:after="40"/>
            </w:pPr>
            <w:r>
              <w:rPr>
                <w:rFonts w:ascii="Calibri" w:hAnsi="Calibri"/>
                <w:b w:val="0"/>
                <w:i w:val="0"/>
                <w:color w:val="5A5A5A"/>
                <w:sz w:val="18"/>
              </w:rPr>
              <w:t>#malignancy  #paraneoplastic  #antiTIF1gamma  #cancerscreening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Overlap connective-tissue disease</w:t>
            </w:r>
          </w:p>
        </w:tc>
        <w:tc>
          <w:tcPr>
            <w:tcW w:type="dxa" w:w="2160"/>
            <w:vAlign w:val="top"/>
          </w:tcPr>
          <w:p>
            <w:pPr>
              <w:spacing w:after="40" w:before="0" w:line="259" w:lineRule="auto"/>
            </w:pPr>
            <w:r>
              <w:rPr>
                <w:rFonts w:ascii="Calibri" w:hAnsi="Calibri"/>
                <w:b w:val="0"/>
                <w:i w:val="0"/>
                <w:color w:val="212121"/>
                <w:sz w:val="19"/>
              </w:rPr>
              <w:t>Overlap myositis</w:t>
            </w:r>
          </w:p>
        </w:tc>
        <w:tc>
          <w:tcPr>
            <w:tcW w:type="dxa" w:w="4276"/>
            <w:vAlign w:val="top"/>
          </w:tcPr>
          <w:p>
            <w:pPr>
              <w:spacing w:after="60" w:line="259" w:lineRule="auto"/>
            </w:pPr>
            <w:r>
              <w:rPr>
                <w:rFonts w:ascii="Calibri" w:hAnsi="Calibri"/>
                <w:b w:val="0"/>
                <w:i w:val="0"/>
                <w:color w:val="212121"/>
                <w:sz w:val="19"/>
              </w:rPr>
              <w:t>Inflammatory myositis frequently overlaps with other connective-tissue diseases such as systemic sclerosis, systemic lupus erythematosus and Sjögren syndrome, adding Raynaud phenomenon and multi-system features and altering treatment.</w:t>
            </w:r>
          </w:p>
          <w:p>
            <w:pPr>
              <w:spacing w:after="40" w:before="60" w:line="259" w:lineRule="auto"/>
            </w:pPr>
            <w:r>
              <w:rPr>
                <w:rFonts w:ascii="Calibri" w:hAnsi="Calibri"/>
                <w:b w:val="0"/>
                <w:i w:val="0"/>
                <w:color w:val="212121"/>
                <w:sz w:val="19"/>
              </w:rPr>
              <w:t>Polymyositis and dermatomyositis can overlap with Sjögren syndrome or scleroderma as part of an overlap syndrome.</w:t>
            </w:r>
          </w:p>
          <w:p>
            <w:pPr>
              <w:spacing w:after="40" w:line="252" w:lineRule="auto"/>
            </w:pPr>
            <w:hyperlink r:id="rId12">
              <w:r>
                <w:rPr>
                  <w:rFonts w:ascii="Calibri" w:hAnsi="Calibri" w:cs="Calibri"/>
                  <w:sz w:val="18"/>
                  <w:color w:val="1155CC"/>
                  <w:u w:val="single"/>
                </w:rPr>
                <w:t xml:space="preserve">rarediseases.org — polymyositis (NORD)</w:t>
              </w:r>
            </w:hyperlink>
          </w:p>
          <w:p>
            <w:pPr>
              <w:spacing w:before="60" w:after="40"/>
            </w:pPr>
            <w:r>
              <w:rPr>
                <w:rFonts w:ascii="Calibri" w:hAnsi="Calibri"/>
                <w:b w:val="0"/>
                <w:i w:val="0"/>
                <w:color w:val="5A5A5A"/>
                <w:sz w:val="18"/>
              </w:rPr>
              <w:t>#overlapsyndrome  #scleroderma  #lupus  #sjogren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Dysphagia &amp; aspiration</w:t>
            </w:r>
          </w:p>
        </w:tc>
        <w:tc>
          <w:tcPr>
            <w:tcW w:type="dxa" w:w="2160"/>
            <w:vAlign w:val="top"/>
          </w:tcPr>
          <w:p>
            <w:pPr>
              <w:spacing w:after="40" w:before="0" w:line="259" w:lineRule="auto"/>
            </w:pPr>
            <w:r>
              <w:rPr>
                <w:rFonts w:ascii="Calibri" w:hAnsi="Calibri"/>
                <w:b w:val="0"/>
                <w:i w:val="0"/>
                <w:color w:val="212121"/>
                <w:sz w:val="19"/>
              </w:rPr>
              <w:t>Bulbar / oesophageal involvement</w:t>
            </w:r>
          </w:p>
        </w:tc>
        <w:tc>
          <w:tcPr>
            <w:tcW w:type="dxa" w:w="4276"/>
            <w:vAlign w:val="top"/>
          </w:tcPr>
          <w:p>
            <w:pPr>
              <w:spacing w:after="60" w:line="259" w:lineRule="auto"/>
            </w:pPr>
            <w:r>
              <w:rPr>
                <w:rFonts w:ascii="Calibri" w:hAnsi="Calibri"/>
                <w:b w:val="0"/>
                <w:i w:val="0"/>
                <w:color w:val="212121"/>
                <w:sz w:val="19"/>
              </w:rPr>
              <w:t>Weakness of the pharyngeal and upper-oesophageal muscles causes difficulty swallowing and aspiration, a major driver of pneumonia, malnutrition and hospital mortality that requires early speech-and-swallow assessment.</w:t>
            </w:r>
          </w:p>
          <w:p>
            <w:pPr>
              <w:spacing w:after="40" w:before="60" w:line="259" w:lineRule="auto"/>
            </w:pPr>
            <w:r>
              <w:rPr>
                <w:rFonts w:ascii="Calibri" w:hAnsi="Calibri"/>
                <w:b w:val="0"/>
                <w:i w:val="0"/>
                <w:color w:val="212121"/>
                <w:sz w:val="19"/>
              </w:rPr>
              <w:t>Swallowing difficulty from oesophageal/pharyngeal weakness can lead to aspiration pneumonia and weight loss.</w:t>
            </w:r>
          </w:p>
          <w:p>
            <w:pPr>
              <w:spacing w:after="40" w:line="252" w:lineRule="auto"/>
            </w:pPr>
            <w:hyperlink r:id="rId13">
              <w:r>
                <w:rPr>
                  <w:rFonts w:ascii="Calibri" w:hAnsi="Calibri" w:cs="Calibri"/>
                  <w:sz w:val="18"/>
                  <w:color w:val="1155CC"/>
                  <w:u w:val="single"/>
                </w:rPr>
                <w:t xml:space="preserve">mayoclinic.org — dermatomyositis</w:t>
              </w:r>
            </w:hyperlink>
          </w:p>
          <w:p>
            <w:pPr>
              <w:spacing w:before="60" w:after="40"/>
            </w:pPr>
            <w:r>
              <w:rPr>
                <w:rFonts w:ascii="Calibri" w:hAnsi="Calibri"/>
                <w:b w:val="0"/>
                <w:i w:val="0"/>
                <w:color w:val="5A5A5A"/>
                <w:sz w:val="18"/>
              </w:rPr>
              <w:t>#dysphagia  #aspirationpneumonia  #bulbar  #swallowassessment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During active myositis, relative rest with gentle range-of-motion prevents contractures; once disease is stabilising on treatment, supervised graded aerobic and resistance exercise safely improves strength, function and aerobic capacity without raising creatine kinase. Inclusion body myositis progresses despite exercise, but activity still preserves function and reduces falls.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cures inflammatory myositis, but adequate protein and calories counter corticosteroid-driven muscle catabolism and disuse, while calcium and vitamin D protect against steroid osteoporosis. Texture-modified diets are essential when dysphagia threatens the airway.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amplifies the fatigue, pain and low mood that accompany chronic myositis and is frequently worsened by corticosteroids; good sleep hygiene helps, but sleep has no direct effect on the underlying autoimmune process.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anti-Jo-1/antisynthetase disease and adds to interstitial lung disease and cardiovascular risk; cessation is important because the lungs and respiratory muscles are already threatened in many 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alcohol interacts with the mainstays of treatment — methotrexate and azathioprine (hepatotoxicity) — and compounds corticosteroid-related bone loss; it offers no benefit and is best minimised on immunosuppression.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common in a disabling, chronic, steroid-treated disease and interact bidirectionally with fatigue, pain and disability; mood and body-image concerns are prominent with visible rash, weight change and loss of independence.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renal safety when creatine kinase is very high (as in necrotizing myopathy) and while on nephro-active drugs, but has no direct effect on disease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effect on myositis; excessive intake can worsen the insomnia and tremor associated with corticosteroids.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food, skin and oral hygiene and up-to-date (inactivated) vaccination reduce infection — a leading cause of death in immunosuppressed patients — and matter especially in India where tuberculosis is endemic; careful skin care limits infection of ulcerated dermatomyositis and calcinosis.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Ultraviolet (sun) exposure (dermatomyositis flares), infections, certain drugs (statins triggering anti-HMGCR necrotizing myopathy, immune-checkpoint inhibitors), occult malignancy and smoking (lung disease) are recognised triggers or drivers that must be actively sought and addressed.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Weakness of the neck extensors and paraspinal muscles can cause a dropped-head posture and camptocormia, and proximal girdle weakness impairs transfers and gait; posture support, aids and fall-prevention measures reduce injury but do not modify the disease itself.</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Proximal muscle strength (MRC / MMT-8 grade)</w:t>
            </w:r>
          </w:p>
        </w:tc>
        <w:tc>
          <w:tcPr>
            <w:tcW w:type="dxa" w:w="1655"/>
            <w:vAlign w:val="top"/>
          </w:tcPr>
          <w:p>
            <w:pPr>
              <w:spacing w:after="40" w:before="0" w:line="259" w:lineRule="auto"/>
            </w:pPr>
            <w:r>
              <w:rPr>
                <w:rFonts w:ascii="Calibri" w:hAnsi="Calibri"/>
                <w:b w:val="0"/>
                <w:i w:val="0"/>
                <w:color w:val="212121"/>
                <w:sz w:val="19"/>
              </w:rPr>
              <w:t>All myositis patients</w:t>
            </w:r>
          </w:p>
        </w:tc>
        <w:tc>
          <w:tcPr>
            <w:tcW w:type="dxa" w:w="1512"/>
            <w:vAlign w:val="top"/>
          </w:tcPr>
          <w:p>
            <w:pPr>
              <w:spacing w:after="40" w:before="0" w:line="259" w:lineRule="auto"/>
            </w:pPr>
            <w:r>
              <w:rPr>
                <w:rFonts w:ascii="Calibri" w:hAnsi="Calibri"/>
                <w:b w:val="0"/>
                <w:i w:val="0"/>
                <w:color w:val="212121"/>
                <w:sz w:val="19"/>
              </w:rPr>
              <w:t>Full power (MRC 5/5 in tested groups)</w:t>
            </w:r>
          </w:p>
        </w:tc>
        <w:tc>
          <w:tcPr>
            <w:tcW w:type="dxa" w:w="1512"/>
            <w:vAlign w:val="top"/>
          </w:tcPr>
          <w:p>
            <w:pPr>
              <w:spacing w:after="40" w:before="0" w:line="259" w:lineRule="auto"/>
            </w:pPr>
            <w:r>
              <w:rPr>
                <w:rFonts w:ascii="Calibri" w:hAnsi="Calibri"/>
                <w:b w:val="0"/>
                <w:i w:val="0"/>
                <w:color w:val="212121"/>
                <w:sz w:val="19"/>
              </w:rPr>
              <w:t>Any proximal weakness (MRC &lt; 5/5)</w:t>
            </w:r>
          </w:p>
        </w:tc>
        <w:tc>
          <w:tcPr>
            <w:tcW w:type="dxa" w:w="1468"/>
            <w:vAlign w:val="top"/>
          </w:tcPr>
          <w:p>
            <w:pPr>
              <w:spacing w:after="40" w:before="0" w:line="259" w:lineRule="auto"/>
            </w:pPr>
            <w:r>
              <w:rPr>
                <w:rFonts w:ascii="Calibri" w:hAnsi="Calibri"/>
                <w:b w:val="0"/>
                <w:i w:val="0"/>
                <w:color w:val="212121"/>
                <w:sz w:val="19"/>
              </w:rPr>
              <w:t>Standardised manual muscle testing (MMT-8) tracks disease activity and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Physical function (HAQ-DI)</w:t>
            </w:r>
          </w:p>
        </w:tc>
        <w:tc>
          <w:tcPr>
            <w:tcW w:type="dxa" w:w="1655"/>
            <w:vAlign w:val="top"/>
          </w:tcPr>
          <w:p>
            <w:pPr>
              <w:spacing w:after="40" w:before="0" w:line="259" w:lineRule="auto"/>
            </w:pPr>
            <w:r>
              <w:rPr>
                <w:rFonts w:ascii="Calibri" w:hAnsi="Calibri"/>
                <w:b w:val="0"/>
                <w:i w:val="0"/>
                <w:color w:val="212121"/>
                <w:sz w:val="19"/>
              </w:rPr>
              <w:t>Adults with IIM</w:t>
            </w:r>
          </w:p>
        </w:tc>
        <w:tc>
          <w:tcPr>
            <w:tcW w:type="dxa" w:w="1512"/>
            <w:vAlign w:val="top"/>
          </w:tcPr>
          <w:p>
            <w:pPr>
              <w:spacing w:after="40" w:before="0" w:line="259" w:lineRule="auto"/>
            </w:pPr>
            <w:r>
              <w:rPr>
                <w:rFonts w:ascii="Calibri" w:hAnsi="Calibri"/>
                <w:b w:val="0"/>
                <w:i w:val="0"/>
                <w:color w:val="212121"/>
                <w:sz w:val="19"/>
              </w:rPr>
              <w:t>0 (no disability)</w:t>
            </w:r>
          </w:p>
        </w:tc>
        <w:tc>
          <w:tcPr>
            <w:tcW w:type="dxa" w:w="1512"/>
            <w:vAlign w:val="top"/>
          </w:tcPr>
          <w:p>
            <w:pPr>
              <w:spacing w:after="40" w:before="0" w:line="259" w:lineRule="auto"/>
            </w:pPr>
            <w:r>
              <w:rPr>
                <w:rFonts w:ascii="Calibri" w:hAnsi="Calibri"/>
                <w:b w:val="0"/>
                <w:i w:val="0"/>
                <w:color w:val="212121"/>
                <w:sz w:val="19"/>
              </w:rPr>
              <w:t>Rising score / &gt; 1</w:t>
            </w:r>
          </w:p>
        </w:tc>
        <w:tc>
          <w:tcPr>
            <w:tcW w:type="dxa" w:w="1468"/>
            <w:vAlign w:val="top"/>
          </w:tcPr>
          <w:p>
            <w:pPr>
              <w:spacing w:after="40" w:before="0" w:line="259" w:lineRule="auto"/>
            </w:pPr>
            <w:r>
              <w:rPr>
                <w:rFonts w:ascii="Calibri" w:hAnsi="Calibri"/>
                <w:b w:val="0"/>
                <w:i w:val="0"/>
                <w:color w:val="212121"/>
                <w:sz w:val="19"/>
              </w:rPr>
              <w:t>Higher disability index reflects loss of daily function and guides rehabilitation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Supervised activity (stable disease)</w:t>
            </w:r>
          </w:p>
        </w:tc>
        <w:tc>
          <w:tcPr>
            <w:tcW w:type="dxa" w:w="1655"/>
            <w:vAlign w:val="top"/>
          </w:tcPr>
          <w:p>
            <w:pPr>
              <w:spacing w:after="40" w:before="0" w:line="259" w:lineRule="auto"/>
            </w:pPr>
            <w:r>
              <w:rPr>
                <w:rFonts w:ascii="Calibri" w:hAnsi="Calibri"/>
                <w:b w:val="0"/>
                <w:i w:val="0"/>
                <w:color w:val="212121"/>
                <w:sz w:val="19"/>
              </w:rPr>
              <w:t>Stabilised patients</w:t>
            </w:r>
          </w:p>
        </w:tc>
        <w:tc>
          <w:tcPr>
            <w:tcW w:type="dxa" w:w="1512"/>
            <w:vAlign w:val="top"/>
          </w:tcPr>
          <w:p>
            <w:pPr>
              <w:spacing w:after="40" w:before="0" w:line="259" w:lineRule="auto"/>
            </w:pPr>
            <w:r>
              <w:rPr>
                <w:rFonts w:ascii="Calibri" w:hAnsi="Calibri"/>
                <w:b w:val="0"/>
                <w:i w:val="0"/>
                <w:color w:val="212121"/>
                <w:sz w:val="19"/>
              </w:rPr>
              <w:t>Graded aerobic + resistance, ≥ 150 min/week</w:t>
            </w:r>
          </w:p>
        </w:tc>
        <w:tc>
          <w:tcPr>
            <w:tcW w:type="dxa" w:w="1512"/>
            <w:vAlign w:val="top"/>
          </w:tcPr>
          <w:p>
            <w:pPr>
              <w:spacing w:after="40" w:before="0" w:line="259" w:lineRule="auto"/>
            </w:pPr>
            <w:r>
              <w:rPr>
                <w:rFonts w:ascii="Calibri" w:hAnsi="Calibri"/>
                <w:b w:val="0"/>
                <w:i w:val="0"/>
                <w:color w:val="212121"/>
                <w:sz w:val="19"/>
              </w:rPr>
              <w:t>Largely inactive / bed-bound</w:t>
            </w:r>
          </w:p>
        </w:tc>
        <w:tc>
          <w:tcPr>
            <w:tcW w:type="dxa" w:w="1468"/>
            <w:vAlign w:val="top"/>
          </w:tcPr>
          <w:p>
            <w:pPr>
              <w:spacing w:after="40" w:before="0" w:line="259" w:lineRule="auto"/>
            </w:pPr>
            <w:r>
              <w:rPr>
                <w:rFonts w:ascii="Calibri" w:hAnsi="Calibri"/>
                <w:b w:val="0"/>
                <w:i w:val="0"/>
                <w:color w:val="212121"/>
                <w:sz w:val="19"/>
              </w:rPr>
              <w:t>Exercise in stable disease improves strength without raising CK; avoid overload during active flare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creatine kinase (CK)</w:t>
            </w:r>
          </w:p>
        </w:tc>
        <w:tc>
          <w:tcPr>
            <w:tcW w:type="dxa" w:w="1655"/>
            <w:vAlign w:val="top"/>
          </w:tcPr>
          <w:p>
            <w:pPr>
              <w:spacing w:after="40" w:before="0" w:line="259" w:lineRule="auto"/>
            </w:pPr>
            <w:r>
              <w:rPr>
                <w:rFonts w:ascii="Calibri" w:hAnsi="Calibri"/>
                <w:b w:val="0"/>
                <w:i w:val="0"/>
                <w:color w:val="212121"/>
                <w:sz w:val="19"/>
              </w:rPr>
              <w:t>Active myositis, IMNM</w:t>
            </w:r>
          </w:p>
        </w:tc>
        <w:tc>
          <w:tcPr>
            <w:tcW w:type="dxa" w:w="1512"/>
            <w:vAlign w:val="top"/>
          </w:tcPr>
          <w:p>
            <w:pPr>
              <w:spacing w:after="40" w:before="0" w:line="259" w:lineRule="auto"/>
            </w:pPr>
            <w:r>
              <w:rPr>
                <w:rFonts w:ascii="Calibri" w:hAnsi="Calibri"/>
                <w:b w:val="0"/>
                <w:i w:val="0"/>
                <w:color w:val="212121"/>
                <w:sz w:val="19"/>
              </w:rPr>
              <w:t>Within normal range (≈ 30–200 U/L)</w:t>
            </w:r>
          </w:p>
        </w:tc>
        <w:tc>
          <w:tcPr>
            <w:tcW w:type="dxa" w:w="1512"/>
            <w:vAlign w:val="top"/>
          </w:tcPr>
          <w:p>
            <w:pPr>
              <w:spacing w:after="40" w:before="0" w:line="259" w:lineRule="auto"/>
            </w:pPr>
            <w:r>
              <w:rPr>
                <w:rFonts w:ascii="Calibri" w:hAnsi="Calibri"/>
                <w:b w:val="0"/>
                <w:i w:val="0"/>
                <w:color w:val="212121"/>
                <w:sz w:val="19"/>
              </w:rPr>
              <w:t>Elevated (markedly high in necrotizing myopathy)</w:t>
            </w:r>
          </w:p>
        </w:tc>
        <w:tc>
          <w:tcPr>
            <w:tcW w:type="dxa" w:w="1468"/>
            <w:vAlign w:val="top"/>
          </w:tcPr>
          <w:p>
            <w:pPr>
              <w:spacing w:after="60" w:line="259" w:lineRule="auto"/>
            </w:pPr>
            <w:r>
              <w:rPr>
                <w:rFonts w:ascii="Calibri" w:hAnsi="Calibri"/>
                <w:b w:val="0"/>
                <w:i w:val="0"/>
                <w:color w:val="212121"/>
                <w:sz w:val="19"/>
              </w:rPr>
              <w:t>Tracks muscle inflammation; may be normal in inclusion body myositis and amyopathic DM</w:t>
            </w:r>
          </w:p>
          <w:p>
            <w:pPr>
              <w:spacing w:after="40" w:line="252" w:lineRule="auto"/>
            </w:pPr>
            <w:hyperlink r:id="rId14">
              <w:r>
                <w:rPr>
                  <w:rFonts w:ascii="Calibri" w:hAnsi="Calibri" w:cs="Calibri"/>
                  <w:sz w:val="18"/>
                  <w:color w:val="1155CC"/>
                  <w:u w:val="single"/>
                </w:rPr>
                <w:t xml:space="preserve">https://www.ncbi.nlm.nih.gov/books/NBK532860/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Photoprotection (sunscreen SPF)</w:t>
            </w:r>
          </w:p>
        </w:tc>
        <w:tc>
          <w:tcPr>
            <w:tcW w:type="dxa" w:w="1655"/>
            <w:vAlign w:val="top"/>
          </w:tcPr>
          <w:p>
            <w:pPr>
              <w:spacing w:after="40" w:before="0" w:line="259" w:lineRule="auto"/>
            </w:pPr>
            <w:r>
              <w:rPr>
                <w:rFonts w:ascii="Calibri" w:hAnsi="Calibri"/>
                <w:b w:val="0"/>
                <w:i w:val="0"/>
                <w:color w:val="212121"/>
                <w:sz w:val="19"/>
              </w:rPr>
              <w:t>Dermatomyositis</w:t>
            </w:r>
          </w:p>
        </w:tc>
        <w:tc>
          <w:tcPr>
            <w:tcW w:type="dxa" w:w="1512"/>
            <w:vAlign w:val="top"/>
          </w:tcPr>
          <w:p>
            <w:pPr>
              <w:spacing w:after="40" w:before="0" w:line="259" w:lineRule="auto"/>
            </w:pPr>
            <w:r>
              <w:rPr>
                <w:rFonts w:ascii="Calibri" w:hAnsi="Calibri"/>
                <w:b w:val="0"/>
                <w:i w:val="0"/>
                <w:color w:val="212121"/>
                <w:sz w:val="19"/>
              </w:rPr>
              <w:t>Broad-spectrum SPF ≥ 50 + sun avoidance</w:t>
            </w:r>
          </w:p>
        </w:tc>
        <w:tc>
          <w:tcPr>
            <w:tcW w:type="dxa" w:w="1512"/>
            <w:vAlign w:val="top"/>
          </w:tcPr>
          <w:p>
            <w:pPr>
              <w:spacing w:after="40" w:before="0" w:line="259" w:lineRule="auto"/>
            </w:pPr>
            <w:r>
              <w:rPr>
                <w:rFonts w:ascii="Calibri" w:hAnsi="Calibri"/>
                <w:b w:val="0"/>
                <w:i w:val="0"/>
                <w:color w:val="212121"/>
                <w:sz w:val="19"/>
              </w:rPr>
              <w:t>Unprotected ultraviolet exposure</w:t>
            </w:r>
          </w:p>
        </w:tc>
        <w:tc>
          <w:tcPr>
            <w:tcW w:type="dxa" w:w="1468"/>
            <w:vAlign w:val="top"/>
          </w:tcPr>
          <w:p>
            <w:pPr>
              <w:spacing w:after="60" w:line="259" w:lineRule="auto"/>
            </w:pPr>
            <w:r>
              <w:rPr>
                <w:rFonts w:ascii="Calibri" w:hAnsi="Calibri"/>
                <w:b w:val="0"/>
                <w:i w:val="0"/>
                <w:color w:val="212121"/>
                <w:sz w:val="19"/>
              </w:rPr>
              <w:t>UV light aggravates the photosensitive DM rash</w:t>
            </w:r>
          </w:p>
          <w:p>
            <w:pPr>
              <w:spacing w:after="40" w:line="252" w:lineRule="auto"/>
            </w:pPr>
            <w:hyperlink r:id="rId13">
              <w:r>
                <w:rPr>
                  <w:rFonts w:ascii="Calibri" w:hAnsi="Calibri" w:cs="Calibri"/>
                  <w:sz w:val="18"/>
                  <w:color w:val="1155CC"/>
                  <w:u w:val="single"/>
                </w:rPr>
                <w:t xml:space="preserve">https://www.mayoclinic.org/diseases-conditions/dermatomyositis/symptoms-causes/syc-20353188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ILD surveillance (DLCO / FVC)</w:t>
            </w:r>
          </w:p>
        </w:tc>
        <w:tc>
          <w:tcPr>
            <w:tcW w:type="dxa" w:w="1655"/>
            <w:vAlign w:val="top"/>
          </w:tcPr>
          <w:p>
            <w:pPr>
              <w:spacing w:after="40" w:before="0" w:line="259" w:lineRule="auto"/>
            </w:pPr>
            <w:r>
              <w:rPr>
                <w:rFonts w:ascii="Calibri" w:hAnsi="Calibri"/>
                <w:b w:val="0"/>
                <w:i w:val="0"/>
                <w:color w:val="212121"/>
                <w:sz w:val="19"/>
              </w:rPr>
              <w:t>Anti-MDA5 / anti-Jo-1 patients</w:t>
            </w:r>
          </w:p>
        </w:tc>
        <w:tc>
          <w:tcPr>
            <w:tcW w:type="dxa" w:w="1512"/>
            <w:vAlign w:val="top"/>
          </w:tcPr>
          <w:p>
            <w:pPr>
              <w:spacing w:after="40" w:before="0" w:line="259" w:lineRule="auto"/>
            </w:pPr>
            <w:r>
              <w:rPr>
                <w:rFonts w:ascii="Calibri" w:hAnsi="Calibri"/>
                <w:b w:val="0"/>
                <w:i w:val="0"/>
                <w:color w:val="212121"/>
                <w:sz w:val="19"/>
              </w:rPr>
              <w:t>Normal, stable DLCO and FVC</w:t>
            </w:r>
          </w:p>
        </w:tc>
        <w:tc>
          <w:tcPr>
            <w:tcW w:type="dxa" w:w="1512"/>
            <w:vAlign w:val="top"/>
          </w:tcPr>
          <w:p>
            <w:pPr>
              <w:spacing w:after="40" w:before="0" w:line="259" w:lineRule="auto"/>
            </w:pPr>
            <w:r>
              <w:rPr>
                <w:rFonts w:ascii="Calibri" w:hAnsi="Calibri"/>
                <w:b w:val="0"/>
                <w:i w:val="0"/>
                <w:color w:val="212121"/>
                <w:sz w:val="19"/>
              </w:rPr>
              <w:t>Falling DLCO/FVC or new breathlessness</w:t>
            </w:r>
          </w:p>
        </w:tc>
        <w:tc>
          <w:tcPr>
            <w:tcW w:type="dxa" w:w="1468"/>
            <w:vAlign w:val="top"/>
          </w:tcPr>
          <w:p>
            <w:pPr>
              <w:spacing w:after="60" w:line="259" w:lineRule="auto"/>
            </w:pPr>
            <w:r>
              <w:rPr>
                <w:rFonts w:ascii="Calibri" w:hAnsi="Calibri"/>
                <w:b w:val="0"/>
                <w:i w:val="0"/>
                <w:color w:val="212121"/>
                <w:sz w:val="19"/>
              </w:rPr>
              <w:t>Interstitial lung disease is a leading cause of death and needs early detection</w:t>
            </w:r>
          </w:p>
          <w:p>
            <w:pPr>
              <w:spacing w:after="40" w:line="252" w:lineRule="auto"/>
            </w:pPr>
            <w:hyperlink r:id="rId9">
              <w:r>
                <w:rPr>
                  <w:rFonts w:ascii="Calibri" w:hAnsi="Calibri" w:cs="Calibri"/>
                  <w:sz w:val="18"/>
                  <w:color w:val="1155CC"/>
                  <w:u w:val="single"/>
                </w:rPr>
                <w:t xml:space="preserve">https://www.ncbi.nlm.nih.gov/books/NBK558917/</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Patients on corticosteroids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Deficiency common in India; correct to protect bone during steroid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Steroid-treated / dysphagic patients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Falling weight (dysphagia) or ≥ 25 (steroid gain)</w:t>
            </w:r>
          </w:p>
        </w:tc>
        <w:tc>
          <w:tcPr>
            <w:tcW w:type="dxa" w:w="1468"/>
            <w:vAlign w:val="top"/>
          </w:tcPr>
          <w:p>
            <w:pPr>
              <w:spacing w:after="40" w:before="0" w:line="259" w:lineRule="auto"/>
            </w:pPr>
            <w:r>
              <w:rPr>
                <w:rFonts w:ascii="Calibri" w:hAnsi="Calibri"/>
                <w:b w:val="0"/>
                <w:i w:val="0"/>
                <w:color w:val="212121"/>
                <w:sz w:val="19"/>
              </w:rPr>
              <w:t>Weight falls with dysphagia and rises with steroids; both need attention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intake</w:t>
            </w:r>
          </w:p>
        </w:tc>
        <w:tc>
          <w:tcPr>
            <w:tcW w:type="dxa" w:w="1655"/>
            <w:vAlign w:val="top"/>
          </w:tcPr>
          <w:p>
            <w:pPr>
              <w:spacing w:after="40" w:before="0" w:line="259" w:lineRule="auto"/>
            </w:pPr>
            <w:r>
              <w:rPr>
                <w:rFonts w:ascii="Calibri" w:hAnsi="Calibri"/>
                <w:b w:val="0"/>
                <w:i w:val="0"/>
                <w:color w:val="212121"/>
                <w:sz w:val="19"/>
              </w:rPr>
              <w:t>Steroid-treated adults</w:t>
            </w:r>
          </w:p>
        </w:tc>
        <w:tc>
          <w:tcPr>
            <w:tcW w:type="dxa" w:w="1512"/>
            <w:vAlign w:val="top"/>
          </w:tcPr>
          <w:p>
            <w:pPr>
              <w:spacing w:after="40" w:before="0" w:line="259" w:lineRule="auto"/>
            </w:pPr>
            <w:r>
              <w:rPr>
                <w:rFonts w:ascii="Calibri" w:hAnsi="Calibri"/>
                <w:b w:val="0"/>
                <w:i w:val="0"/>
                <w:color w:val="212121"/>
                <w:sz w:val="19"/>
              </w:rPr>
              <w:t>≈ 1.0–1.2 g/kg/day</w:t>
            </w:r>
          </w:p>
        </w:tc>
        <w:tc>
          <w:tcPr>
            <w:tcW w:type="dxa" w:w="1512"/>
            <w:vAlign w:val="top"/>
          </w:tcPr>
          <w:p>
            <w:pPr>
              <w:spacing w:after="40" w:before="0" w:line="259" w:lineRule="auto"/>
            </w:pPr>
            <w:r>
              <w:rPr>
                <w:rFonts w:ascii="Calibri" w:hAnsi="Calibri"/>
                <w:b w:val="0"/>
                <w:i w:val="0"/>
                <w:color w:val="212121"/>
                <w:sz w:val="19"/>
              </w:rPr>
              <w:t>Low protein intake</w:t>
            </w:r>
          </w:p>
        </w:tc>
        <w:tc>
          <w:tcPr>
            <w:tcW w:type="dxa" w:w="1468"/>
            <w:vAlign w:val="top"/>
          </w:tcPr>
          <w:p>
            <w:pPr>
              <w:spacing w:after="40" w:before="0" w:line="259" w:lineRule="auto"/>
            </w:pPr>
            <w:r>
              <w:rPr>
                <w:rFonts w:ascii="Calibri" w:hAnsi="Calibri"/>
                <w:b w:val="0"/>
                <w:i w:val="0"/>
                <w:color w:val="212121"/>
                <w:sz w:val="19"/>
              </w:rPr>
              <w:t>Adequate protein counters steroid and disuse muscle catabolism</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with IIM/ILD</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worsens lung and cardiovascular risk in a lung-threatened disease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Patients on methotrexate/azathioprine</w:t>
            </w:r>
          </w:p>
        </w:tc>
        <w:tc>
          <w:tcPr>
            <w:tcW w:type="dxa" w:w="1512"/>
            <w:vAlign w:val="top"/>
          </w:tcPr>
          <w:p>
            <w:pPr>
              <w:spacing w:after="40" w:before="0" w:line="259" w:lineRule="auto"/>
            </w:pPr>
            <w:r>
              <w:rPr>
                <w:rFonts w:ascii="Calibri" w:hAnsi="Calibri"/>
                <w:b w:val="0"/>
                <w:i w:val="0"/>
                <w:color w:val="212121"/>
                <w:sz w:val="19"/>
              </w:rPr>
              <w:t>Minimal; alcohol-free days</w:t>
            </w:r>
          </w:p>
        </w:tc>
        <w:tc>
          <w:tcPr>
            <w:tcW w:type="dxa" w:w="1512"/>
            <w:vAlign w:val="top"/>
          </w:tcPr>
          <w:p>
            <w:pPr>
              <w:spacing w:after="40" w:before="0" w:line="259" w:lineRule="auto"/>
            </w:pPr>
            <w:r>
              <w:rPr>
                <w:rFonts w:ascii="Calibri" w:hAnsi="Calibri"/>
                <w:b w:val="0"/>
                <w:i w:val="0"/>
                <w:color w:val="212121"/>
                <w:sz w:val="19"/>
              </w:rPr>
              <w:t>Regular / heavy intake</w:t>
            </w:r>
          </w:p>
        </w:tc>
        <w:tc>
          <w:tcPr>
            <w:tcW w:type="dxa" w:w="1468"/>
            <w:vAlign w:val="top"/>
          </w:tcPr>
          <w:p>
            <w:pPr>
              <w:spacing w:after="40" w:before="0" w:line="259" w:lineRule="auto"/>
            </w:pPr>
            <w:r>
              <w:rPr>
                <w:rFonts w:ascii="Calibri" w:hAnsi="Calibri"/>
                <w:b w:val="0"/>
                <w:i w:val="0"/>
                <w:color w:val="212121"/>
                <w:sz w:val="19"/>
              </w:rPr>
              <w:t>Aggravates drug hepatotoxicity and steroid bone loss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All IIM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w:t>
            </w:r>
          </w:p>
        </w:tc>
        <w:tc>
          <w:tcPr>
            <w:tcW w:type="dxa" w:w="1468"/>
            <w:vAlign w:val="top"/>
          </w:tcPr>
          <w:p>
            <w:pPr>
              <w:spacing w:after="40" w:before="0" w:line="259" w:lineRule="auto"/>
            </w:pPr>
            <w:r>
              <w:rPr>
                <w:rFonts w:ascii="Calibri" w:hAnsi="Calibri"/>
                <w:b w:val="0"/>
                <w:i w:val="0"/>
                <w:color w:val="212121"/>
                <w:sz w:val="19"/>
              </w:rPr>
              <w:t>Depression/anxiety common with disability, steroids and altered body image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Vaccination &amp; latent-TB screen</w:t>
            </w:r>
          </w:p>
        </w:tc>
        <w:tc>
          <w:tcPr>
            <w:tcW w:type="dxa" w:w="1655"/>
            <w:vAlign w:val="top"/>
          </w:tcPr>
          <w:p>
            <w:pPr>
              <w:spacing w:after="40" w:before="0" w:line="259" w:lineRule="auto"/>
            </w:pPr>
            <w:r>
              <w:rPr>
                <w:rFonts w:ascii="Calibri" w:hAnsi="Calibri"/>
                <w:b w:val="0"/>
                <w:i w:val="0"/>
                <w:color w:val="212121"/>
                <w:sz w:val="19"/>
              </w:rPr>
              <w:t>Before/on immunosuppression</w:t>
            </w:r>
          </w:p>
        </w:tc>
        <w:tc>
          <w:tcPr>
            <w:tcW w:type="dxa" w:w="1512"/>
            <w:vAlign w:val="top"/>
          </w:tcPr>
          <w:p>
            <w:pPr>
              <w:spacing w:after="40" w:before="0" w:line="259" w:lineRule="auto"/>
            </w:pPr>
            <w:r>
              <w:rPr>
                <w:rFonts w:ascii="Calibri" w:hAnsi="Calibri"/>
                <w:b w:val="0"/>
                <w:i w:val="0"/>
                <w:color w:val="212121"/>
                <w:sz w:val="19"/>
              </w:rPr>
              <w:t>Up to date; TB screened/treated</w:t>
            </w:r>
          </w:p>
        </w:tc>
        <w:tc>
          <w:tcPr>
            <w:tcW w:type="dxa" w:w="1512"/>
            <w:vAlign w:val="top"/>
          </w:tcPr>
          <w:p>
            <w:pPr>
              <w:spacing w:after="40" w:before="0" w:line="259" w:lineRule="auto"/>
            </w:pPr>
            <w:r>
              <w:rPr>
                <w:rFonts w:ascii="Calibri" w:hAnsi="Calibri"/>
                <w:b w:val="0"/>
                <w:i w:val="0"/>
                <w:color w:val="212121"/>
                <w:sz w:val="19"/>
              </w:rPr>
              <w:t>Unscreened before immunosuppression</w:t>
            </w:r>
          </w:p>
        </w:tc>
        <w:tc>
          <w:tcPr>
            <w:tcW w:type="dxa" w:w="1468"/>
            <w:vAlign w:val="top"/>
          </w:tcPr>
          <w:p>
            <w:pPr>
              <w:spacing w:after="40" w:before="0" w:line="259" w:lineRule="auto"/>
            </w:pPr>
            <w:r>
              <w:rPr>
                <w:rFonts w:ascii="Calibri" w:hAnsi="Calibri"/>
                <w:b w:val="0"/>
                <w:i w:val="0"/>
                <w:color w:val="212121"/>
                <w:sz w:val="19"/>
              </w:rPr>
              <w:t>Infection, including TB reactivation, is a major treatment risk in India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Creatine kinase (CK/CPK)</w:t>
            </w:r>
          </w:p>
        </w:tc>
        <w:tc>
          <w:tcPr>
            <w:tcW w:type="dxa" w:w="892"/>
            <w:vAlign w:val="top"/>
          </w:tcPr>
          <w:p>
            <w:pPr>
              <w:spacing w:after="40" w:before="0" w:line="259" w:lineRule="auto"/>
            </w:pPr>
            <w:r>
              <w:rPr>
                <w:rFonts w:ascii="Calibri" w:hAnsi="Calibri"/>
                <w:b w:val="0"/>
                <w:i w:val="0"/>
                <w:color w:val="212121"/>
                <w:sz w:val="16"/>
              </w:rPr>
              <w:t>Muscle enzyme panel</w:t>
            </w:r>
          </w:p>
        </w:tc>
        <w:tc>
          <w:tcPr>
            <w:tcW w:type="dxa" w:w="950"/>
            <w:vAlign w:val="top"/>
          </w:tcPr>
          <w:p>
            <w:pPr>
              <w:spacing w:after="40" w:before="0" w:line="259" w:lineRule="auto"/>
            </w:pPr>
            <w:r>
              <w:rPr>
                <w:rFonts w:ascii="Calibri" w:hAnsi="Calibri"/>
                <w:b w:val="0"/>
                <w:i w:val="0"/>
                <w:color w:val="212121"/>
                <w:sz w:val="16"/>
              </w:rPr>
              <w:t>≈ 30–200 U/L (sex/lab dependent)</w:t>
            </w:r>
          </w:p>
        </w:tc>
        <w:tc>
          <w:tcPr>
            <w:tcW w:type="dxa" w:w="950"/>
            <w:vAlign w:val="top"/>
          </w:tcPr>
          <w:p>
            <w:pPr>
              <w:spacing w:after="40" w:before="0" w:line="259" w:lineRule="auto"/>
            </w:pPr>
            <w:r>
              <w:rPr>
                <w:rFonts w:ascii="Calibri" w:hAnsi="Calibri"/>
                <w:b w:val="0"/>
                <w:i w:val="0"/>
                <w:color w:val="212121"/>
                <w:sz w:val="16"/>
              </w:rPr>
              <w:t>Elevated (very high in necrotizing myopathy)</w:t>
            </w:r>
          </w:p>
        </w:tc>
        <w:tc>
          <w:tcPr>
            <w:tcW w:type="dxa" w:w="1036"/>
            <w:vAlign w:val="top"/>
          </w:tcPr>
          <w:p>
            <w:pPr>
              <w:spacing w:after="40" w:before="0" w:line="259" w:lineRule="auto"/>
            </w:pPr>
            <w:r>
              <w:rPr>
                <w:rFonts w:ascii="Calibri" w:hAnsi="Calibri"/>
                <w:b w:val="0"/>
                <w:i w:val="0"/>
                <w:color w:val="212121"/>
                <w:sz w:val="16"/>
              </w:rPr>
              <w:t>Principal marker of muscle inflammation; broadly tracks activity but may be normal in inclusion body myositis and amyopathic dermatomyositis.</w:t>
            </w:r>
          </w:p>
        </w:tc>
        <w:tc>
          <w:tcPr>
            <w:tcW w:type="dxa" w:w="1036"/>
            <w:vAlign w:val="top"/>
          </w:tcPr>
          <w:p>
            <w:pPr>
              <w:spacing w:after="40" w:before="0" w:line="259" w:lineRule="auto"/>
            </w:pPr>
            <w:r>
              <w:rPr>
                <w:rFonts w:ascii="Calibri" w:hAnsi="Calibri"/>
                <w:b w:val="0"/>
                <w:i w:val="0"/>
                <w:color w:val="212121"/>
                <w:sz w:val="16"/>
              </w:rPr>
              <w:t>Suspected/known myositis, high-CK weakness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 screen</w:t>
            </w:r>
          </w:p>
        </w:tc>
        <w:tc>
          <w:tcPr>
            <w:tcW w:type="dxa" w:w="720"/>
            <w:vAlign w:val="top"/>
          </w:tcPr>
          <w:p>
            <w:pPr>
              <w:spacing w:after="40" w:before="0" w:line="259" w:lineRule="auto"/>
            </w:pPr>
            <w:r>
              <w:rPr>
                <w:rFonts w:ascii="Calibri" w:hAnsi="Calibri"/>
                <w:b w:val="0"/>
                <w:i w:val="0"/>
                <w:color w:val="212121"/>
                <w:sz w:val="16"/>
              </w:rPr>
              <w:t>Confirm with a rested sample; correlate with strength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Aldolase, AST, ALT, LDH</w:t>
            </w:r>
          </w:p>
        </w:tc>
        <w:tc>
          <w:tcPr>
            <w:tcW w:type="dxa" w:w="892"/>
            <w:vAlign w:val="top"/>
          </w:tcPr>
          <w:p>
            <w:pPr>
              <w:spacing w:after="40" w:before="0" w:line="259" w:lineRule="auto"/>
            </w:pPr>
            <w:r>
              <w:rPr>
                <w:rFonts w:ascii="Calibri" w:hAnsi="Calibri"/>
                <w:b w:val="0"/>
                <w:i w:val="0"/>
                <w:color w:val="212121"/>
                <w:sz w:val="16"/>
              </w:rPr>
              <w:t>Adjunct muscle enzymes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Support muscle origin of raised transaminases and can be abnormal when CK is only mildly raised.</w:t>
            </w:r>
          </w:p>
        </w:tc>
        <w:tc>
          <w:tcPr>
            <w:tcW w:type="dxa" w:w="1036"/>
            <w:vAlign w:val="top"/>
          </w:tcPr>
          <w:p>
            <w:pPr>
              <w:spacing w:after="40" w:before="0" w:line="259" w:lineRule="auto"/>
            </w:pPr>
            <w:r>
              <w:rPr>
                <w:rFonts w:ascii="Calibri" w:hAnsi="Calibri"/>
                <w:b w:val="0"/>
                <w:i w:val="0"/>
                <w:color w:val="212121"/>
                <w:sz w:val="16"/>
              </w:rPr>
              <w:t>Myositis with normal/mildly raised CK</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Prevents mislabelling muscle-derived AST/ALT as liver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Myositis-specific/associated antibodies</w:t>
            </w:r>
          </w:p>
        </w:tc>
        <w:tc>
          <w:tcPr>
            <w:tcW w:type="dxa" w:w="892"/>
            <w:vAlign w:val="top"/>
          </w:tcPr>
          <w:p>
            <w:pPr>
              <w:spacing w:after="40" w:before="0" w:line="259" w:lineRule="auto"/>
            </w:pPr>
            <w:r>
              <w:rPr>
                <w:rFonts w:ascii="Calibri" w:hAnsi="Calibri"/>
                <w:b w:val="0"/>
                <w:i w:val="0"/>
                <w:color w:val="212121"/>
                <w:sz w:val="16"/>
              </w:rPr>
              <w:t>MSA/MAA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Anti-Jo-1/synthetase, Mi-2, MDA5, SRP, HMGCR, TIF1-γ, NXP2 positive</w:t>
            </w:r>
          </w:p>
        </w:tc>
        <w:tc>
          <w:tcPr>
            <w:tcW w:type="dxa" w:w="1036"/>
            <w:vAlign w:val="top"/>
          </w:tcPr>
          <w:p>
            <w:pPr>
              <w:spacing w:after="40" w:before="0" w:line="259" w:lineRule="auto"/>
            </w:pPr>
            <w:r>
              <w:rPr>
                <w:rFonts w:ascii="Calibri" w:hAnsi="Calibri"/>
                <w:b w:val="0"/>
                <w:i w:val="0"/>
                <w:color w:val="212121"/>
                <w:sz w:val="16"/>
              </w:rPr>
              <w:t>Define subtype and predict complications — anti-MDA5/anti-Jo-1 (lung), anti-TIF1-γ/NXP2 (malignancy), anti-HMGCR/SRP (necrotizing myopathy).</w:t>
            </w:r>
          </w:p>
        </w:tc>
        <w:tc>
          <w:tcPr>
            <w:tcW w:type="dxa" w:w="1036"/>
            <w:vAlign w:val="top"/>
          </w:tcPr>
          <w:p>
            <w:pPr>
              <w:spacing w:after="40" w:before="0" w:line="259" w:lineRule="auto"/>
            </w:pPr>
            <w:r>
              <w:rPr>
                <w:rFonts w:ascii="Calibri" w:hAnsi="Calibri"/>
                <w:b w:val="0"/>
                <w:i w:val="0"/>
                <w:color w:val="212121"/>
                <w:sz w:val="16"/>
              </w:rPr>
              <w:t>All new IIM; ILD or malignancy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Antibody guides screening and therapy intensity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Electrodiagnostic</w:t>
            </w:r>
          </w:p>
        </w:tc>
        <w:tc>
          <w:tcPr>
            <w:tcW w:type="dxa" w:w="1036"/>
            <w:vAlign w:val="top"/>
          </w:tcPr>
          <w:p>
            <w:pPr>
              <w:spacing w:after="40" w:before="0" w:line="259" w:lineRule="auto"/>
            </w:pPr>
            <w:r>
              <w:rPr>
                <w:rFonts w:ascii="Calibri" w:hAnsi="Calibri"/>
                <w:b w:val="0"/>
                <w:i w:val="0"/>
                <w:color w:val="212121"/>
                <w:sz w:val="16"/>
              </w:rPr>
              <w:t>Electromyography (EMG)</w:t>
            </w:r>
          </w:p>
        </w:tc>
        <w:tc>
          <w:tcPr>
            <w:tcW w:type="dxa" w:w="892"/>
            <w:vAlign w:val="top"/>
          </w:tcPr>
          <w:p>
            <w:pPr>
              <w:spacing w:after="40" w:before="0" w:line="259" w:lineRule="auto"/>
            </w:pPr>
            <w:r>
              <w:rPr>
                <w:rFonts w:ascii="Calibri" w:hAnsi="Calibri"/>
                <w:b w:val="0"/>
                <w:i w:val="0"/>
                <w:color w:val="212121"/>
                <w:sz w:val="16"/>
              </w:rPr>
              <w:t>Nerve/muscle study</w:t>
            </w:r>
          </w:p>
        </w:tc>
        <w:tc>
          <w:tcPr>
            <w:tcW w:type="dxa" w:w="950"/>
            <w:vAlign w:val="top"/>
          </w:tcPr>
          <w:p>
            <w:pPr>
              <w:spacing w:after="40" w:before="0" w:line="259" w:lineRule="auto"/>
            </w:pPr>
            <w:r>
              <w:rPr>
                <w:rFonts w:ascii="Calibri" w:hAnsi="Calibri"/>
                <w:b w:val="0"/>
                <w:i w:val="0"/>
                <w:color w:val="212121"/>
                <w:sz w:val="16"/>
              </w:rPr>
              <w:t>Normal motor units</w:t>
            </w:r>
          </w:p>
        </w:tc>
        <w:tc>
          <w:tcPr>
            <w:tcW w:type="dxa" w:w="950"/>
            <w:vAlign w:val="top"/>
          </w:tcPr>
          <w:p>
            <w:pPr>
              <w:spacing w:after="40" w:before="0" w:line="259" w:lineRule="auto"/>
            </w:pPr>
            <w:r>
              <w:rPr>
                <w:rFonts w:ascii="Calibri" w:hAnsi="Calibri"/>
                <w:b w:val="0"/>
                <w:i w:val="0"/>
                <w:color w:val="212121"/>
                <w:sz w:val="16"/>
              </w:rPr>
              <w:t>Myopathic units with fibrillations/positive sharp waves</w:t>
            </w:r>
          </w:p>
        </w:tc>
        <w:tc>
          <w:tcPr>
            <w:tcW w:type="dxa" w:w="1036"/>
            <w:vAlign w:val="top"/>
          </w:tcPr>
          <w:p>
            <w:pPr>
              <w:spacing w:after="40" w:before="0" w:line="259" w:lineRule="auto"/>
            </w:pPr>
            <w:r>
              <w:rPr>
                <w:rFonts w:ascii="Calibri" w:hAnsi="Calibri"/>
                <w:b w:val="0"/>
                <w:i w:val="0"/>
                <w:color w:val="212121"/>
                <w:sz w:val="16"/>
              </w:rPr>
              <w:t>Confirms an active myopathic process and helps target the biopsy; excludes neuropathic mimics.</w:t>
            </w:r>
          </w:p>
        </w:tc>
        <w:tc>
          <w:tcPr>
            <w:tcW w:type="dxa" w:w="1036"/>
            <w:vAlign w:val="top"/>
          </w:tcPr>
          <w:p>
            <w:pPr>
              <w:spacing w:after="40" w:before="0" w:line="259" w:lineRule="auto"/>
            </w:pPr>
            <w:r>
              <w:rPr>
                <w:rFonts w:ascii="Calibri" w:hAnsi="Calibri"/>
                <w:b w:val="0"/>
                <w:i w:val="0"/>
                <w:color w:val="212121"/>
                <w:sz w:val="16"/>
              </w:rPr>
              <w:t>Proximal weakness under evaluation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Sample the contralateral side to the planned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Muscle biopsy</w:t>
            </w:r>
          </w:p>
        </w:tc>
        <w:tc>
          <w:tcPr>
            <w:tcW w:type="dxa" w:w="892"/>
            <w:vAlign w:val="top"/>
          </w:tcPr>
          <w:p>
            <w:pPr>
              <w:spacing w:after="40" w:before="0" w:line="259" w:lineRule="auto"/>
            </w:pPr>
            <w:r>
              <w:rPr>
                <w:rFonts w:ascii="Calibri" w:hAnsi="Calibri"/>
                <w:b w:val="0"/>
                <w:i w:val="0"/>
                <w:color w:val="212121"/>
                <w:sz w:val="16"/>
              </w:rPr>
              <w:t>Muscle histology/immunohistochem</w:t>
            </w:r>
          </w:p>
        </w:tc>
        <w:tc>
          <w:tcPr>
            <w:tcW w:type="dxa" w:w="950"/>
            <w:vAlign w:val="top"/>
          </w:tcPr>
          <w:p>
            <w:pPr>
              <w:spacing w:after="40" w:before="0" w:line="259" w:lineRule="auto"/>
            </w:pPr>
            <w:r>
              <w:rPr>
                <w:rFonts w:ascii="Calibri" w:hAnsi="Calibri"/>
                <w:b w:val="0"/>
                <w:i w:val="0"/>
                <w:color w:val="212121"/>
                <w:sz w:val="16"/>
              </w:rPr>
              <w:t>No inflammation/necrosis</w:t>
            </w:r>
          </w:p>
        </w:tc>
        <w:tc>
          <w:tcPr>
            <w:tcW w:type="dxa" w:w="950"/>
            <w:vAlign w:val="top"/>
          </w:tcPr>
          <w:p>
            <w:pPr>
              <w:spacing w:after="40" w:before="0" w:line="259" w:lineRule="auto"/>
            </w:pPr>
            <w:r>
              <w:rPr>
                <w:rFonts w:ascii="Calibri" w:hAnsi="Calibri"/>
                <w:b w:val="0"/>
                <w:i w:val="0"/>
                <w:color w:val="212121"/>
                <w:sz w:val="16"/>
              </w:rPr>
              <w:t>Perifascicular atrophy / endomysial CD8+ / rimmed vacuoles / necrosis</w:t>
            </w:r>
          </w:p>
        </w:tc>
        <w:tc>
          <w:tcPr>
            <w:tcW w:type="dxa" w:w="1036"/>
            <w:vAlign w:val="top"/>
          </w:tcPr>
          <w:p>
            <w:pPr>
              <w:spacing w:after="40" w:before="0" w:line="259" w:lineRule="auto"/>
            </w:pPr>
            <w:r>
              <w:rPr>
                <w:rFonts w:ascii="Calibri" w:hAnsi="Calibri"/>
                <w:b w:val="0"/>
                <w:i w:val="0"/>
                <w:color w:val="212121"/>
                <w:sz w:val="16"/>
              </w:rPr>
              <w:t>Defines the subtype: perifascicular atrophy (DM), CD8+ invasion (PM/IBM), rimmed vacuoles (IBM), necrosis with scant inflammation (IMNM).</w:t>
            </w:r>
          </w:p>
        </w:tc>
        <w:tc>
          <w:tcPr>
            <w:tcW w:type="dxa" w:w="1036"/>
            <w:vAlign w:val="top"/>
          </w:tcPr>
          <w:p>
            <w:pPr>
              <w:spacing w:after="40" w:before="0" w:line="259" w:lineRule="auto"/>
            </w:pPr>
            <w:r>
              <w:rPr>
                <w:rFonts w:ascii="Calibri" w:hAnsi="Calibri"/>
                <w:b w:val="0"/>
                <w:i w:val="0"/>
                <w:color w:val="212121"/>
                <w:sz w:val="16"/>
              </w:rPr>
              <w:t>Most suspected IIM (esp. atypical)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(definitive)</w:t>
            </w:r>
          </w:p>
        </w:tc>
        <w:tc>
          <w:tcPr>
            <w:tcW w:type="dxa" w:w="720"/>
            <w:vAlign w:val="top"/>
          </w:tcPr>
          <w:p>
            <w:pPr>
              <w:spacing w:after="40" w:before="0" w:line="259" w:lineRule="auto"/>
            </w:pPr>
            <w:r>
              <w:rPr>
                <w:rFonts w:ascii="Calibri" w:hAnsi="Calibri"/>
                <w:b w:val="0"/>
                <w:i w:val="0"/>
                <w:color w:val="212121"/>
                <w:sz w:val="16"/>
              </w:rPr>
              <w:t>Biopsy a moderately weak, non-end-stage muscle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Muscle MRI (STIR/T2)</w:t>
            </w:r>
          </w:p>
        </w:tc>
        <w:tc>
          <w:tcPr>
            <w:tcW w:type="dxa" w:w="892"/>
            <w:vAlign w:val="top"/>
          </w:tcPr>
          <w:p>
            <w:pPr>
              <w:spacing w:after="40" w:before="0" w:line="259" w:lineRule="auto"/>
            </w:pPr>
            <w:r>
              <w:rPr>
                <w:rFonts w:ascii="Calibri" w:hAnsi="Calibri"/>
                <w:b w:val="0"/>
                <w:i w:val="0"/>
                <w:color w:val="212121"/>
                <w:sz w:val="16"/>
              </w:rPr>
              <w:t>Muscle imaging</w:t>
            </w:r>
          </w:p>
        </w:tc>
        <w:tc>
          <w:tcPr>
            <w:tcW w:type="dxa" w:w="950"/>
            <w:vAlign w:val="top"/>
          </w:tcPr>
          <w:p>
            <w:pPr>
              <w:spacing w:after="40" w:before="0" w:line="259" w:lineRule="auto"/>
            </w:pPr>
            <w:r>
              <w:rPr>
                <w:rFonts w:ascii="Calibri" w:hAnsi="Calibri"/>
                <w:b w:val="0"/>
                <w:i w:val="0"/>
                <w:color w:val="212121"/>
                <w:sz w:val="16"/>
              </w:rPr>
              <w:t>No oedema</w:t>
            </w:r>
          </w:p>
        </w:tc>
        <w:tc>
          <w:tcPr>
            <w:tcW w:type="dxa" w:w="950"/>
            <w:vAlign w:val="top"/>
          </w:tcPr>
          <w:p>
            <w:pPr>
              <w:spacing w:after="40" w:before="0" w:line="259" w:lineRule="auto"/>
            </w:pPr>
            <w:r>
              <w:rPr>
                <w:rFonts w:ascii="Calibri" w:hAnsi="Calibri"/>
                <w:b w:val="0"/>
                <w:i w:val="0"/>
                <w:color w:val="212121"/>
                <w:sz w:val="16"/>
              </w:rPr>
              <w:t>Muscle oedema (active) ± fatty replacement (chronic)</w:t>
            </w:r>
          </w:p>
        </w:tc>
        <w:tc>
          <w:tcPr>
            <w:tcW w:type="dxa" w:w="1036"/>
            <w:vAlign w:val="top"/>
          </w:tcPr>
          <w:p>
            <w:pPr>
              <w:spacing w:after="40" w:before="0" w:line="259" w:lineRule="auto"/>
            </w:pPr>
            <w:r>
              <w:rPr>
                <w:rFonts w:ascii="Calibri" w:hAnsi="Calibri"/>
                <w:b w:val="0"/>
                <w:i w:val="0"/>
                <w:color w:val="212121"/>
                <w:sz w:val="16"/>
              </w:rPr>
              <w:t>Detects active inflammation, guides the biopsy site and distinguishes active disease from chronic damage or steroid myopathy.</w:t>
            </w:r>
          </w:p>
        </w:tc>
        <w:tc>
          <w:tcPr>
            <w:tcW w:type="dxa" w:w="1036"/>
            <w:vAlign w:val="top"/>
          </w:tcPr>
          <w:p>
            <w:pPr>
              <w:spacing w:after="40" w:before="0" w:line="259" w:lineRule="auto"/>
            </w:pPr>
            <w:r>
              <w:rPr>
                <w:rFonts w:ascii="Calibri" w:hAnsi="Calibri"/>
                <w:b w:val="0"/>
                <w:i w:val="0"/>
                <w:color w:val="212121"/>
                <w:sz w:val="16"/>
              </w:rPr>
              <w:t>Patchy disease, biopsy planning, flares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Non-invasive; useful for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Pulmonary</w:t>
            </w:r>
          </w:p>
        </w:tc>
        <w:tc>
          <w:tcPr>
            <w:tcW w:type="dxa" w:w="1036"/>
            <w:vAlign w:val="top"/>
          </w:tcPr>
          <w:p>
            <w:pPr>
              <w:spacing w:after="40" w:before="0" w:line="259" w:lineRule="auto"/>
            </w:pPr>
            <w:r>
              <w:rPr>
                <w:rFonts w:ascii="Calibri" w:hAnsi="Calibri"/>
                <w:b w:val="0"/>
                <w:i w:val="0"/>
                <w:color w:val="212121"/>
                <w:sz w:val="16"/>
              </w:rPr>
              <w:t>HRCT chest + pulmonary function</w:t>
            </w:r>
          </w:p>
        </w:tc>
        <w:tc>
          <w:tcPr>
            <w:tcW w:type="dxa" w:w="892"/>
            <w:vAlign w:val="top"/>
          </w:tcPr>
          <w:p>
            <w:pPr>
              <w:spacing w:after="40" w:before="0" w:line="259" w:lineRule="auto"/>
            </w:pPr>
            <w:r>
              <w:rPr>
                <w:rFonts w:ascii="Calibri" w:hAnsi="Calibri"/>
                <w:b w:val="0"/>
                <w:i w:val="0"/>
                <w:color w:val="212121"/>
                <w:sz w:val="16"/>
              </w:rPr>
              <w:t>ILD workup</w:t>
            </w:r>
          </w:p>
        </w:tc>
        <w:tc>
          <w:tcPr>
            <w:tcW w:type="dxa" w:w="950"/>
            <w:vAlign w:val="top"/>
          </w:tcPr>
          <w:p>
            <w:pPr>
              <w:spacing w:after="40" w:before="0" w:line="259" w:lineRule="auto"/>
            </w:pPr>
            <w:r>
              <w:rPr>
                <w:rFonts w:ascii="Calibri" w:hAnsi="Calibri"/>
                <w:b w:val="0"/>
                <w:i w:val="0"/>
                <w:color w:val="212121"/>
                <w:sz w:val="16"/>
              </w:rPr>
              <w:t>Clear lungs; normal DLCO/FVC</w:t>
            </w:r>
          </w:p>
        </w:tc>
        <w:tc>
          <w:tcPr>
            <w:tcW w:type="dxa" w:w="950"/>
            <w:vAlign w:val="top"/>
          </w:tcPr>
          <w:p>
            <w:pPr>
              <w:spacing w:after="40" w:before="0" w:line="259" w:lineRule="auto"/>
            </w:pPr>
            <w:r>
              <w:rPr>
                <w:rFonts w:ascii="Calibri" w:hAnsi="Calibri"/>
                <w:b w:val="0"/>
                <w:i w:val="0"/>
                <w:color w:val="212121"/>
                <w:sz w:val="16"/>
              </w:rPr>
              <w:t>Interstitial pattern; restrictive PFTs / low DLCO</w:t>
            </w:r>
          </w:p>
        </w:tc>
        <w:tc>
          <w:tcPr>
            <w:tcW w:type="dxa" w:w="1036"/>
            <w:vAlign w:val="top"/>
          </w:tcPr>
          <w:p>
            <w:pPr>
              <w:spacing w:after="40" w:before="0" w:line="259" w:lineRule="auto"/>
            </w:pPr>
            <w:r>
              <w:rPr>
                <w:rFonts w:ascii="Calibri" w:hAnsi="Calibri"/>
                <w:b w:val="0"/>
                <w:i w:val="0"/>
                <w:color w:val="212121"/>
                <w:sz w:val="16"/>
              </w:rPr>
              <w:t>Screens for and monitors interstitial lung disease — a leading cause of death, especially with anti-MDA5 (rapidly progressive) and anti-Jo-1.</w:t>
            </w:r>
          </w:p>
        </w:tc>
        <w:tc>
          <w:tcPr>
            <w:tcW w:type="dxa" w:w="1036"/>
            <w:vAlign w:val="top"/>
          </w:tcPr>
          <w:p>
            <w:pPr>
              <w:spacing w:after="40" w:before="0" w:line="259" w:lineRule="auto"/>
            </w:pPr>
            <w:r>
              <w:rPr>
                <w:rFonts w:ascii="Calibri" w:hAnsi="Calibri"/>
                <w:b w:val="0"/>
                <w:i w:val="0"/>
                <w:color w:val="212121"/>
                <w:sz w:val="16"/>
              </w:rPr>
              <w:t>All DM/PM, esp. anti-MDA5/anti-Jo-1</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High / prognostic</w:t>
            </w:r>
          </w:p>
        </w:tc>
        <w:tc>
          <w:tcPr>
            <w:tcW w:type="dxa" w:w="720"/>
            <w:vAlign w:val="top"/>
          </w:tcPr>
          <w:p>
            <w:pPr>
              <w:spacing w:after="40" w:before="0" w:line="259" w:lineRule="auto"/>
            </w:pPr>
            <w:r>
              <w:rPr>
                <w:rFonts w:ascii="Calibri" w:hAnsi="Calibri"/>
                <w:b w:val="0"/>
                <w:i w:val="0"/>
                <w:color w:val="212121"/>
                <w:sz w:val="16"/>
              </w:rPr>
              <w:t>Repeat if new cough or breathlessness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Oncological</w:t>
            </w:r>
          </w:p>
        </w:tc>
        <w:tc>
          <w:tcPr>
            <w:tcW w:type="dxa" w:w="1036"/>
            <w:vAlign w:val="top"/>
          </w:tcPr>
          <w:p>
            <w:pPr>
              <w:spacing w:after="40" w:before="0" w:line="259" w:lineRule="auto"/>
            </w:pPr>
            <w:r>
              <w:rPr>
                <w:rFonts w:ascii="Calibri" w:hAnsi="Calibri"/>
                <w:b w:val="0"/>
                <w:i w:val="0"/>
                <w:color w:val="212121"/>
                <w:sz w:val="16"/>
              </w:rPr>
              <w:t>Age/antibody-guided malignancy screen</w:t>
            </w:r>
          </w:p>
        </w:tc>
        <w:tc>
          <w:tcPr>
            <w:tcW w:type="dxa" w:w="892"/>
            <w:vAlign w:val="top"/>
          </w:tcPr>
          <w:p>
            <w:pPr>
              <w:spacing w:after="40" w:before="0" w:line="259" w:lineRule="auto"/>
            </w:pPr>
            <w:r>
              <w:rPr>
                <w:rFonts w:ascii="Calibri" w:hAnsi="Calibri"/>
                <w:b w:val="0"/>
                <w:i w:val="0"/>
                <w:color w:val="212121"/>
                <w:sz w:val="16"/>
              </w:rPr>
              <w:t>Cancer workup</w:t>
            </w:r>
          </w:p>
        </w:tc>
        <w:tc>
          <w:tcPr>
            <w:tcW w:type="dxa" w:w="950"/>
            <w:vAlign w:val="top"/>
          </w:tcPr>
          <w:p>
            <w:pPr>
              <w:spacing w:after="40" w:before="0" w:line="259" w:lineRule="auto"/>
            </w:pPr>
            <w:r>
              <w:rPr>
                <w:rFonts w:ascii="Calibri" w:hAnsi="Calibri"/>
                <w:b w:val="0"/>
                <w:i w:val="0"/>
                <w:color w:val="212121"/>
                <w:sz w:val="16"/>
              </w:rPr>
              <w:t>No malignancy detected</w:t>
            </w:r>
          </w:p>
        </w:tc>
        <w:tc>
          <w:tcPr>
            <w:tcW w:type="dxa" w:w="950"/>
            <w:vAlign w:val="top"/>
          </w:tcPr>
          <w:p>
            <w:pPr>
              <w:spacing w:after="40" w:before="0" w:line="259" w:lineRule="auto"/>
            </w:pPr>
            <w:r>
              <w:rPr>
                <w:rFonts w:ascii="Calibri" w:hAnsi="Calibri"/>
                <w:b w:val="0"/>
                <w:i w:val="0"/>
                <w:color w:val="212121"/>
                <w:sz w:val="16"/>
              </w:rPr>
              <w:t>Occult carcinoma or lymphoma identified</w:t>
            </w:r>
          </w:p>
        </w:tc>
        <w:tc>
          <w:tcPr>
            <w:tcW w:type="dxa" w:w="1036"/>
            <w:vAlign w:val="top"/>
          </w:tcPr>
          <w:p>
            <w:pPr>
              <w:spacing w:after="40" w:before="0" w:line="259" w:lineRule="auto"/>
            </w:pPr>
            <w:r>
              <w:rPr>
                <w:rFonts w:ascii="Calibri" w:hAnsi="Calibri"/>
                <w:b w:val="0"/>
                <w:i w:val="0"/>
                <w:color w:val="212121"/>
                <w:sz w:val="16"/>
              </w:rPr>
              <w:t>Adult dermatomyositis is paraneoplastic in a substantial minority (about a quarter), highest in the first years and with anti-TIF1-γ; screening is directed by age, sex and antibody.</w:t>
            </w:r>
          </w:p>
        </w:tc>
        <w:tc>
          <w:tcPr>
            <w:tcW w:type="dxa" w:w="1036"/>
            <w:vAlign w:val="top"/>
          </w:tcPr>
          <w:p>
            <w:pPr>
              <w:spacing w:after="40" w:before="0" w:line="259" w:lineRule="auto"/>
            </w:pPr>
            <w:r>
              <w:rPr>
                <w:rFonts w:ascii="Calibri" w:hAnsi="Calibri"/>
                <w:b w:val="0"/>
                <w:i w:val="0"/>
                <w:color w:val="212121"/>
                <w:sz w:val="16"/>
              </w:rPr>
              <w:t>Adult DM, anti-TIF1-γ/NXP2 positive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Includes CT chest/abdomen/pelvis and age-appropriate cancer screening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Difficulty rising, climbing stairs, lifting overhead; rash; swallowing/breathing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The pattern of symmetric proximal weakness (± rash, dysphagia, breathlessness) raises suspicion of inflammatory myositis and drives enzyme and antibody testing.</w:t>
            </w:r>
          </w:p>
        </w:tc>
        <w:tc>
          <w:tcPr>
            <w:tcW w:type="dxa" w:w="1036"/>
            <w:vAlign w:val="top"/>
          </w:tcPr>
          <w:p>
            <w:pPr>
              <w:spacing w:after="40" w:before="0" w:line="259" w:lineRule="auto"/>
            </w:pPr>
            <w:r>
              <w:rPr>
                <w:rFonts w:ascii="Calibri" w:hAnsi="Calibri"/>
                <w:b w:val="0"/>
                <w:i w:val="0"/>
                <w:color w:val="212121"/>
                <w:sz w:val="16"/>
              </w:rPr>
              <w:t>Adults with subacute proximal weakness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stairs, hair-combing and rising from the floor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exposure history</w:t>
            </w:r>
          </w:p>
        </w:tc>
        <w:tc>
          <w:tcPr>
            <w:tcW w:type="dxa" w:w="979"/>
            <w:vAlign w:val="top"/>
          </w:tcPr>
          <w:p>
            <w:pPr>
              <w:spacing w:after="40" w:before="0" w:line="259" w:lineRule="auto"/>
            </w:pPr>
            <w:r>
              <w:rPr>
                <w:rFonts w:ascii="Calibri" w:hAnsi="Calibri"/>
                <w:b w:val="0"/>
                <w:i w:val="0"/>
                <w:color w:val="212121"/>
                <w:sz w:val="16"/>
              </w:rPr>
              <w:t>Statins, checkpoint inhibitors, sun exposure, smoking</w:t>
            </w:r>
          </w:p>
        </w:tc>
        <w:tc>
          <w:tcPr>
            <w:tcW w:type="dxa" w:w="950"/>
            <w:vAlign w:val="top"/>
          </w:tcPr>
          <w:p>
            <w:pPr>
              <w:spacing w:after="40" w:before="0" w:line="259" w:lineRule="auto"/>
            </w:pPr>
            <w:r>
              <w:rPr>
                <w:rFonts w:ascii="Calibri" w:hAnsi="Calibri"/>
                <w:b w:val="0"/>
                <w:i w:val="0"/>
                <w:color w:val="212121"/>
                <w:sz w:val="16"/>
              </w:rPr>
              <w:t>No triggers</w:t>
            </w:r>
          </w:p>
        </w:tc>
        <w:tc>
          <w:tcPr>
            <w:tcW w:type="dxa" w:w="950"/>
            <w:vAlign w:val="top"/>
          </w:tcPr>
          <w:p>
            <w:pPr>
              <w:spacing w:after="40" w:before="0" w:line="259" w:lineRule="auto"/>
            </w:pPr>
            <w:r>
              <w:rPr>
                <w:rFonts w:ascii="Calibri" w:hAnsi="Calibri"/>
                <w:b w:val="0"/>
                <w:i w:val="0"/>
                <w:color w:val="212121"/>
                <w:sz w:val="16"/>
              </w:rPr>
              <w:t>Identifiable trigger present</w:t>
            </w:r>
          </w:p>
        </w:tc>
        <w:tc>
          <w:tcPr>
            <w:tcW w:type="dxa" w:w="1036"/>
            <w:vAlign w:val="top"/>
          </w:tcPr>
          <w:p>
            <w:pPr>
              <w:spacing w:after="40" w:before="0" w:line="259" w:lineRule="auto"/>
            </w:pPr>
            <w:r>
              <w:rPr>
                <w:rFonts w:ascii="Calibri" w:hAnsi="Calibri"/>
                <w:b w:val="0"/>
                <w:i w:val="0"/>
                <w:color w:val="212121"/>
                <w:sz w:val="16"/>
              </w:rPr>
              <w:t>Screens for statin-associated anti-HMGCR necrotizing myopathy, checkpoint-inhibitor myositis and UV-aggravated dermatomyositis.</w:t>
            </w:r>
          </w:p>
        </w:tc>
        <w:tc>
          <w:tcPr>
            <w:tcW w:type="dxa" w:w="1036"/>
            <w:vAlign w:val="top"/>
          </w:tcPr>
          <w:p>
            <w:pPr>
              <w:spacing w:after="40" w:before="0" w:line="259" w:lineRule="auto"/>
            </w:pPr>
            <w:r>
              <w:rPr>
                <w:rFonts w:ascii="Calibri" w:hAnsi="Calibri"/>
                <w:b w:val="0"/>
                <w:i w:val="0"/>
                <w:color w:val="212121"/>
                <w:sz w:val="16"/>
              </w:rPr>
              <w:t>Patients on statins/immunotherapy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Anti-HMGCR weakness persists after stopping the statin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red-flag review</w:t>
            </w:r>
          </w:p>
        </w:tc>
        <w:tc>
          <w:tcPr>
            <w:tcW w:type="dxa" w:w="979"/>
            <w:vAlign w:val="top"/>
          </w:tcPr>
          <w:p>
            <w:pPr>
              <w:spacing w:after="40" w:before="0" w:line="259" w:lineRule="auto"/>
            </w:pPr>
            <w:r>
              <w:rPr>
                <w:rFonts w:ascii="Calibri" w:hAnsi="Calibri"/>
                <w:b w:val="0"/>
                <w:i w:val="0"/>
                <w:color w:val="212121"/>
                <w:sz w:val="16"/>
              </w:rPr>
              <w:t>Breathlessness/cough, weight loss, dysphagia, fever, Raynaud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interstitial lung disease, occult malignancy, aspiration risk or an antisynthetase/overlap phenotype that change management and prognosis.</w:t>
            </w:r>
          </w:p>
        </w:tc>
        <w:tc>
          <w:tcPr>
            <w:tcW w:type="dxa" w:w="1036"/>
            <w:vAlign w:val="top"/>
          </w:tcPr>
          <w:p>
            <w:pPr>
              <w:spacing w:after="40" w:before="0" w:line="259" w:lineRule="auto"/>
            </w:pPr>
            <w:r>
              <w:rPr>
                <w:rFonts w:ascii="Calibri" w:hAnsi="Calibri"/>
                <w:b w:val="0"/>
                <w:i w:val="0"/>
                <w:color w:val="212121"/>
                <w:sz w:val="16"/>
              </w:rPr>
              <w:t>DM/PM with systemic features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New breathlessness warrants urgent lung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Muscle strength testing</w:t>
            </w:r>
          </w:p>
        </w:tc>
        <w:tc>
          <w:tcPr>
            <w:tcW w:type="dxa" w:w="979"/>
            <w:vAlign w:val="top"/>
          </w:tcPr>
          <w:p>
            <w:pPr>
              <w:spacing w:after="40" w:before="0" w:line="259" w:lineRule="auto"/>
            </w:pPr>
            <w:r>
              <w:rPr>
                <w:rFonts w:ascii="Calibri" w:hAnsi="Calibri"/>
                <w:b w:val="0"/>
                <w:i w:val="0"/>
                <w:color w:val="212121"/>
                <w:sz w:val="16"/>
              </w:rPr>
              <w:t>Symmetric proximal weakness; IBM asymmetric finger-flexor/quadriceps</w:t>
            </w:r>
          </w:p>
        </w:tc>
        <w:tc>
          <w:tcPr>
            <w:tcW w:type="dxa" w:w="950"/>
            <w:vAlign w:val="top"/>
          </w:tcPr>
          <w:p>
            <w:pPr>
              <w:spacing w:after="40" w:before="0" w:line="259" w:lineRule="auto"/>
            </w:pPr>
            <w:r>
              <w:rPr>
                <w:rFonts w:ascii="Calibri" w:hAnsi="Calibri"/>
                <w:b w:val="0"/>
                <w:i w:val="0"/>
                <w:color w:val="212121"/>
                <w:sz w:val="16"/>
              </w:rPr>
              <w:t>Full power (MRC 5/5)</w:t>
            </w:r>
          </w:p>
        </w:tc>
        <w:tc>
          <w:tcPr>
            <w:tcW w:type="dxa" w:w="950"/>
            <w:vAlign w:val="top"/>
          </w:tcPr>
          <w:p>
            <w:pPr>
              <w:spacing w:after="40" w:before="0" w:line="259" w:lineRule="auto"/>
            </w:pPr>
            <w:r>
              <w:rPr>
                <w:rFonts w:ascii="Calibri" w:hAnsi="Calibri"/>
                <w:b w:val="0"/>
                <w:i w:val="0"/>
                <w:color w:val="212121"/>
                <w:sz w:val="16"/>
              </w:rPr>
              <w:t>Reduced proximal power; selective distal loss in IBM</w:t>
            </w:r>
          </w:p>
        </w:tc>
        <w:tc>
          <w:tcPr>
            <w:tcW w:type="dxa" w:w="1036"/>
            <w:vAlign w:val="top"/>
          </w:tcPr>
          <w:p>
            <w:pPr>
              <w:spacing w:after="40" w:before="0" w:line="259" w:lineRule="auto"/>
            </w:pPr>
            <w:r>
              <w:rPr>
                <w:rFonts w:ascii="Calibri" w:hAnsi="Calibri"/>
                <w:b w:val="0"/>
                <w:i w:val="0"/>
                <w:color w:val="212121"/>
                <w:sz w:val="16"/>
              </w:rPr>
              <w:t>Manual muscle testing localises and grades weakness; the inclusion-body pattern (grip and knee extension) distinguishes it from treatable autoimmune subtypes.</w:t>
            </w:r>
          </w:p>
        </w:tc>
        <w:tc>
          <w:tcPr>
            <w:tcW w:type="dxa" w:w="1036"/>
            <w:vAlign w:val="top"/>
          </w:tcPr>
          <w:p>
            <w:pPr>
              <w:spacing w:after="40" w:before="0" w:line="259" w:lineRule="auto"/>
            </w:pPr>
            <w:r>
              <w:rPr>
                <w:rFonts w:ascii="Calibri" w:hAnsi="Calibri"/>
                <w:b w:val="0"/>
                <w:i w:val="0"/>
                <w:color w:val="212121"/>
                <w:sz w:val="16"/>
              </w:rPr>
              <w:t>All suspected myositis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 neck flexors and hip/shoulder girdle carefully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 &amp; nailfold examination</w:t>
            </w:r>
          </w:p>
        </w:tc>
        <w:tc>
          <w:tcPr>
            <w:tcW w:type="dxa" w:w="979"/>
            <w:vAlign w:val="top"/>
          </w:tcPr>
          <w:p>
            <w:pPr>
              <w:spacing w:after="40" w:before="0" w:line="259" w:lineRule="auto"/>
            </w:pPr>
            <w:r>
              <w:rPr>
                <w:rFonts w:ascii="Calibri" w:hAnsi="Calibri"/>
                <w:b w:val="0"/>
                <w:i w:val="0"/>
                <w:color w:val="212121"/>
                <w:sz w:val="16"/>
              </w:rPr>
              <w:t>Heliotrope rash, Gottron papules, shawl/V sign, mechanic's hands, calcinosis, nailfold capillaries</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Any characteristic lesion</w:t>
            </w:r>
          </w:p>
        </w:tc>
        <w:tc>
          <w:tcPr>
            <w:tcW w:type="dxa" w:w="1036"/>
            <w:vAlign w:val="top"/>
          </w:tcPr>
          <w:p>
            <w:pPr>
              <w:spacing w:after="40" w:before="0" w:line="259" w:lineRule="auto"/>
            </w:pPr>
            <w:r>
              <w:rPr>
                <w:rFonts w:ascii="Calibri" w:hAnsi="Calibri"/>
                <w:b w:val="0"/>
                <w:i w:val="0"/>
                <w:color w:val="212121"/>
                <w:sz w:val="16"/>
              </w:rPr>
              <w:t>Cutaneous signs establish dermatomyositis and antisynthetase features and may be the only clue in amyopathic disease; calcinosis is prominent in juveniles.</w:t>
            </w:r>
          </w:p>
        </w:tc>
        <w:tc>
          <w:tcPr>
            <w:tcW w:type="dxa" w:w="1036"/>
            <w:vAlign w:val="top"/>
          </w:tcPr>
          <w:p>
            <w:pPr>
              <w:spacing w:after="40" w:before="0" w:line="259" w:lineRule="auto"/>
            </w:pPr>
            <w:r>
              <w:rPr>
                <w:rFonts w:ascii="Calibri" w:hAnsi="Calibri"/>
                <w:b w:val="0"/>
                <w:i w:val="0"/>
                <w:color w:val="212121"/>
                <w:sz w:val="16"/>
              </w:rPr>
              <w:t>Patients with rash or photosensitivity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Rash may be subtle on brown or Black skin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Fine bibasilar inspiratory crackles</w:t>
            </w:r>
          </w:p>
        </w:tc>
        <w:tc>
          <w:tcPr>
            <w:tcW w:type="dxa" w:w="950"/>
            <w:vAlign w:val="top"/>
          </w:tcPr>
          <w:p>
            <w:pPr>
              <w:spacing w:after="40" w:before="0" w:line="259" w:lineRule="auto"/>
            </w:pPr>
            <w:r>
              <w:rPr>
                <w:rFonts w:ascii="Calibri" w:hAnsi="Calibri"/>
                <w:b w:val="0"/>
                <w:i w:val="0"/>
                <w:color w:val="212121"/>
                <w:sz w:val="16"/>
              </w:rPr>
              <w:t>Clear chest</w:t>
            </w:r>
          </w:p>
        </w:tc>
        <w:tc>
          <w:tcPr>
            <w:tcW w:type="dxa" w:w="950"/>
            <w:vAlign w:val="top"/>
          </w:tcPr>
          <w:p>
            <w:pPr>
              <w:spacing w:after="40" w:before="0" w:line="259" w:lineRule="auto"/>
            </w:pPr>
            <w:r>
              <w:rPr>
                <w:rFonts w:ascii="Calibri" w:hAnsi="Calibri"/>
                <w:b w:val="0"/>
                <w:i w:val="0"/>
                <w:color w:val="212121"/>
                <w:sz w:val="16"/>
              </w:rPr>
              <w:t>Velcro-like basal crackles</w:t>
            </w:r>
          </w:p>
        </w:tc>
        <w:tc>
          <w:tcPr>
            <w:tcW w:type="dxa" w:w="1036"/>
            <w:vAlign w:val="top"/>
          </w:tcPr>
          <w:p>
            <w:pPr>
              <w:spacing w:after="40" w:before="0" w:line="259" w:lineRule="auto"/>
            </w:pPr>
            <w:r>
              <w:rPr>
                <w:rFonts w:ascii="Calibri" w:hAnsi="Calibri"/>
                <w:b w:val="0"/>
                <w:i w:val="0"/>
                <w:color w:val="212121"/>
                <w:sz w:val="16"/>
              </w:rPr>
              <w:t>Suggests interstitial lung disease, which is common, serious and antibody-associated; prompts HRCT and pulmonary function testing.</w:t>
            </w:r>
          </w:p>
        </w:tc>
        <w:tc>
          <w:tcPr>
            <w:tcW w:type="dxa" w:w="1036"/>
            <w:vAlign w:val="top"/>
          </w:tcPr>
          <w:p>
            <w:pPr>
              <w:spacing w:after="40" w:before="0" w:line="259" w:lineRule="auto"/>
            </w:pPr>
            <w:r>
              <w:rPr>
                <w:rFonts w:ascii="Calibri" w:hAnsi="Calibri"/>
                <w:b w:val="0"/>
                <w:i w:val="0"/>
                <w:color w:val="212121"/>
                <w:sz w:val="16"/>
              </w:rPr>
              <w:t>DM/PM, antisynthetase, anti-MDA5</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 / high</w:t>
            </w:r>
          </w:p>
        </w:tc>
        <w:tc>
          <w:tcPr>
            <w:tcW w:type="dxa" w:w="720"/>
            <w:vAlign w:val="top"/>
          </w:tcPr>
          <w:p>
            <w:pPr>
              <w:spacing w:after="40" w:before="0" w:line="259" w:lineRule="auto"/>
            </w:pPr>
            <w:r>
              <w:rPr>
                <w:rFonts w:ascii="Calibri" w:hAnsi="Calibri"/>
                <w:b w:val="0"/>
                <w:i w:val="0"/>
                <w:color w:val="212121"/>
                <w:sz w:val="16"/>
              </w:rPr>
              <w:t>May precede or dominate the muscle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Bulbar / swallow assessment</w:t>
            </w:r>
          </w:p>
        </w:tc>
        <w:tc>
          <w:tcPr>
            <w:tcW w:type="dxa" w:w="979"/>
            <w:vAlign w:val="top"/>
          </w:tcPr>
          <w:p>
            <w:pPr>
              <w:spacing w:after="40" w:before="0" w:line="259" w:lineRule="auto"/>
            </w:pPr>
            <w:r>
              <w:rPr>
                <w:rFonts w:ascii="Calibri" w:hAnsi="Calibri"/>
                <w:b w:val="0"/>
                <w:i w:val="0"/>
                <w:color w:val="212121"/>
                <w:sz w:val="16"/>
              </w:rPr>
              <w:t>Nasal voice, wet cough on swallowing, poor palatal movement</w:t>
            </w:r>
          </w:p>
        </w:tc>
        <w:tc>
          <w:tcPr>
            <w:tcW w:type="dxa" w:w="950"/>
            <w:vAlign w:val="top"/>
          </w:tcPr>
          <w:p>
            <w:pPr>
              <w:spacing w:after="40" w:before="0" w:line="259" w:lineRule="auto"/>
            </w:pPr>
            <w:r>
              <w:rPr>
                <w:rFonts w:ascii="Calibri" w:hAnsi="Calibri"/>
                <w:b w:val="0"/>
                <w:i w:val="0"/>
                <w:color w:val="212121"/>
                <w:sz w:val="16"/>
              </w:rPr>
              <w:t>Normal swallow</w:t>
            </w:r>
          </w:p>
        </w:tc>
        <w:tc>
          <w:tcPr>
            <w:tcW w:type="dxa" w:w="950"/>
            <w:vAlign w:val="top"/>
          </w:tcPr>
          <w:p>
            <w:pPr>
              <w:spacing w:after="40" w:before="0" w:line="259" w:lineRule="auto"/>
            </w:pPr>
            <w:r>
              <w:rPr>
                <w:rFonts w:ascii="Calibri" w:hAnsi="Calibri"/>
                <w:b w:val="0"/>
                <w:i w:val="0"/>
                <w:color w:val="212121"/>
                <w:sz w:val="16"/>
              </w:rPr>
              <w:t>Dysphagia / aspiration signs</w:t>
            </w:r>
          </w:p>
        </w:tc>
        <w:tc>
          <w:tcPr>
            <w:tcW w:type="dxa" w:w="1036"/>
            <w:vAlign w:val="top"/>
          </w:tcPr>
          <w:p>
            <w:pPr>
              <w:spacing w:after="40" w:before="0" w:line="259" w:lineRule="auto"/>
            </w:pPr>
            <w:r>
              <w:rPr>
                <w:rFonts w:ascii="Calibri" w:hAnsi="Calibri"/>
                <w:b w:val="0"/>
                <w:i w:val="0"/>
                <w:color w:val="212121"/>
                <w:sz w:val="16"/>
              </w:rPr>
              <w:t>Pharyngeal weakness causes aspiration and malnutrition; early swallow assessment protects the airway and nutrition.</w:t>
            </w:r>
          </w:p>
        </w:tc>
        <w:tc>
          <w:tcPr>
            <w:tcW w:type="dxa" w:w="1036"/>
            <w:vAlign w:val="top"/>
          </w:tcPr>
          <w:p>
            <w:pPr>
              <w:spacing w:after="40" w:before="0" w:line="259" w:lineRule="auto"/>
            </w:pPr>
            <w:r>
              <w:rPr>
                <w:rFonts w:ascii="Calibri" w:hAnsi="Calibri"/>
                <w:b w:val="0"/>
                <w:i w:val="0"/>
                <w:color w:val="212121"/>
                <w:sz w:val="16"/>
              </w:rPr>
              <w:t>Patients with dysphagia/weight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 safety</w:t>
            </w:r>
          </w:p>
        </w:tc>
        <w:tc>
          <w:tcPr>
            <w:tcW w:type="dxa" w:w="720"/>
            <w:vAlign w:val="top"/>
          </w:tcPr>
          <w:p>
            <w:pPr>
              <w:spacing w:after="40" w:before="0" w:line="259" w:lineRule="auto"/>
            </w:pPr>
            <w:r>
              <w:rPr>
                <w:rFonts w:ascii="Calibri" w:hAnsi="Calibri"/>
                <w:b w:val="0"/>
                <w:i w:val="0"/>
                <w:color w:val="212121"/>
                <w:sz w:val="16"/>
              </w:rPr>
              <w:t>Consider speech-and-language and dietetic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Symmetric proximal muscle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rising from a chair, climbing stairs, lifting overhead or combing hair — the cardinal feature.</w:t>
            </w:r>
          </w:p>
        </w:tc>
      </w:tr>
      <w:tr>
        <w:trPr>
          <w:cantSplit/>
        </w:trPr>
        <w:tc>
          <w:tcPr>
            <w:tcW w:type="dxa" w:w="2304"/>
            <w:vAlign w:val="top"/>
          </w:tcPr>
          <w:p>
            <w:pPr>
              <w:spacing w:after="40" w:before="0" w:line="259" w:lineRule="auto"/>
            </w:pPr>
            <w:r>
              <w:rPr>
                <w:rFonts w:ascii="Calibri" w:hAnsi="Calibri"/>
                <w:b/>
                <w:i w:val="0"/>
                <w:color w:val="212121"/>
                <w:sz w:val="19"/>
              </w:rPr>
              <w:t>Muscle pain or tenderness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tender muscles accompanying inflammation, though weakness usually dominates over pain.</w:t>
            </w:r>
          </w:p>
        </w:tc>
      </w:tr>
      <w:tr>
        <w:trPr>
          <w:cantSplit/>
        </w:trPr>
        <w:tc>
          <w:tcPr>
            <w:tcW w:type="dxa" w:w="2304"/>
            <w:vAlign w:val="top"/>
          </w:tcPr>
          <w:p>
            <w:pPr>
              <w:spacing w:after="40" w:before="0" w:line="259" w:lineRule="auto"/>
            </w:pPr>
            <w:r>
              <w:rPr>
                <w:rFonts w:ascii="Calibri" w:hAnsi="Calibri"/>
                <w:b/>
                <w:i w:val="0"/>
                <w:color w:val="212121"/>
                <w:sz w:val="19"/>
              </w:rPr>
              <w:t>Fatigue and reduced endurance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Whole-body tiredness and easy exhaustion, often preceding recognisable weakness.</w:t>
            </w:r>
          </w:p>
        </w:tc>
      </w:tr>
      <w:tr>
        <w:trPr>
          <w:cantSplit/>
        </w:trPr>
        <w:tc>
          <w:tcPr>
            <w:tcW w:type="dxa" w:w="2304"/>
            <w:vAlign w:val="top"/>
          </w:tcPr>
          <w:p>
            <w:pPr>
              <w:spacing w:after="40" w:before="0" w:line="259" w:lineRule="auto"/>
            </w:pPr>
            <w:r>
              <w:rPr>
                <w:rFonts w:ascii="Calibri" w:hAnsi="Calibri"/>
                <w:b/>
                <w:i w:val="0"/>
                <w:color w:val="212121"/>
                <w:sz w:val="19"/>
              </w:rPr>
              <w:t>Skin rash (heliotrope / Gottron)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Violet eyelid rash and scaly knuckle papules of dermatomyositis; may be subtle on brown or Black skin.</w:t>
            </w:r>
          </w:p>
        </w:tc>
      </w:tr>
      <w:tr>
        <w:trPr>
          <w:cantSplit/>
        </w:trPr>
        <w:tc>
          <w:tcPr>
            <w:tcW w:type="dxa" w:w="2304"/>
            <w:vAlign w:val="top"/>
          </w:tcPr>
          <w:p>
            <w:pPr>
              <w:spacing w:after="40" w:before="0" w:line="259" w:lineRule="auto"/>
            </w:pPr>
            <w:r>
              <w:rPr>
                <w:rFonts w:ascii="Calibri" w:hAnsi="Calibri"/>
                <w:b/>
                <w:i w:val="0"/>
                <w:color w:val="212121"/>
                <w:sz w:val="19"/>
              </w:rPr>
              <w:t>Difficulty swallowing (dysphagia)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pharyngeal muscles cause choking, nasal regurgitation and aspiration risk.</w:t>
            </w:r>
          </w:p>
        </w:tc>
      </w:tr>
      <w:tr>
        <w:trPr>
          <w:cantSplit/>
        </w:trPr>
        <w:tc>
          <w:tcPr>
            <w:tcW w:type="dxa" w:w="2304"/>
            <w:vAlign w:val="top"/>
          </w:tcPr>
          <w:p>
            <w:pPr>
              <w:spacing w:after="40" w:before="0" w:line="259" w:lineRule="auto"/>
            </w:pPr>
            <w:r>
              <w:rPr>
                <w:rFonts w:ascii="Calibri" w:hAnsi="Calibri"/>
                <w:b/>
                <w:i w:val="0"/>
                <w:color w:val="212121"/>
                <w:sz w:val="19"/>
              </w:rPr>
              <w:t>Joint pain and stiffness (arthralgia)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Non-erosive arthritis, especially in the antisynthetase syndrome.</w:t>
            </w:r>
          </w:p>
        </w:tc>
      </w:tr>
      <w:tr>
        <w:trPr>
          <w:cantSplit/>
        </w:trPr>
        <w:tc>
          <w:tcPr>
            <w:tcW w:type="dxa" w:w="2304"/>
            <w:vAlign w:val="top"/>
          </w:tcPr>
          <w:p>
            <w:pPr>
              <w:spacing w:after="40" w:before="0" w:line="259" w:lineRule="auto"/>
            </w:pPr>
            <w:r>
              <w:rPr>
                <w:rFonts w:ascii="Calibri" w:hAnsi="Calibri"/>
                <w:b/>
                <w:i w:val="0"/>
                <w:color w:val="212121"/>
                <w:sz w:val="19"/>
              </w:rPr>
              <w:t>Breathlessness and dry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interstitial lung disease — a serious, potentially rapidly progressive complication.</w:t>
            </w:r>
          </w:p>
        </w:tc>
      </w:tr>
      <w:tr>
        <w:trPr>
          <w:cantSplit/>
        </w:trPr>
        <w:tc>
          <w:tcPr>
            <w:tcW w:type="dxa" w:w="2304"/>
            <w:vAlign w:val="top"/>
          </w:tcPr>
          <w:p>
            <w:pPr>
              <w:spacing w:after="40" w:before="0" w:line="259" w:lineRule="auto"/>
            </w:pPr>
            <w:r>
              <w:rPr>
                <w:rFonts w:ascii="Calibri" w:hAnsi="Calibri"/>
                <w:b/>
                <w:i w:val="0"/>
                <w:color w:val="212121"/>
                <w:sz w:val="19"/>
              </w:rPr>
              <w:t>Raynaud phenomenon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Cold-induced colour change of the fingers, common in antisynthetase and overlap disease.</w:t>
            </w:r>
          </w:p>
        </w:tc>
      </w:tr>
      <w:tr>
        <w:trPr>
          <w:cantSplit/>
        </w:trPr>
        <w:tc>
          <w:tcPr>
            <w:tcW w:type="dxa" w:w="2304"/>
            <w:vAlign w:val="top"/>
          </w:tcPr>
          <w:p>
            <w:pPr>
              <w:spacing w:after="40" w:before="0" w:line="259" w:lineRule="auto"/>
            </w:pPr>
            <w:r>
              <w:rPr>
                <w:rFonts w:ascii="Calibri" w:hAnsi="Calibri"/>
                <w:b/>
                <w:i w:val="0"/>
                <w:color w:val="212121"/>
                <w:sz w:val="19"/>
              </w:rPr>
              <w:t>Weight loss and poor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Constitutional feature of active disease; also a red flag for associated malignancy.</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Low-grade fever of active systemic disease, characteristic of the antisynthetase syndrome.</w:t>
            </w:r>
          </w:p>
        </w:tc>
      </w:tr>
      <w:tr>
        <w:trPr>
          <w:cantSplit/>
        </w:trPr>
        <w:tc>
          <w:tcPr>
            <w:tcW w:type="dxa" w:w="2304"/>
            <w:vAlign w:val="top"/>
          </w:tcPr>
          <w:p>
            <w:pPr>
              <w:spacing w:after="40" w:before="0" w:line="259" w:lineRule="auto"/>
            </w:pPr>
            <w:r>
              <w:rPr>
                <w:rFonts w:ascii="Calibri" w:hAnsi="Calibri"/>
                <w:b/>
                <w:i w:val="0"/>
                <w:color w:val="212121"/>
                <w:sz w:val="19"/>
              </w:rPr>
              <w:t>Hand-grip weakness and tripping/falls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Selective finger-flexor and quadriceps weakness of inclusion body myositis in older adults.</w:t>
            </w:r>
          </w:p>
        </w:tc>
      </w:tr>
      <w:tr>
        <w:trPr>
          <w:cantSplit/>
        </w:trPr>
        <w:tc>
          <w:tcPr>
            <w:tcW w:type="dxa" w:w="2304"/>
            <w:vAlign w:val="top"/>
          </w:tcPr>
          <w:p>
            <w:pPr>
              <w:spacing w:after="40" w:before="0" w:line="259" w:lineRule="auto"/>
            </w:pPr>
            <w:r>
              <w:rPr>
                <w:rFonts w:ascii="Calibri" w:hAnsi="Calibri"/>
                <w:b/>
                <w:i w:val="0"/>
                <w:color w:val="212121"/>
                <w:sz w:val="19"/>
              </w:rPr>
              <w:t>Voice change / difficulty holding the head up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Neck-extensor and bulbar weakness causing a dropped head and nasal, weak voice.</w:t>
            </w:r>
          </w:p>
        </w:tc>
      </w:tr>
      <w:tr>
        <w:trPr>
          <w:cantSplit/>
        </w:trPr>
        <w:tc>
          <w:tcPr>
            <w:tcW w:type="dxa" w:w="2304"/>
            <w:vAlign w:val="top"/>
          </w:tcPr>
          <w:p>
            <w:pPr>
              <w:spacing w:after="40" w:before="0" w:line="259" w:lineRule="auto"/>
            </w:pPr>
            <w:r>
              <w:rPr>
                <w:rFonts w:ascii="Calibri" w:hAnsi="Calibri"/>
                <w:b/>
                <w:i w:val="0"/>
                <w:color w:val="212121"/>
                <w:sz w:val="19"/>
              </w:rPr>
              <w:t>Painful skin ulcers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Cutaneous ulceration, associated with anti-MDA5 dermatomyositis and vasculopathy.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 proximal weakness on manual muscle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power in shoulder and hip girdles with preserved distal strength (except in IBM).</w:t>
            </w:r>
          </w:p>
        </w:tc>
      </w:tr>
      <w:tr>
        <w:trPr>
          <w:cantSplit/>
        </w:trPr>
        <w:tc>
          <w:tcPr>
            <w:tcW w:type="dxa" w:w="3456"/>
            <w:vAlign w:val="top"/>
          </w:tcPr>
          <w:p>
            <w:pPr>
              <w:spacing w:after="40" w:before="0" w:line="259" w:lineRule="auto"/>
            </w:pPr>
            <w:r>
              <w:rPr>
                <w:rFonts w:ascii="Calibri" w:hAnsi="Calibri"/>
                <w:b/>
                <w:i w:val="0"/>
                <w:color w:val="212121"/>
                <w:sz w:val="19"/>
              </w:rPr>
              <w:t>Heliotrope rash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Violaceous discolouration and oedema of the upper eyelids — highly characteristic of dermatomyositis.</w:t>
            </w:r>
          </w:p>
        </w:tc>
      </w:tr>
      <w:tr>
        <w:trPr>
          <w:cantSplit/>
        </w:trPr>
        <w:tc>
          <w:tcPr>
            <w:tcW w:type="dxa" w:w="3456"/>
            <w:vAlign w:val="top"/>
          </w:tcPr>
          <w:p>
            <w:pPr>
              <w:spacing w:after="40" w:before="0" w:line="259" w:lineRule="auto"/>
            </w:pPr>
            <w:r>
              <w:rPr>
                <w:rFonts w:ascii="Calibri" w:hAnsi="Calibri"/>
                <w:b/>
                <w:i w:val="0"/>
                <w:color w:val="212121"/>
                <w:sz w:val="19"/>
              </w:rPr>
              <w:t>Gottron papules /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Erythematous-to-violaceous scaly papules over the knuckles, elbows and knees.</w:t>
            </w:r>
          </w:p>
        </w:tc>
      </w:tr>
      <w:tr>
        <w:trPr>
          <w:cantSplit/>
        </w:trPr>
        <w:tc>
          <w:tcPr>
            <w:tcW w:type="dxa" w:w="3456"/>
            <w:vAlign w:val="top"/>
          </w:tcPr>
          <w:p>
            <w:pPr>
              <w:spacing w:after="40" w:before="0" w:line="259" w:lineRule="auto"/>
            </w:pPr>
            <w:r>
              <w:rPr>
                <w:rFonts w:ascii="Calibri" w:hAnsi="Calibri"/>
                <w:b/>
                <w:i w:val="0"/>
                <w:color w:val="212121"/>
                <w:sz w:val="19"/>
              </w:rPr>
              <w:t>Shawl / V sign, holster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Photodistributed erythema over the upper back, anterior chest and lateral thighs.</w:t>
            </w:r>
          </w:p>
        </w:tc>
      </w:tr>
      <w:tr>
        <w:trPr>
          <w:cantSplit/>
        </w:trPr>
        <w:tc>
          <w:tcPr>
            <w:tcW w:type="dxa" w:w="3456"/>
            <w:vAlign w:val="top"/>
          </w:tcPr>
          <w:p>
            <w:pPr>
              <w:spacing w:after="40" w:before="0" w:line="259" w:lineRule="auto"/>
            </w:pPr>
            <w:r>
              <w:rPr>
                <w:rFonts w:ascii="Calibri" w:hAnsi="Calibri"/>
                <w:b/>
                <w:i w:val="0"/>
                <w:color w:val="212121"/>
                <w:sz w:val="19"/>
              </w:rPr>
              <w:t>Mechanic's hands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Cracked, hyperkeratotic, fissured skin of the finger margins in the antisynthetase syndrome.</w:t>
            </w:r>
          </w:p>
        </w:tc>
      </w:tr>
      <w:tr>
        <w:trPr>
          <w:cantSplit/>
        </w:trPr>
        <w:tc>
          <w:tcPr>
            <w:tcW w:type="dxa" w:w="3456"/>
            <w:vAlign w:val="top"/>
          </w:tcPr>
          <w:p>
            <w:pPr>
              <w:spacing w:after="40" w:before="0" w:line="259" w:lineRule="auto"/>
            </w:pPr>
            <w:r>
              <w:rPr>
                <w:rFonts w:ascii="Calibri" w:hAnsi="Calibri"/>
                <w:b/>
                <w:i w:val="0"/>
                <w:color w:val="212121"/>
                <w:sz w:val="19"/>
              </w:rPr>
              <w:t>Nailfold capillary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Dilated, dropout or tortuous capillaries and ragged cuticles on capillaroscopy.</w:t>
            </w:r>
          </w:p>
        </w:tc>
      </w:tr>
      <w:tr>
        <w:trPr>
          <w:cantSplit/>
        </w:trPr>
        <w:tc>
          <w:tcPr>
            <w:tcW w:type="dxa" w:w="3456"/>
            <w:vAlign w:val="top"/>
          </w:tcPr>
          <w:p>
            <w:pPr>
              <w:spacing w:after="40" w:before="0" w:line="259" w:lineRule="auto"/>
            </w:pPr>
            <w:r>
              <w:rPr>
                <w:rFonts w:ascii="Calibri" w:hAnsi="Calibri"/>
                <w:b/>
                <w:i w:val="0"/>
                <w:color w:val="212121"/>
                <w:sz w:val="19"/>
              </w:rPr>
              <w:t>Calcinosis cutis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subcutaneous calcium deposits, especially frequent and widespread in juvenile dermatomyositis.</w:t>
            </w:r>
          </w:p>
        </w:tc>
      </w:tr>
      <w:tr>
        <w:trPr>
          <w:cantSplit/>
        </w:trPr>
        <w:tc>
          <w:tcPr>
            <w:tcW w:type="dxa" w:w="3456"/>
            <w:vAlign w:val="top"/>
          </w:tcPr>
          <w:p>
            <w:pPr>
              <w:spacing w:after="40" w:before="0" w:line="259" w:lineRule="auto"/>
            </w:pPr>
            <w:r>
              <w:rPr>
                <w:rFonts w:ascii="Calibri" w:hAnsi="Calibri"/>
                <w:b/>
                <w:i w:val="0"/>
                <w:color w:val="212121"/>
                <w:sz w:val="19"/>
              </w:rPr>
              <w:t>Fine bibasilar inspiratory crackles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Velcro-like crackles indicating interstitial lung disease.</w:t>
            </w:r>
          </w:p>
        </w:tc>
      </w:tr>
      <w:tr>
        <w:trPr>
          <w:cantSplit/>
        </w:trPr>
        <w:tc>
          <w:tcPr>
            <w:tcW w:type="dxa" w:w="3456"/>
            <w:vAlign w:val="top"/>
          </w:tcPr>
          <w:p>
            <w:pPr>
              <w:spacing w:after="40" w:before="0" w:line="259" w:lineRule="auto"/>
            </w:pPr>
            <w:r>
              <w:rPr>
                <w:rFonts w:ascii="Calibri" w:hAnsi="Calibri"/>
                <w:b/>
                <w:i w:val="0"/>
                <w:color w:val="212121"/>
                <w:sz w:val="19"/>
              </w:rPr>
              <w:t>Selective forearm-flexor &amp; quadriceps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Asymmetric muscle atrophy of finger flexors and knee extensors typical of inclusion body myositis.</w:t>
            </w:r>
          </w:p>
        </w:tc>
      </w:tr>
      <w:tr>
        <w:trPr>
          <w:cantSplit/>
        </w:trPr>
        <w:tc>
          <w:tcPr>
            <w:tcW w:type="dxa" w:w="3456"/>
            <w:vAlign w:val="top"/>
          </w:tcPr>
          <w:p>
            <w:pPr>
              <w:spacing w:after="40" w:before="0" w:line="259" w:lineRule="auto"/>
            </w:pPr>
            <w:r>
              <w:rPr>
                <w:rFonts w:ascii="Calibri" w:hAnsi="Calibri"/>
                <w:b/>
                <w:i w:val="0"/>
                <w:color w:val="212121"/>
                <w:sz w:val="19"/>
              </w:rPr>
              <w:t>Nasal speech / impaired palatal movement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Bulbar weakness on examination, correlating with aspiration risk.</w:t>
            </w:r>
          </w:p>
        </w:tc>
      </w:tr>
      <w:tr>
        <w:trPr>
          <w:cantSplit/>
        </w:trPr>
        <w:tc>
          <w:tcPr>
            <w:tcW w:type="dxa" w:w="3456"/>
            <w:vAlign w:val="top"/>
          </w:tcPr>
          <w:p>
            <w:pPr>
              <w:spacing w:after="40" w:before="0" w:line="259" w:lineRule="auto"/>
            </w:pPr>
            <w:r>
              <w:rPr>
                <w:rFonts w:ascii="Calibri" w:hAnsi="Calibri"/>
                <w:b/>
                <w:i w:val="0"/>
                <w:color w:val="212121"/>
                <w:sz w:val="19"/>
              </w:rPr>
              <w:t>Dropped-head posture / camptocormia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Severe neck-extensor and paraspinal weakness causing forward head or trunk flexion.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symmetric proximal muscle weakness and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from pharyngeal/oesophageal muscle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Very high creatine kinase with myoglobinuria (necrotizing 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dermatomyositis skin disease, ulceration and (in juveniles) calcinosis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Disease flares with loss of independent mobility</w:t>
            </w:r>
          </w:p>
        </w:tc>
        <w:tc>
          <w:tcPr>
            <w:tcW w:type="dxa" w:w="2980"/>
            <w:vAlign w:val="top"/>
          </w:tcPr>
          <w:p>
            <w:pPr>
              <w:spacing w:after="40" w:before="0" w:line="259" w:lineRule="auto"/>
            </w:pPr>
            <w:r>
              <w:rPr>
                <w:rFonts w:ascii="Calibri" w:hAnsi="Calibri"/>
                <w:b w:val="0"/>
                <w:i w:val="0"/>
                <w:color w:val="212121"/>
                <w:sz w:val="19"/>
              </w:rPr>
              <w:t>Direct consequences of autoimmune muscle and skin inflammation during active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Interstitial lung disease and respiratory failure (rapidly progressive with anti-MDA5)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from bulbar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Paraneoplastic malignancy (especially anti-TIF1-γ dermatomyositis)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involvement: myocarditis, arrhythmia and conduction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Corticosteroid/immunosuppression harms: infection and tuberculosis reactivation, steroid myopathy, osteoporosis, diabetes, avascular necrosis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connective-tissue disease (scleroderma, lupus, Sjögren)</w:t>
            </w:r>
          </w:p>
        </w:tc>
        <w:tc>
          <w:tcPr>
            <w:tcW w:type="dxa" w:w="2980"/>
            <w:vAlign w:val="top"/>
          </w:tcPr>
          <w:p>
            <w:pPr>
              <w:spacing w:after="40" w:before="0" w:line="259" w:lineRule="auto"/>
            </w:pPr>
            <w:r>
              <w:rPr>
                <w:rFonts w:ascii="Calibri" w:hAnsi="Calibri"/>
                <w:b w:val="0"/>
                <w:i w:val="0"/>
                <w:color w:val="212121"/>
                <w:sz w:val="19"/>
              </w:rPr>
              <w:t>Arise from systemic organ involvement, aspiration, malignancy and long-term immunosuppressive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disability and wheelchair dependence (notably inclusion body myositis)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rapidly progressive interstitial lung disease or associated malignancy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and recurrent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joint contractures and disabling calcinosis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Cumulative organ and treatment-related damage with loss of independence</w:t>
            </w:r>
          </w:p>
        </w:tc>
        <w:tc>
          <w:tcPr>
            <w:tcW w:type="dxa" w:w="2980"/>
            <w:vAlign w:val="top"/>
          </w:tcPr>
          <w:p>
            <w:pPr>
              <w:spacing w:after="40" w:before="0" w:line="259" w:lineRule="auto"/>
            </w:pPr>
            <w:r>
              <w:rPr>
                <w:rFonts w:ascii="Calibri" w:hAnsi="Calibri"/>
                <w:b w:val="0"/>
                <w:i w:val="0"/>
                <w:color w:val="212121"/>
                <w:sz w:val="19"/>
              </w:rPr>
              <w:t>Irreversible, disabling end-stage outcomes of severe, refractory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Interstitial lung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leading cause of death; strongly linked to anti-Jo-1/antisynthetase and anti-MDA5 antibodies, the latter causing rapidly progressive, often fatal fibrosis that dictates aggressive immunosuppression.</w:t>
            </w:r>
          </w:p>
          <w:p>
            <w:pPr>
              <w:spacing w:after="40" w:before="0" w:line="259" w:lineRule="auto"/>
            </w:pPr>
            <w:r>
              <w:rPr>
                <w:rFonts w:ascii="Calibri" w:hAnsi="Calibri"/>
                <w:b/>
                <w:i w:val="0"/>
                <w:color w:val="212121"/>
                <w:sz w:val="19"/>
              </w:rPr>
              <w:t>~one-third of dermatomyositis</w:t>
            </w:r>
          </w:p>
        </w:tc>
      </w:tr>
      <w:tr>
        <w:trPr>
          <w:cantSplit/>
        </w:trPr>
        <w:tc>
          <w:tcPr>
            <w:tcW w:type="dxa" w:w="2232"/>
            <w:vAlign w:val="top"/>
          </w:tcPr>
          <w:p>
            <w:pPr>
              <w:spacing w:after="40" w:before="0" w:line="259" w:lineRule="auto"/>
            </w:pPr>
            <w:r>
              <w:rPr>
                <w:rFonts w:ascii="Calibri" w:hAnsi="Calibri"/>
                <w:b/>
                <w:i w:val="0"/>
                <w:color w:val="212121"/>
                <w:sz w:val="19"/>
              </w:rPr>
              <w:t>Malignancy (paraneoplastic)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Adult dermatomyositis is paraneoplastic in a substantial minority, greatest in the first years and with anti-TIF1-γ; mandates age- and antibody-guided cancer screening.</w:t>
            </w:r>
          </w:p>
          <w:p>
            <w:pPr>
              <w:spacing w:after="40" w:before="0" w:line="259" w:lineRule="auto"/>
            </w:pPr>
            <w:r>
              <w:rPr>
                <w:rFonts w:ascii="Calibri" w:hAnsi="Calibri"/>
                <w:b/>
                <w:i w:val="0"/>
                <w:color w:val="212121"/>
                <w:sz w:val="19"/>
              </w:rPr>
              <w:t>Up to ~24%</w:t>
            </w:r>
          </w:p>
        </w:tc>
      </w:tr>
      <w:tr>
        <w:trPr>
          <w:cantSplit/>
        </w:trPr>
        <w:tc>
          <w:tcPr>
            <w:tcW w:type="dxa" w:w="2232"/>
            <w:vAlign w:val="top"/>
          </w:tcPr>
          <w:p>
            <w:pPr>
              <w:spacing w:after="40" w:before="0" w:line="259" w:lineRule="auto"/>
            </w:pPr>
            <w:r>
              <w:rPr>
                <w:rFonts w:ascii="Calibri" w:hAnsi="Calibri"/>
                <w:b/>
                <w:i w:val="0"/>
                <w:color w:val="212121"/>
                <w:sz w:val="19"/>
              </w:rPr>
              <w:t>Dysphagia &amp; 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Pharyngeal and oesophageal weakness causes swallowing difficulty, aspiration and malnutrition — a major driver of pneumonia and hospital mortality.</w:t>
            </w:r>
          </w:p>
        </w:tc>
      </w:tr>
      <w:tr>
        <w:trPr>
          <w:cantSplit/>
        </w:trPr>
        <w:tc>
          <w:tcPr>
            <w:tcW w:type="dxa" w:w="2232"/>
            <w:vAlign w:val="top"/>
          </w:tcPr>
          <w:p>
            <w:pPr>
              <w:spacing w:after="40" w:before="0" w:line="259" w:lineRule="auto"/>
            </w:pPr>
            <w:r>
              <w:rPr>
                <w:rFonts w:ascii="Calibri" w:hAnsi="Calibri"/>
                <w:b/>
                <w:i w:val="0"/>
                <w:color w:val="212121"/>
                <w:sz w:val="19"/>
              </w:rPr>
              <w:t>Overlap connective-tissue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overlap with systemic sclerosis, lupus and Sjögren syndrome adds Raynaud phenomenon and multi-system features and alters treatment.</w:t>
            </w:r>
          </w:p>
        </w:tc>
      </w:tr>
      <w:tr>
        <w:trPr>
          <w:cantSplit/>
        </w:trPr>
        <w:tc>
          <w:tcPr>
            <w:tcW w:type="dxa" w:w="2232"/>
            <w:vAlign w:val="top"/>
          </w:tcPr>
          <w:p>
            <w:pPr>
              <w:spacing w:after="40" w:before="0" w:line="259" w:lineRule="auto"/>
            </w:pPr>
            <w:r>
              <w:rPr>
                <w:rFonts w:ascii="Calibri" w:hAnsi="Calibri"/>
                <w:b/>
                <w:i w:val="0"/>
                <w:color w:val="212121"/>
                <w:sz w:val="19"/>
              </w:rPr>
              <w:t>Cardiac involvement (myocarditis/arrhythmia)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Inflammation of cardiac muscle and the conduction system causes myocarditis, arrhythmia and heart failure, an under-recognised cause of death.</w:t>
            </w:r>
          </w:p>
        </w:tc>
      </w:tr>
      <w:tr>
        <w:trPr>
          <w:cantSplit/>
        </w:trPr>
        <w:tc>
          <w:tcPr>
            <w:tcW w:type="dxa" w:w="2232"/>
            <w:vAlign w:val="top"/>
          </w:tcPr>
          <w:p>
            <w:pPr>
              <w:spacing w:after="40" w:before="0" w:line="259" w:lineRule="auto"/>
            </w:pPr>
            <w:r>
              <w:rPr>
                <w:rFonts w:ascii="Calibri" w:hAnsi="Calibri"/>
                <w:b/>
                <w:i w:val="0"/>
                <w:color w:val="212121"/>
                <w:sz w:val="19"/>
              </w:rPr>
              <w:t>Statin-associated anti-HMGCR necrotizing myopathy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Statins can trigger an immune-mediated necrotizing myopathy that continues after the drug is stopped and requires immunosuppression, not simple statin cessation.</w:t>
            </w:r>
          </w:p>
        </w:tc>
      </w:tr>
      <w:tr>
        <w:trPr>
          <w:cantSplit/>
        </w:trPr>
        <w:tc>
          <w:tcPr>
            <w:tcW w:type="dxa" w:w="2232"/>
            <w:vAlign w:val="top"/>
          </w:tcPr>
          <w:p>
            <w:pPr>
              <w:spacing w:after="40" w:before="0" w:line="259" w:lineRule="auto"/>
            </w:pPr>
            <w:r>
              <w:rPr>
                <w:rFonts w:ascii="Calibri" w:hAnsi="Calibri"/>
                <w:b/>
                <w:i w:val="0"/>
                <w:color w:val="212121"/>
                <w:sz w:val="19"/>
              </w:rPr>
              <w:t>Corticosteroid/immunosuppression complications</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steroids and immunosuppressants cause infection (including tuberculosis reactivation in India), steroid myopathy, osteoporosis, diabetes and avascular necrosis, and steroid myopathy can mimic a disease flare.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disabling disease, corticosteroids and altered body image drive mood disorder, which bidirectionally worsens fatigue, adherence and perceived disability.</w:t>
            </w:r>
          </w:p>
        </w:tc>
      </w:tr>
      <w:tr>
        <w:trPr>
          <w:cantSplit/>
        </w:trPr>
        <w:tc>
          <w:tcPr>
            <w:tcW w:type="dxa" w:w="2232"/>
            <w:vAlign w:val="top"/>
          </w:tcPr>
          <w:p>
            <w:pPr>
              <w:spacing w:after="40" w:before="0" w:line="259" w:lineRule="auto"/>
            </w:pPr>
            <w:r>
              <w:rPr>
                <w:rFonts w:ascii="Calibri" w:hAnsi="Calibri"/>
                <w:b/>
                <w:i w:val="0"/>
                <w:color w:val="212121"/>
                <w:sz w:val="19"/>
              </w:rPr>
              <w:t>Calcinosis cutis (juvenile DM)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Widespread subcutaneous calcium deposits complicate juvenile dermatomyositis, causing pain, ulceration and infection and reflecting inadequately controlled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inflammatory myositis is a treatable autoimmune muscle disease in most forms, and that early, sustained immunosuppression and follow-up prevent irreversible weakness and organ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promptly report warning features: new breathlessness or dry cough (lung disease), choking or nasal regurgitation when eating (aspiration), unexplained weight loss (possible cancer), and rapidly worsening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age- and antibody-appropriate cancer screening when advised, because adult dermatomyositis can be paraneoplastic, especially in the first years after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infection — a leading danger on immunosuppression — with hand and food hygiene, safe water, and up-to-date inactivated vaccines, and complete latent-tuberculosis screening before starting treatment (important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sun protection (broad-spectrum SPF greater than or equal to 50, clothing, shade) if you have dermatomyositis, because ultraviolet light aggravates the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a true flare from corticosteroid side-effects (steroid myopathy, mood and sleep change) and never stop or alter immunosuppression without medical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IIM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Dermatomyositis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over 40 with DM</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disease is stabilising on treatment, follow a supervised graded exercise programme combining aerobic and resistance work — this safely improves strength and function without raising muscle enzymes.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active flare or very high CK, use gentle range-of-motion and positioning to prevent contractures rather than strengthening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physiotherapist-led fall-prevention, balance and gait training, particularly for inclusion body myositis where grip and knee-extension weakness cause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activity around fatigue and disease activity and progress the load gradually under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Stabilised IIM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Inclusion body myositis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phase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as active as disease activity allows to preserve muscle bulk, bone density and cardiovascular health, which corticosteroids and immobility otherwise erode.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movement breaks and avoid prolonged bed rest, which accelerates disuse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joint protection and assistive aids to maintain independence and reduce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IIM</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adequate protein (about 1.0–1.2 g/kg/day) and a balanced, calorie-sufficient diet to counter steroid- and disuse-related muscle catabolism.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calcium and vitamin D (diet and, where indicated, supplements) to protect against steroid-induced osteoporosis, correcting the vitamin D deficiency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texture-modified diet and safe-swallow advice if there is dysphagia, to prevent aspiration and maintain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added salt and refined sugar while on corticosteroids to blunt weight gain, hypertension and steroid-related hyperglycaemia.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IIM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good sleep hygiene to reduce the fatigue and pain that accompany active myositis.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corticosteroids in the morning where advised, to lessen steroid-related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breathlessness and nocturnal symptoms that fragment sleep, and seek review if sleep worsens with other flare features.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is linked to antisynthetase disease and worsens interstitial lung disease and cardiovascular risk in an already lung-threatened condition.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or pharmacotherapy) with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to pulmonary and cardiovascular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IIM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Antisynthetase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especially on methotrexate or azathioprine, because of the risk of liver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several alcohol-free days each week and avoid alcohol when liver enzymes or blood counts are deranged.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alcohol adds to corticosteroid-related bone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methotrexate/azathioprine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disabling, steroid-treated disease and bidirectionally worsen fatigue, adherence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body-image concerns from the rash, weight change and loss of independence, and support continued work, study and social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counselling, cognitive behavioural therapy, relaxation and peer/support groups to build coping and resilience.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carers in rehabilitation goals to sustain motivation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Juvenile DM families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8917/" TargetMode="External"/><Relationship Id="rId10" Type="http://schemas.openxmlformats.org/officeDocument/2006/relationships/hyperlink" Target="https://www.mda.org/disease/inclusion-body-myositis" TargetMode="External"/><Relationship Id="rId11" Type="http://schemas.openxmlformats.org/officeDocument/2006/relationships/hyperlink" Target="https://rarediseases.org/rare-diseases/dermatomyositis/" TargetMode="External"/><Relationship Id="rId12" Type="http://schemas.openxmlformats.org/officeDocument/2006/relationships/hyperlink" Target="https://rarediseases.org/rare-diseases/polymyositis/" TargetMode="External"/><Relationship Id="rId13" Type="http://schemas.openxmlformats.org/officeDocument/2006/relationships/hyperlink" Target="https://www.mayoclinic.org/diseases-conditions/dermatomyositis/symptoms-causes/syc-20353188" TargetMode="External"/><Relationship Id="rId14" Type="http://schemas.openxmlformats.org/officeDocument/2006/relationships/hyperlink" Target="https://www.ncbi.nlm.nih.gov/books/NBK532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