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i w:val="0"/>
          <w:color w:val="2B2B33"/>
          <w:sz w:val="44"/>
        </w:rPr>
        <w:t>Osteomyelitis</w:t>
      </w:r>
    </w:p>
    <w:p>
      <w:pPr>
        <w:spacing w:before="0" w:after="160"/>
      </w:pPr>
      <w:r>
        <w:rPr>
          <w:rFonts w:ascii="Calibri" w:hAnsi="Calibri"/>
          <w:b/>
          <w:i w:val="0"/>
          <w:color w:val="212121"/>
          <w:sz w:val="22"/>
        </w:rPr>
        <w:t xml:space="preserve">AKA </w:t>
      </w:r>
      <w:r>
        <w:rPr>
          <w:rFonts w:ascii="Calibri" w:hAnsi="Calibri"/>
          <w:b w:val="0"/>
          <w:i w:val="0"/>
          <w:color w:val="212121"/>
          <w:sz w:val="22"/>
        </w:rPr>
        <w:t>i.e., Bone infection, Bone marrow infection, Infective osteitis; includes Pott's spine (tuberculous spondylitis), Diabetic foot osteomyelitis, Brodie's abscess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Introduction to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Definition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Osteomyelitis is an acute or chronic inflammatory infection of bone and bone marrow, most often bacterial and dominated by Staphylococcus aureus. Micro-organisms reach bone by the bloodstream (haematogenous), by spread from an adjacent focus of infection or ulcer (contiguous), or by direct inoculation through open fracture, surgery or a penetrating wound. Progressive infection causes bone destruction, ischaemia and formation of dead bone (sequestrum); once established as chronic osteomyelitis the disease is notoriously difficult to eradicate and is prone to relapse despite prolonged antibiotics and surgery.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Prevalence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Osteomyelitis remains disproportionately common in India because three of its major drivers — road-traffic trauma with open fractures, one of the world's largest diabetic populations (diabetic-foot osteomyelitis), and endemic skeletal tuberculosis (Pott's spine) — all coexist. Population estimates from developed settings place the overall incidence at roughly 21.8 cases per 100,000 person-years, with a steadily rising trend driven largely by diabetes-related foot disease; the burden in Indian tertiary-care and trauma centres is considered substantially higher.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Diagnosis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No single test confirms osteomyelitis; diagnosis integrates the clinical picture with inflammatory markers, imaging and, definitively, bone sampling. It is supported by one or more of the following: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bone biopsy showing histopathological inflammation/necrosis with a positive culture — the diagnostic gold standard (at least two operative samples for culture and Gram stain);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a positive “probe-to-bone” test (a sterile probe reaching bone through a diabetic-foot or chronic ulcer);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magnetic resonance imaging showing marrow oedema, cortical destruction or a rim-enhancing collection (sensitivity ~78–90%);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characteristic plain-radiograph changes (lytic destruction, periosteal reaction, sequestrum/involucrum) — note these appear only after ~10–14 days and 50–75% bone matrix loss;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elevated ESR and C-reactive protein (non-specific but useful for monitoring response), with or without leucocytosis; and</w:t>
      </w:r>
    </w:p>
    <w:p>
      <w:pPr>
        <w:spacing w:after="60"/>
        <w:ind w:left="432" w:hanging="259"/>
      </w:pPr>
      <w:r>
        <w:rPr>
          <w:rFonts w:ascii="Calibri" w:hAnsi="Calibri"/>
          <w:b w:val="0"/>
          <w:i w:val="0"/>
          <w:color w:val="212121"/>
          <w:sz w:val="21"/>
        </w:rPr>
        <w:t xml:space="preserve">•  </w:t>
      </w:r>
      <w:r>
        <w:rPr>
          <w:rFonts w:ascii="Calibri" w:hAnsi="Calibri"/>
          <w:b w:val="0"/>
          <w:i w:val="0"/>
          <w:color w:val="212121"/>
          <w:sz w:val="21"/>
        </w:rPr>
        <w:t>positive blood cultures, especially in acute haematogenous and vertebral osteomyelitis, or a chronic discharging sinus with exposed bone.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Classification</w:t>
      </w:r>
    </w:p>
    <w:p>
      <w:pPr>
        <w:spacing w:before="0" w:after="120"/>
      </w:pPr>
      <w:r>
        <w:rPr>
          <w:rFonts w:ascii="Calibri" w:hAnsi="Calibri"/>
          <w:b w:val="0"/>
          <w:i w:val="0"/>
          <w:color w:val="212121"/>
          <w:sz w:val="21"/>
        </w:rPr>
        <w:t>Osteomyelitis is classified by duration/histology, by route of infection (Waldvogel), by anatomy and host status (Cierny–Mader), and by special clinical forms: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(1) Acute versus chronic — acute disease evolves over days to a couple of weeks before dead bone forms; chronic osteomyelitis is defined histologically by necrotic bone (sequestrum), a surrounding new-bone shell (involucrum), sinus tracts and a relapsing course;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(2) Waldvogel (route) classification — haematogenous (blood-borne seeding, typically the metaphysis of long bones in children and the spine in adults), contiguous-focus with or without vascular insufficiency (diabetic foot, pressure ulcers, adjacent soft-tissue infection), and chronic osteomyelitis;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(3) Cierny–Mader staging — combines anatomic type (1 medullary, 2 superficial, 3 localised, 4 diffuse) with host class (A normal, B compromised by local [Bl] or systemic [Bs] factors, C treatment worse than disease), directly guiding surgical and antibiotic strategy; and</w:t>
      </w:r>
    </w:p>
    <w:p>
      <w:pPr>
        <w:spacing w:before="0" w:after="80"/>
      </w:pPr>
      <w:r>
        <w:rPr>
          <w:rFonts w:ascii="Calibri" w:hAnsi="Calibri"/>
          <w:b w:val="0"/>
          <w:i w:val="0"/>
          <w:color w:val="212121"/>
          <w:sz w:val="21"/>
        </w:rPr>
        <w:t>(4) Special forms — vertebral osteomyelitis/spondylodiscitis, diabetic-foot osteomyelitis, tuberculous osteomyelitis (Pott's disease of the spine, important in India), Brodie's abscess (subacute walled-off focus), chronic recurrent multifocal osteomyelitis (CRMO), and prosthetic/implant-associated osteomyelitis.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Etiology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1. </w:t>
      </w:r>
      <w:r>
        <w:rPr>
          <w:rFonts w:ascii="Calibri" w:hAnsi="Calibri"/>
          <w:b w:val="0"/>
          <w:i w:val="0"/>
          <w:color w:val="212121"/>
          <w:sz w:val="21"/>
        </w:rPr>
        <w:t>Staphylococcus aureus (incl. MRSA): The single most common cause of acute and chronic haematogenous osteomyelitis in adults and children; MRSA constitutes over one-third of staphylococcal isolates in some series and worsens outcome.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2. </w:t>
      </w:r>
      <w:r>
        <w:rPr>
          <w:rFonts w:ascii="Calibri" w:hAnsi="Calibri"/>
          <w:b w:val="0"/>
          <w:i w:val="0"/>
          <w:color w:val="212121"/>
          <w:sz w:val="21"/>
        </w:rPr>
        <w:t>Gram-negative and polymicrobial infection: Escherichia coli, Klebsiella, Pseudomonas and anaerobes predominate in contiguous, diabetic-foot and post-traumatic disease; Indian chronic-osteomyelitis series report a high anaerobic and gram-negative load.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3. </w:t>
      </w:r>
      <w:r>
        <w:rPr>
          <w:rFonts w:ascii="Calibri" w:hAnsi="Calibri"/>
          <w:b w:val="0"/>
          <w:i w:val="0"/>
          <w:color w:val="212121"/>
          <w:sz w:val="21"/>
        </w:rPr>
        <w:t>Direct inoculation / trauma: Open fractures, penetrating injuries and orthopaedic surgery or hardware allow organisms straight into bone — a leading route in India given the high road-traffic-injury burden.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4. </w:t>
      </w:r>
      <w:r>
        <w:rPr>
          <w:rFonts w:ascii="Calibri" w:hAnsi="Calibri"/>
          <w:b w:val="0"/>
          <w:i w:val="0"/>
          <w:color w:val="212121"/>
          <w:sz w:val="21"/>
        </w:rPr>
        <w:t>Contiguous spread with vascular insufficiency: Diabetic-foot ulcers, pressure sores and peripheral vascular disease permit skin/soft-tissue organisms to invade underlying bone.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5. </w:t>
      </w:r>
      <w:r>
        <w:rPr>
          <w:rFonts w:ascii="Calibri" w:hAnsi="Calibri"/>
          <w:b w:val="0"/>
          <w:i w:val="0"/>
          <w:color w:val="212121"/>
          <w:sz w:val="21"/>
        </w:rPr>
        <w:t>Mycobacterium tuberculosis: Skeletal (osteoarticular) TB, classically Pott's disease of the spine, is an important cause of chronic osteomyelitis in India's high-TB-burden setting.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6. </w:t>
      </w:r>
      <w:r>
        <w:rPr>
          <w:rFonts w:ascii="Calibri" w:hAnsi="Calibri"/>
          <w:b w:val="0"/>
          <w:i w:val="0"/>
          <w:color w:val="212121"/>
          <w:sz w:val="21"/>
        </w:rPr>
        <w:t>Salmonella and unusual organisms: Salmonella osteomyelitis characteristically complicates sickle-cell disease; fungal and Brucella osteomyelitis occur in specific hosts and exposures.</w:t>
      </w:r>
    </w:p>
    <w:p>
      <w:pPr>
        <w:spacing w:after="60"/>
        <w:ind w:left="432" w:hanging="288"/>
      </w:pPr>
      <w:r>
        <w:rPr>
          <w:rFonts w:ascii="Calibri" w:hAnsi="Calibri"/>
          <w:b/>
          <w:i w:val="0"/>
          <w:color w:val="212121"/>
          <w:sz w:val="21"/>
        </w:rPr>
        <w:t xml:space="preserve">7. </w:t>
      </w:r>
      <w:r>
        <w:rPr>
          <w:rFonts w:ascii="Calibri" w:hAnsi="Calibri"/>
          <w:b w:val="0"/>
          <w:i w:val="0"/>
          <w:color w:val="212121"/>
          <w:sz w:val="21"/>
        </w:rPr>
        <w:t>Host susceptibility: Diabetes mellitus, immunosuppression (HIV, steroids, chemotherapy), malnutrition, chronic kidney disease and injection drug use predispose to seeding and impair clearance.</w:t>
      </w:r>
    </w:p>
    <w:p>
      <w:pPr>
        <w:spacing w:before="280" w:after="120"/>
      </w:pPr>
      <w:r>
        <w:rPr>
          <w:rFonts w:ascii="Calibri" w:hAnsi="Calibri"/>
          <w:b/>
          <w:i w:val="0"/>
          <w:color w:val="212121"/>
          <w:sz w:val="31"/>
        </w:rPr>
        <w:t>Research Draft of MCP</w:t>
      </w:r>
    </w:p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Profiles Prone To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2401"/>
        <w:gridCol w:w="2401"/>
        <w:gridCol w:w="2401"/>
        <w:gridCol w:w="24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Category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Disposition</w:t>
            </w:r>
          </w:p>
        </w:tc>
        <w:tc>
          <w:tcPr>
            <w:tcW w:type="dxa" w:w="216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Profiles</w:t>
            </w:r>
          </w:p>
        </w:tc>
        <w:tc>
          <w:tcPr>
            <w:tcW w:type="dxa" w:w="42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Explanation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Demographic factors</w:t>
            </w:r>
          </w:p>
        </w:tc>
        <w:tc>
          <w:tcPr>
            <w:tcW w:type="dxa" w:w="1655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Age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 (working-age)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adults osteomyelitis is dominated by post-traumatic, diabetic-foot and vertebral disease. Working-age men sustaining open fractures in road-traffic and occupational injuries are a core Indian at-risk group, where contamination and delayed care seed bone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Overall population incidence is estimated at ~21.8 cases per 100,000 person-years and is rising, driven largely by diabetes-related foot disease.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Osteomyelitis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#osteomyelitis  #openfracture  #trauma  #boneinfection  #diabeticfoot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Elderly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Older adults are the classic hosts for vertebral osteomyelitis (spondylodiscitis) and diabetic-foot osteomyelitis, because bacteraemia, degenerative spine disease, diabetes and vascular insufficiency accumulate with age and immune senescence slows clearance.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Incidence increases with age owing to comorbidities such as diabetes and vascular disease; vertebral osteomyelitis is chiefly a disease of older adults.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Osteomyelitis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#elderly  #vertebralosteomyelitis  #spondylodiscitis  #comorbidity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Children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Acute haematogenous osteomyelitis is predominantly a paediatric disease, seeding the richly vascular, sluggish-flow metaphyses of long bones (femur, tibia). Presentation is often acute limp, refusal to bear weight or pseudoparalysis.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Indian paediatric bone-and-joint infection series, Staphylococcus aureus is the commonest isolate, with a notable methicillin-resistant fraction.</w:t>
            </w:r>
          </w:p>
          <w:p>
            <w:pPr>
              <w:spacing w:after="40" w:line="252" w:lineRule="auto"/>
            </w:pPr>
            <w:hyperlink r:id="rId10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pubmed.ncbi.nlm.nih.gov/37037428 — paediatric bone/joint infections, South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#children  #haematogenous  #metaphysis  #pseudoparalysis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Sex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Males have a higher incidence across most forms, reflecting greater exposure to trauma, open fractures, occupational injury and injection drug use, plus a higher burden of diabetic-foot disease.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Osteomyelitis shows a consistent male predominance in population and hospital series.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Osteomyelitis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#male  #trauma  #occupationalinjury  #malepredominance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Socioeconomic status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Low-income / manual &amp; barefoot workers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Poverty raises risk through unprotected manual and agricultural work, barefoot walking, delayed presentation of injuries and ulcers, untreated infections, malnutrition and a higher tuberculosis burden — all favouring neglected, chronic bone infection.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Indian workplace cohorts confirm infected diabetic-foot ulcers and DFU-related osteomyelitis as recognised, preventable occupational-health problems.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pubmed.ncbi.nlm.nih.gov/39833236 — infected DFU &amp; osteomyelitis, Indian industrial workers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#socioeconomic  #barefoot  #delayedcare  #occupational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Geographic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Ethnicity / Region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(trauma + TB + diabetes triad)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 carries an unusually heavy osteomyelitis load because high road-traffic-injury rates (open fractures), a very large diabetic population (foot osteomyelitis) and endemic skeletal tuberculosis converge, often compounded by late presentation and antimicrobial resistance.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Local drug-delivery and burden reviews highlight osteomyelitis as a persistent, treatment-refractory problem in Indian orthopaedic practice.</w:t>
            </w:r>
          </w:p>
          <w:p>
            <w:pPr>
              <w:spacing w:after="40" w:line="252" w:lineRule="auto"/>
            </w:pPr>
            <w:hyperlink r:id="rId12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pubmed.ncbi.nlm.nih.gov/27693717 — understanding osteomyelitis &amp; local drug delivery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#india  #RTA  #tuberculosis  #diabetes  #AMR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Region / Climate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Coastal &amp; tropical India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Warm, humid regions favour skin/soft-tissue infection and a broader microbial spectrum, including anaerobes and gram-negatives, in chronic osteomyelitis — shifting empirical antibiotic choices away from staphylococcal-only cover.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a coastal-Karnataka chronic-osteomyelitis series of 204 specimens, aerobes accounted for 60.8% and anaerobes 39.2% of isolates, with resistance to common empirical drugs.</w:t>
            </w:r>
          </w:p>
          <w:p>
            <w:pPr>
              <w:spacing w:after="40" w:line="252" w:lineRule="auto"/>
            </w:pPr>
            <w:hyperlink r:id="rId13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pubmed.ncbi.nlm.nih.gov/32345150 — chronic osteomyelitis microbiology, coastal Karnataka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#tropical  #anaerobes  #gramnegative  #coastalindia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Lifestyle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 / tobacco users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Nicotine-driven vasoconstriction and impaired micro-perfusion reduce oxygen and immune-cell delivery to bone, slowing healing and fracture union and raising the risk of infection, non-union and chronic osteomyelitis.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 is an established risk factor for impaired bone healing, surgical-site infection and non-union after fracture.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Osteomyelitis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#smoking  #vasoconstriction  #nonunion  #impairedhealing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drinkers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 misuse causes relative immunosuppression, malnutrition and increased falls/trauma and is over-represented among patients with vertebral osteomyelitis and poor wound healing.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Alcohol-related immune impairment and malnutrition are recognised contributors to bacteraemic and vertebral osteomyelitis.</w:t>
            </w:r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#alcohol  #immunosuppression  #malnutrition  #vertebral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Injection drug use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who inject drugs (PWID)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Non-sterile injection introduces skin organisms (incl. S. aureus and Pseudomonas) into the bloodstream, causing haematogenous and vertebral osteomyelitis, sometimes at unusual sites (sternoclavicular, pubic, sacroiliac).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Injection drug use, bacteraemia and endocarditis are well-recognised risk factors for haematogenous and vertebral osteomyelitis.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Osteomyelitis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#PWID  #bacteraemia  #vertebral  #endocarditis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Dietary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Malnutrition / micronutrient deficiency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Underweight, low-protein, vitamin D/C deficient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malnutrition and deficiencies of vitamin D, vitamin C and zinc impair immune defence, collagen synthesis and bone remodelling, predisposing to infection and delayed healing of ulcers and fractures.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Micronutrient deficiencies are significantly associated with diabetic-foot ulceration and impaired wound healing in systematic-review evidence.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pubmed.ncbi.nlm.nih.gov/37065742 — micronutrients &amp; diabetic-foot ulcer (meta-analysis)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#malnutrition  #vitaminD  #protein  #woundhealing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Genetic factors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Haemoglobinopathy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Sickle-cell disease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Bone infarction from vaso-occlusion plus functional asplenia predisposes to osteomyelitis, with Salmonella species characteristically over-represented alongside S. aureus — relevant in India's tribal sickle-cell belts.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Salmonella is characteristically associated with osteomyelitis in sickle-cell disease, in contrast with S. aureus predominance in the general population.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Osteomyelitis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#sicklecell  #salmonella  #boneinfarct  #asplenia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Medical conditions profile (mcp)</w:t>
            </w: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foot ulcers/neuropathy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Neuropathy, peripheral vascular disease and impaired immunity let plantar ulcers penetrate to bone, producing diabetic-foot osteomyelitis — the fastest-growing form and a leading cause of non-traumatic amputation.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India's very large diabetic population makes diabetic-foot osteomyelitis a major, rising contributor to the national osteomyelitis and amputation burden.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pubmed.ncbi.nlm.nih.gov/39833236 — DFU-related osteomyelitis, Indian workers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#diabetes  #diabeticfoot  #neuropathy  #amputation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vascular disease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PAD / critical limb ischaemia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Reduced arterial inflow starves tissue of oxygen, antibiotics and immune cells, allowing ulcers to progress to bone and making established osteomyelitis far harder to cure without revascularisation.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Peripheral vascular disease and neuropathy are core risk factors for contiguous, poorly healing osteomyelitis of the foot.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Osteomyelitis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#PAD  #ischaemia  #nonhealing  #revascularisation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Tuberculosis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with skeletal TB (Pott's spine)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India's high-TB-burden setting, Mycobacterium tuberculosis is an important cause of chronic osteomyelitis, especially spondylitis (Pott's disease), presenting with insidious back pain, cold abscess and gibbus deformity.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Osteoarticular (skeletal) tuberculosis constitutes roughly 1–3% of all TB and is a recognised, evolving cause of chronic bone infection in Indian series.</w:t>
            </w:r>
          </w:p>
          <w:p>
            <w:pPr>
              <w:spacing w:after="40" w:line="252" w:lineRule="auto"/>
            </w:pPr>
            <w:hyperlink r:id="rId15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pubmed.ncbi.nlm.nih.gov/27451817 — skeletal tuberculosis epidemiology, India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#tuberculosis  #pottspine  #spondylitis  #coldabscess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Immunosuppression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HIV, steroid/chemotherapy, CKD/dialysis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Immunocompromise from HIV, immunosuppressive drugs, malignancy or chronic kidney disease/dialysis (vascular-access bacteraemia) increases both seeding and failure to clear bone infection, and broadens the causative organism spectrum.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Immunosuppression and dialysis-associated bacteraemia are established host risk factors that also predispose to vertebral osteomyelitis.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Osteomyelitis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#HIV  #immunosuppression  #dialysis  #CKD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655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Orthopaedic hardware / open fracture</w:t>
            </w:r>
          </w:p>
        </w:tc>
        <w:tc>
          <w:tcPr>
            <w:tcW w:type="dxa" w:w="216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Implant-associated &amp; post-traumatic osteomyelitis</w:t>
            </w:r>
          </w:p>
        </w:tc>
        <w:tc>
          <w:tcPr>
            <w:tcW w:type="dxa" w:w="4276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Retained hardware and open fractures create a biofilm-friendly, poorly vascularised surface where organisms evade antibiotics, a dominant route of osteomyelitis in India's large trauma population.</w:t>
            </w:r>
          </w:p>
          <w:p>
            <w:pPr>
              <w:spacing w:after="40" w:before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Trauma, open fractures and orthopaedic hardware are principal predisposing factors for contiguous and implant-associated osteomyelitis.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ncbi.nlm.nih.gov — StatPearls: Osteomyelitis</w:t>
              </w:r>
            </w:hyperlink>
          </w:p>
          <w:p>
            <w:pPr>
              <w:spacing w:before="60" w:after="40"/>
            </w:pPr>
            <w:r>
              <w:rPr>
                <w:rFonts w:ascii="Calibri" w:hAnsi="Calibri"/>
                <w:b w:val="0"/>
                <w:i w:val="0"/>
                <w:color w:val="5A5A5A"/>
                <w:sz w:val="18"/>
              </w:rPr>
              <w:t>#hardware  #biofilm  #openfracture  #posttraumatic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Lifestyle Health Parameters ( LHP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Order of Parameter Influence Study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8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Level</w:t>
            </w:r>
          </w:p>
        </w:tc>
        <w:tc>
          <w:tcPr>
            <w:tcW w:type="dxa" w:w="550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Influence Study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Activity itself is not a direct cause, but high-risk activity and road-traffic/occupational trauma produce the open fractures that seed post-traumatic osteomyelitis; conversely, prolonged immobilisation and deconditioning during recovery impair perfusion and healing.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Protein-energy malnutrition and deficiencies of vitamin D, vitamin C, zinc and iron impair immunity, collagen synthesis and bone remodelling; poor glycaemic diets worsen diabetic-foot ulceration that progresses to bone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sleep deprivation modestly impairs innate and adaptive immunity and wound healing, an indirect contributor rather than a primary driver of bone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Nicotine-induced vasoconstriction and reduced tissue oxygenation impair fracture union and wound healing and raise rates of surgical-site infection, non-union and chronic osteomyelitis.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heavy drinking causes relative immunosuppression, malnutrition and more falls/trauma, and is over-represented in vertebral osteomyelitis and poorly healing wounds.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Depression and cognitive impairment reduce foot self-care, wound surveillance and treatment adherence, indirectly increasing ulcer-to-bone progression and relapse.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Water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Hydration has no direct role in bone infection, though adequate perfusion and tissue turgor support wound healing; dehydration may worsen sepsis physiology.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Caffeine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meaningful direct effect on osteomyelitis risk; very high intake has weak associations with reduced bone density but not with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Skin, wound and foot hygiene and sterile surgical/injection technique are central to preventing contiguous and haematogenous bone infection; poor hygiene and neglected ulcers are major provokers.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Open fractures, penetrating wounds, surgery/implants, diabetic-foot and pressure ulcers, bacteraemia, endocarditis and injection drug use are the direct provoking events that introduce or seed organisms into bone.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Posture</w:t>
            </w:r>
          </w:p>
        </w:tc>
        <w:tc>
          <w:tcPr>
            <w:tcW w:type="dxa" w:w="18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  <w:tc>
          <w:tcPr>
            <w:tcW w:type="dxa" w:w="550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NA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LHP Metric Triggers &amp; Specifications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601"/>
        <w:gridCol w:w="1601"/>
        <w:gridCol w:w="1601"/>
        <w:gridCol w:w="1601"/>
        <w:gridCol w:w="1601"/>
        <w:gridCol w:w="1601"/>
      </w:tblGrid>
      <w:tr>
        <w:trPr>
          <w:cantSplit/>
        </w:trPr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Metric</w:t>
            </w:r>
          </w:p>
        </w:tc>
        <w:tc>
          <w:tcPr>
            <w:tcW w:type="dxa" w:w="165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Ideal Values</w:t>
            </w:r>
          </w:p>
        </w:tc>
        <w:tc>
          <w:tcPr>
            <w:tcW w:type="dxa" w:w="151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Trigger Values</w:t>
            </w:r>
          </w:p>
        </w:tc>
        <w:tc>
          <w:tcPr>
            <w:tcW w:type="dxa" w:w="146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HbA1c (glycaemic control)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at foot-ulcer risk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7.0%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8.0% (poor control)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Hyperglycaemia impairs neutrophil function and healing, driving diabetic-foot osteomyelitis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https://pubmed.ncbi.nlm.nih.gov/39833236/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albumin (nutrition)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Chronic/elderly, ulcer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3.5 g/dL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3.0 g/dL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Hypoalbuminaemia signals malnutrition and predicts impaired healing and relapse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Serum 25-OH vitamin D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Malnourished, elderly, deficient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30 ng/mL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20 ng/mL (deficient)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Vitamin D supports immune defence and bone remodelling</w:t>
            </w:r>
          </w:p>
          <w:p>
            <w:pPr>
              <w:spacing w:after="40" w:line="252" w:lineRule="auto"/>
            </w:pPr>
            <w:hyperlink r:id="rId14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https://pubmed.ncbi.nlm.nih.gov/37065742/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Body Mass Index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18.5–24.9 kg/m²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18.5 (undernutrition)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Undernutrition weakens host defence; obesity complicates diabetic-foot disease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Cigarettes per day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Fracture/surgery patients, diabetics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0 cigarettes/day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≥ 1 cigarette/day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Any smoking impairs bone healing and raises infection and non-union risk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https://www.ncbi.nlm.nih.gov/books/NBK532250/</w:t>
              </w:r>
            </w:hyperlink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Drinks per week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Adults, elderly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≤ 7–14 drinks/week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&gt; 14 drinks/week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intake impairs immunity and nutrition and increases trauma</w:t>
            </w:r>
          </w:p>
        </w:tc>
      </w:tr>
      <w:tr>
        <w:trPr>
          <w:cantSplit/>
        </w:trPr>
        <w:tc>
          <w:tcPr>
            <w:tcW w:type="dxa" w:w="1512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Hygiene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foot inspection &amp; footwear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Diabetics, neuropathy, PVD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Daily self/carer inspection; protective footwear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 routine inspection; barefoot walking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ulcer detection prevents progression to bone</w:t>
            </w:r>
          </w:p>
          <w:p>
            <w:pPr>
              <w:spacing w:after="40" w:line="252" w:lineRule="auto"/>
            </w:pPr>
            <w:hyperlink r:id="rId11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https://pubmed.ncbi.nlm.nih.gov/39833236/</w:t>
              </w:r>
            </w:hyperlink>
          </w:p>
        </w:tc>
      </w:tr>
      <w:tr>
        <w:trPr>
          <w:cantSplit/>
        </w:trPr>
        <w:tc>
          <w:tcPr>
            <w:tcW w:type="dxa" w:w="1512"/>
            <w:vMerge w:val="restart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Provoking factors</w:t>
            </w: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Time from open injury to debridement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Open-fracture / trauma patients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Early wound care &amp; antibiotics (hours)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Delayed/inadequate debridement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Prompt debridement and antibiotics markedly reduce post-traumatic osteomyelitis</w:t>
            </w:r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C-reactive protein (CRP)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Suspected/treated osteomyelitis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&lt; 5 mg/L (normalising)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Persistently elevated / rising</w:t>
            </w:r>
          </w:p>
        </w:tc>
        <w:tc>
          <w:tcPr>
            <w:tcW w:type="dxa" w:w="1468"/>
            <w:vAlign w:val="top"/>
          </w:tcPr>
          <w:p>
            <w:pPr>
              <w:spacing w:after="6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CRP trend tracks infection activity and response to therapy</w:t>
            </w:r>
          </w:p>
          <w:p>
            <w:pPr>
              <w:spacing w:after="40" w:line="252" w:lineRule="auto"/>
            </w:pPr>
            <w:hyperlink r:id="rId9">
              <w:r>
                <w:rPr>
                  <w:rFonts w:ascii="Calibri" w:hAnsi="Calibri" w:cs="Calibri"/>
                  <w:sz w:val="18"/>
                  <w:color w:val="1155CC"/>
                  <w:u w:val="single"/>
                </w:rPr>
                <w:t xml:space="preserve">https://www.ncbi.nlm.nih.gov/books/NBK532250/</w:t>
              </w:r>
            </w:hyperlink>
          </w:p>
        </w:tc>
      </w:tr>
      <w:tr>
        <w:trPr>
          <w:cantSplit/>
        </w:trPr>
        <w:tc>
          <w:tcPr>
            <w:tcW w:type="dxa" w:w="1512"/>
            <w:vMerge/>
            <w:vAlign w:val="top"/>
          </w:tcPr>
          <w:p>
            <w:pPr>
              <w:spacing w:after="40" w:before="0" w:line="259" w:lineRule="auto"/>
            </w:pPr>
          </w:p>
        </w:tc>
        <w:tc>
          <w:tcPr>
            <w:tcW w:type="dxa" w:w="194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ESR (erythrocyte sedimentation rate)</w:t>
            </w:r>
          </w:p>
        </w:tc>
        <w:tc>
          <w:tcPr>
            <w:tcW w:type="dxa" w:w="165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Chronic/vertebral osteomyelitis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Normal for age/sex</w:t>
            </w:r>
          </w:p>
        </w:tc>
        <w:tc>
          <w:tcPr>
            <w:tcW w:type="dxa" w:w="151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Markedly elevated / slow to fall</w:t>
            </w:r>
          </w:p>
        </w:tc>
        <w:tc>
          <w:tcPr>
            <w:tcW w:type="dxa" w:w="146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Persistently high ESR suggests ongoing or relapsing bone infection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Traditional Health Parameters ( THP )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Quantitative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values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values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C-reactive protein (CRP)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Serum CRP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5 mg/L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Elevated (often &gt; 10–100 mg/L)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Sensitive activity marker; falling CRP indicates treatment response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&amp; chronic osteomyelitis, diabetic foot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(monitoring)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Non-specific; interpret with imaging and cultures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Inflammatory marker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ESR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Erythrocyte sedimentation rate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&lt; 20 mm/hr (age/sex adjusted)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Markedly elevated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diagnosis and tracks chronic/vertebral disease; slow to change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&amp; vertebral osteomyelitis, Pott's spine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Very high values suggest deep/relapsing infection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Haematology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Total &amp; differential WBC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Complete blood count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4,000–11,000 /µL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Leucocytosis with neutrophilia (may be normal in chronic)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Supports acute infection; often normal in chronic osteomyelitis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haematogenous osteomyelitis, sepsis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Supportive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count does not exclude chronic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Blood culture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Aerobic &amp; anaerobic cultures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growth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Pathogen isolated (e.g., S. aureus)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organism, esp. in haematogenous/vertebral disease; guides antibiotics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Febrile, bacteraemic, vertebral osteomyelitis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Take before starting antibiotics where possible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 / Histopathology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biopsy culture &amp; histology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Percutaneous/open bone biopsy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 organisms; normal marrow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culture + inflammatory/necrotic histology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Diagnostic gold standard; provides organism and susceptibility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uncertain, chronic or refractory cases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Gold standard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≥ 2 samples; ideally off antibiotics; request TB/fungal stains where relevant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MRI (marrow oedema, abscess)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Magnetic resonance imaging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marrow signal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Marrow oedema, cortical destruction, rim-enhancing collection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Most sensitive early test; defines extent and soft-tissue/epidural spread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Suspected osteomyelitis, diabetic foot, spine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Sensitivity ~78–90%; limited by metal hardware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Imaging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Plain radiograph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X-ray of affected bone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in first ~2 weeks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Lytic destruction, periosteal reaction, sequestrum/involucrum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First-line but insensitive early; changes need 50–75% bone loss and ~10–14 days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All suspected cases (baseline)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Baseline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X-ray does not exclude early osteomyelitis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Metabolic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/ fasting glucose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Glycaemic assessment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&lt; 5.7%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HbA1c ≥ 6.5% (diabetes)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Detects/quantifies diabetes underlying foot osteomyelitis and healing failure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Diabetic-foot osteomyelitis, non-healing ulcers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Food;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Glycaemic control is essential to cure and prevention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Investigation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Microbiology (specific)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GeneXpert MTB/RIF, AFB &amp; TB culture</w:t>
            </w:r>
          </w:p>
        </w:tc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TB work-up of bone/pus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Not detected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MTB detected ± rifampicin resistance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Confirms tuberculous osteomyelitis (Pott's spine) in India's high-TB setting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spondylitis, cold abscess, insidious course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 (India)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Essential before labelling chronic osteomyelitis pyogenic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Qualitative THP</w:t>
      </w:r>
    </w:p>
    <w:tbl>
      <w:tblPr>
        <w:tblW w:type="dxa" w:w="9792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  <w:gridCol w:w="873"/>
      </w:tblGrid>
      <w:tr>
        <w:trPr>
          <w:cantSplit/>
        </w:trPr>
        <w:tc>
          <w:tcPr>
            <w:tcW w:type="dxa" w:w="89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Diagnostic Workup</w:t>
            </w:r>
          </w:p>
        </w:tc>
        <w:tc>
          <w:tcPr>
            <w:tcW w:type="dxa" w:w="835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Tests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THP</w:t>
            </w:r>
          </w:p>
        </w:tc>
        <w:tc>
          <w:tcPr>
            <w:tcW w:type="dxa" w:w="979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Parameter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Normal findings</w:t>
            </w:r>
          </w:p>
        </w:tc>
        <w:tc>
          <w:tcPr>
            <w:tcW w:type="dxa" w:w="95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Abnormal findings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Interpretation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Profiles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LHP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Importance</w:t>
            </w:r>
          </w:p>
        </w:tc>
        <w:tc>
          <w:tcPr>
            <w:tcW w:type="dxa" w:w="7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6"/>
              </w:rPr>
              <w:t>Note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Chief complaints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Deep bone pain, fever, swelling, discharging sinus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Any present, esp. persistent focal bone pain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Cardinal features prompting evaluation for bone infection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Acute &amp; chronic osteomyelitis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Constitutional symptoms milder in chronic disease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History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Predisposing history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Open fracture, surgery/implant, diabetic ulcer, IV drug use, TB contact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None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One or more present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Identifies route (contiguous, direct, haematogenous) and likely organisms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Post-traumatic, diabetic, PWID, TB-endemic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factors; 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Directs empirical antibiotic and imaging strategy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 inspection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Erythema, swelling, sinus/ulcer, exposed bone, deformity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Normal overlying skin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Sinus with pus, exposed/necrotic bone, gibbus (spine)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Signs of active or chronic bone infection and its complications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Chronic osteomyelitis, diabetic foot, Pott's spine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 chronic sinus with exposed bone is essentially diagnostic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Probe-to-bone test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Sterile probe reaching bone through an ulcer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Bone not reached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Probe contacts bone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Positive test strongly supports diabetic-foot osteomyelitis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Diabetic-foot ulcers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Hygiene; Food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Cheap bedside test; combine with markers and imaging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Palpation &amp; function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Focal tenderness, warmth, restricted movement, weight-bearing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Non-tender, full function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Point tenderness, warmth, limp/pseudoparalysis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Localises the focus; pseudoparalysis suggests paediatric acute osteomyelitis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Children (acute), adults (long bone)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activity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Screening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Refusal to bear weight in a child warrants urgent work-up</w:t>
            </w:r>
          </w:p>
        </w:tc>
      </w:tr>
      <w:tr>
        <w:trPr>
          <w:cantSplit/>
        </w:trPr>
        <w:tc>
          <w:tcPr>
            <w:tcW w:type="dxa" w:w="89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Clinical Examination</w:t>
            </w:r>
          </w:p>
        </w:tc>
        <w:tc>
          <w:tcPr>
            <w:tcW w:type="dxa" w:w="835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Physical exam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Neurovascular assessment</w:t>
            </w:r>
          </w:p>
        </w:tc>
        <w:tc>
          <w:tcPr>
            <w:tcW w:type="dxa" w:w="979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Peripheral pulses, sensation, motor deficit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Intact pulses &amp; sensation</w:t>
            </w:r>
          </w:p>
        </w:tc>
        <w:tc>
          <w:tcPr>
            <w:tcW w:type="dxa" w:w="95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Absent pulses (PVD), sensory loss (neuropathy), cord signs (Pott's)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Vascular/neuropathic status governs healing potential and urgency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Diabetic foot, PVD, vertebral osteomyelitis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Provoking factors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High</w:t>
            </w:r>
          </w:p>
        </w:tc>
        <w:tc>
          <w:tcPr>
            <w:tcW w:type="dxa" w:w="7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6"/>
              </w:rPr>
              <w:t>New neurological deficit in spinal disease is an emergency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Clinical features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Symptoms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30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Symptom</w:t>
            </w:r>
          </w:p>
        </w:tc>
        <w:tc>
          <w:tcPr>
            <w:tcW w:type="dxa" w:w="158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571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Deep, localised bone pain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Persistent, dull, worse with movement or weight-bearing; the most consistent symptom of osteomyelitis.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and chills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Prominent in acute haematogenous disease; often mild or absent in chronic osteomyelitis.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Local swelling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Soft-tissue and periosteal swelling over the infected bone.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Warmth and redness over the area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Inflammatory signs overlying superficial bones.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Restricted movement / limp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Reluctance to move or bear weight on the affected limb; pseudoparalysis in infants and children.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Malaise and fatigue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Non-specific constitutional upset accompanying infection.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Non-healing ulcer with exposed bone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Hallmark of diabetic-foot and pressure-related contiguous osteomyelitis; often painless with neuropathy.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discharging sinus with pus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Intermittently draining sinus tract is the classic feature of chronic osteomyelitis.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Insidious back pain (± night pain)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Vertebral osteomyelitis and Pott's spine present with worsening spinal pain, sometimes with fever.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Unexplained weight loss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Suggests chronic or tuberculous osteomyelitis; part of constitutional TB symptoms.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Neurological deficit (weakness, numbness)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Spinal-cord or nerve-root compression in advanced vertebral osteomyelitis/Pott's disease — a surgical emergency.</w:t>
            </w:r>
          </w:p>
        </w:tc>
      </w:tr>
      <w:tr>
        <w:trPr>
          <w:cantSplit/>
        </w:trPr>
        <w:tc>
          <w:tcPr>
            <w:tcW w:type="dxa" w:w="230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Pathological fracture</w:t>
            </w:r>
          </w:p>
        </w:tc>
        <w:tc>
          <w:tcPr>
            <w:tcW w:type="dxa" w:w="158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571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Bone weakened by infection may fracture with minimal or no trauma.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Signs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345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Sign</w:t>
            </w:r>
          </w:p>
        </w:tc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4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Focal bony tenderness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Point tenderness directly over the involved bone segment.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Localised swelling and induration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Firm soft-tissue and periosteal thickening over the focus.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Warmth and erythema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Overlying inflammatory skin change in superficial bones.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Discharging sinus tract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Purulent sinus communicating with bone — pathognomonic of chronic osteomyelitis.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Exposed or necrotic bone (sequestrum)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Visible/palpable dead bone in a chronic wound or through a sinus.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Positive probe-to-bone test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Bone palpable at the base of a diabetic-foot ulcer strongly supports osteomyelitis.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Restricted range of movement / pseudoparalysis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Guarding of adjacent joint; infants may not move the limb at all.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Fever on examination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More consistent in acute than chronic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Limb deformity, shortening or angulation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of bone destruction, growth-plate damage or non-/mal-union in long-standing disease.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Gibbus (angular kyphosis) and cold abscess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Less common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Classic findings of Pott's disease (tuberculous spondylitis) in India.</w:t>
            </w:r>
          </w:p>
        </w:tc>
      </w:tr>
      <w:tr>
        <w:trPr>
          <w:cantSplit/>
        </w:trPr>
        <w:tc>
          <w:tcPr>
            <w:tcW w:type="dxa" w:w="345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Neurological signs of cord/root compression</w:t>
            </w:r>
          </w:p>
        </w:tc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Rare</w:t>
            </w:r>
          </w:p>
        </w:tc>
        <w:tc>
          <w:tcPr>
            <w:tcW w:type="dxa" w:w="44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Weakness, sensory level or sphincter disturbance in advanced spinal osteomyelitis.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Concomitant conditions</w:t>
      </w:r>
    </w:p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Relationship Types (classification key)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4802"/>
        <w:gridCol w:w="4802"/>
      </w:tblGrid>
      <w:tr>
        <w:trPr>
          <w:cantSplit/>
        </w:trPr>
        <w:tc>
          <w:tcPr>
            <w:tcW w:type="dxa" w:w="280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 type</w:t>
            </w:r>
          </w:p>
        </w:tc>
        <w:tc>
          <w:tcPr>
            <w:tcW w:type="dxa" w:w="67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Definition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Predisposes To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increases the likelihood of developing another.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Bidirectional Association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Both conditions influence each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Shared Pathophysiology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Common biological mechanisms and shared etiologies.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 Of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One condition develops as a consequence of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Treatment Interaction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Treatment of one condition affects the other.</w:t>
            </w:r>
          </w:p>
        </w:tc>
      </w:tr>
      <w:tr>
        <w:trPr>
          <w:cantSplit/>
        </w:trPr>
        <w:tc>
          <w:tcPr>
            <w:tcW w:type="dxa" w:w="280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Clinical Management Impact</w:t>
            </w:r>
          </w:p>
        </w:tc>
        <w:tc>
          <w:tcPr>
            <w:tcW w:type="dxa" w:w="679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Coexistence alters diagnosis, monitoring, prognosis, or treatment planning.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Complications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1728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89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Complications</w:t>
            </w:r>
          </w:p>
        </w:tc>
        <w:tc>
          <w:tcPr>
            <w:tcW w:type="dxa" w:w="298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Primary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Subperiosteal / soft-tissue abscess (incl. Brodie's abscess)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Septic (pyogenic) arthritis of the adjacent joint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Bacteraemia and sepsis / septic shock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Pathological fracture through infected bone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Growth-plate (physeal) injury in children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Direct early consequences of active bone infection and its local and systemic spread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Secondary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Progression to chronic osteomyelitis with sequestrum, involucrum and sinus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Recurrence/relapse despite prolonged antibiotics and surgery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Non-union or mal-union and limb deformity/shortening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Contiguous joint destruction and stiffness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Vertebral collapse with kyphosis and spinal instability (Pott's spine)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Result from ongoing tissue necrosis, dead-bone persistence and inadequately controlled infection</w:t>
            </w:r>
          </w:p>
        </w:tc>
      </w:tr>
      <w:tr>
        <w:trPr>
          <w:cantSplit/>
        </w:trPr>
        <w:tc>
          <w:tcPr>
            <w:tcW w:type="dxa" w:w="1728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Tertiary</w:t>
            </w:r>
          </w:p>
        </w:tc>
        <w:tc>
          <w:tcPr>
            <w:tcW w:type="dxa" w:w="489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Amputation of a limb or digit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Spinal-cord compression with paraplegia (advanced Pott's disease)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Marjolin's ulcer — squamous-cell carcinoma in a chronic sinus tract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Secondary (AA) amyloidosis from chronic inflammation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Permanent disability, chronic pain and sepsis-related mortality</w:t>
            </w:r>
          </w:p>
        </w:tc>
        <w:tc>
          <w:tcPr>
            <w:tcW w:type="dxa" w:w="298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Irreversible, disabling or life-threatening outcomes of long-standing or uncontrolled disease</w:t>
            </w:r>
          </w:p>
        </w:tc>
      </w:tr>
    </w:tbl>
    <w:p>
      <w:pPr>
        <w:spacing w:before="160" w:after="120"/>
      </w:pPr>
      <w:r>
        <w:rPr>
          <w:rFonts w:ascii="Calibri" w:hAnsi="Calibri"/>
          <w:b/>
          <w:i w:val="0"/>
          <w:color w:val="212121"/>
          <w:sz w:val="22"/>
        </w:rPr>
        <w:t>Associated Medical Conditions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3202"/>
        <w:gridCol w:w="3202"/>
        <w:gridCol w:w="3202"/>
      </w:tblGrid>
      <w:tr>
        <w:trPr>
          <w:cantSplit/>
        </w:trPr>
        <w:tc>
          <w:tcPr>
            <w:tcW w:type="dxa" w:w="223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AMC</w:t>
            </w:r>
          </w:p>
        </w:tc>
        <w:tc>
          <w:tcPr>
            <w:tcW w:type="dxa" w:w="2520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Relationship</w:t>
            </w:r>
          </w:p>
        </w:tc>
        <w:tc>
          <w:tcPr>
            <w:tcW w:type="dxa" w:w="4852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Diabetes mellitus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Neuropathy, vascular disease and impaired immunity drive diabetic-foot osteomyelitis; coexistence changes organisms, healing and cure rates.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vascular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Ischaemia blocks delivery of antibiotics and immune cells to bone, often requiring revascularisation for cure.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Peripheral neuropathy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Loss of protective sensation allows unnoticed ulcers to penetrate to bone.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Septic arthritis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Bidirectional Association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Infection readily crosses between bone and adjacent joint, especially in children and around the hip/knee.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Tuberculosis (skeletal / Pott's spine)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 leading cause of chronic osteomyelitis in India; management requires prolonged anti-tubercular therapy rather than standard antibiotics.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Sickle-cell disease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Shared Pathophysiology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Bone infarction and functional asplenia predispose to osteomyelitis, characteristically with Salmonella.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Prosthetic joint / orthopaedic implant infection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Biofilm on hardware sustains bone infection and usually necessitates implant removal or exchange.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Pressure (decubitus) ulcers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Complication Of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Deep sacral, ischial and heel ulcers spread contiguously to underlying bone in immobile patients.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HIV / immunosuppression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Impaired defence increases seeding, broadens the organism spectrum and complicates cure.</w:t>
            </w:r>
          </w:p>
        </w:tc>
      </w:tr>
      <w:tr>
        <w:trPr>
          <w:cantSplit/>
        </w:trPr>
        <w:tc>
          <w:tcPr>
            <w:tcW w:type="dxa" w:w="223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Chronic kidney disease on dialysis</w:t>
            </w:r>
          </w:p>
        </w:tc>
        <w:tc>
          <w:tcPr>
            <w:tcW w:type="dxa" w:w="2520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Predisposes To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Treatment Interaction</w:t>
            </w:r>
          </w:p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8"/>
              </w:rPr>
              <w:t>• Clinical Management Impact</w:t>
            </w:r>
          </w:p>
        </w:tc>
        <w:tc>
          <w:tcPr>
            <w:tcW w:type="dxa" w:w="4852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Recurrent vascular-access bacteraemia predisposes to haematogenous and vertebral osteomyelitis and complicates antibiotic dosing.</w:t>
            </w:r>
          </w:p>
        </w:tc>
      </w:tr>
    </w:tbl>
    <w:p>
      <w:pPr>
        <w:spacing w:before="200" w:after="120"/>
      </w:pPr>
      <w:r>
        <w:rPr>
          <w:rFonts w:ascii="Calibri" w:hAnsi="Calibri"/>
          <w:b/>
          <w:i w:val="0"/>
          <w:color w:val="212121"/>
          <w:sz w:val="25"/>
        </w:rPr>
        <w:t>Suggestions</w:t>
      </w:r>
    </w:p>
    <w:tbl>
      <w:tblPr>
        <w:tblW w:type="dxa" w:w="9604"/>
        <w:jc w:val="center"/>
        <w:tblLook w:firstColumn="1" w:firstRow="1" w:lastColumn="0" w:lastRow="0" w:noHBand="0" w:noVBand="1" w:val="04A0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</w:tblPr>
      <w:tblGrid>
        <w:gridCol w:w="1921"/>
        <w:gridCol w:w="1921"/>
        <w:gridCol w:w="1921"/>
        <w:gridCol w:w="1921"/>
        <w:gridCol w:w="1921"/>
      </w:tblGrid>
      <w:tr>
        <w:trPr>
          <w:cantSplit/>
        </w:trPr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LHP</w:t>
            </w:r>
          </w:p>
        </w:tc>
        <w:tc>
          <w:tcPr>
            <w:tcW w:type="dxa" w:w="122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Type</w:t>
            </w:r>
          </w:p>
        </w:tc>
        <w:tc>
          <w:tcPr>
            <w:tcW w:type="dxa" w:w="417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Suggestion</w:t>
            </w:r>
          </w:p>
        </w:tc>
        <w:tc>
          <w:tcPr>
            <w:tcW w:type="dxa" w:w="1944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Profile</w:t>
            </w:r>
          </w:p>
        </w:tc>
        <w:tc>
          <w:tcPr>
            <w:tcW w:type="dxa" w:w="1036"/>
            <w:shd w:val="clear" w:color="auto" w:fill="F2F2F2"/>
            <w:vAlign w:val="center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/>
                <w:i w:val="0"/>
                <w:color w:val="212121"/>
                <w:sz w:val="19"/>
              </w:rPr>
              <w:t>Importance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Education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Recognise early warning signs — persistent deep bone pain, a swollen warm limb, fever, or a non-healing wound near bone — and seek prompt medical care.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and their families should inspect feet daily, wear protective footwear, never walk barefoot, and treat any ulcer or callus early to stop it reaching bone.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Clean and dress all wounds and open injuries promptly; seek early surgical care and antibiotics for open fractures and deep or dirty wounds.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Complete the full prescribed course of antibiotics (typically several weeks) and attend all follow-up and dressing appointments to prevent relapse.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In TB-endemic India, report insidious back pain with weight loss or night sweats early, as it may indicate spinal (Pott's) osteomyelitis needing specific treatment.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&amp; carers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Trauma/post-surgical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People with chronic wounds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General public in TB-endemic areas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Physical Activity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Follow the surgeon's weight-bearing and immobilisation instructions to protect infected or operated bone while it heals.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Engage in guided physiotherapy to preserve joint range, muscle strength and function and prevent stiffness during prolonged treatment.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Off-load diabetic-foot ulcers with total-contact casts, offloading footwear or devices to allow bone and soft tissue to heal.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Resume graded activity progressively once infection is controlled, avoiding high-impact stress on recently infected bone.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 osteomyelitis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Diabetic-foot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Fracture-related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Rehabilitation phase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Food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Eat a protein-rich diet (pulses, dairy, eggs, fish/lean meat) to support immune function and bone/wound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Ensure adequate vitamin D, vitamin C, calcium, zinc and iron through diet or supplements to aid tissue repair and remodelling.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tight glycaemic control with a low-glycaemic, balanced diet in diabetics to improve healing and reduce recurrence.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Correct undernutrition (low BMI, low albumin) actively, as malnutrition predicts poor healing and relapse.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Stay well hydrated and maintain overall balanced nutrition during long antibiotic courses.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osteomyelitis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Malnourished/elderly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Chronic-wound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Sleep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Aim for 7–9 hours of good-quality sleep to support immune function and tissue repair during recovery.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Manage pain adequately so that night pain does not fragment sleep and impair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Maintain a regular sleep routine through the prolonged treatment period.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All patients in recovery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 osteomyelitis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Post-operative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Low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Smoking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Stop smoking and all tobacco use — nicotine impairs bone and wound healing and raises infection, non-union and relapse rates.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nicotine-replacement therapy, counselling or quit-line support to sustain cessation, especially before and after surgery.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second-hand smoke exposure during the healing period.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Smokers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Pre/post-operative patients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Fracture-related infection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Diabetic-foot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High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Alcohol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Preventive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Limit or avoid alcohol, which impairs immunity and nutrition and increases the risk of trauma and poor healing.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Avoid alcohol that interacts with antibiotics (e.g., metronidazole) and other prescribed medicines.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Seek support for alcohol-use disorder, which is associated with vertebral osteomyelitis and poor adherence.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Heavy drinkers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Vertebral osteomyelitis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Patients on interacting antibiotics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  <w:tr>
        <w:trPr>
          <w:cantSplit/>
        </w:trPr>
        <w:tc>
          <w:tcPr>
            <w:tcW w:type="dxa" w:w="1224"/>
            <w:vAlign w:val="center"/>
          </w:tcPr>
          <w:p>
            <w:pPr>
              <w:spacing w:after="40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Mental health</w:t>
            </w:r>
          </w:p>
        </w:tc>
        <w:tc>
          <w:tcPr>
            <w:tcW w:type="dxa" w:w="1224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Therapeutic</w:t>
            </w:r>
          </w:p>
        </w:tc>
        <w:tc>
          <w:tcPr>
            <w:tcW w:type="dxa" w:w="4176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Provide psychological support for the anxiety, depression and frustration that accompany prolonged treatment, immobilisation or amputation.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Address depression and cognitive barriers that reduce foot self-care, wound surveillance and treatment adherence.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Use structured follow-up, reminders and family involvement to support adherence to long antibiotic courses.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Offer counselling and rehabilitation support after amputation or lasting disability.</w:t>
            </w:r>
          </w:p>
        </w:tc>
        <w:tc>
          <w:tcPr>
            <w:tcW w:type="dxa" w:w="1944"/>
            <w:vAlign w:val="top"/>
          </w:tcPr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Chronic/relapsing osteomyelitis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Amputees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Diabetics with depression</w:t>
            </w:r>
          </w:p>
          <w:p>
            <w:pPr>
              <w:spacing w:after="40" w:line="254" w:lineRule="auto"/>
              <w:ind w:left="187" w:hanging="187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 xml:space="preserve">•  </w:t>
            </w: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Long-term-treatment patients</w:t>
            </w:r>
          </w:p>
        </w:tc>
        <w:tc>
          <w:tcPr>
            <w:tcW w:type="dxa" w:w="1036"/>
            <w:vAlign w:val="top"/>
          </w:tcPr>
          <w:p>
            <w:pPr>
              <w:spacing w:after="40" w:before="0" w:line="259" w:lineRule="auto"/>
            </w:pPr>
            <w:r>
              <w:rPr>
                <w:rFonts w:ascii="Calibri" w:hAnsi="Calibri"/>
                <w:b w:val="0"/>
                <w:i w:val="0"/>
                <w:color w:val="212121"/>
                <w:sz w:val="19"/>
              </w:rPr>
              <w:t>Medium</w:t>
            </w:r>
          </w:p>
        </w:tc>
      </w:tr>
    </w:tbl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269" w:lineRule="auto"/>
    </w:pPr>
    <w:rPr>
      <w:rFonts w:ascii="Calibri" w:hAnsi="Calibri" w:cs="Calibri"/>
      <w:color w:val="212121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ncbi.nlm.nih.gov/books/NBK532250/" TargetMode="External"/><Relationship Id="rId10" Type="http://schemas.openxmlformats.org/officeDocument/2006/relationships/hyperlink" Target="https://pubmed.ncbi.nlm.nih.gov/37037428/" TargetMode="External"/><Relationship Id="rId11" Type="http://schemas.openxmlformats.org/officeDocument/2006/relationships/hyperlink" Target="https://pubmed.ncbi.nlm.nih.gov/39833236/" TargetMode="External"/><Relationship Id="rId12" Type="http://schemas.openxmlformats.org/officeDocument/2006/relationships/hyperlink" Target="https://pubmed.ncbi.nlm.nih.gov/27693717/" TargetMode="External"/><Relationship Id="rId13" Type="http://schemas.openxmlformats.org/officeDocument/2006/relationships/hyperlink" Target="https://pubmed.ncbi.nlm.nih.gov/32345150/" TargetMode="External"/><Relationship Id="rId14" Type="http://schemas.openxmlformats.org/officeDocument/2006/relationships/hyperlink" Target="https://pubmed.ncbi.nlm.nih.gov/37065742/" TargetMode="External"/><Relationship Id="rId15" Type="http://schemas.openxmlformats.org/officeDocument/2006/relationships/hyperlink" Target="https://pubmed.ncbi.nlm.nih.gov/27451817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