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Fragility &amp; Traumatic Fractures</w:t>
      </w:r>
    </w:p>
    <w:p>
      <w:pPr>
        <w:spacing w:before="0" w:after="160"/>
      </w:pPr>
      <w:r>
        <w:rPr>
          <w:rFonts w:ascii="Calibri" w:hAnsi="Calibri"/>
          <w:b/>
          <w:i w:val="0"/>
          <w:color w:val="212121"/>
          <w:sz w:val="22"/>
        </w:rPr>
        <w:t xml:space="preserve">AKA </w:t>
      </w:r>
      <w:r>
        <w:rPr>
          <w:rFonts w:ascii="Calibri" w:hAnsi="Calibri"/>
          <w:b w:val="0"/>
          <w:i w:val="0"/>
          <w:color w:val="212121"/>
          <w:sz w:val="22"/>
        </w:rPr>
        <w:t>i.e., Osteoporotic (low-trauma) fractures &amp; high-energy fractures, Broken bone, Bone break; includes hip (neck-of-femur), vertebral (spine), Colles' (wrist), pathological &amp; stress fractures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 fracture is a break in the structural continuity of bone. Fragility (low-trauma) fractures occur from forces that would not break a healthy skeleton — characteristically a fall from standing height or less, or even spontaneously — and are the clinical hallmark of underlying osteoporosis or otherwise weakened bone. Traumatic fractures result from high-energy forces such as road-traffic collisions, falls from height, sport or assault that exceed the strength of normal bone. Both share the final common pathway of mechanical failure of bone, but differ in the balance between bone fragility and applied load; any fracture after minimal trauma should trigger evaluation for osteoporosis or a pathological (e.g. metastatic) lesion.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Osteoporosis — the substrate for fragility fractures — is common in India, with reported prevalence in Indian women ranging widely from about 8% to 62% across studies, and roughly 30–38% of post-menopausal women in North India found osteoporotic on DXA (with a further ~44% osteopenic). Hip fracture, the most devastating fragility fracture, was recorded at about 129 per 100,000 population aged ≥ 50 years in Rohtak (North India) — higher in women (159/100,000) than men (105/100,000) — and Indians tend to fracture roughly a decade earlier than Western populations. On the traumatic side, road-traffic injury (a leading cause of high-energy fractures) is a major burden in India, part of the ~1.16 million annual global road-traffic deaths, 92% of which occur in low- and middle-income countries.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 fracture is a clinical and radiological diagnosis; once confirmed, the essential second step is to classify it as low-energy (fragility) versus high-energy (traumatic) and to assess bone health.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History of injury with localised pain, swelling, deformity, bruising and loss of function; examination showing point bony tenderness, crepitus, abnormal mobility or visible deformity;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Plain radiographs in two orthogonal views (with the joint above and below) confirming a break in cortical continuity, and defining site, pattern, displacement, angulation and comminution;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Designation as a fragility fracture when it results from a fall from standing height or less (low-energy) at a typical site — hip, vertebra, distal radius, proximal humerus or pelvis — which is diagnostic of osteoporosis irrespective of the bone-density result;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Dual-energy X-ray absorptiometry (DXA): a T-score ≤ −2.5 at the hip or lumbar spine defines osteoporosis, −1.0 to −2.5 osteopenia (WHO criteria); a fragility fracture with a low T-score denotes severe/established osteoporosis;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CT for complex, intra-articular, spinal or pelvic fractures, and MRI for occult hip or scaphoid fractures, spinal cord involvement, and to distinguish a benign osteoporotic vertebral fracture from a pathological (malignant) one;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secondary-osteoporosis screen after a fragility fracture — serum corrected calcium, phosphate, 25(OH)-vitamin D, parathyroid hormone, renal and liver function, alkaline phosphatase, TSH and (in men) testosterone;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Estimation of 10-year major osteoporotic and hip-fracture probability (e.g. FRAX) to guide treatment thresholds.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Fractures are classified along several complementary axes:</w:t>
      </w:r>
    </w:p>
    <w:p>
      <w:pPr>
        <w:spacing w:before="0" w:after="80"/>
      </w:pPr>
      <w:r>
        <w:rPr>
          <w:rFonts w:ascii="Calibri" w:hAnsi="Calibri"/>
          <w:b w:val="0"/>
          <w:i w:val="0"/>
          <w:color w:val="212121"/>
          <w:sz w:val="21"/>
        </w:rPr>
        <w:t>(1) By mechanism / bone quality: fragility (low-energy) fractures through osteoporotic or osteomalacic bone; traumatic (high-energy) fractures through essentially normal bone; pathological fractures through bone weakened by tumour, metastasis, infection or a metabolic lesion; and stress/fatigue fractures from repetitive sub-threshold loading;</w:t>
      </w:r>
    </w:p>
    <w:p>
      <w:pPr>
        <w:spacing w:before="0" w:after="80"/>
      </w:pPr>
      <w:r>
        <w:rPr>
          <w:rFonts w:ascii="Calibri" w:hAnsi="Calibri"/>
          <w:b w:val="0"/>
          <w:i w:val="0"/>
          <w:color w:val="212121"/>
          <w:sz w:val="21"/>
        </w:rPr>
        <w:t>(2) By site — the 'major osteoporotic fractures': hip (femoral neck and intertrochanteric), vertebral (compression), distal radius (Colles'), proximal humerus and pelvis; these carry the greatest morbidity and mortality, hip most of all;</w:t>
      </w:r>
    </w:p>
    <w:p>
      <w:pPr>
        <w:spacing w:before="0" w:after="80"/>
      </w:pPr>
      <w:r>
        <w:rPr>
          <w:rFonts w:ascii="Calibri" w:hAnsi="Calibri"/>
          <w:b w:val="0"/>
          <w:i w:val="0"/>
          <w:color w:val="212121"/>
          <w:sz w:val="21"/>
        </w:rPr>
        <w:t>(3) By skin integrity and pattern: closed versus open (compound) fractures — open injuries graded by the Gustilo–Anderson system; complete versus incomplete (greenstick, buckle in children); and transverse, oblique, spiral, comminuted or segmental patterns, further described as displaced/undisplaced and intra-/extra-articular;</w:t>
      </w:r>
    </w:p>
    <w:p>
      <w:pPr>
        <w:spacing w:before="0" w:after="80"/>
      </w:pPr>
      <w:r>
        <w:rPr>
          <w:rFonts w:ascii="Calibri" w:hAnsi="Calibri"/>
          <w:b w:val="0"/>
          <w:i w:val="0"/>
          <w:color w:val="212121"/>
          <w:sz w:val="21"/>
        </w:rPr>
        <w:t>(4) Special categories: paediatric physeal (growth-plate) injuries graded by Salter–Harris; vertebral compression fractures graded by Genant morphometry; periprosthetic fractures around implants; and the WHO/DXA staging of the underlying bone — normal (T &gt; −1), osteopenia (−1 to −2.5), osteoporosis (≤ −2.5) and severe/established osteoporosis (≤ −2.5 with a fragility fracture).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Low bone mineral density / osteoporosis: reduced bone mass and deteriorated micro-architecture lower the force threshold for fracture and are the single strongest driver of fragility fractures.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Ageing and sarcopenia: age-related bone loss, muscle wasting, poor balance and slower protective reflexes increase both bone fragility and the tendency to fall.</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Oestrogen deficiency: the accelerated bone resorption of the post-menopausal years is the main reason women fracture earlier and more often than men.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Vitamin D and calcium deficiency: widespread in India, these impair mineralisation and drive secondary hyperparathyroidism, weakening bone and predisposing to osteomalacic fractures.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Falls: the immediate mechanical trigger for the great majority of fragility fractures in older adults; hazards, poor vision, sedatives and frailty all contribute.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High-energy trauma: road-traffic collisions, falls from height, sport and assault — the dominant cause of fractures in young, healthy bone.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Secondary causes: long-term glucocorticoids, thyrotoxicosis, hyperparathyroidism, chronic kidney disease, malignancy/metastasis, smoking and excess alcohol all reduce bone strength.</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(young to middle-aged)</w:t>
            </w:r>
          </w:p>
        </w:tc>
        <w:tc>
          <w:tcPr>
            <w:tcW w:type="dxa" w:w="4276"/>
            <w:vAlign w:val="top"/>
          </w:tcPr>
          <w:p>
            <w:pPr>
              <w:spacing w:after="60" w:line="259" w:lineRule="auto"/>
            </w:pPr>
            <w:r>
              <w:rPr>
                <w:rFonts w:ascii="Calibri" w:hAnsi="Calibri"/>
                <w:b w:val="0"/>
                <w:i w:val="0"/>
                <w:color w:val="212121"/>
                <w:sz w:val="19"/>
              </w:rPr>
              <w:t>In younger adults with strong bone, most fractures are high-energy and traumatic — predominantly road-traffic collisions, workplace and sporting injuries — rather than fragility fractures.</w:t>
            </w:r>
          </w:p>
          <w:p>
            <w:pPr>
              <w:spacing w:after="40" w:before="60" w:line="259" w:lineRule="auto"/>
            </w:pPr>
            <w:r>
              <w:rPr>
                <w:rFonts w:ascii="Calibri" w:hAnsi="Calibri"/>
                <w:b w:val="0"/>
                <w:i w:val="0"/>
                <w:color w:val="212121"/>
                <w:sz w:val="19"/>
              </w:rPr>
              <w:t>Road-traffic injuries are the leading cause of death for people aged 5–29 years, part of ~1.16 million road deaths annually, 92% of them in low- and middle-income countries such as India.</w:t>
            </w:r>
          </w:p>
          <w:p>
            <w:pPr>
              <w:spacing w:after="40" w:line="252" w:lineRule="auto"/>
            </w:pPr>
            <w:hyperlink r:id="rId9">
              <w:r>
                <w:rPr>
                  <w:rFonts w:ascii="Calibri" w:hAnsi="Calibri" w:cs="Calibri"/>
                  <w:sz w:val="18"/>
                  <w:color w:val="1155CC"/>
                  <w:u w:val="single"/>
                </w:rPr>
                <w:t xml:space="preserve">who.int — road traffic injuries</w:t>
              </w:r>
            </w:hyperlink>
          </w:p>
          <w:p>
            <w:pPr>
              <w:spacing w:before="60" w:after="40"/>
            </w:pPr>
            <w:r>
              <w:rPr>
                <w:rFonts w:ascii="Calibri" w:hAnsi="Calibri"/>
                <w:b w:val="0"/>
                <w:i w:val="0"/>
                <w:color w:val="5A5A5A"/>
                <w:sz w:val="18"/>
              </w:rPr>
              <w:t>#trauma  #RTA  #highenergy  #youngadults  #roadsafety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60 years)</w:t>
            </w:r>
          </w:p>
        </w:tc>
        <w:tc>
          <w:tcPr>
            <w:tcW w:type="dxa" w:w="4276"/>
            <w:vAlign w:val="top"/>
          </w:tcPr>
          <w:p>
            <w:pPr>
              <w:spacing w:after="60" w:line="259" w:lineRule="auto"/>
            </w:pPr>
            <w:r>
              <w:rPr>
                <w:rFonts w:ascii="Calibri" w:hAnsi="Calibri"/>
                <w:b w:val="0"/>
                <w:i w:val="0"/>
                <w:color w:val="212121"/>
                <w:sz w:val="19"/>
              </w:rPr>
              <w:t>Age-related bone loss, sarcopenia and frequent falls make the elderly the core group for fragility fractures; hip fracture in particular carries high mortality and loss of independence.</w:t>
            </w:r>
          </w:p>
          <w:p>
            <w:pPr>
              <w:spacing w:after="40" w:before="60" w:line="259" w:lineRule="auto"/>
            </w:pPr>
            <w:r>
              <w:rPr>
                <w:rFonts w:ascii="Calibri" w:hAnsi="Calibri"/>
                <w:b w:val="0"/>
                <w:i w:val="0"/>
                <w:color w:val="212121"/>
                <w:sz w:val="19"/>
              </w:rPr>
              <w:t>In North India, fragility hip-fracture patients had a mean age of 65.9 years and a one-year mortality of 12.9%, with 73.5% of deaths occurring within the first three months.</w:t>
            </w:r>
          </w:p>
          <w:p>
            <w:pPr>
              <w:spacing w:after="40" w:line="252" w:lineRule="auto"/>
            </w:pPr>
            <w:hyperlink r:id="rId10">
              <w:r>
                <w:rPr>
                  <w:rFonts w:ascii="Calibri" w:hAnsi="Calibri" w:cs="Calibri"/>
                  <w:sz w:val="18"/>
                  <w:color w:val="1155CC"/>
                  <w:u w:val="single"/>
                </w:rPr>
                <w:t xml:space="preserve">pubmed.ncbi.nlm.nih.gov/31641628</w:t>
              </w:r>
            </w:hyperlink>
          </w:p>
          <w:p>
            <w:pPr>
              <w:spacing w:before="60" w:after="40"/>
            </w:pPr>
            <w:r>
              <w:rPr>
                <w:rFonts w:ascii="Calibri" w:hAnsi="Calibri"/>
                <w:b w:val="0"/>
                <w:i w:val="0"/>
                <w:color w:val="5A5A5A"/>
                <w:sz w:val="18"/>
              </w:rPr>
              <w:t>#hipfracture  #elderly  #falls  #mortality  #frailty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(post-menopausal)</w:t>
            </w:r>
          </w:p>
        </w:tc>
        <w:tc>
          <w:tcPr>
            <w:tcW w:type="dxa" w:w="4276"/>
            <w:vAlign w:val="top"/>
          </w:tcPr>
          <w:p>
            <w:pPr>
              <w:spacing w:after="60" w:line="259" w:lineRule="auto"/>
            </w:pPr>
            <w:r>
              <w:rPr>
                <w:rFonts w:ascii="Calibri" w:hAnsi="Calibri"/>
                <w:b w:val="0"/>
                <w:i w:val="0"/>
                <w:color w:val="212121"/>
                <w:sz w:val="19"/>
              </w:rPr>
              <w:t>Oestrogen withdrawal after menopause accelerates bone resorption, so women lose bone faster, reach the fracture threshold earlier and sustain more fragility fractures than men.</w:t>
            </w:r>
          </w:p>
          <w:p>
            <w:pPr>
              <w:spacing w:after="40" w:before="60" w:line="259" w:lineRule="auto"/>
            </w:pPr>
            <w:r>
              <w:rPr>
                <w:rFonts w:ascii="Calibri" w:hAnsi="Calibri"/>
                <w:b w:val="0"/>
                <w:i w:val="0"/>
                <w:color w:val="212121"/>
                <w:sz w:val="19"/>
              </w:rPr>
              <w:t>Among post-menopausal women in Punjab, osteoporosis prevalence was 30.5% and osteopenia 44.2% on DXA; hip-fracture incidence in North India was higher in women (159/100,000) than men (105/100,000).</w:t>
            </w:r>
          </w:p>
          <w:p>
            <w:pPr>
              <w:spacing w:after="40" w:line="252" w:lineRule="auto"/>
            </w:pPr>
            <w:hyperlink r:id="rId11">
              <w:r>
                <w:rPr>
                  <w:rFonts w:ascii="Calibri" w:hAnsi="Calibri" w:cs="Calibri"/>
                  <w:sz w:val="18"/>
                  <w:color w:val="1155CC"/>
                  <w:u w:val="single"/>
                </w:rPr>
                <w:t xml:space="preserve">pubmed.ncbi.nlm.nih.gov/35270692</w:t>
              </w:r>
            </w:hyperlink>
          </w:p>
          <w:p>
            <w:pPr>
              <w:spacing w:before="60" w:after="40"/>
            </w:pPr>
            <w:r>
              <w:rPr>
                <w:rFonts w:ascii="Calibri" w:hAnsi="Calibri"/>
                <w:b w:val="0"/>
                <w:i w:val="0"/>
                <w:color w:val="5A5A5A"/>
                <w:sz w:val="18"/>
              </w:rPr>
              <w:t>#postmenopausal  #estrogen  #osteoporosis  #women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Young men dominate high-energy trauma statistics; older men fracture less often than women but suffer higher mortality and are far less likely to be investigated or treated for osteoporosis.</w:t>
            </w:r>
          </w:p>
          <w:p>
            <w:pPr>
              <w:spacing w:after="40" w:before="60" w:line="259" w:lineRule="auto"/>
            </w:pPr>
            <w:r>
              <w:rPr>
                <w:rFonts w:ascii="Calibri" w:hAnsi="Calibri"/>
                <w:b w:val="0"/>
                <w:i w:val="0"/>
                <w:color w:val="212121"/>
                <w:sz w:val="19"/>
              </w:rPr>
              <w:t>Hip-fracture incidence in men aged ≥ 50 years in Rohtak, North India was about 105 per 100,000 population.</w:t>
            </w:r>
          </w:p>
          <w:p>
            <w:pPr>
              <w:spacing w:after="40" w:line="252" w:lineRule="auto"/>
            </w:pPr>
            <w:hyperlink r:id="rId12">
              <w:r>
                <w:rPr>
                  <w:rFonts w:ascii="Calibri" w:hAnsi="Calibri" w:cs="Calibri"/>
                  <w:sz w:val="18"/>
                  <w:color w:val="1155CC"/>
                  <w:u w:val="single"/>
                </w:rPr>
                <w:t xml:space="preserve">pubmed.ncbi.nlm.nih.gov/23620225</w:t>
              </w:r>
            </w:hyperlink>
          </w:p>
          <w:p>
            <w:pPr>
              <w:spacing w:before="60" w:after="40"/>
            </w:pPr>
            <w:r>
              <w:rPr>
                <w:rFonts w:ascii="Calibri" w:hAnsi="Calibri"/>
                <w:b w:val="0"/>
                <w:i w:val="0"/>
                <w:color w:val="5A5A5A"/>
                <w:sz w:val="18"/>
              </w:rPr>
              <w:t>#men  #trauma  #undertreated  #hipfracture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rural populations</w:t>
            </w:r>
          </w:p>
        </w:tc>
        <w:tc>
          <w:tcPr>
            <w:tcW w:type="dxa" w:w="4276"/>
            <w:vAlign w:val="top"/>
          </w:tcPr>
          <w:p>
            <w:pPr>
              <w:spacing w:after="60" w:line="259" w:lineRule="auto"/>
            </w:pPr>
            <w:r>
              <w:rPr>
                <w:rFonts w:ascii="Calibri" w:hAnsi="Calibri"/>
                <w:b w:val="0"/>
                <w:i w:val="0"/>
                <w:color w:val="212121"/>
                <w:sz w:val="19"/>
              </w:rPr>
              <w:t>Poor nutrition and low calcium/vitamin D intake reduce peak bone mass, while limited access to care delays fracture treatment and osteoporosis diagnosis; occupational and road-safety hazards add traumatic risk.</w:t>
            </w:r>
          </w:p>
          <w:p>
            <w:pPr>
              <w:spacing w:after="40" w:before="60" w:line="259" w:lineRule="auto"/>
            </w:pPr>
            <w:r>
              <w:rPr>
                <w:rFonts w:ascii="Calibri" w:hAnsi="Calibri"/>
                <w:b w:val="0"/>
                <w:i w:val="0"/>
                <w:color w:val="212121"/>
                <w:sz w:val="19"/>
              </w:rPr>
              <w:t>Poor dietary calcium intake and low vitamin D levels are repeatedly identified as key drivers of the Indian osteoporosis burden.</w:t>
            </w:r>
          </w:p>
          <w:p>
            <w:pPr>
              <w:spacing w:after="40" w:line="252" w:lineRule="auto"/>
            </w:pPr>
            <w:hyperlink r:id="rId13">
              <w:r>
                <w:rPr>
                  <w:rFonts w:ascii="Calibri" w:hAnsi="Calibri" w:cs="Calibri"/>
                  <w:sz w:val="18"/>
                  <w:color w:val="1155CC"/>
                  <w:u w:val="single"/>
                </w:rPr>
                <w:t xml:space="preserve">pubmed.ncbi.nlm.nih.gov/38107804</w:t>
              </w:r>
            </w:hyperlink>
          </w:p>
          <w:p>
            <w:pPr>
              <w:spacing w:before="60" w:after="40"/>
            </w:pPr>
            <w:r>
              <w:rPr>
                <w:rFonts w:ascii="Calibri" w:hAnsi="Calibri"/>
                <w:b w:val="0"/>
                <w:i w:val="0"/>
                <w:color w:val="5A5A5A"/>
                <w:sz w:val="18"/>
              </w:rPr>
              <w:t>#poverty  #nutrition  #accesstocare  #rural</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North Indian populations</w:t>
            </w:r>
          </w:p>
        </w:tc>
        <w:tc>
          <w:tcPr>
            <w:tcW w:type="dxa" w:w="4276"/>
            <w:vAlign w:val="top"/>
          </w:tcPr>
          <w:p>
            <w:pPr>
              <w:spacing w:after="60" w:line="259" w:lineRule="auto"/>
            </w:pPr>
            <w:r>
              <w:rPr>
                <w:rFonts w:ascii="Calibri" w:hAnsi="Calibri"/>
                <w:b w:val="0"/>
                <w:i w:val="0"/>
                <w:color w:val="212121"/>
                <w:sz w:val="19"/>
              </w:rPr>
              <w:t>Documented hip-fracture epidemiology and a heavy background of vitamin D deficiency mark North India as a high-burden region; Indians in general fracture roughly a decade earlier than Western cohorts.</w:t>
            </w:r>
          </w:p>
          <w:p>
            <w:pPr>
              <w:spacing w:after="40" w:before="60" w:line="259" w:lineRule="auto"/>
            </w:pPr>
            <w:r>
              <w:rPr>
                <w:rFonts w:ascii="Calibri" w:hAnsi="Calibri"/>
                <w:b w:val="0"/>
                <w:i w:val="0"/>
                <w:color w:val="212121"/>
                <w:sz w:val="19"/>
              </w:rPr>
              <w:t>Hip-fracture incidence in those aged ≥ 50 years in Rohtak district was ~129 per 100,000 population.</w:t>
            </w:r>
          </w:p>
          <w:p>
            <w:pPr>
              <w:spacing w:after="40" w:line="252" w:lineRule="auto"/>
            </w:pPr>
            <w:hyperlink r:id="rId12">
              <w:r>
                <w:rPr>
                  <w:rFonts w:ascii="Calibri" w:hAnsi="Calibri" w:cs="Calibri"/>
                  <w:sz w:val="18"/>
                  <w:color w:val="1155CC"/>
                  <w:u w:val="single"/>
                </w:rPr>
                <w:t xml:space="preserve">pubmed.ncbi.nlm.nih.gov/23620225</w:t>
              </w:r>
            </w:hyperlink>
          </w:p>
          <w:p>
            <w:pPr>
              <w:spacing w:before="60" w:after="40"/>
            </w:pPr>
            <w:r>
              <w:rPr>
                <w:rFonts w:ascii="Calibri" w:hAnsi="Calibri"/>
                <w:b w:val="0"/>
                <w:i w:val="0"/>
                <w:color w:val="5A5A5A"/>
                <w:sz w:val="18"/>
              </w:rPr>
              <w:t>#NorthIndia  #hipfracture  #earlieronset  #geography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Sunlight exposure &amp; living pattern</w:t>
            </w:r>
          </w:p>
        </w:tc>
        <w:tc>
          <w:tcPr>
            <w:tcW w:type="dxa" w:w="2160"/>
            <w:vAlign w:val="top"/>
          </w:tcPr>
          <w:p>
            <w:pPr>
              <w:spacing w:after="40" w:before="0" w:line="259" w:lineRule="auto"/>
            </w:pPr>
            <w:r>
              <w:rPr>
                <w:rFonts w:ascii="Calibri" w:hAnsi="Calibri"/>
                <w:b w:val="0"/>
                <w:i w:val="0"/>
                <w:color w:val="212121"/>
                <w:sz w:val="19"/>
              </w:rPr>
              <w:t>Urban indoor-living &amp; covered-clothing groups</w:t>
            </w:r>
          </w:p>
        </w:tc>
        <w:tc>
          <w:tcPr>
            <w:tcW w:type="dxa" w:w="4276"/>
            <w:vAlign w:val="top"/>
          </w:tcPr>
          <w:p>
            <w:pPr>
              <w:spacing w:after="60" w:line="259" w:lineRule="auto"/>
            </w:pPr>
            <w:r>
              <w:rPr>
                <w:rFonts w:ascii="Calibri" w:hAnsi="Calibri"/>
                <w:b w:val="0"/>
                <w:i w:val="0"/>
                <w:color w:val="212121"/>
                <w:sz w:val="19"/>
              </w:rPr>
              <w:t>Indoor lifestyles, air pollution, high skin melanin and conservative/covered dressing sharply limit cutaneous vitamin D synthesis despite abundant sunshine, weakening bone across the Indian subcontinent.</w:t>
            </w:r>
          </w:p>
          <w:p>
            <w:pPr>
              <w:spacing w:after="40" w:before="60" w:line="259" w:lineRule="auto"/>
            </w:pPr>
            <w:r>
              <w:rPr>
                <w:rFonts w:ascii="Calibri" w:hAnsi="Calibri"/>
                <w:b w:val="0"/>
                <w:i w:val="0"/>
                <w:color w:val="212121"/>
                <w:sz w:val="19"/>
              </w:rPr>
              <w:t>Vitamin D deficiency affects an estimated 70%–100% of the general Indian population.</w:t>
            </w:r>
          </w:p>
          <w:p>
            <w:pPr>
              <w:spacing w:after="40" w:line="252" w:lineRule="auto"/>
            </w:pPr>
            <w:hyperlink r:id="rId14">
              <w:r>
                <w:rPr>
                  <w:rFonts w:ascii="Calibri" w:hAnsi="Calibri" w:cs="Calibri"/>
                  <w:sz w:val="18"/>
                  <w:color w:val="1155CC"/>
                  <w:u w:val="single"/>
                </w:rPr>
                <w:t xml:space="preserve">pubmed.ncbi.nlm.nih.gov/24566435</w:t>
              </w:r>
            </w:hyperlink>
          </w:p>
          <w:p>
            <w:pPr>
              <w:spacing w:before="60" w:after="40"/>
            </w:pPr>
            <w:r>
              <w:rPr>
                <w:rFonts w:ascii="Calibri" w:hAnsi="Calibri"/>
                <w:b w:val="0"/>
                <w:i w:val="0"/>
                <w:color w:val="5A5A5A"/>
                <w:sz w:val="18"/>
              </w:rPr>
              <w:t>#vitaminD  #sunlight  #urban  #coveredclothing</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immobility</w:t>
            </w:r>
          </w:p>
        </w:tc>
        <w:tc>
          <w:tcPr>
            <w:tcW w:type="dxa" w:w="2160"/>
            <w:vAlign w:val="top"/>
          </w:tcPr>
          <w:p>
            <w:pPr>
              <w:spacing w:after="40" w:before="0" w:line="259" w:lineRule="auto"/>
            </w:pPr>
            <w:r>
              <w:rPr>
                <w:rFonts w:ascii="Calibri" w:hAnsi="Calibri"/>
                <w:b w:val="0"/>
                <w:i w:val="0"/>
                <w:color w:val="212121"/>
                <w:sz w:val="19"/>
              </w:rPr>
              <w:t>Physically inactive &amp; bed-bound adults</w:t>
            </w:r>
          </w:p>
        </w:tc>
        <w:tc>
          <w:tcPr>
            <w:tcW w:type="dxa" w:w="4276"/>
            <w:vAlign w:val="top"/>
          </w:tcPr>
          <w:p>
            <w:pPr>
              <w:spacing w:after="60" w:line="259" w:lineRule="auto"/>
            </w:pPr>
            <w:r>
              <w:rPr>
                <w:rFonts w:ascii="Calibri" w:hAnsi="Calibri"/>
                <w:b w:val="0"/>
                <w:i w:val="0"/>
                <w:color w:val="212121"/>
                <w:sz w:val="19"/>
              </w:rPr>
              <w:t>Weight-bearing loading is the stimulus for bone maintenance; inactivity and immobilisation cause rapid bone loss and muscle weakness, lowering bone strength and increasing the risk of falls.</w:t>
            </w:r>
          </w:p>
          <w:p>
            <w:pPr>
              <w:spacing w:after="40" w:before="60" w:line="259" w:lineRule="auto"/>
            </w:pPr>
            <w:r>
              <w:rPr>
                <w:rFonts w:ascii="Calibri" w:hAnsi="Calibri"/>
                <w:b w:val="0"/>
                <w:i w:val="0"/>
                <w:color w:val="212121"/>
                <w:sz w:val="19"/>
              </w:rPr>
              <w:t>Lifestyle change with declining physical activity is cited among the principal contributors to rising osteoporosis prevalence in India.</w:t>
            </w:r>
          </w:p>
          <w:p>
            <w:pPr>
              <w:spacing w:after="40" w:line="252" w:lineRule="auto"/>
            </w:pPr>
            <w:hyperlink r:id="rId13">
              <w:r>
                <w:rPr>
                  <w:rFonts w:ascii="Calibri" w:hAnsi="Calibri" w:cs="Calibri"/>
                  <w:sz w:val="18"/>
                  <w:color w:val="1155CC"/>
                  <w:u w:val="single"/>
                </w:rPr>
                <w:t xml:space="preserve">pubmed.ncbi.nlm.nih.gov/38107804</w:t>
              </w:r>
            </w:hyperlink>
          </w:p>
          <w:p>
            <w:pPr>
              <w:spacing w:before="60" w:after="40"/>
            </w:pPr>
            <w:r>
              <w:rPr>
                <w:rFonts w:ascii="Calibri" w:hAnsi="Calibri"/>
                <w:b w:val="0"/>
                <w:i w:val="0"/>
                <w:color w:val="5A5A5A"/>
                <w:sz w:val="18"/>
              </w:rPr>
              <w:t>#sedentary  #immobility  #boneloss  #sarcopenia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tobacco smokers</w:t>
            </w:r>
          </w:p>
        </w:tc>
        <w:tc>
          <w:tcPr>
            <w:tcW w:type="dxa" w:w="4276"/>
            <w:vAlign w:val="top"/>
          </w:tcPr>
          <w:p>
            <w:pPr>
              <w:spacing w:after="60" w:line="259" w:lineRule="auto"/>
            </w:pPr>
            <w:r>
              <w:rPr>
                <w:rFonts w:ascii="Calibri" w:hAnsi="Calibri"/>
                <w:b w:val="0"/>
                <w:i w:val="0"/>
                <w:color w:val="212121"/>
                <w:sz w:val="19"/>
              </w:rPr>
              <w:t>Tobacco lowers bone mineral density, impairs osteoblast function and blood supply, and delays fracture healing with higher rates of non-union.</w:t>
            </w:r>
          </w:p>
          <w:p>
            <w:pPr>
              <w:spacing w:after="40" w:before="60" w:line="259" w:lineRule="auto"/>
            </w:pPr>
            <w:r>
              <w:rPr>
                <w:rFonts w:ascii="Calibri" w:hAnsi="Calibri"/>
                <w:b w:val="0"/>
                <w:i w:val="0"/>
                <w:color w:val="212121"/>
                <w:sz w:val="19"/>
              </w:rPr>
              <w:t>Smoking is an established modifiable risk factor for low bone density and fragility fracture.</w:t>
            </w:r>
          </w:p>
          <w:p>
            <w:pPr>
              <w:spacing w:before="60" w:after="40"/>
            </w:pPr>
            <w:r>
              <w:rPr>
                <w:rFonts w:ascii="Calibri" w:hAnsi="Calibri"/>
                <w:b w:val="0"/>
                <w:i w:val="0"/>
                <w:color w:val="5A5A5A"/>
                <w:sz w:val="18"/>
              </w:rPr>
              <w:t>#smoking  #tobacco  #nonunion  #lowBMD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chronic drinkers</w:t>
            </w:r>
          </w:p>
        </w:tc>
        <w:tc>
          <w:tcPr>
            <w:tcW w:type="dxa" w:w="4276"/>
            <w:vAlign w:val="top"/>
          </w:tcPr>
          <w:p>
            <w:pPr>
              <w:spacing w:after="60" w:line="259" w:lineRule="auto"/>
            </w:pPr>
            <w:r>
              <w:rPr>
                <w:rFonts w:ascii="Calibri" w:hAnsi="Calibri"/>
                <w:b w:val="0"/>
                <w:i w:val="0"/>
                <w:color w:val="212121"/>
                <w:sz w:val="19"/>
              </w:rPr>
              <w:t>Excess alcohol suppresses bone formation and calcium absorption and greatly increases falls and high-energy trauma, compounding fracture risk.</w:t>
            </w:r>
          </w:p>
          <w:p>
            <w:pPr>
              <w:spacing w:after="40" w:before="60" w:line="259" w:lineRule="auto"/>
            </w:pPr>
            <w:r>
              <w:rPr>
                <w:rFonts w:ascii="Calibri" w:hAnsi="Calibri"/>
                <w:b w:val="0"/>
                <w:i w:val="0"/>
                <w:color w:val="212121"/>
                <w:sz w:val="19"/>
              </w:rPr>
              <w:t>Heavy alcohol use associates with lower bone mineral density in fragility-fracture cohorts.</w:t>
            </w:r>
          </w:p>
          <w:p>
            <w:pPr>
              <w:spacing w:after="40" w:line="252" w:lineRule="auto"/>
            </w:pPr>
            <w:hyperlink r:id="rId10">
              <w:r>
                <w:rPr>
                  <w:rFonts w:ascii="Calibri" w:hAnsi="Calibri" w:cs="Calibri"/>
                  <w:sz w:val="18"/>
                  <w:color w:val="1155CC"/>
                  <w:u w:val="single"/>
                </w:rPr>
                <w:t xml:space="preserve">pubmed.ncbi.nlm.nih.gov/31641628</w:t>
              </w:r>
            </w:hyperlink>
          </w:p>
          <w:p>
            <w:pPr>
              <w:spacing w:before="60" w:after="40"/>
            </w:pPr>
            <w:r>
              <w:rPr>
                <w:rFonts w:ascii="Calibri" w:hAnsi="Calibri"/>
                <w:b w:val="0"/>
                <w:i w:val="0"/>
                <w:color w:val="5A5A5A"/>
                <w:sz w:val="18"/>
              </w:rPr>
              <w:t>#alcohol  #falls  #lowBMD  #trauma</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Low calcium intake</w:t>
            </w:r>
          </w:p>
        </w:tc>
        <w:tc>
          <w:tcPr>
            <w:tcW w:type="dxa" w:w="2160"/>
            <w:vAlign w:val="top"/>
          </w:tcPr>
          <w:p>
            <w:pPr>
              <w:spacing w:after="40" w:before="0" w:line="259" w:lineRule="auto"/>
            </w:pPr>
            <w:r>
              <w:rPr>
                <w:rFonts w:ascii="Calibri" w:hAnsi="Calibri"/>
                <w:b w:val="0"/>
                <w:i w:val="0"/>
                <w:color w:val="212121"/>
                <w:sz w:val="19"/>
              </w:rPr>
              <w:t>Dairy-poor / low-calcium diets</w:t>
            </w:r>
          </w:p>
        </w:tc>
        <w:tc>
          <w:tcPr>
            <w:tcW w:type="dxa" w:w="4276"/>
            <w:vAlign w:val="top"/>
          </w:tcPr>
          <w:p>
            <w:pPr>
              <w:spacing w:after="60" w:line="259" w:lineRule="auto"/>
            </w:pPr>
            <w:r>
              <w:rPr>
                <w:rFonts w:ascii="Calibri" w:hAnsi="Calibri"/>
                <w:b w:val="0"/>
                <w:i w:val="0"/>
                <w:color w:val="212121"/>
                <w:sz w:val="19"/>
              </w:rPr>
              <w:t>Habitually low dietary calcium — common in India — forces bone resorption to maintain serum calcium and drives secondary hyperparathyroidism, thinning the skeleton over time.</w:t>
            </w:r>
          </w:p>
          <w:p>
            <w:pPr>
              <w:spacing w:after="40" w:before="60" w:line="259" w:lineRule="auto"/>
            </w:pPr>
            <w:r>
              <w:rPr>
                <w:rFonts w:ascii="Calibri" w:hAnsi="Calibri"/>
                <w:b w:val="0"/>
                <w:i w:val="0"/>
                <w:color w:val="212121"/>
                <w:sz w:val="19"/>
              </w:rPr>
              <w:t>Poor dietary calcium intake is a repeatedly documented driver of osteoporosis in the Indian population.</w:t>
            </w:r>
          </w:p>
          <w:p>
            <w:pPr>
              <w:spacing w:after="40" w:line="252" w:lineRule="auto"/>
            </w:pPr>
            <w:hyperlink r:id="rId13">
              <w:r>
                <w:rPr>
                  <w:rFonts w:ascii="Calibri" w:hAnsi="Calibri" w:cs="Calibri"/>
                  <w:sz w:val="18"/>
                  <w:color w:val="1155CC"/>
                  <w:u w:val="single"/>
                </w:rPr>
                <w:t xml:space="preserve">pubmed.ncbi.nlm.nih.gov/38107804</w:t>
              </w:r>
            </w:hyperlink>
          </w:p>
          <w:p>
            <w:pPr>
              <w:spacing w:before="60" w:after="40"/>
            </w:pPr>
            <w:r>
              <w:rPr>
                <w:rFonts w:ascii="Calibri" w:hAnsi="Calibri"/>
                <w:b w:val="0"/>
                <w:i w:val="0"/>
                <w:color w:val="5A5A5A"/>
                <w:sz w:val="18"/>
              </w:rPr>
              <w:t>#calcium  #diet  #secondaryPTH  #bonehealth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Vitamin D deficiency</w:t>
            </w:r>
          </w:p>
        </w:tc>
        <w:tc>
          <w:tcPr>
            <w:tcW w:type="dxa" w:w="2160"/>
            <w:vAlign w:val="top"/>
          </w:tcPr>
          <w:p>
            <w:pPr>
              <w:spacing w:after="40" w:before="0" w:line="259" w:lineRule="auto"/>
            </w:pPr>
            <w:r>
              <w:rPr>
                <w:rFonts w:ascii="Calibri" w:hAnsi="Calibri"/>
                <w:b w:val="0"/>
                <w:i w:val="0"/>
                <w:color w:val="212121"/>
                <w:sz w:val="19"/>
              </w:rPr>
              <w:t>Individuals with low 25(OH)-vitamin D</w:t>
            </w:r>
          </w:p>
        </w:tc>
        <w:tc>
          <w:tcPr>
            <w:tcW w:type="dxa" w:w="4276"/>
            <w:vAlign w:val="top"/>
          </w:tcPr>
          <w:p>
            <w:pPr>
              <w:spacing w:after="60" w:line="259" w:lineRule="auto"/>
            </w:pPr>
            <w:r>
              <w:rPr>
                <w:rFonts w:ascii="Calibri" w:hAnsi="Calibri"/>
                <w:b w:val="0"/>
                <w:i w:val="0"/>
                <w:color w:val="212121"/>
                <w:sz w:val="19"/>
              </w:rPr>
              <w:t>Vitamin D is required for intestinal calcium absorption and bone mineralisation; deficiency causes osteomalacia, secondary hyperparathyroidism, muscle weakness and a higher fall and fracture risk.</w:t>
            </w:r>
          </w:p>
          <w:p>
            <w:pPr>
              <w:spacing w:after="40" w:before="60" w:line="259" w:lineRule="auto"/>
            </w:pPr>
            <w:r>
              <w:rPr>
                <w:rFonts w:ascii="Calibri" w:hAnsi="Calibri"/>
                <w:b w:val="0"/>
                <w:i w:val="0"/>
                <w:color w:val="212121"/>
                <w:sz w:val="19"/>
              </w:rPr>
              <w:t>Pooled vitamin D deficiency among South Asian adults is ~68% (India ~67%), and higher in women than men.</w:t>
            </w:r>
          </w:p>
          <w:p>
            <w:pPr>
              <w:spacing w:after="40" w:line="252" w:lineRule="auto"/>
            </w:pPr>
            <w:hyperlink r:id="rId15">
              <w:r>
                <w:rPr>
                  <w:rFonts w:ascii="Calibri" w:hAnsi="Calibri" w:cs="Calibri"/>
                  <w:sz w:val="18"/>
                  <w:color w:val="1155CC"/>
                  <w:u w:val="single"/>
                </w:rPr>
                <w:t xml:space="preserve">pubmed.ncbi.nlm.nih.gov/34627207</w:t>
              </w:r>
            </w:hyperlink>
          </w:p>
          <w:p>
            <w:pPr>
              <w:spacing w:before="60" w:after="40"/>
            </w:pPr>
            <w:r>
              <w:rPr>
                <w:rFonts w:ascii="Calibri" w:hAnsi="Calibri"/>
                <w:b w:val="0"/>
                <w:i w:val="0"/>
                <w:color w:val="5A5A5A"/>
                <w:sz w:val="18"/>
              </w:rPr>
              <w:t>#vitaminD  #osteomalacia  #mineralisation  #deficiency</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Parental history of hip / fragility fracture</w:t>
            </w:r>
          </w:p>
        </w:tc>
        <w:tc>
          <w:tcPr>
            <w:tcW w:type="dxa" w:w="4276"/>
            <w:vAlign w:val="top"/>
          </w:tcPr>
          <w:p>
            <w:pPr>
              <w:spacing w:after="60" w:line="259" w:lineRule="auto"/>
            </w:pPr>
            <w:r>
              <w:rPr>
                <w:rFonts w:ascii="Calibri" w:hAnsi="Calibri"/>
                <w:b w:val="0"/>
                <w:i w:val="0"/>
                <w:color w:val="212121"/>
                <w:sz w:val="19"/>
              </w:rPr>
              <w:t>Bone mass and geometry are strongly heritable; a parental hip fracture or family osteoporosis raises an individual's own fracture risk independently of measured bone density.</w:t>
            </w:r>
          </w:p>
          <w:p>
            <w:pPr>
              <w:spacing w:after="40" w:before="60" w:line="259" w:lineRule="auto"/>
            </w:pPr>
            <w:r>
              <w:rPr>
                <w:rFonts w:ascii="Calibri" w:hAnsi="Calibri"/>
                <w:b w:val="0"/>
                <w:i w:val="0"/>
                <w:color w:val="212121"/>
                <w:sz w:val="19"/>
              </w:rPr>
              <w:t>In post-menopausal North Indian women, family history of osteoporosis and a personal or family fragility-fracture history were associated with significantly higher osteoporosis rates.</w:t>
            </w:r>
          </w:p>
          <w:p>
            <w:pPr>
              <w:spacing w:after="40" w:line="252" w:lineRule="auto"/>
            </w:pPr>
            <w:hyperlink r:id="rId16">
              <w:r>
                <w:rPr>
                  <w:rFonts w:ascii="Calibri" w:hAnsi="Calibri" w:cs="Calibri"/>
                  <w:sz w:val="18"/>
                  <w:color w:val="1155CC"/>
                  <w:u w:val="single"/>
                </w:rPr>
                <w:t xml:space="preserve">pubmed.ncbi.nlm.nih.gov/36950199</w:t>
              </w:r>
            </w:hyperlink>
          </w:p>
          <w:p>
            <w:pPr>
              <w:spacing w:before="60" w:after="40"/>
            </w:pPr>
            <w:r>
              <w:rPr>
                <w:rFonts w:ascii="Calibri" w:hAnsi="Calibri"/>
                <w:b w:val="0"/>
                <w:i w:val="0"/>
                <w:color w:val="5A5A5A"/>
                <w:sz w:val="18"/>
              </w:rPr>
              <w:t>#familyhistory  #heritability  #peakbonemass  #genetics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Inherited bone-fragility disorders</w:t>
            </w:r>
          </w:p>
        </w:tc>
        <w:tc>
          <w:tcPr>
            <w:tcW w:type="dxa" w:w="2160"/>
            <w:vAlign w:val="top"/>
          </w:tcPr>
          <w:p>
            <w:pPr>
              <w:spacing w:after="40" w:before="0" w:line="259" w:lineRule="auto"/>
            </w:pPr>
            <w:r>
              <w:rPr>
                <w:rFonts w:ascii="Calibri" w:hAnsi="Calibri"/>
                <w:b w:val="0"/>
                <w:i w:val="0"/>
                <w:color w:val="212121"/>
                <w:sz w:val="19"/>
              </w:rPr>
              <w:t>Osteogenesis imperfecta &amp; collagen disorders</w:t>
            </w:r>
          </w:p>
        </w:tc>
        <w:tc>
          <w:tcPr>
            <w:tcW w:type="dxa" w:w="4276"/>
            <w:vAlign w:val="top"/>
          </w:tcPr>
          <w:p>
            <w:pPr>
              <w:spacing w:after="60" w:line="259" w:lineRule="auto"/>
            </w:pPr>
            <w:r>
              <w:rPr>
                <w:rFonts w:ascii="Calibri" w:hAnsi="Calibri"/>
                <w:b w:val="0"/>
                <w:i w:val="0"/>
                <w:color w:val="212121"/>
                <w:sz w:val="19"/>
              </w:rPr>
              <w:t>Defects in type-I collagen and related pathways produce intrinsically brittle bone, causing recurrent low-trauma or spontaneous fractures from childhood.</w:t>
            </w:r>
          </w:p>
          <w:p>
            <w:pPr>
              <w:spacing w:after="40" w:before="60" w:line="259" w:lineRule="auto"/>
            </w:pPr>
            <w:r>
              <w:rPr>
                <w:rFonts w:ascii="Calibri" w:hAnsi="Calibri"/>
                <w:b w:val="0"/>
                <w:i w:val="0"/>
                <w:color w:val="212121"/>
                <w:sz w:val="19"/>
              </w:rPr>
              <w:t>Osteogenesis imperfecta is the archetypal monogenic cause of recurrent fragility fractures ('brittle bone disease').</w:t>
            </w:r>
          </w:p>
          <w:p>
            <w:pPr>
              <w:spacing w:before="60" w:after="40"/>
            </w:pPr>
            <w:r>
              <w:rPr>
                <w:rFonts w:ascii="Calibri" w:hAnsi="Calibri"/>
                <w:b w:val="0"/>
                <w:i w:val="0"/>
                <w:color w:val="5A5A5A"/>
                <w:sz w:val="18"/>
              </w:rPr>
              <w:t>#osteogenesisimperfecta  #collagen  #brittlebone  #genetic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Prior fragility fracture</w:t>
            </w:r>
          </w:p>
        </w:tc>
        <w:tc>
          <w:tcPr>
            <w:tcW w:type="dxa" w:w="2160"/>
            <w:vAlign w:val="top"/>
          </w:tcPr>
          <w:p>
            <w:pPr>
              <w:spacing w:after="40" w:before="0" w:line="259" w:lineRule="auto"/>
            </w:pPr>
            <w:r>
              <w:rPr>
                <w:rFonts w:ascii="Calibri" w:hAnsi="Calibri"/>
                <w:b w:val="0"/>
                <w:i w:val="0"/>
                <w:color w:val="212121"/>
                <w:sz w:val="19"/>
              </w:rPr>
              <w:t>Patients with a previous low-trauma fracture</w:t>
            </w:r>
          </w:p>
        </w:tc>
        <w:tc>
          <w:tcPr>
            <w:tcW w:type="dxa" w:w="4276"/>
            <w:vAlign w:val="top"/>
          </w:tcPr>
          <w:p>
            <w:pPr>
              <w:spacing w:after="60" w:line="259" w:lineRule="auto"/>
            </w:pPr>
            <w:r>
              <w:rPr>
                <w:rFonts w:ascii="Calibri" w:hAnsi="Calibri"/>
                <w:b w:val="0"/>
                <w:i w:val="0"/>
                <w:color w:val="212121"/>
                <w:sz w:val="19"/>
              </w:rPr>
              <w:t>A first fragility fracture is the strongest clinical predictor of the next; risk is greatest in the immediate months afterwards ('imminent fracture risk'), yet most patients are never assessed or treated.</w:t>
            </w:r>
          </w:p>
          <w:p>
            <w:pPr>
              <w:spacing w:after="40" w:before="60" w:line="259" w:lineRule="auto"/>
            </w:pPr>
            <w:r>
              <w:rPr>
                <w:rFonts w:ascii="Calibri" w:hAnsi="Calibri"/>
                <w:b w:val="0"/>
                <w:i w:val="0"/>
                <w:color w:val="212121"/>
                <w:sz w:val="19"/>
              </w:rPr>
              <w:t>In a large refracture cohort, subsequent fractures occurred in 6.61% of patients, and about 37% of these arose within the first six months after the index fracture.</w:t>
            </w:r>
          </w:p>
          <w:p>
            <w:pPr>
              <w:spacing w:after="40" w:line="252" w:lineRule="auto"/>
            </w:pPr>
            <w:hyperlink r:id="rId17">
              <w:r>
                <w:rPr>
                  <w:rFonts w:ascii="Calibri" w:hAnsi="Calibri" w:cs="Calibri"/>
                  <w:sz w:val="18"/>
                  <w:color w:val="1155CC"/>
                  <w:u w:val="single"/>
                </w:rPr>
                <w:t xml:space="preserve">pubmed.ncbi.nlm.nih.gov/36705860</w:t>
              </w:r>
            </w:hyperlink>
          </w:p>
          <w:p>
            <w:pPr>
              <w:spacing w:before="60" w:after="40"/>
            </w:pPr>
            <w:r>
              <w:rPr>
                <w:rFonts w:ascii="Calibri" w:hAnsi="Calibri"/>
                <w:b w:val="0"/>
                <w:i w:val="0"/>
                <w:color w:val="5A5A5A"/>
                <w:sz w:val="18"/>
              </w:rPr>
              <w:t>#refracture  #imminentrisk  #secondaryprevention  #caregap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Osteoporosis / low BMD</w:t>
            </w:r>
          </w:p>
        </w:tc>
        <w:tc>
          <w:tcPr>
            <w:tcW w:type="dxa" w:w="2160"/>
            <w:vAlign w:val="top"/>
          </w:tcPr>
          <w:p>
            <w:pPr>
              <w:spacing w:after="40" w:before="0" w:line="259" w:lineRule="auto"/>
            </w:pPr>
            <w:r>
              <w:rPr>
                <w:rFonts w:ascii="Calibri" w:hAnsi="Calibri"/>
                <w:b w:val="0"/>
                <w:i w:val="0"/>
                <w:color w:val="212121"/>
                <w:sz w:val="19"/>
              </w:rPr>
              <w:t>Patients with T-score ≤ −2.5</w:t>
            </w:r>
          </w:p>
        </w:tc>
        <w:tc>
          <w:tcPr>
            <w:tcW w:type="dxa" w:w="4276"/>
            <w:vAlign w:val="top"/>
          </w:tcPr>
          <w:p>
            <w:pPr>
              <w:spacing w:after="60" w:line="259" w:lineRule="auto"/>
            </w:pPr>
            <w:r>
              <w:rPr>
                <w:rFonts w:ascii="Calibri" w:hAnsi="Calibri"/>
                <w:b w:val="0"/>
                <w:i w:val="0"/>
                <w:color w:val="212121"/>
                <w:sz w:val="19"/>
              </w:rPr>
              <w:t>Established osteoporosis is the direct substrate for fragility fractures; the lower the bone density, the lower the force needed to break bone.</w:t>
            </w:r>
          </w:p>
          <w:p>
            <w:pPr>
              <w:spacing w:after="40" w:before="60" w:line="259" w:lineRule="auto"/>
            </w:pPr>
            <w:r>
              <w:rPr>
                <w:rFonts w:ascii="Calibri" w:hAnsi="Calibri"/>
                <w:b w:val="0"/>
                <w:i w:val="0"/>
                <w:color w:val="212121"/>
                <w:sz w:val="19"/>
              </w:rPr>
              <w:t>Among North Indian fragility hip-fracture patients, 89.7% were osteoporotic and 7.6% osteopenic on bone-density testing.</w:t>
            </w:r>
          </w:p>
          <w:p>
            <w:pPr>
              <w:spacing w:after="40" w:line="252" w:lineRule="auto"/>
            </w:pPr>
            <w:hyperlink r:id="rId10">
              <w:r>
                <w:rPr>
                  <w:rFonts w:ascii="Calibri" w:hAnsi="Calibri" w:cs="Calibri"/>
                  <w:sz w:val="18"/>
                  <w:color w:val="1155CC"/>
                  <w:u w:val="single"/>
                </w:rPr>
                <w:t xml:space="preserve">pubmed.ncbi.nlm.nih.gov/31641628</w:t>
              </w:r>
            </w:hyperlink>
          </w:p>
          <w:p>
            <w:pPr>
              <w:spacing w:before="60" w:after="40"/>
            </w:pPr>
            <w:r>
              <w:rPr>
                <w:rFonts w:ascii="Calibri" w:hAnsi="Calibri"/>
                <w:b w:val="0"/>
                <w:i w:val="0"/>
                <w:color w:val="5A5A5A"/>
                <w:sz w:val="18"/>
              </w:rPr>
              <w:t>#osteoporosis  #lowBMD  #DXA  #Tscore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glucocorticoid therapy</w:t>
            </w:r>
          </w:p>
        </w:tc>
        <w:tc>
          <w:tcPr>
            <w:tcW w:type="dxa" w:w="2160"/>
            <w:vAlign w:val="top"/>
          </w:tcPr>
          <w:p>
            <w:pPr>
              <w:spacing w:after="40" w:before="0" w:line="259" w:lineRule="auto"/>
            </w:pPr>
            <w:r>
              <w:rPr>
                <w:rFonts w:ascii="Calibri" w:hAnsi="Calibri"/>
                <w:b w:val="0"/>
                <w:i w:val="0"/>
                <w:color w:val="212121"/>
                <w:sz w:val="19"/>
              </w:rPr>
              <w:t>Patients on long-term steroids (e.g. RA, asthma, transplant)</w:t>
            </w:r>
          </w:p>
        </w:tc>
        <w:tc>
          <w:tcPr>
            <w:tcW w:type="dxa" w:w="4276"/>
            <w:vAlign w:val="top"/>
          </w:tcPr>
          <w:p>
            <w:pPr>
              <w:spacing w:after="60" w:line="259" w:lineRule="auto"/>
            </w:pPr>
            <w:r>
              <w:rPr>
                <w:rFonts w:ascii="Calibri" w:hAnsi="Calibri"/>
                <w:b w:val="0"/>
                <w:i w:val="0"/>
                <w:color w:val="212121"/>
                <w:sz w:val="19"/>
              </w:rPr>
              <w:t>Glucocorticoids suppress bone formation and calcium absorption and increase resorption, causing rapid, early bone loss and fractures — the commonest cause of secondary osteoporosis.</w:t>
            </w:r>
          </w:p>
          <w:p>
            <w:pPr>
              <w:spacing w:after="40" w:before="60" w:line="259" w:lineRule="auto"/>
            </w:pPr>
            <w:r>
              <w:rPr>
                <w:rFonts w:ascii="Calibri" w:hAnsi="Calibri"/>
                <w:b w:val="0"/>
                <w:i w:val="0"/>
                <w:color w:val="212121"/>
                <w:sz w:val="19"/>
              </w:rPr>
              <w:t>Glucocorticoid-induced osteoporosis is the leading iatrogenic cause of fragility fractures.</w:t>
            </w:r>
          </w:p>
          <w:p>
            <w:pPr>
              <w:spacing w:before="60" w:after="40"/>
            </w:pPr>
            <w:r>
              <w:rPr>
                <w:rFonts w:ascii="Calibri" w:hAnsi="Calibri"/>
                <w:b w:val="0"/>
                <w:i w:val="0"/>
                <w:color w:val="5A5A5A"/>
                <w:sz w:val="18"/>
              </w:rPr>
              <w:t>#steroids  #glucocorticoid  #secondaryosteoporosis  #iatrogenic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Type 2 diabetes mellitus</w:t>
            </w:r>
          </w:p>
        </w:tc>
        <w:tc>
          <w:tcPr>
            <w:tcW w:type="dxa" w:w="2160"/>
            <w:vAlign w:val="top"/>
          </w:tcPr>
          <w:p>
            <w:pPr>
              <w:spacing w:after="40" w:before="0" w:line="259" w:lineRule="auto"/>
            </w:pPr>
            <w:r>
              <w:rPr>
                <w:rFonts w:ascii="Calibri" w:hAnsi="Calibri"/>
                <w:b w:val="0"/>
                <w:i w:val="0"/>
                <w:color w:val="212121"/>
                <w:sz w:val="19"/>
              </w:rPr>
              <w:t>Adults with long-standing diabetes</w:t>
            </w:r>
          </w:p>
        </w:tc>
        <w:tc>
          <w:tcPr>
            <w:tcW w:type="dxa" w:w="4276"/>
            <w:vAlign w:val="top"/>
          </w:tcPr>
          <w:p>
            <w:pPr>
              <w:spacing w:after="60" w:line="259" w:lineRule="auto"/>
            </w:pPr>
            <w:r>
              <w:rPr>
                <w:rFonts w:ascii="Calibri" w:hAnsi="Calibri"/>
                <w:b w:val="0"/>
                <w:i w:val="0"/>
                <w:color w:val="212121"/>
                <w:sz w:val="19"/>
              </w:rPr>
              <w:t>Diabetes impairs bone quality and collagen cross-linking and raises fall risk through neuropathy, retinopathy and hypoglycaemia, so fracture risk is elevated even when bone density appears normal or high.</w:t>
            </w:r>
          </w:p>
          <w:p>
            <w:pPr>
              <w:spacing w:after="40" w:before="60" w:line="259" w:lineRule="auto"/>
            </w:pPr>
            <w:r>
              <w:rPr>
                <w:rFonts w:ascii="Calibri" w:hAnsi="Calibri"/>
                <w:b w:val="0"/>
                <w:i w:val="0"/>
                <w:color w:val="212121"/>
                <w:sz w:val="19"/>
              </w:rPr>
              <w:t>Type 2 diabetes carries an excess fracture risk despite frequently normal or raised measured bone density (bone-quality paradox).</w:t>
            </w:r>
          </w:p>
          <w:p>
            <w:pPr>
              <w:spacing w:before="60" w:after="40"/>
            </w:pPr>
            <w:r>
              <w:rPr>
                <w:rFonts w:ascii="Calibri" w:hAnsi="Calibri"/>
                <w:b w:val="0"/>
                <w:i w:val="0"/>
                <w:color w:val="5A5A5A"/>
                <w:sz w:val="18"/>
              </w:rPr>
              <w:t>#diabetes  #bonequality  #neuropathy  #fallrisk</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Weight-bearing and resistance exercise build and preserve bone mineral density and muscle strength, while inactivity and immobilisation cause rapid bone loss; balance/strength training also cuts falls, the immediate trigger of most fragility fractures.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Adequate dietary calcium, vitamin D and protein are essential for bone mineralisation and repair; deficiencies of calcium and vitamin D are widespread in India and drive secondary hyperparathyroidism, low bone mass and osteomalacic fracture.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sleep quality was an independent predictor of osteoporosis and osteopenia in post-menopausal Indian women, and short sleep is linked with lower bone density and higher fall risk.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 lowers bone mineral density, reduces oestrogen and osteoblast activity, impairs fracture healing and increases non-union and hip-fracture risk.</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Chronic heavy drinking suppresses bone formation and calcium absorption and markedly increases falls and high-energy trauma; heavy use associates with lower BMD in fracture cohorts.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is associated with lower bone density and more falls; fear of falling reduces activity and deconditions patients, and SSRI antidepressants are themselves linked to raised fracture risk.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only a minor direct role, but dehydration causing dizziness, postural hypotension and syncope contributes to falls in frail older adults.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Very high caffeine intake modestly increases urinary calcium loss and may slightly raise fracture risk when calcium intake is low, but moderate consumption has little effect.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a cause of fracture, but wound and skin hygiene are critical after open fractures and surgery to prevent osteomyelitis, and pressure-area care prevents sores during post-fracture immobility.</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Falls (slips, uneven floors, poor lighting, sedatives, poor vision) and high-energy events (road-traffic collisions, falls from height, sport) are the direct mechanical triggers of fragility and traumatic fractures respectively.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Impaired balance and gait raise fall risk, and the thoracic kyphosis ('dowager's hump') that follows vertebral fractures shifts the centre of gravity forward, promoting further falls and fractures.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Bone mineral density (DXA T-score)</w:t>
            </w:r>
          </w:p>
        </w:tc>
        <w:tc>
          <w:tcPr>
            <w:tcW w:type="dxa" w:w="1655"/>
            <w:vAlign w:val="top"/>
          </w:tcPr>
          <w:p>
            <w:pPr>
              <w:spacing w:after="40" w:before="0" w:line="259" w:lineRule="auto"/>
            </w:pPr>
            <w:r>
              <w:rPr>
                <w:rFonts w:ascii="Calibri" w:hAnsi="Calibri"/>
                <w:b w:val="0"/>
                <w:i w:val="0"/>
                <w:color w:val="212121"/>
                <w:sz w:val="19"/>
              </w:rPr>
              <w:t>Post-menopausal women, elderly, steroid users</w:t>
            </w:r>
          </w:p>
        </w:tc>
        <w:tc>
          <w:tcPr>
            <w:tcW w:type="dxa" w:w="1512"/>
            <w:vAlign w:val="top"/>
          </w:tcPr>
          <w:p>
            <w:pPr>
              <w:spacing w:after="40" w:before="0" w:line="259" w:lineRule="auto"/>
            </w:pPr>
            <w:r>
              <w:rPr>
                <w:rFonts w:ascii="Calibri" w:hAnsi="Calibri"/>
                <w:b w:val="0"/>
                <w:i w:val="0"/>
                <w:color w:val="212121"/>
                <w:sz w:val="19"/>
              </w:rPr>
              <w:t>T-score ≥ −1.0</w:t>
            </w:r>
          </w:p>
        </w:tc>
        <w:tc>
          <w:tcPr>
            <w:tcW w:type="dxa" w:w="1512"/>
            <w:vAlign w:val="top"/>
          </w:tcPr>
          <w:p>
            <w:pPr>
              <w:spacing w:after="40" w:before="0" w:line="259" w:lineRule="auto"/>
            </w:pPr>
            <w:r>
              <w:rPr>
                <w:rFonts w:ascii="Calibri" w:hAnsi="Calibri"/>
                <w:b w:val="0"/>
                <w:i w:val="0"/>
                <w:color w:val="212121"/>
                <w:sz w:val="19"/>
              </w:rPr>
              <w:t>T-score ≤ −2.5 (osteoporosis)</w:t>
            </w:r>
          </w:p>
        </w:tc>
        <w:tc>
          <w:tcPr>
            <w:tcW w:type="dxa" w:w="1468"/>
            <w:vAlign w:val="top"/>
          </w:tcPr>
          <w:p>
            <w:pPr>
              <w:spacing w:after="60" w:line="259" w:lineRule="auto"/>
            </w:pPr>
            <w:r>
              <w:rPr>
                <w:rFonts w:ascii="Calibri" w:hAnsi="Calibri"/>
                <w:b w:val="0"/>
                <w:i w:val="0"/>
                <w:color w:val="212121"/>
                <w:sz w:val="19"/>
              </w:rPr>
              <w:t>Lower T-score sharply increases fracture risk</w:t>
            </w:r>
          </w:p>
          <w:p>
            <w:pPr>
              <w:spacing w:after="40" w:line="252" w:lineRule="auto"/>
            </w:pPr>
            <w:hyperlink r:id="rId11">
              <w:r>
                <w:rPr>
                  <w:rFonts w:ascii="Calibri" w:hAnsi="Calibri" w:cs="Calibri"/>
                  <w:sz w:val="18"/>
                  <w:color w:val="1155CC"/>
                  <w:u w:val="single"/>
                </w:rPr>
                <w:t xml:space="preserve">https://pubmed.ncbi.nlm.nih.gov/35270692/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Weight-bearing / resistance activity</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 150 min/week aerobic + 2–3 resistance &amp; balance sessions</w:t>
            </w:r>
          </w:p>
        </w:tc>
        <w:tc>
          <w:tcPr>
            <w:tcW w:type="dxa" w:w="1512"/>
            <w:vAlign w:val="top"/>
          </w:tcPr>
          <w:p>
            <w:pPr>
              <w:spacing w:after="40" w:before="0" w:line="259" w:lineRule="auto"/>
            </w:pPr>
            <w:r>
              <w:rPr>
                <w:rFonts w:ascii="Calibri" w:hAnsi="Calibri"/>
                <w:b w:val="0"/>
                <w:i w:val="0"/>
                <w:color w:val="212121"/>
                <w:sz w:val="19"/>
              </w:rPr>
              <w:t>Largely sedentary / immobilised</w:t>
            </w:r>
          </w:p>
        </w:tc>
        <w:tc>
          <w:tcPr>
            <w:tcW w:type="dxa" w:w="1468"/>
            <w:vAlign w:val="top"/>
          </w:tcPr>
          <w:p>
            <w:pPr>
              <w:spacing w:after="40" w:before="0" w:line="259" w:lineRule="auto"/>
            </w:pPr>
            <w:r>
              <w:rPr>
                <w:rFonts w:ascii="Calibri" w:hAnsi="Calibri"/>
                <w:b w:val="0"/>
                <w:i w:val="0"/>
                <w:color w:val="212121"/>
                <w:sz w:val="19"/>
              </w:rPr>
              <w:t>Loading and muscle strength preserve bone and prevent falls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Falls in the past 12 months</w:t>
            </w:r>
          </w:p>
        </w:tc>
        <w:tc>
          <w:tcPr>
            <w:tcW w:type="dxa" w:w="1655"/>
            <w:vAlign w:val="top"/>
          </w:tcPr>
          <w:p>
            <w:pPr>
              <w:spacing w:after="40" w:before="0" w:line="259" w:lineRule="auto"/>
            </w:pPr>
            <w:r>
              <w:rPr>
                <w:rFonts w:ascii="Calibri" w:hAnsi="Calibri"/>
                <w:b w:val="0"/>
                <w:i w:val="0"/>
                <w:color w:val="212121"/>
                <w:sz w:val="19"/>
              </w:rPr>
              <w:t>Elderly, frail, prior fracture</w:t>
            </w:r>
          </w:p>
        </w:tc>
        <w:tc>
          <w:tcPr>
            <w:tcW w:type="dxa" w:w="1512"/>
            <w:vAlign w:val="top"/>
          </w:tcPr>
          <w:p>
            <w:pPr>
              <w:spacing w:after="40" w:before="0" w:line="259" w:lineRule="auto"/>
            </w:pPr>
            <w:r>
              <w:rPr>
                <w:rFonts w:ascii="Calibri" w:hAnsi="Calibri"/>
                <w:b w:val="0"/>
                <w:i w:val="0"/>
                <w:color w:val="212121"/>
                <w:sz w:val="19"/>
              </w:rPr>
              <w:t>0 falls</w:t>
            </w:r>
          </w:p>
        </w:tc>
        <w:tc>
          <w:tcPr>
            <w:tcW w:type="dxa" w:w="1512"/>
            <w:vAlign w:val="top"/>
          </w:tcPr>
          <w:p>
            <w:pPr>
              <w:spacing w:after="40" w:before="0" w:line="259" w:lineRule="auto"/>
            </w:pPr>
            <w:r>
              <w:rPr>
                <w:rFonts w:ascii="Calibri" w:hAnsi="Calibri"/>
                <w:b w:val="0"/>
                <w:i w:val="0"/>
                <w:color w:val="212121"/>
                <w:sz w:val="19"/>
              </w:rPr>
              <w:t>≥ 1 fall or fear of falling</w:t>
            </w:r>
          </w:p>
        </w:tc>
        <w:tc>
          <w:tcPr>
            <w:tcW w:type="dxa" w:w="1468"/>
            <w:vAlign w:val="top"/>
          </w:tcPr>
          <w:p>
            <w:pPr>
              <w:spacing w:after="40" w:before="0" w:line="259" w:lineRule="auto"/>
            </w:pPr>
            <w:r>
              <w:rPr>
                <w:rFonts w:ascii="Calibri" w:hAnsi="Calibri"/>
                <w:b w:val="0"/>
                <w:i w:val="0"/>
                <w:color w:val="212121"/>
                <w:sz w:val="19"/>
              </w:rPr>
              <w:t>Fall history strongly predicts future fracture</w:t>
            </w:r>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Timed Up-and-Go (balance/mobility)</w:t>
            </w:r>
          </w:p>
        </w:tc>
        <w:tc>
          <w:tcPr>
            <w:tcW w:type="dxa" w:w="1655"/>
            <w:vAlign w:val="top"/>
          </w:tcPr>
          <w:p>
            <w:pPr>
              <w:spacing w:after="40" w:before="0" w:line="259" w:lineRule="auto"/>
            </w:pPr>
            <w:r>
              <w:rPr>
                <w:rFonts w:ascii="Calibri" w:hAnsi="Calibri"/>
                <w:b w:val="0"/>
                <w:i w:val="0"/>
                <w:color w:val="212121"/>
                <w:sz w:val="19"/>
              </w:rPr>
              <w:t>Elderly, post-fracture</w:t>
            </w:r>
          </w:p>
        </w:tc>
        <w:tc>
          <w:tcPr>
            <w:tcW w:type="dxa" w:w="1512"/>
            <w:vAlign w:val="top"/>
          </w:tcPr>
          <w:p>
            <w:pPr>
              <w:spacing w:after="40" w:before="0" w:line="259" w:lineRule="auto"/>
            </w:pPr>
            <w:r>
              <w:rPr>
                <w:rFonts w:ascii="Calibri" w:hAnsi="Calibri"/>
                <w:b w:val="0"/>
                <w:i w:val="0"/>
                <w:color w:val="212121"/>
                <w:sz w:val="19"/>
              </w:rPr>
              <w:t>&lt; 12 seconds</w:t>
            </w:r>
          </w:p>
        </w:tc>
        <w:tc>
          <w:tcPr>
            <w:tcW w:type="dxa" w:w="1512"/>
            <w:vAlign w:val="top"/>
          </w:tcPr>
          <w:p>
            <w:pPr>
              <w:spacing w:after="40" w:before="0" w:line="259" w:lineRule="auto"/>
            </w:pPr>
            <w:r>
              <w:rPr>
                <w:rFonts w:ascii="Calibri" w:hAnsi="Calibri"/>
                <w:b w:val="0"/>
                <w:i w:val="0"/>
                <w:color w:val="212121"/>
                <w:sz w:val="19"/>
              </w:rPr>
              <w:t>≥ 12–14 seconds</w:t>
            </w:r>
          </w:p>
        </w:tc>
        <w:tc>
          <w:tcPr>
            <w:tcW w:type="dxa" w:w="1468"/>
            <w:vAlign w:val="top"/>
          </w:tcPr>
          <w:p>
            <w:pPr>
              <w:spacing w:after="40" w:before="0" w:line="259" w:lineRule="auto"/>
            </w:pPr>
            <w:r>
              <w:rPr>
                <w:rFonts w:ascii="Calibri" w:hAnsi="Calibri"/>
                <w:b w:val="0"/>
                <w:i w:val="0"/>
                <w:color w:val="212121"/>
                <w:sz w:val="19"/>
              </w:rPr>
              <w:t>Prolonged time flags high fall risk</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calcium intake</w:t>
            </w:r>
          </w:p>
        </w:tc>
        <w:tc>
          <w:tcPr>
            <w:tcW w:type="dxa" w:w="1655"/>
            <w:vAlign w:val="top"/>
          </w:tcPr>
          <w:p>
            <w:pPr>
              <w:spacing w:after="40" w:before="0" w:line="259" w:lineRule="auto"/>
            </w:pPr>
            <w:r>
              <w:rPr>
                <w:rFonts w:ascii="Calibri" w:hAnsi="Calibri"/>
                <w:b w:val="0"/>
                <w:i w:val="0"/>
                <w:color w:val="212121"/>
                <w:sz w:val="19"/>
              </w:rPr>
              <w:t>Adults, post-menopausal, elderly</w:t>
            </w:r>
          </w:p>
        </w:tc>
        <w:tc>
          <w:tcPr>
            <w:tcW w:type="dxa" w:w="1512"/>
            <w:vAlign w:val="top"/>
          </w:tcPr>
          <w:p>
            <w:pPr>
              <w:spacing w:after="40" w:before="0" w:line="259" w:lineRule="auto"/>
            </w:pPr>
            <w:r>
              <w:rPr>
                <w:rFonts w:ascii="Calibri" w:hAnsi="Calibri"/>
                <w:b w:val="0"/>
                <w:i w:val="0"/>
                <w:color w:val="212121"/>
                <w:sz w:val="19"/>
              </w:rPr>
              <w:t>~1000–1200 mg/day</w:t>
            </w:r>
          </w:p>
        </w:tc>
        <w:tc>
          <w:tcPr>
            <w:tcW w:type="dxa" w:w="1512"/>
            <w:vAlign w:val="top"/>
          </w:tcPr>
          <w:p>
            <w:pPr>
              <w:spacing w:after="40" w:before="0" w:line="259" w:lineRule="auto"/>
            </w:pPr>
            <w:r>
              <w:rPr>
                <w:rFonts w:ascii="Calibri" w:hAnsi="Calibri"/>
                <w:b w:val="0"/>
                <w:i w:val="0"/>
                <w:color w:val="212121"/>
                <w:sz w:val="19"/>
              </w:rPr>
              <w:t>&lt; 600 mg/day</w:t>
            </w:r>
          </w:p>
        </w:tc>
        <w:tc>
          <w:tcPr>
            <w:tcW w:type="dxa" w:w="1468"/>
            <w:vAlign w:val="top"/>
          </w:tcPr>
          <w:p>
            <w:pPr>
              <w:spacing w:after="40" w:before="0" w:line="259" w:lineRule="auto"/>
            </w:pPr>
            <w:r>
              <w:rPr>
                <w:rFonts w:ascii="Calibri" w:hAnsi="Calibri"/>
                <w:b w:val="0"/>
                <w:i w:val="0"/>
                <w:color w:val="212121"/>
                <w:sz w:val="19"/>
              </w:rPr>
              <w:t>Low intake drives secondary hyperparathyroidism and bone loss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25(OH)-vitamin D</w:t>
            </w:r>
          </w:p>
        </w:tc>
        <w:tc>
          <w:tcPr>
            <w:tcW w:type="dxa" w:w="1655"/>
            <w:vAlign w:val="top"/>
          </w:tcPr>
          <w:p>
            <w:pPr>
              <w:spacing w:after="40" w:before="0" w:line="259" w:lineRule="auto"/>
            </w:pPr>
            <w:r>
              <w:rPr>
                <w:rFonts w:ascii="Calibri" w:hAnsi="Calibri"/>
                <w:b w:val="0"/>
                <w:i w:val="0"/>
                <w:color w:val="212121"/>
                <w:sz w:val="19"/>
              </w:rPr>
              <w:t>Most Indians, housebound, covered-clothing groups</w:t>
            </w:r>
          </w:p>
        </w:tc>
        <w:tc>
          <w:tcPr>
            <w:tcW w:type="dxa" w:w="1512"/>
            <w:vAlign w:val="top"/>
          </w:tcPr>
          <w:p>
            <w:pPr>
              <w:spacing w:after="40" w:before="0" w:line="259" w:lineRule="auto"/>
            </w:pPr>
            <w:r>
              <w:rPr>
                <w:rFonts w:ascii="Calibri" w:hAnsi="Calibri"/>
                <w:b w:val="0"/>
                <w:i w:val="0"/>
                <w:color w:val="212121"/>
                <w:sz w:val="19"/>
              </w:rPr>
              <w:t>≥ 30 ng/mL (75 nmol/L)</w:t>
            </w:r>
          </w:p>
        </w:tc>
        <w:tc>
          <w:tcPr>
            <w:tcW w:type="dxa" w:w="1512"/>
            <w:vAlign w:val="top"/>
          </w:tcPr>
          <w:p>
            <w:pPr>
              <w:spacing w:after="40" w:before="0" w:line="259" w:lineRule="auto"/>
            </w:pPr>
            <w:r>
              <w:rPr>
                <w:rFonts w:ascii="Calibri" w:hAnsi="Calibri"/>
                <w:b w:val="0"/>
                <w:i w:val="0"/>
                <w:color w:val="212121"/>
                <w:sz w:val="19"/>
              </w:rPr>
              <w:t>&lt; 20 ng/mL (deficiency)</w:t>
            </w:r>
          </w:p>
        </w:tc>
        <w:tc>
          <w:tcPr>
            <w:tcW w:type="dxa" w:w="1468"/>
            <w:vAlign w:val="top"/>
          </w:tcPr>
          <w:p>
            <w:pPr>
              <w:spacing w:after="60" w:line="259" w:lineRule="auto"/>
            </w:pPr>
            <w:r>
              <w:rPr>
                <w:rFonts w:ascii="Calibri" w:hAnsi="Calibri"/>
                <w:b w:val="0"/>
                <w:i w:val="0"/>
                <w:color w:val="212121"/>
                <w:sz w:val="19"/>
              </w:rPr>
              <w:t>Deficiency near-universal in India; impairs mineralisation</w:t>
            </w:r>
          </w:p>
          <w:p>
            <w:pPr>
              <w:spacing w:after="40" w:line="252" w:lineRule="auto"/>
            </w:pPr>
            <w:hyperlink r:id="rId15">
              <w:r>
                <w:rPr>
                  <w:rFonts w:ascii="Calibri" w:hAnsi="Calibri" w:cs="Calibri"/>
                  <w:sz w:val="18"/>
                  <w:color w:val="1155CC"/>
                  <w:u w:val="single"/>
                </w:rPr>
                <w:t xml:space="preserve">https://pubmed.ncbi.nlm.nih.gov/34627207/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corrected calcium</w:t>
            </w:r>
          </w:p>
        </w:tc>
        <w:tc>
          <w:tcPr>
            <w:tcW w:type="dxa" w:w="1655"/>
            <w:vAlign w:val="top"/>
          </w:tcPr>
          <w:p>
            <w:pPr>
              <w:spacing w:after="40" w:before="0" w:line="259" w:lineRule="auto"/>
            </w:pPr>
            <w:r>
              <w:rPr>
                <w:rFonts w:ascii="Calibri" w:hAnsi="Calibri"/>
                <w:b w:val="0"/>
                <w:i w:val="0"/>
                <w:color w:val="212121"/>
                <w:sz w:val="19"/>
              </w:rPr>
              <w:t>Fracture &amp; osteoporosis work-up</w:t>
            </w:r>
          </w:p>
        </w:tc>
        <w:tc>
          <w:tcPr>
            <w:tcW w:type="dxa" w:w="1512"/>
            <w:vAlign w:val="top"/>
          </w:tcPr>
          <w:p>
            <w:pPr>
              <w:spacing w:after="40" w:before="0" w:line="259" w:lineRule="auto"/>
            </w:pPr>
            <w:r>
              <w:rPr>
                <w:rFonts w:ascii="Calibri" w:hAnsi="Calibri"/>
                <w:b w:val="0"/>
                <w:i w:val="0"/>
                <w:color w:val="212121"/>
                <w:sz w:val="19"/>
              </w:rPr>
              <w:t>8.5–10.5 mg/dL</w:t>
            </w:r>
          </w:p>
        </w:tc>
        <w:tc>
          <w:tcPr>
            <w:tcW w:type="dxa" w:w="1512"/>
            <w:vAlign w:val="top"/>
          </w:tcPr>
          <w:p>
            <w:pPr>
              <w:spacing w:after="40" w:before="0" w:line="259" w:lineRule="auto"/>
            </w:pPr>
            <w:r>
              <w:rPr>
                <w:rFonts w:ascii="Calibri" w:hAnsi="Calibri"/>
                <w:b w:val="0"/>
                <w:i w:val="0"/>
                <w:color w:val="212121"/>
                <w:sz w:val="19"/>
              </w:rPr>
              <w:t>&lt; 8.5 or &gt; 10.5 mg/dL</w:t>
            </w:r>
          </w:p>
        </w:tc>
        <w:tc>
          <w:tcPr>
            <w:tcW w:type="dxa" w:w="1468"/>
            <w:vAlign w:val="top"/>
          </w:tcPr>
          <w:p>
            <w:pPr>
              <w:spacing w:after="40" w:before="0" w:line="259" w:lineRule="auto"/>
            </w:pPr>
            <w:r>
              <w:rPr>
                <w:rFonts w:ascii="Calibri" w:hAnsi="Calibri"/>
                <w:b w:val="0"/>
                <w:i w:val="0"/>
                <w:color w:val="212121"/>
                <w:sz w:val="19"/>
              </w:rPr>
              <w:t>Abnormal values prompt search for metabolic bone disease</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quality / duration</w:t>
            </w:r>
          </w:p>
        </w:tc>
        <w:tc>
          <w:tcPr>
            <w:tcW w:type="dxa" w:w="1655"/>
            <w:vAlign w:val="top"/>
          </w:tcPr>
          <w:p>
            <w:pPr>
              <w:spacing w:after="40" w:before="0" w:line="259" w:lineRule="auto"/>
            </w:pPr>
            <w:r>
              <w:rPr>
                <w:rFonts w:ascii="Calibri" w:hAnsi="Calibri"/>
                <w:b w:val="0"/>
                <w:i w:val="0"/>
                <w:color w:val="212121"/>
                <w:sz w:val="19"/>
              </w:rPr>
              <w:t>Post-menopausal women, elderly</w:t>
            </w:r>
          </w:p>
        </w:tc>
        <w:tc>
          <w:tcPr>
            <w:tcW w:type="dxa" w:w="1512"/>
            <w:vAlign w:val="top"/>
          </w:tcPr>
          <w:p>
            <w:pPr>
              <w:spacing w:after="40" w:before="0" w:line="259" w:lineRule="auto"/>
            </w:pPr>
            <w:r>
              <w:rPr>
                <w:rFonts w:ascii="Calibri" w:hAnsi="Calibri"/>
                <w:b w:val="0"/>
                <w:i w:val="0"/>
                <w:color w:val="212121"/>
                <w:sz w:val="19"/>
              </w:rPr>
              <w:t>7–8 h, good quality</w:t>
            </w:r>
          </w:p>
        </w:tc>
        <w:tc>
          <w:tcPr>
            <w:tcW w:type="dxa" w:w="1512"/>
            <w:vAlign w:val="top"/>
          </w:tcPr>
          <w:p>
            <w:pPr>
              <w:spacing w:after="40" w:before="0" w:line="259" w:lineRule="auto"/>
            </w:pPr>
            <w:r>
              <w:rPr>
                <w:rFonts w:ascii="Calibri" w:hAnsi="Calibri"/>
                <w:b w:val="0"/>
                <w:i w:val="0"/>
                <w:color w:val="212121"/>
                <w:sz w:val="19"/>
              </w:rPr>
              <w:t>Poor quality or &lt; 6 h</w:t>
            </w:r>
          </w:p>
        </w:tc>
        <w:tc>
          <w:tcPr>
            <w:tcW w:type="dxa" w:w="1468"/>
            <w:vAlign w:val="top"/>
          </w:tcPr>
          <w:p>
            <w:pPr>
              <w:spacing w:after="60" w:line="259" w:lineRule="auto"/>
            </w:pPr>
            <w:r>
              <w:rPr>
                <w:rFonts w:ascii="Calibri" w:hAnsi="Calibri"/>
                <w:b w:val="0"/>
                <w:i w:val="0"/>
                <w:color w:val="212121"/>
                <w:sz w:val="19"/>
              </w:rPr>
              <w:t>Poor sleep independently predicted osteoporosis in Indian women</w:t>
            </w:r>
          </w:p>
          <w:p>
            <w:pPr>
              <w:spacing w:after="40" w:line="252" w:lineRule="auto"/>
            </w:pPr>
            <w:hyperlink r:id="rId11">
              <w:r>
                <w:rPr>
                  <w:rFonts w:ascii="Calibri" w:hAnsi="Calibri" w:cs="Calibri"/>
                  <w:sz w:val="18"/>
                  <w:color w:val="1155CC"/>
                  <w:u w:val="single"/>
                </w:rPr>
                <w:t xml:space="preserve">https://pubmed.ncbi.nlm.nih.gov/35270692/</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All 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Any smoking lowers BMD and delays fracture healing</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units per week</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 14 units/week (ideally lower)</w:t>
            </w:r>
          </w:p>
        </w:tc>
        <w:tc>
          <w:tcPr>
            <w:tcW w:type="dxa" w:w="1512"/>
            <w:vAlign w:val="top"/>
          </w:tcPr>
          <w:p>
            <w:pPr>
              <w:spacing w:after="40" w:before="0" w:line="259" w:lineRule="auto"/>
            </w:pPr>
            <w:r>
              <w:rPr>
                <w:rFonts w:ascii="Calibri" w:hAnsi="Calibri"/>
                <w:b w:val="0"/>
                <w:i w:val="0"/>
                <w:color w:val="212121"/>
                <w:sz w:val="19"/>
              </w:rPr>
              <w:t>&gt; 14 units/week or binge drinking</w:t>
            </w:r>
          </w:p>
        </w:tc>
        <w:tc>
          <w:tcPr>
            <w:tcW w:type="dxa" w:w="1468"/>
            <w:vAlign w:val="top"/>
          </w:tcPr>
          <w:p>
            <w:pPr>
              <w:spacing w:after="40" w:before="0" w:line="259" w:lineRule="auto"/>
            </w:pPr>
            <w:r>
              <w:rPr>
                <w:rFonts w:ascii="Calibri" w:hAnsi="Calibri"/>
                <w:b w:val="0"/>
                <w:i w:val="0"/>
                <w:color w:val="212121"/>
                <w:sz w:val="19"/>
              </w:rPr>
              <w:t>Excess suppresses bone formation and increases falls/trauma</w:t>
            </w:r>
          </w:p>
        </w:tc>
      </w:tr>
      <w:tr>
        <w:trPr>
          <w:cantSplit/>
        </w:trPr>
        <w:tc>
          <w:tcPr>
            <w:tcW w:type="dxa" w:w="1512"/>
            <w:vAlign w:val="center"/>
          </w:tcPr>
          <w:p>
            <w:pPr>
              <w:spacing w:after="40"/>
            </w:pPr>
            <w:r>
              <w:rPr>
                <w:rFonts w:ascii="Calibri" w:hAnsi="Calibri"/>
                <w:b w:val="0"/>
                <w:i w:val="0"/>
                <w:color w:val="212121"/>
                <w:sz w:val="19"/>
              </w:rPr>
              <w:t>Body composition</w:t>
            </w:r>
          </w:p>
        </w:tc>
        <w:tc>
          <w:tcPr>
            <w:tcW w:type="dxa" w:w="1944"/>
            <w:vAlign w:val="top"/>
          </w:tcPr>
          <w:p>
            <w:pPr>
              <w:spacing w:after="40" w:before="0" w:line="259" w:lineRule="auto"/>
            </w:pPr>
            <w:r>
              <w:rPr>
                <w:rFonts w:ascii="Calibri" w:hAnsi="Calibri"/>
                <w:b w:val="0"/>
                <w:i w:val="0"/>
                <w:color w:val="212121"/>
                <w:sz w:val="19"/>
              </w:rPr>
              <w:t>Body Mass Index</w:t>
            </w:r>
          </w:p>
        </w:tc>
        <w:tc>
          <w:tcPr>
            <w:tcW w:type="dxa" w:w="1655"/>
            <w:vAlign w:val="top"/>
          </w:tcPr>
          <w:p>
            <w:pPr>
              <w:spacing w:after="40" w:before="0" w:line="259" w:lineRule="auto"/>
            </w:pPr>
            <w:r>
              <w:rPr>
                <w:rFonts w:ascii="Calibri" w:hAnsi="Calibri"/>
                <w:b w:val="0"/>
                <w:i w:val="0"/>
                <w:color w:val="212121"/>
                <w:sz w:val="19"/>
              </w:rPr>
              <w:t>Elderly, post-menopausal</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kg/m² (low body weight)</w:t>
            </w:r>
          </w:p>
        </w:tc>
        <w:tc>
          <w:tcPr>
            <w:tcW w:type="dxa" w:w="1468"/>
            <w:vAlign w:val="top"/>
          </w:tcPr>
          <w:p>
            <w:pPr>
              <w:spacing w:after="40" w:before="0" w:line="259" w:lineRule="auto"/>
            </w:pPr>
            <w:r>
              <w:rPr>
                <w:rFonts w:ascii="Calibri" w:hAnsi="Calibri"/>
                <w:b w:val="0"/>
                <w:i w:val="0"/>
                <w:color w:val="212121"/>
                <w:sz w:val="19"/>
              </w:rPr>
              <w:t>Low BMI is a recognised risk factor for low BMD and hip fracture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Plain radiograph (two orthogonal views)</w:t>
            </w:r>
          </w:p>
        </w:tc>
        <w:tc>
          <w:tcPr>
            <w:tcW w:type="dxa" w:w="892"/>
            <w:vAlign w:val="top"/>
          </w:tcPr>
          <w:p>
            <w:pPr>
              <w:spacing w:after="40" w:before="0" w:line="259" w:lineRule="auto"/>
            </w:pPr>
            <w:r>
              <w:rPr>
                <w:rFonts w:ascii="Calibri" w:hAnsi="Calibri"/>
                <w:b w:val="0"/>
                <w:i w:val="0"/>
                <w:color w:val="212121"/>
                <w:sz w:val="16"/>
              </w:rPr>
              <w:t>X-ray of injured region</w:t>
            </w:r>
          </w:p>
        </w:tc>
        <w:tc>
          <w:tcPr>
            <w:tcW w:type="dxa" w:w="950"/>
            <w:vAlign w:val="top"/>
          </w:tcPr>
          <w:p>
            <w:pPr>
              <w:spacing w:after="40" w:before="0" w:line="259" w:lineRule="auto"/>
            </w:pPr>
            <w:r>
              <w:rPr>
                <w:rFonts w:ascii="Calibri" w:hAnsi="Calibri"/>
                <w:b w:val="0"/>
                <w:i w:val="0"/>
                <w:color w:val="212121"/>
                <w:sz w:val="16"/>
              </w:rPr>
              <w:t>Intact, continuous cortex</w:t>
            </w:r>
          </w:p>
        </w:tc>
        <w:tc>
          <w:tcPr>
            <w:tcW w:type="dxa" w:w="950"/>
            <w:vAlign w:val="top"/>
          </w:tcPr>
          <w:p>
            <w:pPr>
              <w:spacing w:after="40" w:before="0" w:line="259" w:lineRule="auto"/>
            </w:pPr>
            <w:r>
              <w:rPr>
                <w:rFonts w:ascii="Calibri" w:hAnsi="Calibri"/>
                <w:b w:val="0"/>
                <w:i w:val="0"/>
                <w:color w:val="212121"/>
                <w:sz w:val="16"/>
              </w:rPr>
              <w:t>Cortical break, displacement, angulation or comminution</w:t>
            </w:r>
          </w:p>
        </w:tc>
        <w:tc>
          <w:tcPr>
            <w:tcW w:type="dxa" w:w="1036"/>
            <w:vAlign w:val="top"/>
          </w:tcPr>
          <w:p>
            <w:pPr>
              <w:spacing w:after="40" w:before="0" w:line="259" w:lineRule="auto"/>
            </w:pPr>
            <w:r>
              <w:rPr>
                <w:rFonts w:ascii="Calibri" w:hAnsi="Calibri"/>
                <w:b w:val="0"/>
                <w:i w:val="0"/>
                <w:color w:val="212121"/>
                <w:sz w:val="16"/>
              </w:rPr>
              <w:t>First-line test to confirm and characterise a fracture</w:t>
            </w:r>
          </w:p>
        </w:tc>
        <w:tc>
          <w:tcPr>
            <w:tcW w:type="dxa" w:w="1036"/>
            <w:vAlign w:val="top"/>
          </w:tcPr>
          <w:p>
            <w:pPr>
              <w:spacing w:after="40" w:before="0" w:line="259" w:lineRule="auto"/>
            </w:pPr>
            <w:r>
              <w:rPr>
                <w:rFonts w:ascii="Calibri" w:hAnsi="Calibri"/>
                <w:b w:val="0"/>
                <w:i w:val="0"/>
                <w:color w:val="212121"/>
                <w:sz w:val="16"/>
              </w:rPr>
              <w:t>All suspected fractures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Include joint above and below; repeat at 10–14 days for occult fractures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DXA bone mineral density (T-score)</w:t>
            </w:r>
          </w:p>
        </w:tc>
        <w:tc>
          <w:tcPr>
            <w:tcW w:type="dxa" w:w="892"/>
            <w:vAlign w:val="top"/>
          </w:tcPr>
          <w:p>
            <w:pPr>
              <w:spacing w:after="40" w:before="0" w:line="259" w:lineRule="auto"/>
            </w:pPr>
            <w:r>
              <w:rPr>
                <w:rFonts w:ascii="Calibri" w:hAnsi="Calibri"/>
                <w:b w:val="0"/>
                <w:i w:val="0"/>
                <w:color w:val="212121"/>
                <w:sz w:val="16"/>
              </w:rPr>
              <w:t>Dual-energy X-ray absorptiometry</w:t>
            </w:r>
          </w:p>
        </w:tc>
        <w:tc>
          <w:tcPr>
            <w:tcW w:type="dxa" w:w="950"/>
            <w:vAlign w:val="top"/>
          </w:tcPr>
          <w:p>
            <w:pPr>
              <w:spacing w:after="40" w:before="0" w:line="259" w:lineRule="auto"/>
            </w:pPr>
            <w:r>
              <w:rPr>
                <w:rFonts w:ascii="Calibri" w:hAnsi="Calibri"/>
                <w:b w:val="0"/>
                <w:i w:val="0"/>
                <w:color w:val="212121"/>
                <w:sz w:val="16"/>
              </w:rPr>
              <w:t>T-score ≥ −1.0</w:t>
            </w:r>
          </w:p>
        </w:tc>
        <w:tc>
          <w:tcPr>
            <w:tcW w:type="dxa" w:w="950"/>
            <w:vAlign w:val="top"/>
          </w:tcPr>
          <w:p>
            <w:pPr>
              <w:spacing w:after="40" w:before="0" w:line="259" w:lineRule="auto"/>
            </w:pPr>
            <w:r>
              <w:rPr>
                <w:rFonts w:ascii="Calibri" w:hAnsi="Calibri"/>
                <w:b w:val="0"/>
                <w:i w:val="0"/>
                <w:color w:val="212121"/>
                <w:sz w:val="16"/>
              </w:rPr>
              <w:t>T-score ≤ −2.5 (osteoporosis)</w:t>
            </w:r>
          </w:p>
        </w:tc>
        <w:tc>
          <w:tcPr>
            <w:tcW w:type="dxa" w:w="1036"/>
            <w:vAlign w:val="top"/>
          </w:tcPr>
          <w:p>
            <w:pPr>
              <w:spacing w:after="40" w:before="0" w:line="259" w:lineRule="auto"/>
            </w:pPr>
            <w:r>
              <w:rPr>
                <w:rFonts w:ascii="Calibri" w:hAnsi="Calibri"/>
                <w:b w:val="0"/>
                <w:i w:val="0"/>
                <w:color w:val="212121"/>
                <w:sz w:val="16"/>
              </w:rPr>
              <w:t>Diagnoses osteoporosis and quantifies fragility-fracture risk</w:t>
            </w:r>
          </w:p>
        </w:tc>
        <w:tc>
          <w:tcPr>
            <w:tcW w:type="dxa" w:w="1036"/>
            <w:vAlign w:val="top"/>
          </w:tcPr>
          <w:p>
            <w:pPr>
              <w:spacing w:after="40" w:before="0" w:line="259" w:lineRule="auto"/>
            </w:pPr>
            <w:r>
              <w:rPr>
                <w:rFonts w:ascii="Calibri" w:hAnsi="Calibri"/>
                <w:b w:val="0"/>
                <w:i w:val="0"/>
                <w:color w:val="212121"/>
                <w:sz w:val="16"/>
              </w:rPr>
              <w:t>Post-menopausal women, elderly, post-fragility-fracture, steroid users</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Hip and lumbar spine sites; guides treatment thresholds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MRI / CT for occult or complex fractures</w:t>
            </w:r>
          </w:p>
        </w:tc>
        <w:tc>
          <w:tcPr>
            <w:tcW w:type="dxa" w:w="892"/>
            <w:vAlign w:val="top"/>
          </w:tcPr>
          <w:p>
            <w:pPr>
              <w:spacing w:after="40" w:before="0" w:line="259" w:lineRule="auto"/>
            </w:pPr>
            <w:r>
              <w:rPr>
                <w:rFonts w:ascii="Calibri" w:hAnsi="Calibri"/>
                <w:b w:val="0"/>
                <w:i w:val="0"/>
                <w:color w:val="212121"/>
                <w:sz w:val="16"/>
              </w:rPr>
              <w:t>Cross-sectional imaging</w:t>
            </w:r>
          </w:p>
        </w:tc>
        <w:tc>
          <w:tcPr>
            <w:tcW w:type="dxa" w:w="950"/>
            <w:vAlign w:val="top"/>
          </w:tcPr>
          <w:p>
            <w:pPr>
              <w:spacing w:after="40" w:before="0" w:line="259" w:lineRule="auto"/>
            </w:pPr>
            <w:r>
              <w:rPr>
                <w:rFonts w:ascii="Calibri" w:hAnsi="Calibri"/>
                <w:b w:val="0"/>
                <w:i w:val="0"/>
                <w:color w:val="212121"/>
                <w:sz w:val="16"/>
              </w:rPr>
              <w:t>No marrow oedema, no cortical breach</w:t>
            </w:r>
          </w:p>
        </w:tc>
        <w:tc>
          <w:tcPr>
            <w:tcW w:type="dxa" w:w="950"/>
            <w:vAlign w:val="top"/>
          </w:tcPr>
          <w:p>
            <w:pPr>
              <w:spacing w:after="40" w:before="0" w:line="259" w:lineRule="auto"/>
            </w:pPr>
            <w:r>
              <w:rPr>
                <w:rFonts w:ascii="Calibri" w:hAnsi="Calibri"/>
                <w:b w:val="0"/>
                <w:i w:val="0"/>
                <w:color w:val="212121"/>
                <w:sz w:val="16"/>
              </w:rPr>
              <w:t>Marrow oedema, fracture line, or lytic/mass lesion</w:t>
            </w:r>
          </w:p>
        </w:tc>
        <w:tc>
          <w:tcPr>
            <w:tcW w:type="dxa" w:w="1036"/>
            <w:vAlign w:val="top"/>
          </w:tcPr>
          <w:p>
            <w:pPr>
              <w:spacing w:after="40" w:before="0" w:line="259" w:lineRule="auto"/>
            </w:pPr>
            <w:r>
              <w:rPr>
                <w:rFonts w:ascii="Calibri" w:hAnsi="Calibri"/>
                <w:b w:val="0"/>
                <w:i w:val="0"/>
                <w:color w:val="212121"/>
                <w:sz w:val="16"/>
              </w:rPr>
              <w:t>Detects occult hip/scaphoid &amp; vertebral fractures and separates osteoporotic from pathological/malignant fractures</w:t>
            </w:r>
          </w:p>
        </w:tc>
        <w:tc>
          <w:tcPr>
            <w:tcW w:type="dxa" w:w="1036"/>
            <w:vAlign w:val="top"/>
          </w:tcPr>
          <w:p>
            <w:pPr>
              <w:spacing w:after="40" w:before="0" w:line="259" w:lineRule="auto"/>
            </w:pPr>
            <w:r>
              <w:rPr>
                <w:rFonts w:ascii="Calibri" w:hAnsi="Calibri"/>
                <w:b w:val="0"/>
                <w:i w:val="0"/>
                <w:color w:val="212121"/>
                <w:sz w:val="16"/>
              </w:rPr>
              <w:t>Occult fracture, spinal/pelvic injury, suspected metastasis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MRI best for occult hip and marrow; CT for intra-articular comminution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25(OH)-vitamin D</w:t>
            </w:r>
          </w:p>
        </w:tc>
        <w:tc>
          <w:tcPr>
            <w:tcW w:type="dxa" w:w="892"/>
            <w:vAlign w:val="top"/>
          </w:tcPr>
          <w:p>
            <w:pPr>
              <w:spacing w:after="40" w:before="0" w:line="259" w:lineRule="auto"/>
            </w:pPr>
            <w:r>
              <w:rPr>
                <w:rFonts w:ascii="Calibri" w:hAnsi="Calibri"/>
                <w:b w:val="0"/>
                <w:i w:val="0"/>
                <w:color w:val="212121"/>
                <w:sz w:val="16"/>
              </w:rPr>
              <w:t>Metabolic bone panel</w:t>
            </w:r>
          </w:p>
        </w:tc>
        <w:tc>
          <w:tcPr>
            <w:tcW w:type="dxa" w:w="950"/>
            <w:vAlign w:val="top"/>
          </w:tcPr>
          <w:p>
            <w:pPr>
              <w:spacing w:after="40" w:before="0" w:line="259" w:lineRule="auto"/>
            </w:pPr>
            <w:r>
              <w:rPr>
                <w:rFonts w:ascii="Calibri" w:hAnsi="Calibri"/>
                <w:b w:val="0"/>
                <w:i w:val="0"/>
                <w:color w:val="212121"/>
                <w:sz w:val="16"/>
              </w:rPr>
              <w:t>≥ 30 ng/mL</w:t>
            </w:r>
          </w:p>
        </w:tc>
        <w:tc>
          <w:tcPr>
            <w:tcW w:type="dxa" w:w="950"/>
            <w:vAlign w:val="top"/>
          </w:tcPr>
          <w:p>
            <w:pPr>
              <w:spacing w:after="40" w:before="0" w:line="259" w:lineRule="auto"/>
            </w:pPr>
            <w:r>
              <w:rPr>
                <w:rFonts w:ascii="Calibri" w:hAnsi="Calibri"/>
                <w:b w:val="0"/>
                <w:i w:val="0"/>
                <w:color w:val="212121"/>
                <w:sz w:val="16"/>
              </w:rPr>
              <w:t>&lt; 20 ng/mL (deficiency)</w:t>
            </w:r>
          </w:p>
        </w:tc>
        <w:tc>
          <w:tcPr>
            <w:tcW w:type="dxa" w:w="1036"/>
            <w:vAlign w:val="top"/>
          </w:tcPr>
          <w:p>
            <w:pPr>
              <w:spacing w:after="40" w:before="0" w:line="259" w:lineRule="auto"/>
            </w:pPr>
            <w:r>
              <w:rPr>
                <w:rFonts w:ascii="Calibri" w:hAnsi="Calibri"/>
                <w:b w:val="0"/>
                <w:i w:val="0"/>
                <w:color w:val="212121"/>
                <w:sz w:val="16"/>
              </w:rPr>
              <w:t>Identifies vitamin-D deficiency/osteomalacia contributing to fracture</w:t>
            </w:r>
          </w:p>
        </w:tc>
        <w:tc>
          <w:tcPr>
            <w:tcW w:type="dxa" w:w="1036"/>
            <w:vAlign w:val="top"/>
          </w:tcPr>
          <w:p>
            <w:pPr>
              <w:spacing w:after="40" w:before="0" w:line="259" w:lineRule="auto"/>
            </w:pPr>
            <w:r>
              <w:rPr>
                <w:rFonts w:ascii="Calibri" w:hAnsi="Calibri"/>
                <w:b w:val="0"/>
                <w:i w:val="0"/>
                <w:color w:val="212121"/>
                <w:sz w:val="16"/>
              </w:rPr>
              <w:t>Nearly all Indian patients, housebound, covered-clothing groups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Deficiency affects ~70–100% of Indians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corrected calcium &amp; phosphate</w:t>
            </w:r>
          </w:p>
        </w:tc>
        <w:tc>
          <w:tcPr>
            <w:tcW w:type="dxa" w:w="892"/>
            <w:vAlign w:val="top"/>
          </w:tcPr>
          <w:p>
            <w:pPr>
              <w:spacing w:after="40" w:before="0" w:line="259" w:lineRule="auto"/>
            </w:pPr>
            <w:r>
              <w:rPr>
                <w:rFonts w:ascii="Calibri" w:hAnsi="Calibri"/>
                <w:b w:val="0"/>
                <w:i w:val="0"/>
                <w:color w:val="212121"/>
                <w:sz w:val="16"/>
              </w:rPr>
              <w:t>Metabolic bone panel</w:t>
            </w:r>
          </w:p>
        </w:tc>
        <w:tc>
          <w:tcPr>
            <w:tcW w:type="dxa" w:w="950"/>
            <w:vAlign w:val="top"/>
          </w:tcPr>
          <w:p>
            <w:pPr>
              <w:spacing w:after="40" w:before="0" w:line="259" w:lineRule="auto"/>
            </w:pPr>
            <w:r>
              <w:rPr>
                <w:rFonts w:ascii="Calibri" w:hAnsi="Calibri"/>
                <w:b w:val="0"/>
                <w:i w:val="0"/>
                <w:color w:val="212121"/>
                <w:sz w:val="16"/>
              </w:rPr>
              <w:t>Ca 8.5–10.5 mg/dL; PO4 within range</w:t>
            </w:r>
          </w:p>
        </w:tc>
        <w:tc>
          <w:tcPr>
            <w:tcW w:type="dxa" w:w="950"/>
            <w:vAlign w:val="top"/>
          </w:tcPr>
          <w:p>
            <w:pPr>
              <w:spacing w:after="40" w:before="0" w:line="259" w:lineRule="auto"/>
            </w:pPr>
            <w:r>
              <w:rPr>
                <w:rFonts w:ascii="Calibri" w:hAnsi="Calibri"/>
                <w:b w:val="0"/>
                <w:i w:val="0"/>
                <w:color w:val="212121"/>
                <w:sz w:val="16"/>
              </w:rPr>
              <w:t>Low or high values</w:t>
            </w:r>
          </w:p>
        </w:tc>
        <w:tc>
          <w:tcPr>
            <w:tcW w:type="dxa" w:w="1036"/>
            <w:vAlign w:val="top"/>
          </w:tcPr>
          <w:p>
            <w:pPr>
              <w:spacing w:after="40" w:before="0" w:line="259" w:lineRule="auto"/>
            </w:pPr>
            <w:r>
              <w:rPr>
                <w:rFonts w:ascii="Calibri" w:hAnsi="Calibri"/>
                <w:b w:val="0"/>
                <w:i w:val="0"/>
                <w:color w:val="212121"/>
                <w:sz w:val="16"/>
              </w:rPr>
              <w:t>Screens for osteomalacia, hyperparathyroidism and CKD-mineral bone disease</w:t>
            </w:r>
          </w:p>
        </w:tc>
        <w:tc>
          <w:tcPr>
            <w:tcW w:type="dxa" w:w="1036"/>
            <w:vAlign w:val="top"/>
          </w:tcPr>
          <w:p>
            <w:pPr>
              <w:spacing w:after="40" w:before="0" w:line="259" w:lineRule="auto"/>
            </w:pPr>
            <w:r>
              <w:rPr>
                <w:rFonts w:ascii="Calibri" w:hAnsi="Calibri"/>
                <w:b w:val="0"/>
                <w:i w:val="0"/>
                <w:color w:val="212121"/>
                <w:sz w:val="16"/>
              </w:rPr>
              <w:t>Fragility-fracture &amp; osteoporosis work-up</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Routine</w:t>
            </w:r>
          </w:p>
        </w:tc>
        <w:tc>
          <w:tcPr>
            <w:tcW w:type="dxa" w:w="720"/>
            <w:vAlign w:val="top"/>
          </w:tcPr>
          <w:p>
            <w:pPr>
              <w:spacing w:after="40" w:before="0" w:line="259" w:lineRule="auto"/>
            </w:pPr>
            <w:r>
              <w:rPr>
                <w:rFonts w:ascii="Calibri" w:hAnsi="Calibri"/>
                <w:b w:val="0"/>
                <w:i w:val="0"/>
                <w:color w:val="212121"/>
                <w:sz w:val="16"/>
              </w:rPr>
              <w:t>Correct calcium for serum albumin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Parathyroid hormone (PTH)</w:t>
            </w:r>
          </w:p>
        </w:tc>
        <w:tc>
          <w:tcPr>
            <w:tcW w:type="dxa" w:w="892"/>
            <w:vAlign w:val="top"/>
          </w:tcPr>
          <w:p>
            <w:pPr>
              <w:spacing w:after="40" w:before="0" w:line="259" w:lineRule="auto"/>
            </w:pPr>
            <w:r>
              <w:rPr>
                <w:rFonts w:ascii="Calibri" w:hAnsi="Calibri"/>
                <w:b w:val="0"/>
                <w:i w:val="0"/>
                <w:color w:val="212121"/>
                <w:sz w:val="16"/>
              </w:rPr>
              <w:t>Metabolic bone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Detects primary or secondary (vitamin-D/CKD-related) hyperparathyroidism</w:t>
            </w:r>
          </w:p>
        </w:tc>
        <w:tc>
          <w:tcPr>
            <w:tcW w:type="dxa" w:w="1036"/>
            <w:vAlign w:val="top"/>
          </w:tcPr>
          <w:p>
            <w:pPr>
              <w:spacing w:after="40" w:before="0" w:line="259" w:lineRule="auto"/>
            </w:pPr>
            <w:r>
              <w:rPr>
                <w:rFonts w:ascii="Calibri" w:hAnsi="Calibri"/>
                <w:b w:val="0"/>
                <w:i w:val="0"/>
                <w:color w:val="212121"/>
                <w:sz w:val="16"/>
              </w:rPr>
              <w:t>Recurrent fractures, low calcium/vitamin D, CKD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Interpret with calcium and vitamin D together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TSH &amp; (in men) testosterone</w:t>
            </w:r>
          </w:p>
        </w:tc>
        <w:tc>
          <w:tcPr>
            <w:tcW w:type="dxa" w:w="892"/>
            <w:vAlign w:val="top"/>
          </w:tcPr>
          <w:p>
            <w:pPr>
              <w:spacing w:after="40" w:before="0" w:line="259" w:lineRule="auto"/>
            </w:pPr>
            <w:r>
              <w:rPr>
                <w:rFonts w:ascii="Calibri" w:hAnsi="Calibri"/>
                <w:b w:val="0"/>
                <w:i w:val="0"/>
                <w:color w:val="212121"/>
                <w:sz w:val="16"/>
              </w:rPr>
              <w:t>Secondary-cause screen</w:t>
            </w:r>
          </w:p>
        </w:tc>
        <w:tc>
          <w:tcPr>
            <w:tcW w:type="dxa" w:w="950"/>
            <w:vAlign w:val="top"/>
          </w:tcPr>
          <w:p>
            <w:pPr>
              <w:spacing w:after="40" w:before="0" w:line="259" w:lineRule="auto"/>
            </w:pPr>
            <w:r>
              <w:rPr>
                <w:rFonts w:ascii="Calibri" w:hAnsi="Calibri"/>
                <w:b w:val="0"/>
                <w:i w:val="0"/>
                <w:color w:val="212121"/>
                <w:sz w:val="16"/>
              </w:rPr>
              <w:t>Euthyroid; normal testosterone</w:t>
            </w:r>
          </w:p>
        </w:tc>
        <w:tc>
          <w:tcPr>
            <w:tcW w:type="dxa" w:w="950"/>
            <w:vAlign w:val="top"/>
          </w:tcPr>
          <w:p>
            <w:pPr>
              <w:spacing w:after="40" w:before="0" w:line="259" w:lineRule="auto"/>
            </w:pPr>
            <w:r>
              <w:rPr>
                <w:rFonts w:ascii="Calibri" w:hAnsi="Calibri"/>
                <w:b w:val="0"/>
                <w:i w:val="0"/>
                <w:color w:val="212121"/>
                <w:sz w:val="16"/>
              </w:rPr>
              <w:t>Suppressed TSH; low testosterone</w:t>
            </w:r>
          </w:p>
        </w:tc>
        <w:tc>
          <w:tcPr>
            <w:tcW w:type="dxa" w:w="1036"/>
            <w:vAlign w:val="top"/>
          </w:tcPr>
          <w:p>
            <w:pPr>
              <w:spacing w:after="40" w:before="0" w:line="259" w:lineRule="auto"/>
            </w:pPr>
            <w:r>
              <w:rPr>
                <w:rFonts w:ascii="Calibri" w:hAnsi="Calibri"/>
                <w:b w:val="0"/>
                <w:i w:val="0"/>
                <w:color w:val="212121"/>
                <w:sz w:val="16"/>
              </w:rPr>
              <w:t>Identifies thyrotoxicosis or hypogonadism as secondary causes of bone loss</w:t>
            </w:r>
          </w:p>
        </w:tc>
        <w:tc>
          <w:tcPr>
            <w:tcW w:type="dxa" w:w="1036"/>
            <w:vAlign w:val="top"/>
          </w:tcPr>
          <w:p>
            <w:pPr>
              <w:spacing w:after="40" w:before="0" w:line="259" w:lineRule="auto"/>
            </w:pPr>
            <w:r>
              <w:rPr>
                <w:rFonts w:ascii="Calibri" w:hAnsi="Calibri"/>
                <w:b w:val="0"/>
                <w:i w:val="0"/>
                <w:color w:val="212121"/>
                <w:sz w:val="16"/>
              </w:rPr>
              <w:t>Men with fragility fracture, suspected thyrotoxicosis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Part of the secondary-osteoporosis screen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Renal &amp; liver function, alkaline phosphatase, FBC</w:t>
            </w:r>
          </w:p>
        </w:tc>
        <w:tc>
          <w:tcPr>
            <w:tcW w:type="dxa" w:w="892"/>
            <w:vAlign w:val="top"/>
          </w:tcPr>
          <w:p>
            <w:pPr>
              <w:spacing w:after="40" w:before="0" w:line="259" w:lineRule="auto"/>
            </w:pPr>
            <w:r>
              <w:rPr>
                <w:rFonts w:ascii="Calibri" w:hAnsi="Calibri"/>
                <w:b w:val="0"/>
                <w:i w:val="0"/>
                <w:color w:val="212121"/>
                <w:sz w:val="16"/>
              </w:rPr>
              <w:t>Baseline panel</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Raised ALP (healing/pathology), deranged renal/liver function, anaemia</w:t>
            </w:r>
          </w:p>
        </w:tc>
        <w:tc>
          <w:tcPr>
            <w:tcW w:type="dxa" w:w="1036"/>
            <w:vAlign w:val="top"/>
          </w:tcPr>
          <w:p>
            <w:pPr>
              <w:spacing w:after="40" w:before="0" w:line="259" w:lineRule="auto"/>
            </w:pPr>
            <w:r>
              <w:rPr>
                <w:rFonts w:ascii="Calibri" w:hAnsi="Calibri"/>
                <w:b w:val="0"/>
                <w:i w:val="0"/>
                <w:color w:val="212121"/>
                <w:sz w:val="16"/>
              </w:rPr>
              <w:t>Excludes CKD, liver disease and malignancy; anaemia flags marrow disease or blood loss</w:t>
            </w:r>
          </w:p>
        </w:tc>
        <w:tc>
          <w:tcPr>
            <w:tcW w:type="dxa" w:w="1036"/>
            <w:vAlign w:val="top"/>
          </w:tcPr>
          <w:p>
            <w:pPr>
              <w:spacing w:after="40" w:before="0" w:line="259" w:lineRule="auto"/>
            </w:pPr>
            <w:r>
              <w:rPr>
                <w:rFonts w:ascii="Calibri" w:hAnsi="Calibri"/>
                <w:b w:val="0"/>
                <w:i w:val="0"/>
                <w:color w:val="212121"/>
                <w:sz w:val="16"/>
              </w:rPr>
              <w:t>All fragility-fracture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Routine</w:t>
            </w:r>
          </w:p>
        </w:tc>
        <w:tc>
          <w:tcPr>
            <w:tcW w:type="dxa" w:w="720"/>
            <w:vAlign w:val="top"/>
          </w:tcPr>
          <w:p>
            <w:pPr>
              <w:spacing w:after="40" w:before="0" w:line="259" w:lineRule="auto"/>
            </w:pPr>
            <w:r>
              <w:rPr>
                <w:rFonts w:ascii="Calibri" w:hAnsi="Calibri"/>
                <w:b w:val="0"/>
                <w:i w:val="0"/>
                <w:color w:val="212121"/>
                <w:sz w:val="16"/>
              </w:rPr>
              <w:t>Guides safe drug choice and pre-operative fitness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Mechanism &amp; energy of injury</w:t>
            </w:r>
          </w:p>
        </w:tc>
        <w:tc>
          <w:tcPr>
            <w:tcW w:type="dxa" w:w="979"/>
            <w:vAlign w:val="top"/>
          </w:tcPr>
          <w:p>
            <w:pPr>
              <w:spacing w:after="40" w:before="0" w:line="259" w:lineRule="auto"/>
            </w:pPr>
            <w:r>
              <w:rPr>
                <w:rFonts w:ascii="Calibri" w:hAnsi="Calibri"/>
                <w:b w:val="0"/>
                <w:i w:val="0"/>
                <w:color w:val="212121"/>
                <w:sz w:val="16"/>
              </w:rPr>
              <w:t>Low-energy fall vs high-energy trauma</w:t>
            </w:r>
          </w:p>
        </w:tc>
        <w:tc>
          <w:tcPr>
            <w:tcW w:type="dxa" w:w="950"/>
            <w:vAlign w:val="top"/>
          </w:tcPr>
          <w:p>
            <w:pPr>
              <w:spacing w:after="40" w:before="0" w:line="259" w:lineRule="auto"/>
            </w:pPr>
            <w:r>
              <w:rPr>
                <w:rFonts w:ascii="Calibri" w:hAnsi="Calibri"/>
                <w:b w:val="0"/>
                <w:i w:val="0"/>
                <w:color w:val="212121"/>
                <w:sz w:val="16"/>
              </w:rPr>
              <w:t>High-energy mechanism in healthy bone</w:t>
            </w:r>
          </w:p>
        </w:tc>
        <w:tc>
          <w:tcPr>
            <w:tcW w:type="dxa" w:w="950"/>
            <w:vAlign w:val="top"/>
          </w:tcPr>
          <w:p>
            <w:pPr>
              <w:spacing w:after="40" w:before="0" w:line="259" w:lineRule="auto"/>
            </w:pPr>
            <w:r>
              <w:rPr>
                <w:rFonts w:ascii="Calibri" w:hAnsi="Calibri"/>
                <w:b w:val="0"/>
                <w:i w:val="0"/>
                <w:color w:val="212121"/>
                <w:sz w:val="16"/>
              </w:rPr>
              <w:t>Fracture after a fall from standing height or less</w:t>
            </w:r>
          </w:p>
        </w:tc>
        <w:tc>
          <w:tcPr>
            <w:tcW w:type="dxa" w:w="1036"/>
            <w:vAlign w:val="top"/>
          </w:tcPr>
          <w:p>
            <w:pPr>
              <w:spacing w:after="40" w:before="0" w:line="259" w:lineRule="auto"/>
            </w:pPr>
            <w:r>
              <w:rPr>
                <w:rFonts w:ascii="Calibri" w:hAnsi="Calibri"/>
                <w:b w:val="0"/>
                <w:i w:val="0"/>
                <w:color w:val="212121"/>
                <w:sz w:val="16"/>
              </w:rPr>
              <w:t>Low-energy mechanism defines a fragility fracture and mandates osteoporosis assessment</w:t>
            </w:r>
          </w:p>
        </w:tc>
        <w:tc>
          <w:tcPr>
            <w:tcW w:type="dxa" w:w="1036"/>
            <w:vAlign w:val="top"/>
          </w:tcPr>
          <w:p>
            <w:pPr>
              <w:spacing w:after="40" w:before="0" w:line="259" w:lineRule="auto"/>
            </w:pPr>
            <w:r>
              <w:rPr>
                <w:rFonts w:ascii="Calibri" w:hAnsi="Calibri"/>
                <w:b w:val="0"/>
                <w:i w:val="0"/>
                <w:color w:val="212121"/>
                <w:sz w:val="16"/>
              </w:rPr>
              <w:t>All fracture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 trivial mechanism should raise suspicion of pathological fracture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Prior fractures &amp; fall history</w:t>
            </w:r>
          </w:p>
        </w:tc>
        <w:tc>
          <w:tcPr>
            <w:tcW w:type="dxa" w:w="979"/>
            <w:vAlign w:val="top"/>
          </w:tcPr>
          <w:p>
            <w:pPr>
              <w:spacing w:after="40" w:before="0" w:line="259" w:lineRule="auto"/>
            </w:pPr>
            <w:r>
              <w:rPr>
                <w:rFonts w:ascii="Calibri" w:hAnsi="Calibri"/>
                <w:b w:val="0"/>
                <w:i w:val="0"/>
                <w:color w:val="212121"/>
                <w:sz w:val="16"/>
              </w:rPr>
              <w:t>Previous fragility fracture, falls in past year</w:t>
            </w:r>
          </w:p>
        </w:tc>
        <w:tc>
          <w:tcPr>
            <w:tcW w:type="dxa" w:w="950"/>
            <w:vAlign w:val="top"/>
          </w:tcPr>
          <w:p>
            <w:pPr>
              <w:spacing w:after="40" w:before="0" w:line="259" w:lineRule="auto"/>
            </w:pPr>
            <w:r>
              <w:rPr>
                <w:rFonts w:ascii="Calibri" w:hAnsi="Calibri"/>
                <w:b w:val="0"/>
                <w:i w:val="0"/>
                <w:color w:val="212121"/>
                <w:sz w:val="16"/>
              </w:rPr>
              <w:t>No prior fracture or falls</w:t>
            </w:r>
          </w:p>
        </w:tc>
        <w:tc>
          <w:tcPr>
            <w:tcW w:type="dxa" w:w="950"/>
            <w:vAlign w:val="top"/>
          </w:tcPr>
          <w:p>
            <w:pPr>
              <w:spacing w:after="40" w:before="0" w:line="259" w:lineRule="auto"/>
            </w:pPr>
            <w:r>
              <w:rPr>
                <w:rFonts w:ascii="Calibri" w:hAnsi="Calibri"/>
                <w:b w:val="0"/>
                <w:i w:val="0"/>
                <w:color w:val="212121"/>
                <w:sz w:val="16"/>
              </w:rPr>
              <w:t>≥ 1 prior fragility fracture or recurrent falls</w:t>
            </w:r>
          </w:p>
        </w:tc>
        <w:tc>
          <w:tcPr>
            <w:tcW w:type="dxa" w:w="1036"/>
            <w:vAlign w:val="top"/>
          </w:tcPr>
          <w:p>
            <w:pPr>
              <w:spacing w:after="40" w:before="0" w:line="259" w:lineRule="auto"/>
            </w:pPr>
            <w:r>
              <w:rPr>
                <w:rFonts w:ascii="Calibri" w:hAnsi="Calibri"/>
                <w:b w:val="0"/>
                <w:i w:val="0"/>
                <w:color w:val="212121"/>
                <w:sz w:val="16"/>
              </w:rPr>
              <w:t>Strongest predictors of the next fracture; identify imminent risk</w:t>
            </w:r>
          </w:p>
        </w:tc>
        <w:tc>
          <w:tcPr>
            <w:tcW w:type="dxa" w:w="1036"/>
            <w:vAlign w:val="top"/>
          </w:tcPr>
          <w:p>
            <w:pPr>
              <w:spacing w:after="40" w:before="0" w:line="259" w:lineRule="auto"/>
            </w:pPr>
            <w:r>
              <w:rPr>
                <w:rFonts w:ascii="Calibri" w:hAnsi="Calibri"/>
                <w:b w:val="0"/>
                <w:i w:val="0"/>
                <w:color w:val="212121"/>
                <w:sz w:val="16"/>
              </w:rPr>
              <w:t>Elderly, post-menopausal, frail</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Trigger for secondary-prevention pathway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Secondary-cause &amp; risk screen</w:t>
            </w:r>
          </w:p>
        </w:tc>
        <w:tc>
          <w:tcPr>
            <w:tcW w:type="dxa" w:w="979"/>
            <w:vAlign w:val="top"/>
          </w:tcPr>
          <w:p>
            <w:pPr>
              <w:spacing w:after="40" w:before="0" w:line="259" w:lineRule="auto"/>
            </w:pPr>
            <w:r>
              <w:rPr>
                <w:rFonts w:ascii="Calibri" w:hAnsi="Calibri"/>
                <w:b w:val="0"/>
                <w:i w:val="0"/>
                <w:color w:val="212121"/>
                <w:sz w:val="16"/>
              </w:rPr>
              <w:t>Steroids, menopause age, smoking, alcohol, diet, comorbidity</w:t>
            </w:r>
          </w:p>
        </w:tc>
        <w:tc>
          <w:tcPr>
            <w:tcW w:type="dxa" w:w="950"/>
            <w:vAlign w:val="top"/>
          </w:tcPr>
          <w:p>
            <w:pPr>
              <w:spacing w:after="40" w:before="0" w:line="259" w:lineRule="auto"/>
            </w:pPr>
            <w:r>
              <w:rPr>
                <w:rFonts w:ascii="Calibri" w:hAnsi="Calibri"/>
                <w:b w:val="0"/>
                <w:i w:val="0"/>
                <w:color w:val="212121"/>
                <w:sz w:val="16"/>
              </w:rPr>
              <w:t>No secondary risk factors</w:t>
            </w:r>
          </w:p>
        </w:tc>
        <w:tc>
          <w:tcPr>
            <w:tcW w:type="dxa" w:w="950"/>
            <w:vAlign w:val="top"/>
          </w:tcPr>
          <w:p>
            <w:pPr>
              <w:spacing w:after="40" w:before="0" w:line="259" w:lineRule="auto"/>
            </w:pPr>
            <w:r>
              <w:rPr>
                <w:rFonts w:ascii="Calibri" w:hAnsi="Calibri"/>
                <w:b w:val="0"/>
                <w:i w:val="0"/>
                <w:color w:val="212121"/>
                <w:sz w:val="16"/>
              </w:rPr>
              <w:t>Glucocorticoids, early menopause, smoking, high alcohol, low calcium</w:t>
            </w:r>
          </w:p>
        </w:tc>
        <w:tc>
          <w:tcPr>
            <w:tcW w:type="dxa" w:w="1036"/>
            <w:vAlign w:val="top"/>
          </w:tcPr>
          <w:p>
            <w:pPr>
              <w:spacing w:after="40" w:before="0" w:line="259" w:lineRule="auto"/>
            </w:pPr>
            <w:r>
              <w:rPr>
                <w:rFonts w:ascii="Calibri" w:hAnsi="Calibri"/>
                <w:b w:val="0"/>
                <w:i w:val="0"/>
                <w:color w:val="212121"/>
                <w:sz w:val="16"/>
              </w:rPr>
              <w:t>Uncovers modifiable and secondary causes of bone loss</w:t>
            </w:r>
          </w:p>
        </w:tc>
        <w:tc>
          <w:tcPr>
            <w:tcW w:type="dxa" w:w="1036"/>
            <w:vAlign w:val="top"/>
          </w:tcPr>
          <w:p>
            <w:pPr>
              <w:spacing w:after="40" w:before="0" w:line="259" w:lineRule="auto"/>
            </w:pPr>
            <w:r>
              <w:rPr>
                <w:rFonts w:ascii="Calibri" w:hAnsi="Calibri"/>
                <w:b w:val="0"/>
                <w:i w:val="0"/>
                <w:color w:val="212121"/>
                <w:sz w:val="16"/>
              </w:rPr>
              <w:t>All fragility-fracture patients</w:t>
            </w:r>
          </w:p>
        </w:tc>
        <w:tc>
          <w:tcPr>
            <w:tcW w:type="dxa" w:w="720"/>
            <w:vAlign w:val="top"/>
          </w:tcPr>
          <w:p>
            <w:pPr>
              <w:spacing w:after="40" w:before="0" w:line="259" w:lineRule="auto"/>
            </w:pPr>
            <w:r>
              <w:rPr>
                <w:rFonts w:ascii="Calibri" w:hAnsi="Calibri"/>
                <w:b w:val="0"/>
                <w:i w:val="0"/>
                <w:color w:val="212121"/>
                <w:sz w:val="16"/>
              </w:rPr>
              <w:t>Smoking; Alcohol;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Feeds FRAX risk estimation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Inspection</w:t>
            </w:r>
          </w:p>
        </w:tc>
        <w:tc>
          <w:tcPr>
            <w:tcW w:type="dxa" w:w="979"/>
            <w:vAlign w:val="top"/>
          </w:tcPr>
          <w:p>
            <w:pPr>
              <w:spacing w:after="40" w:before="0" w:line="259" w:lineRule="auto"/>
            </w:pPr>
            <w:r>
              <w:rPr>
                <w:rFonts w:ascii="Calibri" w:hAnsi="Calibri"/>
                <w:b w:val="0"/>
                <w:i w:val="0"/>
                <w:color w:val="212121"/>
                <w:sz w:val="16"/>
              </w:rPr>
              <w:t>Deformity, swelling, bruising, wound</w:t>
            </w:r>
          </w:p>
        </w:tc>
        <w:tc>
          <w:tcPr>
            <w:tcW w:type="dxa" w:w="950"/>
            <w:vAlign w:val="top"/>
          </w:tcPr>
          <w:p>
            <w:pPr>
              <w:spacing w:after="40" w:before="0" w:line="259" w:lineRule="auto"/>
            </w:pPr>
            <w:r>
              <w:rPr>
                <w:rFonts w:ascii="Calibri" w:hAnsi="Calibri"/>
                <w:b w:val="0"/>
                <w:i w:val="0"/>
                <w:color w:val="212121"/>
                <w:sz w:val="16"/>
              </w:rPr>
              <w:t>No deformity or wound</w:t>
            </w:r>
          </w:p>
        </w:tc>
        <w:tc>
          <w:tcPr>
            <w:tcW w:type="dxa" w:w="950"/>
            <w:vAlign w:val="top"/>
          </w:tcPr>
          <w:p>
            <w:pPr>
              <w:spacing w:after="40" w:before="0" w:line="259" w:lineRule="auto"/>
            </w:pPr>
            <w:r>
              <w:rPr>
                <w:rFonts w:ascii="Calibri" w:hAnsi="Calibri"/>
                <w:b w:val="0"/>
                <w:i w:val="0"/>
                <w:color w:val="212121"/>
                <w:sz w:val="16"/>
              </w:rPr>
              <w:t>Visible deformity, ecchymosis or an open wound over bone</w:t>
            </w:r>
          </w:p>
        </w:tc>
        <w:tc>
          <w:tcPr>
            <w:tcW w:type="dxa" w:w="1036"/>
            <w:vAlign w:val="top"/>
          </w:tcPr>
          <w:p>
            <w:pPr>
              <w:spacing w:after="40" w:before="0" w:line="259" w:lineRule="auto"/>
            </w:pPr>
            <w:r>
              <w:rPr>
                <w:rFonts w:ascii="Calibri" w:hAnsi="Calibri"/>
                <w:b w:val="0"/>
                <w:i w:val="0"/>
                <w:color w:val="212121"/>
                <w:sz w:val="16"/>
              </w:rPr>
              <w:t>Identifies displacement and, crucially, open (compound) fractures needing urgent care</w:t>
            </w:r>
          </w:p>
        </w:tc>
        <w:tc>
          <w:tcPr>
            <w:tcW w:type="dxa" w:w="1036"/>
            <w:vAlign w:val="top"/>
          </w:tcPr>
          <w:p>
            <w:pPr>
              <w:spacing w:after="40" w:before="0" w:line="259" w:lineRule="auto"/>
            </w:pPr>
            <w:r>
              <w:rPr>
                <w:rFonts w:ascii="Calibri" w:hAnsi="Calibri"/>
                <w:b w:val="0"/>
                <w:i w:val="0"/>
                <w:color w:val="212121"/>
                <w:sz w:val="16"/>
              </w:rPr>
              <w:t>All fracture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Any wound communicating with fracture = surgical emergency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Palpation</w:t>
            </w:r>
          </w:p>
        </w:tc>
        <w:tc>
          <w:tcPr>
            <w:tcW w:type="dxa" w:w="979"/>
            <w:vAlign w:val="top"/>
          </w:tcPr>
          <w:p>
            <w:pPr>
              <w:spacing w:after="40" w:before="0" w:line="259" w:lineRule="auto"/>
            </w:pPr>
            <w:r>
              <w:rPr>
                <w:rFonts w:ascii="Calibri" w:hAnsi="Calibri"/>
                <w:b w:val="0"/>
                <w:i w:val="0"/>
                <w:color w:val="212121"/>
                <w:sz w:val="16"/>
              </w:rPr>
              <w:t>Bony tenderness, crepitus, abnormal mobility</w:t>
            </w:r>
          </w:p>
        </w:tc>
        <w:tc>
          <w:tcPr>
            <w:tcW w:type="dxa" w:w="950"/>
            <w:vAlign w:val="top"/>
          </w:tcPr>
          <w:p>
            <w:pPr>
              <w:spacing w:after="40" w:before="0" w:line="259" w:lineRule="auto"/>
            </w:pPr>
            <w:r>
              <w:rPr>
                <w:rFonts w:ascii="Calibri" w:hAnsi="Calibri"/>
                <w:b w:val="0"/>
                <w:i w:val="0"/>
                <w:color w:val="212121"/>
                <w:sz w:val="16"/>
              </w:rPr>
              <w:t>No focal tenderness or crepitus</w:t>
            </w:r>
          </w:p>
        </w:tc>
        <w:tc>
          <w:tcPr>
            <w:tcW w:type="dxa" w:w="950"/>
            <w:vAlign w:val="top"/>
          </w:tcPr>
          <w:p>
            <w:pPr>
              <w:spacing w:after="40" w:before="0" w:line="259" w:lineRule="auto"/>
            </w:pPr>
            <w:r>
              <w:rPr>
                <w:rFonts w:ascii="Calibri" w:hAnsi="Calibri"/>
                <w:b w:val="0"/>
                <w:i w:val="0"/>
                <w:color w:val="212121"/>
                <w:sz w:val="16"/>
              </w:rPr>
              <w:t>Point tenderness, crepitus or false movement</w:t>
            </w:r>
          </w:p>
        </w:tc>
        <w:tc>
          <w:tcPr>
            <w:tcW w:type="dxa" w:w="1036"/>
            <w:vAlign w:val="top"/>
          </w:tcPr>
          <w:p>
            <w:pPr>
              <w:spacing w:after="40" w:before="0" w:line="259" w:lineRule="auto"/>
            </w:pPr>
            <w:r>
              <w:rPr>
                <w:rFonts w:ascii="Calibri" w:hAnsi="Calibri"/>
                <w:b w:val="0"/>
                <w:i w:val="0"/>
                <w:color w:val="212121"/>
                <w:sz w:val="16"/>
              </w:rPr>
              <w:t>Localises the fracture and confirms loss of cortical continuity</w:t>
            </w:r>
          </w:p>
        </w:tc>
        <w:tc>
          <w:tcPr>
            <w:tcW w:type="dxa" w:w="1036"/>
            <w:vAlign w:val="top"/>
          </w:tcPr>
          <w:p>
            <w:pPr>
              <w:spacing w:after="40" w:before="0" w:line="259" w:lineRule="auto"/>
            </w:pPr>
            <w:r>
              <w:rPr>
                <w:rFonts w:ascii="Calibri" w:hAnsi="Calibri"/>
                <w:b w:val="0"/>
                <w:i w:val="0"/>
                <w:color w:val="212121"/>
                <w:sz w:val="16"/>
              </w:rPr>
              <w:t>All fracture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Elicit gently; avoid displacing the fracture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Neurovascular assessment</w:t>
            </w:r>
          </w:p>
        </w:tc>
        <w:tc>
          <w:tcPr>
            <w:tcW w:type="dxa" w:w="979"/>
            <w:vAlign w:val="top"/>
          </w:tcPr>
          <w:p>
            <w:pPr>
              <w:spacing w:after="40" w:before="0" w:line="259" w:lineRule="auto"/>
            </w:pPr>
            <w:r>
              <w:rPr>
                <w:rFonts w:ascii="Calibri" w:hAnsi="Calibri"/>
                <w:b w:val="0"/>
                <w:i w:val="0"/>
                <w:color w:val="212121"/>
                <w:sz w:val="16"/>
              </w:rPr>
              <w:t>Distal pulses, capillary refill, sensation, motor power</w:t>
            </w:r>
          </w:p>
        </w:tc>
        <w:tc>
          <w:tcPr>
            <w:tcW w:type="dxa" w:w="950"/>
            <w:vAlign w:val="top"/>
          </w:tcPr>
          <w:p>
            <w:pPr>
              <w:spacing w:after="40" w:before="0" w:line="259" w:lineRule="auto"/>
            </w:pPr>
            <w:r>
              <w:rPr>
                <w:rFonts w:ascii="Calibri" w:hAnsi="Calibri"/>
                <w:b w:val="0"/>
                <w:i w:val="0"/>
                <w:color w:val="212121"/>
                <w:sz w:val="16"/>
              </w:rPr>
              <w:t>Intact pulses, sensation and movement</w:t>
            </w:r>
          </w:p>
        </w:tc>
        <w:tc>
          <w:tcPr>
            <w:tcW w:type="dxa" w:w="950"/>
            <w:vAlign w:val="top"/>
          </w:tcPr>
          <w:p>
            <w:pPr>
              <w:spacing w:after="40" w:before="0" w:line="259" w:lineRule="auto"/>
            </w:pPr>
            <w:r>
              <w:rPr>
                <w:rFonts w:ascii="Calibri" w:hAnsi="Calibri"/>
                <w:b w:val="0"/>
                <w:i w:val="0"/>
                <w:color w:val="212121"/>
                <w:sz w:val="16"/>
              </w:rPr>
              <w:t>Absent pulse, pallor, sensory or motor deficit</w:t>
            </w:r>
          </w:p>
        </w:tc>
        <w:tc>
          <w:tcPr>
            <w:tcW w:type="dxa" w:w="1036"/>
            <w:vAlign w:val="top"/>
          </w:tcPr>
          <w:p>
            <w:pPr>
              <w:spacing w:after="40" w:before="0" w:line="259" w:lineRule="auto"/>
            </w:pPr>
            <w:r>
              <w:rPr>
                <w:rFonts w:ascii="Calibri" w:hAnsi="Calibri"/>
                <w:b w:val="0"/>
                <w:i w:val="0"/>
                <w:color w:val="212121"/>
                <w:sz w:val="16"/>
              </w:rPr>
              <w:t>Detects vascular or nerve injury and evolving compartment syndrome distal to the fracture</w:t>
            </w:r>
          </w:p>
        </w:tc>
        <w:tc>
          <w:tcPr>
            <w:tcW w:type="dxa" w:w="1036"/>
            <w:vAlign w:val="top"/>
          </w:tcPr>
          <w:p>
            <w:pPr>
              <w:spacing w:after="40" w:before="0" w:line="259" w:lineRule="auto"/>
            </w:pPr>
            <w:r>
              <w:rPr>
                <w:rFonts w:ascii="Calibri" w:hAnsi="Calibri"/>
                <w:b w:val="0"/>
                <w:i w:val="0"/>
                <w:color w:val="212121"/>
                <w:sz w:val="16"/>
              </w:rPr>
              <w:t>Displaced long-bone &amp; joint fractures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Pain on passive stretch out of proportion suggests compartment syndrome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Functional</w:t>
            </w:r>
          </w:p>
        </w:tc>
        <w:tc>
          <w:tcPr>
            <w:tcW w:type="dxa" w:w="950"/>
            <w:vAlign w:val="top"/>
          </w:tcPr>
          <w:p>
            <w:pPr>
              <w:spacing w:after="40" w:before="0" w:line="259" w:lineRule="auto"/>
            </w:pPr>
            <w:r>
              <w:rPr>
                <w:rFonts w:ascii="Calibri" w:hAnsi="Calibri"/>
                <w:b w:val="0"/>
                <w:i w:val="0"/>
                <w:color w:val="212121"/>
                <w:sz w:val="16"/>
              </w:rPr>
              <w:t>Gait, balance &amp; mobility</w:t>
            </w:r>
          </w:p>
        </w:tc>
        <w:tc>
          <w:tcPr>
            <w:tcW w:type="dxa" w:w="979"/>
            <w:vAlign w:val="top"/>
          </w:tcPr>
          <w:p>
            <w:pPr>
              <w:spacing w:after="40" w:before="0" w:line="259" w:lineRule="auto"/>
            </w:pPr>
            <w:r>
              <w:rPr>
                <w:rFonts w:ascii="Calibri" w:hAnsi="Calibri"/>
                <w:b w:val="0"/>
                <w:i w:val="0"/>
                <w:color w:val="212121"/>
                <w:sz w:val="16"/>
              </w:rPr>
              <w:t>Timed Up-and-Go, gait, vision, sarcopenia</w:t>
            </w:r>
          </w:p>
        </w:tc>
        <w:tc>
          <w:tcPr>
            <w:tcW w:type="dxa" w:w="950"/>
            <w:vAlign w:val="top"/>
          </w:tcPr>
          <w:p>
            <w:pPr>
              <w:spacing w:after="40" w:before="0" w:line="259" w:lineRule="auto"/>
            </w:pPr>
            <w:r>
              <w:rPr>
                <w:rFonts w:ascii="Calibri" w:hAnsi="Calibri"/>
                <w:b w:val="0"/>
                <w:i w:val="0"/>
                <w:color w:val="212121"/>
                <w:sz w:val="16"/>
              </w:rPr>
              <w:t>Steady gait, TUG &lt; 12 s</w:t>
            </w:r>
          </w:p>
        </w:tc>
        <w:tc>
          <w:tcPr>
            <w:tcW w:type="dxa" w:w="950"/>
            <w:vAlign w:val="top"/>
          </w:tcPr>
          <w:p>
            <w:pPr>
              <w:spacing w:after="40" w:before="0" w:line="259" w:lineRule="auto"/>
            </w:pPr>
            <w:r>
              <w:rPr>
                <w:rFonts w:ascii="Calibri" w:hAnsi="Calibri"/>
                <w:b w:val="0"/>
                <w:i w:val="0"/>
                <w:color w:val="212121"/>
                <w:sz w:val="16"/>
              </w:rPr>
              <w:t>Unsteady gait, TUG ≥ 12–14 s, poor vision</w:t>
            </w:r>
          </w:p>
        </w:tc>
        <w:tc>
          <w:tcPr>
            <w:tcW w:type="dxa" w:w="1036"/>
            <w:vAlign w:val="top"/>
          </w:tcPr>
          <w:p>
            <w:pPr>
              <w:spacing w:after="40" w:before="0" w:line="259" w:lineRule="auto"/>
            </w:pPr>
            <w:r>
              <w:rPr>
                <w:rFonts w:ascii="Calibri" w:hAnsi="Calibri"/>
                <w:b w:val="0"/>
                <w:i w:val="0"/>
                <w:color w:val="212121"/>
                <w:sz w:val="16"/>
              </w:rPr>
              <w:t>Quantifies fall risk to target prevention</w:t>
            </w:r>
          </w:p>
        </w:tc>
        <w:tc>
          <w:tcPr>
            <w:tcW w:type="dxa" w:w="1036"/>
            <w:vAlign w:val="top"/>
          </w:tcPr>
          <w:p>
            <w:pPr>
              <w:spacing w:after="40" w:before="0" w:line="259" w:lineRule="auto"/>
            </w:pPr>
            <w:r>
              <w:rPr>
                <w:rFonts w:ascii="Calibri" w:hAnsi="Calibri"/>
                <w:b w:val="0"/>
                <w:i w:val="0"/>
                <w:color w:val="212121"/>
                <w:sz w:val="16"/>
              </w:rPr>
              <w:t>Elderly, post-fracture, frail</w:t>
            </w:r>
          </w:p>
        </w:tc>
        <w:tc>
          <w:tcPr>
            <w:tcW w:type="dxa" w:w="720"/>
            <w:vAlign w:val="top"/>
          </w:tcPr>
          <w:p>
            <w:pPr>
              <w:spacing w:after="40" w:before="0" w:line="259" w:lineRule="auto"/>
            </w:pPr>
            <w:r>
              <w:rPr>
                <w:rFonts w:ascii="Calibri" w:hAnsi="Calibri"/>
                <w:b w:val="0"/>
                <w:i w:val="0"/>
                <w:color w:val="212121"/>
                <w:sz w:val="16"/>
              </w:rPr>
              <w:t>Physical activity; Posture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Links directly to multifactorial falls-prevention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Localised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Sharp, well-localised bony pain, worse on movement or weight-bearing, is the cardinal symptom.</w:t>
            </w:r>
          </w:p>
        </w:tc>
      </w:tr>
      <w:tr>
        <w:trPr>
          <w:cantSplit/>
        </w:trPr>
        <w:tc>
          <w:tcPr>
            <w:tcW w:type="dxa" w:w="2304"/>
            <w:vAlign w:val="top"/>
          </w:tcPr>
          <w:p>
            <w:pPr>
              <w:spacing w:after="40" w:before="0" w:line="259" w:lineRule="auto"/>
            </w:pPr>
            <w:r>
              <w:rPr>
                <w:rFonts w:ascii="Calibri" w:hAnsi="Calibri"/>
                <w:b/>
                <w:i w:val="0"/>
                <w:color w:val="212121"/>
                <w:sz w:val="19"/>
              </w:rPr>
              <w:t>Swelling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Soft-tissue swelling and haematoma develop rapidly around the fracture site.</w:t>
            </w:r>
          </w:p>
        </w:tc>
      </w:tr>
      <w:tr>
        <w:trPr>
          <w:cantSplit/>
        </w:trPr>
        <w:tc>
          <w:tcPr>
            <w:tcW w:type="dxa" w:w="2304"/>
            <w:vAlign w:val="top"/>
          </w:tcPr>
          <w:p>
            <w:pPr>
              <w:spacing w:after="40" w:before="0" w:line="259" w:lineRule="auto"/>
            </w:pPr>
            <w:r>
              <w:rPr>
                <w:rFonts w:ascii="Calibri" w:hAnsi="Calibri"/>
                <w:b/>
                <w:i w:val="0"/>
                <w:color w:val="212121"/>
                <w:sz w:val="19"/>
              </w:rPr>
              <w:t>Visible deformity / abnormal angulation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Displaced fractures produce obvious malalignment, angulation or shortening of the limb.</w:t>
            </w:r>
          </w:p>
        </w:tc>
      </w:tr>
      <w:tr>
        <w:trPr>
          <w:cantSplit/>
        </w:trPr>
        <w:tc>
          <w:tcPr>
            <w:tcW w:type="dxa" w:w="2304"/>
            <w:vAlign w:val="top"/>
          </w:tcPr>
          <w:p>
            <w:pPr>
              <w:spacing w:after="40" w:before="0" w:line="259" w:lineRule="auto"/>
            </w:pPr>
            <w:r>
              <w:rPr>
                <w:rFonts w:ascii="Calibri" w:hAnsi="Calibri"/>
                <w:b/>
                <w:i w:val="0"/>
                <w:color w:val="212121"/>
                <w:sz w:val="19"/>
              </w:rPr>
              <w:t>Loss of function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Inability to bear weight, walk, or use the affected limb normally.</w:t>
            </w:r>
          </w:p>
        </w:tc>
      </w:tr>
      <w:tr>
        <w:trPr>
          <w:cantSplit/>
        </w:trPr>
        <w:tc>
          <w:tcPr>
            <w:tcW w:type="dxa" w:w="2304"/>
            <w:vAlign w:val="top"/>
          </w:tcPr>
          <w:p>
            <w:pPr>
              <w:spacing w:after="40" w:before="0" w:line="259" w:lineRule="auto"/>
            </w:pPr>
            <w:r>
              <w:rPr>
                <w:rFonts w:ascii="Calibri" w:hAnsi="Calibri"/>
                <w:b/>
                <w:i w:val="0"/>
                <w:color w:val="212121"/>
                <w:sz w:val="19"/>
              </w:rPr>
              <w:t>Bruising / ecchymosis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Discolouration from bleeding into surrounding tissues, sometimes tracking distally.</w:t>
            </w:r>
          </w:p>
        </w:tc>
      </w:tr>
      <w:tr>
        <w:trPr>
          <w:cantSplit/>
        </w:trPr>
        <w:tc>
          <w:tcPr>
            <w:tcW w:type="dxa" w:w="2304"/>
            <w:vAlign w:val="top"/>
          </w:tcPr>
          <w:p>
            <w:pPr>
              <w:spacing w:after="40" w:before="0" w:line="259" w:lineRule="auto"/>
            </w:pPr>
            <w:r>
              <w:rPr>
                <w:rFonts w:ascii="Calibri" w:hAnsi="Calibri"/>
                <w:b/>
                <w:i w:val="0"/>
                <w:color w:val="212121"/>
                <w:sz w:val="19"/>
              </w:rPr>
              <w:t>Audible crack or snap at injury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Patients frequently report hearing or feeling a snap at the moment of fracture.</w:t>
            </w:r>
          </w:p>
        </w:tc>
      </w:tr>
      <w:tr>
        <w:trPr>
          <w:cantSplit/>
        </w:trPr>
        <w:tc>
          <w:tcPr>
            <w:tcW w:type="dxa" w:w="2304"/>
            <w:vAlign w:val="top"/>
          </w:tcPr>
          <w:p>
            <w:pPr>
              <w:spacing w:after="40" w:before="0" w:line="259" w:lineRule="auto"/>
            </w:pPr>
            <w:r>
              <w:rPr>
                <w:rFonts w:ascii="Calibri" w:hAnsi="Calibri"/>
                <w:b/>
                <w:i w:val="0"/>
                <w:color w:val="212121"/>
                <w:sz w:val="19"/>
              </w:rPr>
              <w:t>Sudden severe back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Acute thoracolumbar pain on bending, lifting or coughing suggests an osteoporotic vertebral compression fracture.</w:t>
            </w:r>
          </w:p>
        </w:tc>
      </w:tr>
      <w:tr>
        <w:trPr>
          <w:cantSplit/>
        </w:trPr>
        <w:tc>
          <w:tcPr>
            <w:tcW w:type="dxa" w:w="2304"/>
            <w:vAlign w:val="top"/>
          </w:tcPr>
          <w:p>
            <w:pPr>
              <w:spacing w:after="40" w:before="0" w:line="259" w:lineRule="auto"/>
            </w:pPr>
            <w:r>
              <w:rPr>
                <w:rFonts w:ascii="Calibri" w:hAnsi="Calibri"/>
                <w:b/>
                <w:i w:val="0"/>
                <w:color w:val="212121"/>
                <w:sz w:val="19"/>
              </w:rPr>
              <w:t>Loss of height &amp; stooped posture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Progressive height loss and a rounded upper back follow multiple vertebral compression fractures.</w:t>
            </w:r>
          </w:p>
        </w:tc>
      </w:tr>
      <w:tr>
        <w:trPr>
          <w:cantSplit/>
        </w:trPr>
        <w:tc>
          <w:tcPr>
            <w:tcW w:type="dxa" w:w="2304"/>
            <w:vAlign w:val="top"/>
          </w:tcPr>
          <w:p>
            <w:pPr>
              <w:spacing w:after="40" w:before="0" w:line="259" w:lineRule="auto"/>
            </w:pPr>
            <w:r>
              <w:rPr>
                <w:rFonts w:ascii="Calibri" w:hAnsi="Calibri"/>
                <w:b/>
                <w:i w:val="0"/>
                <w:color w:val="212121"/>
                <w:sz w:val="19"/>
              </w:rPr>
              <w:t>Numbness or tingling distal to injury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Paraesthesia or weakness beyond the fracture indicates nerve involvement or pressure.</w:t>
            </w:r>
          </w:p>
        </w:tc>
      </w:tr>
      <w:tr>
        <w:trPr>
          <w:cantSplit/>
        </w:trPr>
        <w:tc>
          <w:tcPr>
            <w:tcW w:type="dxa" w:w="2304"/>
            <w:vAlign w:val="top"/>
          </w:tcPr>
          <w:p>
            <w:pPr>
              <w:spacing w:after="40" w:before="0" w:line="259" w:lineRule="auto"/>
            </w:pPr>
            <w:r>
              <w:rPr>
                <w:rFonts w:ascii="Calibri" w:hAnsi="Calibri"/>
                <w:b/>
                <w:i w:val="0"/>
                <w:color w:val="212121"/>
                <w:sz w:val="19"/>
              </w:rPr>
              <w:t>Silent / asymptomatic fracture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About two-thirds of vertebral fragility fractures cause few or no symptoms and are found incidentally.</w:t>
            </w:r>
          </w:p>
        </w:tc>
      </w:tr>
      <w:tr>
        <w:trPr>
          <w:cantSplit/>
        </w:trPr>
        <w:tc>
          <w:tcPr>
            <w:tcW w:type="dxa" w:w="2304"/>
            <w:vAlign w:val="top"/>
          </w:tcPr>
          <w:p>
            <w:pPr>
              <w:spacing w:after="40" w:before="0" w:line="259" w:lineRule="auto"/>
            </w:pPr>
            <w:r>
              <w:rPr>
                <w:rFonts w:ascii="Calibri" w:hAnsi="Calibri"/>
                <w:b/>
                <w:i w:val="0"/>
                <w:color w:val="212121"/>
                <w:sz w:val="19"/>
              </w:rPr>
              <w:t>Inability to lie flat / intense pain on any movement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Marked in hip and unstable spinal fractures; the limb may be held rigidly.</w:t>
            </w:r>
          </w:p>
        </w:tc>
      </w:tr>
      <w:tr>
        <w:trPr>
          <w:cantSplit/>
        </w:trPr>
        <w:tc>
          <w:tcPr>
            <w:tcW w:type="dxa" w:w="2304"/>
            <w:vAlign w:val="top"/>
          </w:tcPr>
          <w:p>
            <w:pPr>
              <w:spacing w:after="40" w:before="0" w:line="259" w:lineRule="auto"/>
            </w:pPr>
            <w:r>
              <w:rPr>
                <w:rFonts w:ascii="Calibri" w:hAnsi="Calibri"/>
                <w:b/>
                <w:i w:val="0"/>
                <w:color w:val="212121"/>
                <w:sz w:val="19"/>
              </w:rPr>
              <w:t>Severe pain out of proportion with paraesthesia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Escalating pain unrelieved by analgesia and worsened by passive stretch signals compartment syndrome — a surgical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Visible deformity / malalignment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Angulation, rotation or shortening visible or palpable at the fracture site.</w:t>
            </w:r>
          </w:p>
        </w:tc>
      </w:tr>
      <w:tr>
        <w:trPr>
          <w:cantSplit/>
        </w:trPr>
        <w:tc>
          <w:tcPr>
            <w:tcW w:type="dxa" w:w="3456"/>
            <w:vAlign w:val="top"/>
          </w:tcPr>
          <w:p>
            <w:pPr>
              <w:spacing w:after="40" w:before="0" w:line="259" w:lineRule="auto"/>
            </w:pPr>
            <w:r>
              <w:rPr>
                <w:rFonts w:ascii="Calibri" w:hAnsi="Calibri"/>
                <w:b/>
                <w:i w:val="0"/>
                <w:color w:val="212121"/>
                <w:sz w:val="19"/>
              </w:rPr>
              <w:t>Focal bony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Sharply localised tenderness directly over the fractured bone.</w:t>
            </w:r>
          </w:p>
        </w:tc>
      </w:tr>
      <w:tr>
        <w:trPr>
          <w:cantSplit/>
        </w:trPr>
        <w:tc>
          <w:tcPr>
            <w:tcW w:type="dxa" w:w="3456"/>
            <w:vAlign w:val="top"/>
          </w:tcPr>
          <w:p>
            <w:pPr>
              <w:spacing w:after="40" w:before="0" w:line="259" w:lineRule="auto"/>
            </w:pPr>
            <w:r>
              <w:rPr>
                <w:rFonts w:ascii="Calibri" w:hAnsi="Calibri"/>
                <w:b/>
                <w:i w:val="0"/>
                <w:color w:val="212121"/>
                <w:sz w:val="19"/>
              </w:rPr>
              <w:t>Crepitus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Grating sensation felt or heard as fractured bone ends move against each other.</w:t>
            </w:r>
          </w:p>
        </w:tc>
      </w:tr>
      <w:tr>
        <w:trPr>
          <w:cantSplit/>
        </w:trPr>
        <w:tc>
          <w:tcPr>
            <w:tcW w:type="dxa" w:w="3456"/>
            <w:vAlign w:val="top"/>
          </w:tcPr>
          <w:p>
            <w:pPr>
              <w:spacing w:after="40" w:before="0" w:line="259" w:lineRule="auto"/>
            </w:pPr>
            <w:r>
              <w:rPr>
                <w:rFonts w:ascii="Calibri" w:hAnsi="Calibri"/>
                <w:b/>
                <w:i w:val="0"/>
                <w:color w:val="212121"/>
                <w:sz w:val="19"/>
              </w:rPr>
              <w:t>Abnormal / false movement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Movement at a point where there is no joint indicates a complete fracture.</w:t>
            </w:r>
          </w:p>
        </w:tc>
      </w:tr>
      <w:tr>
        <w:trPr>
          <w:cantSplit/>
        </w:trPr>
        <w:tc>
          <w:tcPr>
            <w:tcW w:type="dxa" w:w="3456"/>
            <w:vAlign w:val="top"/>
          </w:tcPr>
          <w:p>
            <w:pPr>
              <w:spacing w:after="40" w:before="0" w:line="259" w:lineRule="auto"/>
            </w:pPr>
            <w:r>
              <w:rPr>
                <w:rFonts w:ascii="Calibri" w:hAnsi="Calibri"/>
                <w:b/>
                <w:i w:val="0"/>
                <w:color w:val="212121"/>
                <w:sz w:val="19"/>
              </w:rPr>
              <w:t>Swelling &amp; ecchymosis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Localised soft-tissue swelling with bruising over the injury.</w:t>
            </w:r>
          </w:p>
        </w:tc>
      </w:tr>
      <w:tr>
        <w:trPr>
          <w:cantSplit/>
        </w:trPr>
        <w:tc>
          <w:tcPr>
            <w:tcW w:type="dxa" w:w="3456"/>
            <w:vAlign w:val="top"/>
          </w:tcPr>
          <w:p>
            <w:pPr>
              <w:spacing w:after="40" w:before="0" w:line="259" w:lineRule="auto"/>
            </w:pPr>
            <w:r>
              <w:rPr>
                <w:rFonts w:ascii="Calibri" w:hAnsi="Calibri"/>
                <w:b/>
                <w:i w:val="0"/>
                <w:color w:val="212121"/>
                <w:sz w:val="19"/>
              </w:rPr>
              <w:t>Loss of function &amp; protective guarding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patient refuses to move or load the part and guards it.</w:t>
            </w:r>
          </w:p>
        </w:tc>
      </w:tr>
      <w:tr>
        <w:trPr>
          <w:cantSplit/>
        </w:trPr>
        <w:tc>
          <w:tcPr>
            <w:tcW w:type="dxa" w:w="3456"/>
            <w:vAlign w:val="top"/>
          </w:tcPr>
          <w:p>
            <w:pPr>
              <w:spacing w:after="40" w:before="0" w:line="259" w:lineRule="auto"/>
            </w:pPr>
            <w:r>
              <w:rPr>
                <w:rFonts w:ascii="Calibri" w:hAnsi="Calibri"/>
                <w:b/>
                <w:i w:val="0"/>
                <w:color w:val="212121"/>
                <w:sz w:val="19"/>
              </w:rPr>
              <w:t>Shortened, externally rotated leg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Classic appearance of a displaced hip (neck-of-femur) fracture in an elderly patient after a fall.</w:t>
            </w:r>
          </w:p>
        </w:tc>
      </w:tr>
      <w:tr>
        <w:trPr>
          <w:cantSplit/>
        </w:trPr>
        <w:tc>
          <w:tcPr>
            <w:tcW w:type="dxa" w:w="3456"/>
            <w:vAlign w:val="top"/>
          </w:tcPr>
          <w:p>
            <w:pPr>
              <w:spacing w:after="40" w:before="0" w:line="259" w:lineRule="auto"/>
            </w:pPr>
            <w:r>
              <w:rPr>
                <w:rFonts w:ascii="Calibri" w:hAnsi="Calibri"/>
                <w:b/>
                <w:i w:val="0"/>
                <w:color w:val="212121"/>
                <w:sz w:val="19"/>
              </w:rPr>
              <w:t>'Dinner-fork' deformity of the wrist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Dorsal displacement of the distal fragment in a Colles' fracture of the distal radius.</w:t>
            </w:r>
          </w:p>
        </w:tc>
      </w:tr>
      <w:tr>
        <w:trPr>
          <w:cantSplit/>
        </w:trPr>
        <w:tc>
          <w:tcPr>
            <w:tcW w:type="dxa" w:w="3456"/>
            <w:vAlign w:val="top"/>
          </w:tcPr>
          <w:p>
            <w:pPr>
              <w:spacing w:after="40" w:before="0" w:line="259" w:lineRule="auto"/>
            </w:pPr>
            <w:r>
              <w:rPr>
                <w:rFonts w:ascii="Calibri" w:hAnsi="Calibri"/>
                <w:b/>
                <w:i w:val="0"/>
                <w:color w:val="212121"/>
                <w:sz w:val="19"/>
              </w:rPr>
              <w:t>Thoracic kyphosis with height loss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'Dowager's hump' and reduced stature from multiple vertebral compression fractures.</w:t>
            </w:r>
          </w:p>
        </w:tc>
      </w:tr>
      <w:tr>
        <w:trPr>
          <w:cantSplit/>
        </w:trPr>
        <w:tc>
          <w:tcPr>
            <w:tcW w:type="dxa" w:w="3456"/>
            <w:vAlign w:val="top"/>
          </w:tcPr>
          <w:p>
            <w:pPr>
              <w:spacing w:after="40" w:before="0" w:line="259" w:lineRule="auto"/>
            </w:pPr>
            <w:r>
              <w:rPr>
                <w:rFonts w:ascii="Calibri" w:hAnsi="Calibri"/>
                <w:b/>
                <w:i w:val="0"/>
                <w:color w:val="212121"/>
                <w:sz w:val="19"/>
              </w:rPr>
              <w:t>Open wound with exposed bone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wound communicating with the fracture defines an open (compound) fracture and a surgical emergency.</w:t>
            </w:r>
          </w:p>
        </w:tc>
      </w:tr>
      <w:tr>
        <w:trPr>
          <w:cantSplit/>
        </w:trPr>
        <w:tc>
          <w:tcPr>
            <w:tcW w:type="dxa" w:w="3456"/>
            <w:vAlign w:val="top"/>
          </w:tcPr>
          <w:p>
            <w:pPr>
              <w:spacing w:after="40" w:before="0" w:line="259" w:lineRule="auto"/>
            </w:pPr>
            <w:r>
              <w:rPr>
                <w:rFonts w:ascii="Calibri" w:hAnsi="Calibri"/>
                <w:b/>
                <w:i w:val="0"/>
                <w:color w:val="212121"/>
                <w:sz w:val="19"/>
              </w:rPr>
              <w:t>Distal neurovascular deficit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Absent pulse, pallor, cool limb or sensory/motor loss beyond the fracture indicates vascular or nerve injury.</w:t>
            </w:r>
          </w:p>
        </w:tc>
      </w:tr>
      <w:tr>
        <w:trPr>
          <w:cantSplit/>
        </w:trPr>
        <w:tc>
          <w:tcPr>
            <w:tcW w:type="dxa" w:w="3456"/>
            <w:vAlign w:val="top"/>
          </w:tcPr>
          <w:p>
            <w:pPr>
              <w:spacing w:after="40" w:before="0" w:line="259" w:lineRule="auto"/>
            </w:pPr>
            <w:r>
              <w:rPr>
                <w:rFonts w:ascii="Calibri" w:hAnsi="Calibri"/>
                <w:b/>
                <w:i w:val="0"/>
                <w:color w:val="212121"/>
                <w:sz w:val="19"/>
              </w:rPr>
              <w:t>Tense, tender compartment with pain on passive stretch</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Physical hallmark of acute compartment syndrome requiring emergency fasciotomy.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Haemorrhage and hypovolaemia (major with femoral shaft and pelvic fractures)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pain and immediate loss of 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Associated soft-tissue, nerve and blood-vessel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Open-fracture wound contamination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compartment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 embolism syndrome after long-bone fractures</w:t>
            </w:r>
          </w:p>
        </w:tc>
        <w:tc>
          <w:tcPr>
            <w:tcW w:type="dxa" w:w="2980"/>
            <w:vAlign w:val="top"/>
          </w:tcPr>
          <w:p>
            <w:pPr>
              <w:spacing w:after="40" w:before="0" w:line="259" w:lineRule="auto"/>
            </w:pPr>
            <w:r>
              <w:rPr>
                <w:rFonts w:ascii="Calibri" w:hAnsi="Calibri"/>
                <w:b w:val="0"/>
                <w:i w:val="0"/>
                <w:color w:val="212121"/>
                <w:sz w:val="19"/>
              </w:rPr>
              <w:t>Immediate mechanical and haemodynamic consequences of the fracture and its surrounding injury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Delayed union, non-union and malunion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Infection / osteomyelitis (especially after open fractures or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Avascular necrosis (femoral head, scaphoid, talus)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Venous thromboembolism (deep-vein thrombosis and pulmonary embolism)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Pneumonia, pressure sores and deconditioning from immobility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Imminent second fragility fracture (highest in the first 6–12 months)</w:t>
            </w:r>
          </w:p>
        </w:tc>
        <w:tc>
          <w:tcPr>
            <w:tcW w:type="dxa" w:w="2980"/>
            <w:vAlign w:val="top"/>
          </w:tcPr>
          <w:p>
            <w:pPr>
              <w:spacing w:after="40" w:before="0" w:line="259" w:lineRule="auto"/>
            </w:pPr>
            <w:r>
              <w:rPr>
                <w:rFonts w:ascii="Calibri" w:hAnsi="Calibri"/>
                <w:b w:val="0"/>
                <w:i w:val="0"/>
                <w:color w:val="212121"/>
                <w:sz w:val="19"/>
              </w:rPr>
              <w:t>Consequences of impaired healing, immobility and the underlying bone fragility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disability and loss of independence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Excess mortality after hip fracture (about 1 in 8 dead within a year in Indian cohorts)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pain and residual deformity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kyphosis with restrictive lung impairment from vertebral fractures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Institutionalisation and long-term care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and social isolation following functional decline</w:t>
            </w:r>
          </w:p>
        </w:tc>
        <w:tc>
          <w:tcPr>
            <w:tcW w:type="dxa" w:w="2980"/>
            <w:vAlign w:val="top"/>
          </w:tcPr>
          <w:p>
            <w:pPr>
              <w:spacing w:after="40" w:before="0" w:line="259" w:lineRule="auto"/>
            </w:pPr>
            <w:r>
              <w:rPr>
                <w:rFonts w:ascii="Calibri" w:hAnsi="Calibri"/>
                <w:b w:val="0"/>
                <w:i w:val="0"/>
                <w:color w:val="212121"/>
                <w:sz w:val="19"/>
              </w:rPr>
              <w:t>Irreversible, disabling long-term outcomes of major fragility fractures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Osteoporosis / low bone mineral density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underlying substrate of most fragility fractures; the lower the bone density the lower the force needed to break bone. Nearly 90% of Indian fragility hip-fracture patients are osteoporotic.</w:t>
            </w:r>
          </w:p>
          <w:p>
            <w:pPr>
              <w:spacing w:after="40" w:before="0" w:line="259" w:lineRule="auto"/>
            </w:pPr>
            <w:r>
              <w:rPr>
                <w:rFonts w:ascii="Calibri" w:hAnsi="Calibri"/>
                <w:b/>
                <w:i w:val="0"/>
                <w:color w:val="212121"/>
                <w:sz w:val="19"/>
              </w:rPr>
              <w:t>Up to ~90% of fragility hip-fracture patients</w:t>
            </w:r>
          </w:p>
        </w:tc>
      </w:tr>
      <w:tr>
        <w:trPr>
          <w:cantSplit/>
        </w:trPr>
        <w:tc>
          <w:tcPr>
            <w:tcW w:type="dxa" w:w="2232"/>
            <w:vAlign w:val="top"/>
          </w:tcPr>
          <w:p>
            <w:pPr>
              <w:spacing w:after="40" w:before="0" w:line="259" w:lineRule="auto"/>
            </w:pPr>
            <w:r>
              <w:rPr>
                <w:rFonts w:ascii="Calibri" w:hAnsi="Calibri"/>
                <w:b/>
                <w:i w:val="0"/>
                <w:color w:val="212121"/>
                <w:sz w:val="19"/>
              </w:rPr>
              <w:t>Vitamin D deficiency / osteomalacia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Impairs calcium absorption and bone mineralisation, drives secondary hyperparathyroidism and muscle weakness, and is near-universal in India.</w:t>
            </w:r>
          </w:p>
          <w:p>
            <w:pPr>
              <w:spacing w:after="40" w:before="0" w:line="259" w:lineRule="auto"/>
            </w:pPr>
            <w:r>
              <w:rPr>
                <w:rFonts w:ascii="Calibri" w:hAnsi="Calibri"/>
                <w:b/>
                <w:i w:val="0"/>
                <w:color w:val="212121"/>
                <w:sz w:val="19"/>
              </w:rPr>
              <w:t>~67–100% of Indians</w:t>
            </w:r>
          </w:p>
        </w:tc>
      </w:tr>
      <w:tr>
        <w:trPr>
          <w:cantSplit/>
        </w:trPr>
        <w:tc>
          <w:tcPr>
            <w:tcW w:type="dxa" w:w="2232"/>
            <w:vAlign w:val="top"/>
          </w:tcPr>
          <w:p>
            <w:pPr>
              <w:spacing w:after="40" w:before="0" w:line="259" w:lineRule="auto"/>
            </w:pPr>
            <w:r>
              <w:rPr>
                <w:rFonts w:ascii="Calibri" w:hAnsi="Calibri"/>
                <w:b/>
                <w:i w:val="0"/>
                <w:color w:val="212121"/>
                <w:sz w:val="19"/>
              </w:rPr>
              <w:t>Sarcopenia &amp; frailty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Age-related loss of muscle mass and strength reduces bone loading and greatly increases falls, the immediate trigger of fragility fractures.</w:t>
            </w:r>
          </w:p>
        </w:tc>
      </w:tr>
      <w:tr>
        <w:trPr>
          <w:cantSplit/>
        </w:trPr>
        <w:tc>
          <w:tcPr>
            <w:tcW w:type="dxa" w:w="2232"/>
            <w:vAlign w:val="top"/>
          </w:tcPr>
          <w:p>
            <w:pPr>
              <w:spacing w:after="40" w:before="0" w:line="259" w:lineRule="auto"/>
            </w:pPr>
            <w:r>
              <w:rPr>
                <w:rFonts w:ascii="Calibri" w:hAnsi="Calibri"/>
                <w:b/>
                <w:i w:val="0"/>
                <w:color w:val="212121"/>
                <w:sz w:val="19"/>
              </w:rPr>
              <w:t>Prior fragility fracture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previous low-trauma fracture is the strongest predictor of the next, with risk concentrated in the first 6–12 months (imminent risk).</w:t>
            </w:r>
          </w:p>
          <w:p>
            <w:pPr>
              <w:spacing w:after="40" w:before="0" w:line="259" w:lineRule="auto"/>
            </w:pPr>
            <w:r>
              <w:rPr>
                <w:rFonts w:ascii="Calibri" w:hAnsi="Calibri"/>
                <w:b/>
                <w:i w:val="0"/>
                <w:color w:val="212121"/>
                <w:sz w:val="19"/>
              </w:rPr>
              <w:t>~37% of refractures within 6 months</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bone quality plus higher fall risk (neuropathy, retinopathy, hypoglycaemia) raise fracture risk despite normal or high measured bone density.</w:t>
            </w:r>
          </w:p>
        </w:tc>
      </w:tr>
      <w:tr>
        <w:trPr>
          <w:cantSplit/>
        </w:trPr>
        <w:tc>
          <w:tcPr>
            <w:tcW w:type="dxa" w:w="2232"/>
            <w:vAlign w:val="top"/>
          </w:tcPr>
          <w:p>
            <w:pPr>
              <w:spacing w:after="40" w:before="0" w:line="259" w:lineRule="auto"/>
            </w:pPr>
            <w:r>
              <w:rPr>
                <w:rFonts w:ascii="Calibri" w:hAnsi="Calibri"/>
                <w:b/>
                <w:i w:val="0"/>
                <w:color w:val="212121"/>
                <w:sz w:val="19"/>
              </w:rPr>
              <w:t>Rheumatoid arthritis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Chronic inflammation and frequent glucocorticoid use cause both generalised and peri-articular bone loss and increased fracture risk.</w:t>
            </w:r>
          </w:p>
        </w:tc>
      </w:tr>
      <w:tr>
        <w:trPr>
          <w:cantSplit/>
        </w:trPr>
        <w:tc>
          <w:tcPr>
            <w:tcW w:type="dxa" w:w="2232"/>
            <w:vAlign w:val="top"/>
          </w:tcPr>
          <w:p>
            <w:pPr>
              <w:spacing w:after="40" w:before="0" w:line="259" w:lineRule="auto"/>
            </w:pPr>
            <w:r>
              <w:rPr>
                <w:rFonts w:ascii="Calibri" w:hAnsi="Calibri"/>
                <w:b/>
                <w:i w:val="0"/>
                <w:color w:val="212121"/>
                <w:sz w:val="19"/>
              </w:rPr>
              <w:t>Chronic kidney disease (CKD–mineral bone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Renal osteodystrophy and disturbed calcium, phosphate, vitamin D and PTH handling markedly weaken bone and raise fracture risk.</w:t>
            </w:r>
          </w:p>
        </w:tc>
      </w:tr>
      <w:tr>
        <w:trPr>
          <w:cantSplit/>
        </w:trPr>
        <w:tc>
          <w:tcPr>
            <w:tcW w:type="dxa" w:w="2232"/>
            <w:vAlign w:val="top"/>
          </w:tcPr>
          <w:p>
            <w:pPr>
              <w:spacing w:after="40" w:before="0" w:line="259" w:lineRule="auto"/>
            </w:pPr>
            <w:r>
              <w:rPr>
                <w:rFonts w:ascii="Calibri" w:hAnsi="Calibri"/>
                <w:b/>
                <w:i w:val="0"/>
                <w:color w:val="212121"/>
                <w:sz w:val="19"/>
              </w:rPr>
              <w:t>Thyrotoxicosis / hyperthyroidism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Excess thyroid hormone accelerates bone turnover with net bone loss and higher fracture risk; a recognised secondary cause of osteoporosis.</w:t>
            </w:r>
          </w:p>
        </w:tc>
      </w:tr>
      <w:tr>
        <w:trPr>
          <w:cantSplit/>
        </w:trPr>
        <w:tc>
          <w:tcPr>
            <w:tcW w:type="dxa" w:w="2232"/>
            <w:vAlign w:val="top"/>
          </w:tcPr>
          <w:p>
            <w:pPr>
              <w:spacing w:after="40" w:before="0" w:line="259" w:lineRule="auto"/>
            </w:pPr>
            <w:r>
              <w:rPr>
                <w:rFonts w:ascii="Calibri" w:hAnsi="Calibri"/>
                <w:b/>
                <w:i w:val="0"/>
                <w:color w:val="212121"/>
                <w:sz w:val="19"/>
              </w:rPr>
              <w:t>Depression &amp; fear of falling</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Associated with lower bone density, reduced activity and more falls; SSRI antidepressants further raise fracture risk, and functional decline after fracture worsens mood.</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 broken bone from a simple fall (from standing height or less) is a warning sign of osteoporosis and should always be investigated, not just splinted.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high-risk fracture sites — hip, spine, wrist, shoulder and pelvis — and the classic symptoms such as sudden back pain, height loss or a stooped posture.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vitamin D and calcium deficiency are extremely common in India despite abundant sunshine, and that safe sun exposure and diet matter for bone.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the risk of a second fracture is highest in the months right after the first — timely bone-density testing and treatment can prevent 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Make homes fall-proof: good lighting, grab rails, non-slip mats, no loose wires or rugs, and a review of sedating medicines.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seat belts and helmets and follow road-safety rules to prevent high-energy traumatic fractures.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after any fragility fracture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&amp; carers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on long-term steroids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weight-bearing aerobic activity (brisk walking, stair-climbing, dancing) to build and maintain bone strength.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resistance/strength training 2–3 days a week and balance work (yoga, tai-chi, heel-toe standing) to cut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at least 150 minutes of moderate activity per week, tailored to age and joint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bed rest and immobilisation, which accelerate bone and muscle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vision checked and correct footwear and walking aids to reduce fall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low bone density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a fracture, begin supervised physiotherapy and early mobilisation as soon as it is safe to prevent clots, pneumonia and deconditioning.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structured, progressive strength and balance programme to restore function and prevent the next fall.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Undergo a formal multifactorial falls-risk assessment and correction after any fall or fragility fracture.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hip protectors, walking aids and home modifications where fall risk remains high.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Rebuild weight-bearing gradually under guidance to promote bone healing without overload.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fracture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Hip-fracture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fallers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Frail elderly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dietary calcium (~1000–1200 mg/day) from milk, curd, paneer, ragi, sesame (til), green leafy vegetables and pulses.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vitamin D through safe midday sun exposure and, where needed, supplementation, as deficiency is near-universal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sufficient protein to support bone and muscle, especially in 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excess salt, caffeine and carbonated soft drinks, which can increase calcium loss when intake is 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body weight; being underweight is a risk factor for low bone density and hip fracture.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 / dairy-poor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Housebound &amp; covered-clothing groups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proven vitamin D deficiency and low calcium with supplements alongside any anti-osteoporosis drug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protein and overall nutrition to support fracture healing and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identified secondary causes (e.g. thyroid disease, hyperparathyroidism, coeliac disease) that impair bone.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calcium and vitamin D are adequate before starting bisphosphonates or other bone-active medication.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after fragility fracture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Vitamin-D-deficient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 underweight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7–8 hours of good-quality sleep, which is linked to better bone health in Indian studies.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sleep disorders and avoid long-acting sedatives that increase night-time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clear, well-lit path to the toilet and a bedside light to prevent falls when getting up at night.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sleepers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using all forms of tobacco; smoking lowers bone density and impairs fracture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to quit and to lower non-union risk before any planned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affects bone and general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Pre-operative fracture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low bone density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safe limits (≤ 14 units/week, ideally less) and avoid binge 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heavy drinking both weakens bone and greatly increases falls and road-traffic trauma.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drink and drive, to prevent high-energy fractures.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prior falls or fractures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reduce activity and increase falls after fracture.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fear of falling with graded activity and confidence-building rehabilitation rather than avoidance.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psychotropic medicines (especially SSRIs and sedatives) that raise fall and fracture risk, balancing benefits and harms.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social support and, where possible, group exercise to counter isolation after a major fracture.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Post-fracture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fear of falling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psychotropic drugs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road-traffic-injuries" TargetMode="External"/><Relationship Id="rId10" Type="http://schemas.openxmlformats.org/officeDocument/2006/relationships/hyperlink" Target="https://pubmed.ncbi.nlm.nih.gov/31641628/" TargetMode="External"/><Relationship Id="rId11" Type="http://schemas.openxmlformats.org/officeDocument/2006/relationships/hyperlink" Target="https://pubmed.ncbi.nlm.nih.gov/35270692/" TargetMode="External"/><Relationship Id="rId12" Type="http://schemas.openxmlformats.org/officeDocument/2006/relationships/hyperlink" Target="https://pubmed.ncbi.nlm.nih.gov/23620225/" TargetMode="External"/><Relationship Id="rId13" Type="http://schemas.openxmlformats.org/officeDocument/2006/relationships/hyperlink" Target="https://pubmed.ncbi.nlm.nih.gov/38107804/" TargetMode="External"/><Relationship Id="rId14" Type="http://schemas.openxmlformats.org/officeDocument/2006/relationships/hyperlink" Target="https://pubmed.ncbi.nlm.nih.gov/24566435/" TargetMode="External"/><Relationship Id="rId15" Type="http://schemas.openxmlformats.org/officeDocument/2006/relationships/hyperlink" Target="https://pubmed.ncbi.nlm.nih.gov/34627207/" TargetMode="External"/><Relationship Id="rId16" Type="http://schemas.openxmlformats.org/officeDocument/2006/relationships/hyperlink" Target="https://pubmed.ncbi.nlm.nih.gov/36950199/" TargetMode="External"/><Relationship Id="rId17" Type="http://schemas.openxmlformats.org/officeDocument/2006/relationships/hyperlink" Target="https://pubmed.ncbi.nlm.nih.gov/367058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