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Sprains &amp; Strains</w:t>
      </w:r>
    </w:p>
    <w:p>
      <w:pPr>
        <w:spacing w:before="0" w:after="160"/>
      </w:pPr>
      <w:r>
        <w:rPr>
          <w:rFonts w:ascii="Calibri" w:hAnsi="Calibri"/>
          <w:b/>
          <w:i w:val="0"/>
          <w:color w:val="212121"/>
          <w:sz w:val="22"/>
        </w:rPr>
        <w:t xml:space="preserve">AKA </w:t>
      </w:r>
      <w:r>
        <w:rPr>
          <w:rFonts w:ascii="Calibri" w:hAnsi="Calibri"/>
          <w:b w:val="0"/>
          <w:i w:val="0"/>
          <w:color w:val="212121"/>
          <w:sz w:val="22"/>
        </w:rPr>
        <w:t>i.e., Ligament sprain, Muscle/tendon strain, “Pulled muscle”, “Twisted ankle”, Musculoligamentous / soft-tissue injury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Sprains and strains are acute soft-tissue injuries of the musculoskeletal system. A sprain is a stretching or tearing of a ligament — the tough fibrous band that connects one bone to another across a joint — whereas a strain is a stretching or tearing of a muscle or of the tendon that anchors muscle to bone. Both result from sudden overload, twisting or over-stretching and are graded I to III by the extent of fibre damage, laxity and functional loss. The ankle (lateral ligament complex) is the most commonly sprained joint, while the low back and hamstring are the most commonly strained sites.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Acute soft-tissue injuries are among the most frequent musculoskeletal presentations worldwide; the WHO estimates that about 1.71 billion people live with musculoskeletal conditions, the leading contributor to global disability, with the WHO South-East Asia Region (which includes India) accounting for roughly 369 million of them. Ankle sprain alone occurs at an estimated 2–7 per 1,000 people per year in the general population, rising sharply in athletes, with a peak between 15 and 35 years of age. In India the true burden is under-counted because most mild sprains and strains are self-treated or seen in informal settings; road-traffic injuries, sports (cricket, kabaddi, football, badminton), manual and agricultural labour, floor-level living, and walking in flat or backless footwear over uneven, often monsoon-wet terrain make them an everyday clinical problem across primary care, orthopaedic and physiotherapy OPDs.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Sprains and strains are primarily a clinical diagnosis based on the mechanism of injury and focused examination, with imaging reserved to exclude fracture or confirm a high-grade tear: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clear mechanism — inversion/eversion twist of a joint, a fall, a direct blow, or a sudden forceful/eccentric muscle contraction — with immediate pain and, in higher grades, an audible or felt “pop”;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focal tenderness localised to the injured ligament (e.g., the anterior talofibular ligament) or to the muscle–tendon unit, with swelling and ecchymosis appearing over hours;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weight-bearing ability and joint stability, using directed special tests — anterior drawer (ATFL), talar tilt (calcaneofibular ligament), and squeeze / external-rotation tests for syndesmotic (“high ankle”) injury;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grading — Grade I (microscopic tearing, minimal laxity, weight-bearing preserved), Grade II (partial tear, moderate laxity and pain) and Grade III (complete rupture, marked instability, unable to bear weight);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application of the Ottawa Ankle and Foot Rules to decide which acute injuries need a radiograph to exclude fracture, safely reducing unnecessary X-rays;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when indicated — plain radiographs to rule out avulsion/fracture, and MRI or musculoskeletal ultrasound for severe, high-grade, or persistent injuries to characterise ligament, tendon or muscle rupture.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Sprains and strains are classified by the tissue injured, the severity grade, and the anatomical site:</w:t>
      </w:r>
    </w:p>
    <w:p>
      <w:pPr>
        <w:spacing w:before="0" w:after="80"/>
      </w:pPr>
      <w:r>
        <w:rPr>
          <w:rFonts w:ascii="Calibri" w:hAnsi="Calibri"/>
          <w:b w:val="0"/>
          <w:i w:val="0"/>
          <w:color w:val="212121"/>
          <w:sz w:val="21"/>
        </w:rPr>
        <w:t>(1) By tissue — a sprain injures a ligament (bone-to-bone), while a strain injures a muscle or its tendon (muscle-to-bone); the two often coexist after the same trauma.</w:t>
      </w:r>
    </w:p>
    <w:p>
      <w:pPr>
        <w:spacing w:before="0" w:after="80"/>
      </w:pPr>
      <w:r>
        <w:rPr>
          <w:rFonts w:ascii="Calibri" w:hAnsi="Calibri"/>
          <w:b w:val="0"/>
          <w:i w:val="0"/>
          <w:color w:val="212121"/>
          <w:sz w:val="21"/>
        </w:rPr>
        <w:t>(2) By severity — Grade I (mild): slight stretching with microscopic fibre damage, minimal swelling and preserved function; Grade II (moderate): partial tear with abnormal laxity, moderate pain, swelling and reduced range of motion; Grade III (severe): complete rupture with gross instability, marked swelling and loss of function, often requiring immobilisation or surgery.</w:t>
      </w:r>
    </w:p>
    <w:p>
      <w:pPr>
        <w:spacing w:before="0" w:after="80"/>
      </w:pPr>
      <w:r>
        <w:rPr>
          <w:rFonts w:ascii="Calibri" w:hAnsi="Calibri"/>
          <w:b w:val="0"/>
          <w:i w:val="0"/>
          <w:color w:val="212121"/>
          <w:sz w:val="21"/>
        </w:rPr>
        <w:t>(3) By site — common sprains involve the ankle (lateral ATFL/CFL, medial deltoid, or high/syndesmotic), knee (medial and lateral collateral, cruciate ligaments), wrist and thumb; common strains involve the hamstrings, calf (gastrocnemius), quadriceps, hip adductors, the lumbar/paraspinal muscles (low-back strain) and the cervical muscles (whiplash-type).</w:t>
      </w:r>
    </w:p>
    <w:p>
      <w:pPr>
        <w:spacing w:before="0" w:after="80"/>
      </w:pPr>
      <w:r>
        <w:rPr>
          <w:rFonts w:ascii="Calibri" w:hAnsi="Calibri"/>
          <w:b w:val="0"/>
          <w:i w:val="0"/>
          <w:color w:val="212121"/>
          <w:sz w:val="21"/>
        </w:rPr>
        <w:t>(4) By timing — acute injuries follow a single sudden overload, whereas overuse (chronic) injuries develop gradually from repetitive load without adequate recovery.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Sudden mechanical overload: A single high-force twist, fall, awkward landing or direct blow stresses a ligament or muscle beyond its tensile limit, tearing fibres.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Eccentric / over-stretch injury: Powerful lengthening contractions (sprinting, sudden deceleration, lifting) overload the muscle–tendon unit and are the classic cause of hamstring and calf strains.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Deconditioning and inadequate warm-up: Weak, cold or fatigued tissue tolerates less load; the “weekend-warrior” pattern of intermittent intense activity on an unconditioned body is high-risk.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Impaired proprioception and prior injury: Poor balance, neuromuscular deficits and a history of previous sprain leave the joint unable to protect itself, strongly predisposing to re-injury.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Ligamentous laxity / joint hypermobility: Constitutional or heritable laxity (hypermobility spectrum, Ehlers–Danlos) allows excessive joint motion and repeated sprains.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Extrinsic environmental factors: Improper or unsupportive footwear, uneven or slippery (wet, monsoon) surfaces and inadequate protective equipment provoke missteps and falls.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Biomechanical malalignment: Flat foot (pes planus), muscle imbalance and poor lifting posture concentrate abnormal load on specific ligaments and muscle groups.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(adolescents &amp; young adults, 15–35 y)</w:t>
            </w:r>
          </w:p>
        </w:tc>
        <w:tc>
          <w:tcPr>
            <w:tcW w:type="dxa" w:w="4276"/>
            <w:vAlign w:val="top"/>
          </w:tcPr>
          <w:p>
            <w:pPr>
              <w:spacing w:after="60" w:line="259" w:lineRule="auto"/>
            </w:pPr>
            <w:r>
              <w:rPr>
                <w:rFonts w:ascii="Calibri" w:hAnsi="Calibri"/>
                <w:b w:val="0"/>
                <w:i w:val="0"/>
                <w:color w:val="212121"/>
                <w:sz w:val="19"/>
              </w:rPr>
              <w:t>Highest exposure to sport, occupational load and risk-taking activity coincides with peak participation, so acute ligament and muscle injuries cluster in this band.</w:t>
            </w:r>
          </w:p>
          <w:p>
            <w:pPr>
              <w:spacing w:after="40" w:before="60" w:line="259" w:lineRule="auto"/>
            </w:pPr>
            <w:r>
              <w:rPr>
                <w:rFonts w:ascii="Calibri" w:hAnsi="Calibri"/>
                <w:b w:val="0"/>
                <w:i w:val="0"/>
                <w:color w:val="212121"/>
                <w:sz w:val="19"/>
              </w:rPr>
              <w:t>Ankle sprain incidence is highest between 15 and 35 years of age, with roughly 2 million acute ankle sprains treated per year in the US.</w:t>
            </w:r>
          </w:p>
          <w:p>
            <w:pPr>
              <w:spacing w:after="40" w:line="252" w:lineRule="auto"/>
            </w:pPr>
            <w:hyperlink r:id="rId9">
              <w:r>
                <w:rPr>
                  <w:rFonts w:ascii="Calibri" w:hAnsi="Calibri" w:cs="Calibri"/>
                  <w:sz w:val="18"/>
                  <w:color w:val="1155CC"/>
                  <w:u w:val="single"/>
                </w:rPr>
                <w:t xml:space="preserve">ncbi.nlm.nih.gov — StatPearls: Ankle Sprain</w:t>
              </w:r>
            </w:hyperlink>
          </w:p>
          <w:p>
            <w:pPr>
              <w:spacing w:before="60" w:after="40"/>
            </w:pPr>
            <w:r>
              <w:rPr>
                <w:rFonts w:ascii="Calibri" w:hAnsi="Calibri"/>
                <w:b w:val="0"/>
                <w:i w:val="0"/>
                <w:color w:val="5A5A5A"/>
                <w:sz w:val="18"/>
              </w:rPr>
              <w:t>#sportsinjury  #youngadults  #anklesprain  #peakage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Age-related loss of muscle mass, balance, proprioception and tendon elasticity, plus polypharmacy and falls, means even low-energy trips cause sprains/strains and heal more slowly.</w:t>
            </w:r>
          </w:p>
          <w:p>
            <w:pPr>
              <w:spacing w:after="40" w:before="60" w:line="259" w:lineRule="auto"/>
            </w:pPr>
            <w:r>
              <w:rPr>
                <w:rFonts w:ascii="Calibri" w:hAnsi="Calibri"/>
                <w:b w:val="0"/>
                <w:i w:val="0"/>
                <w:color w:val="212121"/>
                <w:sz w:val="19"/>
              </w:rPr>
              <w:t>Falls and reduced neuromuscular control make older adults prone to injury and to slower, less complete soft-tissue healing.</w:t>
            </w:r>
          </w:p>
          <w:p>
            <w:pPr>
              <w:spacing w:before="60" w:after="40"/>
            </w:pPr>
            <w:r>
              <w:rPr>
                <w:rFonts w:ascii="Calibri" w:hAnsi="Calibri"/>
                <w:b w:val="0"/>
                <w:i w:val="0"/>
                <w:color w:val="5A5A5A"/>
                <w:sz w:val="18"/>
              </w:rPr>
              <w:t>#ageing  #falls  #sarcopenia  #balance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w:t>
            </w:r>
          </w:p>
        </w:tc>
        <w:tc>
          <w:tcPr>
            <w:tcW w:type="dxa" w:w="4276"/>
            <w:vAlign w:val="top"/>
          </w:tcPr>
          <w:p>
            <w:pPr>
              <w:spacing w:after="60" w:line="259" w:lineRule="auto"/>
            </w:pPr>
            <w:r>
              <w:rPr>
                <w:rFonts w:ascii="Calibri" w:hAnsi="Calibri"/>
                <w:b w:val="0"/>
                <w:i w:val="0"/>
                <w:color w:val="212121"/>
                <w:sz w:val="19"/>
              </w:rPr>
              <w:t>Greater participation in contact and high-intensity sport and in heavy manual labour raises exposure to acute overload injuries in men.</w:t>
            </w:r>
          </w:p>
          <w:p>
            <w:pPr>
              <w:spacing w:after="40" w:before="60" w:line="259" w:lineRule="auto"/>
            </w:pPr>
            <w:r>
              <w:rPr>
                <w:rFonts w:ascii="Calibri" w:hAnsi="Calibri"/>
                <w:b w:val="0"/>
                <w:i w:val="0"/>
                <w:color w:val="212121"/>
                <w:sz w:val="19"/>
              </w:rPr>
              <w:t>Indian men report higher physical-activity and sport participation than women, increasing exposure to sport- and work-related injury.</w:t>
            </w:r>
          </w:p>
          <w:p>
            <w:pPr>
              <w:spacing w:after="40" w:line="252" w:lineRule="auto"/>
            </w:pPr>
            <w:hyperlink r:id="rId10">
              <w:r>
                <w:rPr>
                  <w:rFonts w:ascii="Calibri" w:hAnsi="Calibri" w:cs="Calibri"/>
                  <w:sz w:val="18"/>
                  <w:color w:val="1155CC"/>
                  <w:u w:val="single"/>
                </w:rPr>
                <w:t xml:space="preserve">ijbnpa.biomedcentral.com — ICMR-INDIAB physical activity</w:t>
              </w:r>
            </w:hyperlink>
          </w:p>
          <w:p>
            <w:pPr>
              <w:spacing w:before="60" w:after="40"/>
            </w:pPr>
            <w:r>
              <w:rPr>
                <w:rFonts w:ascii="Calibri" w:hAnsi="Calibri"/>
                <w:b w:val="0"/>
                <w:i w:val="0"/>
                <w:color w:val="5A5A5A"/>
                <w:sz w:val="18"/>
              </w:rPr>
              <w:t>#males  #contactsport  #manuallabour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Greater constitutional ligamentous laxity and joint hypermobility, and higher rates in activities such as dance and netball, raise ankle-sprain susceptibility in women.</w:t>
            </w:r>
          </w:p>
          <w:p>
            <w:pPr>
              <w:spacing w:after="40" w:before="60" w:line="259" w:lineRule="auto"/>
            </w:pPr>
            <w:r>
              <w:rPr>
                <w:rFonts w:ascii="Calibri" w:hAnsi="Calibri"/>
                <w:b w:val="0"/>
                <w:i w:val="0"/>
                <w:color w:val="212121"/>
                <w:sz w:val="19"/>
              </w:rPr>
              <w:t>Constitutional joint hypermobility and laxity are more common in females and predispose to recurrent sprains.</w:t>
            </w:r>
          </w:p>
          <w:p>
            <w:pPr>
              <w:spacing w:before="60" w:after="40"/>
            </w:pPr>
            <w:r>
              <w:rPr>
                <w:rFonts w:ascii="Calibri" w:hAnsi="Calibri"/>
                <w:b w:val="0"/>
                <w:i w:val="0"/>
                <w:color w:val="5A5A5A"/>
                <w:sz w:val="18"/>
              </w:rPr>
              <w:t>#females  #hypermobility  #laxity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&amp; informal-sector workers</w:t>
            </w:r>
          </w:p>
        </w:tc>
        <w:tc>
          <w:tcPr>
            <w:tcW w:type="dxa" w:w="4276"/>
            <w:vAlign w:val="top"/>
          </w:tcPr>
          <w:p>
            <w:pPr>
              <w:spacing w:after="60" w:line="259" w:lineRule="auto"/>
            </w:pPr>
            <w:r>
              <w:rPr>
                <w:rFonts w:ascii="Calibri" w:hAnsi="Calibri"/>
                <w:b w:val="0"/>
                <w:i w:val="0"/>
                <w:color w:val="212121"/>
                <w:sz w:val="19"/>
              </w:rPr>
              <w:t>Heavy lifting, awkward and sustained postures, load-carrying and lack of ergonomic support drive lumbar and limb strains, often under-reported and self-treated.</w:t>
            </w:r>
          </w:p>
          <w:p>
            <w:pPr>
              <w:spacing w:after="40" w:before="60" w:line="259" w:lineRule="auto"/>
            </w:pPr>
            <w:r>
              <w:rPr>
                <w:rFonts w:ascii="Calibri" w:hAnsi="Calibri"/>
                <w:b w:val="0"/>
                <w:i w:val="0"/>
                <w:color w:val="212121"/>
                <w:sz w:val="19"/>
              </w:rPr>
              <w:t>Occupational lifting and awkward postures are leading causes of low-back and limb muscle strain.</w:t>
            </w:r>
          </w:p>
          <w:p>
            <w:pPr>
              <w:spacing w:before="60" w:after="40"/>
            </w:pPr>
            <w:r>
              <w:rPr>
                <w:rFonts w:ascii="Calibri" w:hAnsi="Calibri"/>
                <w:b w:val="0"/>
                <w:i w:val="0"/>
                <w:color w:val="5A5A5A"/>
                <w:sz w:val="18"/>
              </w:rPr>
              <w:t>#occupational  #lowbackstrain  #manualwork  #informalsector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terrain</w:t>
            </w:r>
          </w:p>
        </w:tc>
        <w:tc>
          <w:tcPr>
            <w:tcW w:type="dxa" w:w="2160"/>
            <w:vAlign w:val="top"/>
          </w:tcPr>
          <w:p>
            <w:pPr>
              <w:spacing w:after="40" w:before="0" w:line="259" w:lineRule="auto"/>
            </w:pPr>
            <w:r>
              <w:rPr>
                <w:rFonts w:ascii="Calibri" w:hAnsi="Calibri"/>
                <w:b w:val="0"/>
                <w:i w:val="0"/>
                <w:color w:val="212121"/>
                <w:sz w:val="19"/>
              </w:rPr>
              <w:t>Indian populations on uneven terrain &amp; flat footwear</w:t>
            </w:r>
          </w:p>
        </w:tc>
        <w:tc>
          <w:tcPr>
            <w:tcW w:type="dxa" w:w="4276"/>
            <w:vAlign w:val="top"/>
          </w:tcPr>
          <w:p>
            <w:pPr>
              <w:spacing w:after="60" w:line="259" w:lineRule="auto"/>
            </w:pPr>
            <w:r>
              <w:rPr>
                <w:rFonts w:ascii="Calibri" w:hAnsi="Calibri"/>
                <w:b w:val="0"/>
                <w:i w:val="0"/>
                <w:color w:val="212121"/>
                <w:sz w:val="19"/>
              </w:rPr>
              <w:t>Widespread use of flat, backless footwear (chappals) on uneven, unpaved and monsoon-wet surfaces, together with floor-level living and squatting, increases mis-steps and ankle inversion.</w:t>
            </w:r>
          </w:p>
          <w:p>
            <w:pPr>
              <w:spacing w:after="40" w:before="60" w:line="259" w:lineRule="auto"/>
            </w:pPr>
            <w:r>
              <w:rPr>
                <w:rFonts w:ascii="Calibri" w:hAnsi="Calibri"/>
                <w:b w:val="0"/>
                <w:i w:val="0"/>
                <w:color w:val="212121"/>
                <w:sz w:val="19"/>
              </w:rPr>
              <w:t>The WHO South-East Asia Region accounts for about 369 million of the 1.71 billion people living with musculoskeletal conditions.</w:t>
            </w:r>
          </w:p>
          <w:p>
            <w:pPr>
              <w:spacing w:after="40" w:line="252" w:lineRule="auto"/>
            </w:pPr>
            <w:hyperlink r:id="rId11">
              <w:r>
                <w:rPr>
                  <w:rFonts w:ascii="Calibri" w:hAnsi="Calibri" w:cs="Calibri"/>
                  <w:sz w:val="18"/>
                  <w:color w:val="1155CC"/>
                  <w:u w:val="single"/>
                </w:rPr>
                <w:t xml:space="preserve">who.int — musculoskeletal conditions</w:t>
              </w:r>
            </w:hyperlink>
          </w:p>
          <w:p>
            <w:pPr>
              <w:spacing w:before="60" w:after="40"/>
            </w:pPr>
            <w:r>
              <w:rPr>
                <w:rFonts w:ascii="Calibri" w:hAnsi="Calibri"/>
                <w:b w:val="0"/>
                <w:i w:val="0"/>
                <w:color w:val="5A5A5A"/>
                <w:sz w:val="18"/>
              </w:rPr>
              <w:t>#india  #footwear  #uneventerrain  #monsoon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w:t>
            </w:r>
          </w:p>
        </w:tc>
        <w:tc>
          <w:tcPr>
            <w:tcW w:type="dxa" w:w="2160"/>
            <w:vAlign w:val="top"/>
          </w:tcPr>
          <w:p>
            <w:pPr>
              <w:spacing w:after="40" w:before="0" w:line="259" w:lineRule="auto"/>
            </w:pPr>
            <w:r>
              <w:rPr>
                <w:rFonts w:ascii="Calibri" w:hAnsi="Calibri"/>
                <w:b w:val="0"/>
                <w:i w:val="0"/>
                <w:color w:val="212121"/>
                <w:sz w:val="19"/>
              </w:rPr>
              <w:t>Urban sedentary residents</w:t>
            </w:r>
          </w:p>
        </w:tc>
        <w:tc>
          <w:tcPr>
            <w:tcW w:type="dxa" w:w="4276"/>
            <w:vAlign w:val="top"/>
          </w:tcPr>
          <w:p>
            <w:pPr>
              <w:spacing w:after="60" w:line="259" w:lineRule="auto"/>
            </w:pPr>
            <w:r>
              <w:rPr>
                <w:rFonts w:ascii="Calibri" w:hAnsi="Calibri"/>
                <w:b w:val="0"/>
                <w:i w:val="0"/>
                <w:color w:val="212121"/>
                <w:sz w:val="19"/>
              </w:rPr>
              <w:t>Urban living pairs low baseline conditioning with episodic bursts of unaccustomed activity, a pattern that overloads deconditioned muscles and ligaments.</w:t>
            </w:r>
          </w:p>
          <w:p>
            <w:pPr>
              <w:spacing w:after="40" w:before="60" w:line="259" w:lineRule="auto"/>
            </w:pPr>
            <w:r>
              <w:rPr>
                <w:rFonts w:ascii="Calibri" w:hAnsi="Calibri"/>
                <w:b w:val="0"/>
                <w:i w:val="0"/>
                <w:color w:val="212121"/>
                <w:sz w:val="19"/>
              </w:rPr>
              <w:t>Physical inactivity in India is markedly higher in urban than rural areas (about 65% vs 50%).</w:t>
            </w:r>
          </w:p>
          <w:p>
            <w:pPr>
              <w:spacing w:after="40" w:line="252" w:lineRule="auto"/>
            </w:pPr>
            <w:hyperlink r:id="rId10">
              <w:r>
                <w:rPr>
                  <w:rFonts w:ascii="Calibri" w:hAnsi="Calibri" w:cs="Calibri"/>
                  <w:sz w:val="18"/>
                  <w:color w:val="1155CC"/>
                  <w:u w:val="single"/>
                </w:rPr>
                <w:t xml:space="preserve">ijbnpa.biomedcentral.com — ICMR-INDIAB physical activity</w:t>
              </w:r>
            </w:hyperlink>
          </w:p>
          <w:p>
            <w:pPr>
              <w:spacing w:before="60" w:after="40"/>
            </w:pPr>
            <w:r>
              <w:rPr>
                <w:rFonts w:ascii="Calibri" w:hAnsi="Calibri"/>
                <w:b w:val="0"/>
                <w:i w:val="0"/>
                <w:color w:val="5A5A5A"/>
                <w:sz w:val="18"/>
              </w:rPr>
              <w:t>#urban  #sedentary  #deconditioning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weekend warrior</w:t>
            </w:r>
          </w:p>
        </w:tc>
        <w:tc>
          <w:tcPr>
            <w:tcW w:type="dxa" w:w="2160"/>
            <w:vAlign w:val="top"/>
          </w:tcPr>
          <w:p>
            <w:pPr>
              <w:spacing w:after="40" w:before="0" w:line="259" w:lineRule="auto"/>
            </w:pPr>
            <w:r>
              <w:rPr>
                <w:rFonts w:ascii="Calibri" w:hAnsi="Calibri"/>
                <w:b w:val="0"/>
                <w:i w:val="0"/>
                <w:color w:val="212121"/>
                <w:sz w:val="19"/>
              </w:rPr>
              <w:t>Deconditioned adults, office workers</w:t>
            </w:r>
          </w:p>
        </w:tc>
        <w:tc>
          <w:tcPr>
            <w:tcW w:type="dxa" w:w="4276"/>
            <w:vAlign w:val="top"/>
          </w:tcPr>
          <w:p>
            <w:pPr>
              <w:spacing w:after="60" w:line="259" w:lineRule="auto"/>
            </w:pPr>
            <w:r>
              <w:rPr>
                <w:rFonts w:ascii="Calibri" w:hAnsi="Calibri"/>
                <w:b w:val="0"/>
                <w:i w:val="0"/>
                <w:color w:val="212121"/>
                <w:sz w:val="19"/>
              </w:rPr>
              <w:t>Chronically inactive muscles are weak with poor proprioception; sudden intense weekend activity then overloads unprepared tissue, a classic mechanism for sprains and strains.</w:t>
            </w:r>
          </w:p>
          <w:p>
            <w:pPr>
              <w:spacing w:after="40" w:before="60" w:line="259" w:lineRule="auto"/>
            </w:pPr>
            <w:r>
              <w:rPr>
                <w:rFonts w:ascii="Calibri" w:hAnsi="Calibri"/>
                <w:b w:val="0"/>
                <w:i w:val="0"/>
                <w:color w:val="212121"/>
                <w:sz w:val="19"/>
              </w:rPr>
              <w:t>ICMR-INDIAB found 54.4% of Indian adults are physically inactive and over 91% do no recreational activity, leaving tissues deconditioned.</w:t>
            </w:r>
          </w:p>
          <w:p>
            <w:pPr>
              <w:spacing w:after="40" w:line="252" w:lineRule="auto"/>
            </w:pPr>
            <w:hyperlink r:id="rId10">
              <w:r>
                <w:rPr>
                  <w:rFonts w:ascii="Calibri" w:hAnsi="Calibri" w:cs="Calibri"/>
                  <w:sz w:val="18"/>
                  <w:color w:val="1155CC"/>
                  <w:u w:val="single"/>
                </w:rPr>
                <w:t xml:space="preserve">ijbnpa.biomedcentral.com — ICMR-INDIAB physical activity</w:t>
              </w:r>
            </w:hyperlink>
          </w:p>
          <w:p>
            <w:pPr>
              <w:spacing w:before="60" w:after="40"/>
            </w:pPr>
            <w:r>
              <w:rPr>
                <w:rFonts w:ascii="Calibri" w:hAnsi="Calibri"/>
                <w:b w:val="0"/>
                <w:i w:val="0"/>
                <w:color w:val="5A5A5A"/>
                <w:sz w:val="18"/>
              </w:rPr>
              <w:t>#weekendwarrior  #inactivity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Athletes / sports participants</w:t>
            </w:r>
          </w:p>
        </w:tc>
        <w:tc>
          <w:tcPr>
            <w:tcW w:type="dxa" w:w="2160"/>
            <w:vAlign w:val="top"/>
          </w:tcPr>
          <w:p>
            <w:pPr>
              <w:spacing w:after="40" w:before="0" w:line="259" w:lineRule="auto"/>
            </w:pPr>
            <w:r>
              <w:rPr>
                <w:rFonts w:ascii="Calibri" w:hAnsi="Calibri"/>
                <w:b w:val="0"/>
                <w:i w:val="0"/>
                <w:color w:val="212121"/>
                <w:sz w:val="19"/>
              </w:rPr>
              <w:t>Basketball, football, kabaddi, badminton players</w:t>
            </w:r>
          </w:p>
        </w:tc>
        <w:tc>
          <w:tcPr>
            <w:tcW w:type="dxa" w:w="4276"/>
            <w:vAlign w:val="top"/>
          </w:tcPr>
          <w:p>
            <w:pPr>
              <w:spacing w:after="60" w:line="259" w:lineRule="auto"/>
            </w:pPr>
            <w:r>
              <w:rPr>
                <w:rFonts w:ascii="Calibri" w:hAnsi="Calibri"/>
                <w:b w:val="0"/>
                <w:i w:val="0"/>
                <w:color w:val="212121"/>
                <w:sz w:val="19"/>
              </w:rPr>
              <w:t>Jumping, cutting, pivoting and rapid deceleration expose the lateral ankle ligaments and two-joint muscles to repeated high loads and landing on others' feet.</w:t>
            </w:r>
          </w:p>
          <w:p>
            <w:pPr>
              <w:spacing w:after="40" w:before="60" w:line="259" w:lineRule="auto"/>
            </w:pPr>
            <w:r>
              <w:rPr>
                <w:rFonts w:ascii="Calibri" w:hAnsi="Calibri"/>
                <w:b w:val="0"/>
                <w:i w:val="0"/>
                <w:color w:val="212121"/>
                <w:sz w:val="19"/>
              </w:rPr>
              <w:t>Basketball carries the highest ankle-sprain risk (about 7 per 1,000 exposures), and first-time lateral ankle sprains recur in up to ~70%.</w:t>
            </w:r>
          </w:p>
          <w:p>
            <w:pPr>
              <w:spacing w:after="40" w:line="252" w:lineRule="auto"/>
            </w:pPr>
            <w:hyperlink r:id="rId12">
              <w:r>
                <w:rPr>
                  <w:rFonts w:ascii="Calibri" w:hAnsi="Calibri" w:cs="Calibri"/>
                  <w:sz w:val="18"/>
                  <w:color w:val="1155CC"/>
                  <w:u w:val="single"/>
                </w:rPr>
                <w:t xml:space="preserve">physio-pedia.com — Ankle Sprain</w:t>
              </w:r>
            </w:hyperlink>
          </w:p>
          <w:p>
            <w:pPr>
              <w:spacing w:before="60" w:after="40"/>
            </w:pPr>
            <w:r>
              <w:rPr>
                <w:rFonts w:ascii="Calibri" w:hAnsi="Calibri"/>
                <w:b w:val="0"/>
                <w:i w:val="0"/>
                <w:color w:val="5A5A5A"/>
                <w:sz w:val="18"/>
              </w:rPr>
              <w:t>#athletes  #jumpingsports  #kabaddi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Nicotine-induced vasoconstriction and impaired collagen synthesis slow ligament and tendon healing and are linked to poorer soft-tissue and fracture recovery.</w:t>
            </w:r>
          </w:p>
          <w:p>
            <w:pPr>
              <w:spacing w:after="40" w:before="60" w:line="259" w:lineRule="auto"/>
            </w:pPr>
            <w:r>
              <w:rPr>
                <w:rFonts w:ascii="Calibri" w:hAnsi="Calibri"/>
                <w:b w:val="0"/>
                <w:i w:val="0"/>
                <w:color w:val="212121"/>
                <w:sz w:val="19"/>
              </w:rPr>
              <w:t>Smoking impairs microcirculation and collagen repair, delaying soft-tissue healing.</w:t>
            </w:r>
          </w:p>
          <w:p>
            <w:pPr>
              <w:spacing w:before="60" w:after="40"/>
            </w:pPr>
            <w:r>
              <w:rPr>
                <w:rFonts w:ascii="Calibri" w:hAnsi="Calibri"/>
                <w:b w:val="0"/>
                <w:i w:val="0"/>
                <w:color w:val="5A5A5A"/>
                <w:sz w:val="18"/>
              </w:rPr>
              <w:t>#smoking  #delayedhealing  #collagen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Intoxication impairs balance, reaction time and judgement, causing falls and awkward loading, and also blunts inflammatory-repair processes.</w:t>
            </w:r>
          </w:p>
          <w:p>
            <w:pPr>
              <w:spacing w:after="40" w:before="60" w:line="259" w:lineRule="auto"/>
            </w:pPr>
            <w:r>
              <w:rPr>
                <w:rFonts w:ascii="Calibri" w:hAnsi="Calibri"/>
                <w:b w:val="0"/>
                <w:i w:val="0"/>
                <w:color w:val="212121"/>
                <w:sz w:val="19"/>
              </w:rPr>
              <w:t>Alcohol-related impaired coordination increases falls and acute injury risk.</w:t>
            </w:r>
          </w:p>
          <w:p>
            <w:pPr>
              <w:spacing w:before="60" w:after="40"/>
            </w:pPr>
            <w:r>
              <w:rPr>
                <w:rFonts w:ascii="Calibri" w:hAnsi="Calibri"/>
                <w:b w:val="0"/>
                <w:i w:val="0"/>
                <w:color w:val="5A5A5A"/>
                <w:sz w:val="18"/>
              </w:rPr>
              <w:t>#alcohol  #falls  #coordination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High-BMI adults</w:t>
            </w:r>
          </w:p>
        </w:tc>
        <w:tc>
          <w:tcPr>
            <w:tcW w:type="dxa" w:w="4276"/>
            <w:vAlign w:val="top"/>
          </w:tcPr>
          <w:p>
            <w:pPr>
              <w:spacing w:after="60" w:line="259" w:lineRule="auto"/>
            </w:pPr>
            <w:r>
              <w:rPr>
                <w:rFonts w:ascii="Calibri" w:hAnsi="Calibri"/>
                <w:b w:val="0"/>
                <w:i w:val="0"/>
                <w:color w:val="212121"/>
                <w:sz w:val="19"/>
              </w:rPr>
              <w:t>Excess body mass raises joint load and alters gait and balance, increasing ankle-sprain risk and prolonging recovery.</w:t>
            </w:r>
          </w:p>
          <w:p>
            <w:pPr>
              <w:spacing w:after="40" w:before="60" w:line="259" w:lineRule="auto"/>
            </w:pPr>
            <w:r>
              <w:rPr>
                <w:rFonts w:ascii="Calibri" w:hAnsi="Calibri"/>
                <w:b w:val="0"/>
                <w:i w:val="0"/>
                <w:color w:val="212121"/>
                <w:sz w:val="19"/>
              </w:rPr>
              <w:t>Higher body mass increases mechanical joint load and is associated with greater sprain risk and slower recovery.</w:t>
            </w:r>
          </w:p>
          <w:p>
            <w:pPr>
              <w:spacing w:before="60" w:after="40"/>
            </w:pPr>
            <w:r>
              <w:rPr>
                <w:rFonts w:ascii="Calibri" w:hAnsi="Calibri"/>
                <w:b w:val="0"/>
                <w:i w:val="0"/>
                <w:color w:val="5A5A5A"/>
                <w:sz w:val="18"/>
              </w:rPr>
              <w:t>#obesity  #jointload  #biomechanics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 protein status</w:t>
            </w:r>
          </w:p>
        </w:tc>
        <w:tc>
          <w:tcPr>
            <w:tcW w:type="dxa" w:w="2160"/>
            <w:vAlign w:val="top"/>
          </w:tcPr>
          <w:p>
            <w:pPr>
              <w:spacing w:after="40" w:before="0" w:line="259" w:lineRule="auto"/>
            </w:pPr>
            <w:r>
              <w:rPr>
                <w:rFonts w:ascii="Calibri" w:hAnsi="Calibri"/>
                <w:b w:val="0"/>
                <w:i w:val="0"/>
                <w:color w:val="212121"/>
                <w:sz w:val="19"/>
              </w:rPr>
              <w:t>Low vitamin-D, calcium or protein intake</w:t>
            </w:r>
          </w:p>
        </w:tc>
        <w:tc>
          <w:tcPr>
            <w:tcW w:type="dxa" w:w="4276"/>
            <w:vAlign w:val="top"/>
          </w:tcPr>
          <w:p>
            <w:pPr>
              <w:spacing w:after="60" w:line="259" w:lineRule="auto"/>
            </w:pPr>
            <w:r>
              <w:rPr>
                <w:rFonts w:ascii="Calibri" w:hAnsi="Calibri"/>
                <w:b w:val="0"/>
                <w:i w:val="0"/>
                <w:color w:val="212121"/>
                <w:sz w:val="19"/>
              </w:rPr>
              <w:t>Vitamin-D and protein adequacy underpin muscle strength and connective-tissue repair; deficiency, widespread in India, weakens muscle function and slows healing.</w:t>
            </w:r>
          </w:p>
          <w:p>
            <w:pPr>
              <w:spacing w:after="40" w:before="60" w:line="259" w:lineRule="auto"/>
            </w:pPr>
            <w:r>
              <w:rPr>
                <w:rFonts w:ascii="Calibri" w:hAnsi="Calibri"/>
                <w:b w:val="0"/>
                <w:i w:val="0"/>
                <w:color w:val="212121"/>
                <w:sz w:val="19"/>
              </w:rPr>
              <w:t>Inadequate vitamin-D and protein intake impairs muscle strength and tissue repair.</w:t>
            </w:r>
          </w:p>
          <w:p>
            <w:pPr>
              <w:spacing w:before="60" w:after="40"/>
            </w:pPr>
            <w:r>
              <w:rPr>
                <w:rFonts w:ascii="Calibri" w:hAnsi="Calibri"/>
                <w:b w:val="0"/>
                <w:i w:val="0"/>
                <w:color w:val="5A5A5A"/>
                <w:sz w:val="18"/>
              </w:rPr>
              <w:t>#vitamind  #protein  #recovery  #nutrition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 / electrolytes</w:t>
            </w:r>
          </w:p>
        </w:tc>
        <w:tc>
          <w:tcPr>
            <w:tcW w:type="dxa" w:w="2160"/>
            <w:vAlign w:val="top"/>
          </w:tcPr>
          <w:p>
            <w:pPr>
              <w:spacing w:after="40" w:before="0" w:line="259" w:lineRule="auto"/>
            </w:pPr>
            <w:r>
              <w:rPr>
                <w:rFonts w:ascii="Calibri" w:hAnsi="Calibri"/>
                <w:b w:val="0"/>
                <w:i w:val="0"/>
                <w:color w:val="212121"/>
                <w:sz w:val="19"/>
              </w:rPr>
              <w:t>Dehydrated &amp; heat-exposed workers/athletes</w:t>
            </w:r>
          </w:p>
        </w:tc>
        <w:tc>
          <w:tcPr>
            <w:tcW w:type="dxa" w:w="4276"/>
            <w:vAlign w:val="top"/>
          </w:tcPr>
          <w:p>
            <w:pPr>
              <w:spacing w:after="60" w:line="259" w:lineRule="auto"/>
            </w:pPr>
            <w:r>
              <w:rPr>
                <w:rFonts w:ascii="Calibri" w:hAnsi="Calibri"/>
                <w:b w:val="0"/>
                <w:i w:val="0"/>
                <w:color w:val="212121"/>
                <w:sz w:val="19"/>
              </w:rPr>
              <w:t>Dehydration and electrolyte loss predispose to muscle cramps and strains, particularly during exertion in India's hot, humid climate.</w:t>
            </w:r>
          </w:p>
          <w:p>
            <w:pPr>
              <w:spacing w:after="40" w:before="60" w:line="259" w:lineRule="auto"/>
            </w:pPr>
            <w:r>
              <w:rPr>
                <w:rFonts w:ascii="Calibri" w:hAnsi="Calibri"/>
                <w:b w:val="0"/>
                <w:i w:val="0"/>
                <w:color w:val="212121"/>
                <w:sz w:val="19"/>
              </w:rPr>
              <w:t>Dehydration and electrolyte imbalance increase susceptibility to muscle cramp and strain.</w:t>
            </w:r>
          </w:p>
          <w:p>
            <w:pPr>
              <w:spacing w:before="60" w:after="40"/>
            </w:pPr>
            <w:r>
              <w:rPr>
                <w:rFonts w:ascii="Calibri" w:hAnsi="Calibri"/>
                <w:b w:val="0"/>
                <w:i w:val="0"/>
                <w:color w:val="5A5A5A"/>
                <w:sz w:val="18"/>
              </w:rPr>
              <w:t>#hydration  #cramps  #heat  #electrolytes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hypermobility</w:t>
            </w:r>
          </w:p>
        </w:tc>
        <w:tc>
          <w:tcPr>
            <w:tcW w:type="dxa" w:w="2160"/>
            <w:vAlign w:val="top"/>
          </w:tcPr>
          <w:p>
            <w:pPr>
              <w:spacing w:after="40" w:before="0" w:line="259" w:lineRule="auto"/>
            </w:pPr>
            <w:r>
              <w:rPr>
                <w:rFonts w:ascii="Calibri" w:hAnsi="Calibri"/>
                <w:b w:val="0"/>
                <w:i w:val="0"/>
                <w:color w:val="212121"/>
                <w:sz w:val="19"/>
              </w:rPr>
              <w:t>Joint hypermobility &amp; Ehlers–Danlos spectrum</w:t>
            </w:r>
          </w:p>
        </w:tc>
        <w:tc>
          <w:tcPr>
            <w:tcW w:type="dxa" w:w="4276"/>
            <w:vAlign w:val="top"/>
          </w:tcPr>
          <w:p>
            <w:pPr>
              <w:spacing w:after="60" w:line="259" w:lineRule="auto"/>
            </w:pPr>
            <w:r>
              <w:rPr>
                <w:rFonts w:ascii="Calibri" w:hAnsi="Calibri"/>
                <w:b w:val="0"/>
                <w:i w:val="0"/>
                <w:color w:val="212121"/>
                <w:sz w:val="19"/>
              </w:rPr>
              <w:t>Heritable collagen/ligament laxity allows joints to move beyond normal limits, causing recurrent sprains and easy soft-tissue injury.</w:t>
            </w:r>
          </w:p>
          <w:p>
            <w:pPr>
              <w:spacing w:after="40" w:before="60" w:line="259" w:lineRule="auto"/>
            </w:pPr>
            <w:r>
              <w:rPr>
                <w:rFonts w:ascii="Calibri" w:hAnsi="Calibri"/>
                <w:b w:val="0"/>
                <w:i w:val="0"/>
                <w:color w:val="212121"/>
                <w:sz w:val="19"/>
              </w:rPr>
              <w:t>Generalised joint hypermobility and ligamentous laxity strongly predispose to recurrent sprains.</w:t>
            </w:r>
          </w:p>
          <w:p>
            <w:pPr>
              <w:spacing w:before="60" w:after="40"/>
            </w:pPr>
            <w:r>
              <w:rPr>
                <w:rFonts w:ascii="Calibri" w:hAnsi="Calibri"/>
                <w:b w:val="0"/>
                <w:i w:val="0"/>
                <w:color w:val="5A5A5A"/>
                <w:sz w:val="18"/>
              </w:rPr>
              <w:t>#hypermobility  #EhlersDanlos  #laxity  #familyhistory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Foot / limb alignment</w:t>
            </w:r>
          </w:p>
        </w:tc>
        <w:tc>
          <w:tcPr>
            <w:tcW w:type="dxa" w:w="2160"/>
            <w:vAlign w:val="top"/>
          </w:tcPr>
          <w:p>
            <w:pPr>
              <w:spacing w:after="40" w:before="0" w:line="259" w:lineRule="auto"/>
            </w:pPr>
            <w:r>
              <w:rPr>
                <w:rFonts w:ascii="Calibri" w:hAnsi="Calibri"/>
                <w:b w:val="0"/>
                <w:i w:val="0"/>
                <w:color w:val="212121"/>
                <w:sz w:val="19"/>
              </w:rPr>
              <w:t>Pes planus (flat foot) &amp; malalignment</w:t>
            </w:r>
          </w:p>
        </w:tc>
        <w:tc>
          <w:tcPr>
            <w:tcW w:type="dxa" w:w="4276"/>
            <w:vAlign w:val="top"/>
          </w:tcPr>
          <w:p>
            <w:pPr>
              <w:spacing w:after="60" w:line="259" w:lineRule="auto"/>
            </w:pPr>
            <w:r>
              <w:rPr>
                <w:rFonts w:ascii="Calibri" w:hAnsi="Calibri"/>
                <w:b w:val="0"/>
                <w:i w:val="0"/>
                <w:color w:val="212121"/>
                <w:sz w:val="19"/>
              </w:rPr>
              <w:t>Flat foot, cavus foot and lower-limb malalignment shift abnormal load onto specific ligaments and muscle groups, predisposing to sprain and strain.</w:t>
            </w:r>
          </w:p>
          <w:p>
            <w:pPr>
              <w:spacing w:after="40" w:before="60" w:line="259" w:lineRule="auto"/>
            </w:pPr>
            <w:r>
              <w:rPr>
                <w:rFonts w:ascii="Calibri" w:hAnsi="Calibri"/>
                <w:b w:val="0"/>
                <w:i w:val="0"/>
                <w:color w:val="212121"/>
                <w:sz w:val="19"/>
              </w:rPr>
              <w:t>Lower-extremity malalignment is a recognised intrinsic risk factor for ankle sprain.</w:t>
            </w:r>
          </w:p>
          <w:p>
            <w:pPr>
              <w:spacing w:after="40" w:line="252" w:lineRule="auto"/>
            </w:pPr>
            <w:hyperlink r:id="rId9">
              <w:r>
                <w:rPr>
                  <w:rFonts w:ascii="Calibri" w:hAnsi="Calibri" w:cs="Calibri"/>
                  <w:sz w:val="18"/>
                  <w:color w:val="1155CC"/>
                  <w:u w:val="single"/>
                </w:rPr>
                <w:t xml:space="preserve">ncbi.nlm.nih.gov — StatPearls: Ankle Sprain</w:t>
              </w:r>
            </w:hyperlink>
          </w:p>
          <w:p>
            <w:pPr>
              <w:spacing w:before="60" w:after="40"/>
            </w:pPr>
            <w:r>
              <w:rPr>
                <w:rFonts w:ascii="Calibri" w:hAnsi="Calibri"/>
                <w:b w:val="0"/>
                <w:i w:val="0"/>
                <w:color w:val="5A5A5A"/>
                <w:sz w:val="18"/>
              </w:rPr>
              <w:t>#flatfoot  #malalignment  #biomechanics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Previous sprain / instability</w:t>
            </w:r>
          </w:p>
        </w:tc>
        <w:tc>
          <w:tcPr>
            <w:tcW w:type="dxa" w:w="2160"/>
            <w:vAlign w:val="top"/>
          </w:tcPr>
          <w:p>
            <w:pPr>
              <w:spacing w:after="40" w:before="0" w:line="259" w:lineRule="auto"/>
            </w:pPr>
            <w:r>
              <w:rPr>
                <w:rFonts w:ascii="Calibri" w:hAnsi="Calibri"/>
                <w:b w:val="0"/>
                <w:i w:val="0"/>
                <w:color w:val="212121"/>
                <w:sz w:val="19"/>
              </w:rPr>
              <w:t>Patients with prior sprain or chronic ankle instability</w:t>
            </w:r>
          </w:p>
        </w:tc>
        <w:tc>
          <w:tcPr>
            <w:tcW w:type="dxa" w:w="4276"/>
            <w:vAlign w:val="top"/>
          </w:tcPr>
          <w:p>
            <w:pPr>
              <w:spacing w:after="60" w:line="259" w:lineRule="auto"/>
            </w:pPr>
            <w:r>
              <w:rPr>
                <w:rFonts w:ascii="Calibri" w:hAnsi="Calibri"/>
                <w:b w:val="0"/>
                <w:i w:val="0"/>
                <w:color w:val="212121"/>
                <w:sz w:val="19"/>
              </w:rPr>
              <w:t>A healed sprain often leaves residual laxity and proprioceptive deficit; the joint “gives way” and re-injures, and about one in five progress to chronic ankle instability.</w:t>
            </w:r>
          </w:p>
          <w:p>
            <w:pPr>
              <w:spacing w:after="40" w:before="60" w:line="259" w:lineRule="auto"/>
            </w:pPr>
            <w:r>
              <w:rPr>
                <w:rFonts w:ascii="Calibri" w:hAnsi="Calibri"/>
                <w:b w:val="0"/>
                <w:i w:val="0"/>
                <w:color w:val="212121"/>
                <w:sz w:val="19"/>
              </w:rPr>
              <w:t>Around 20% of acute ankle sprains progress to chronic ankle instability, with recurrence up to ~70% after a first lateral sprain.</w:t>
            </w:r>
          </w:p>
          <w:p>
            <w:pPr>
              <w:spacing w:after="40" w:line="252" w:lineRule="auto"/>
            </w:pPr>
            <w:hyperlink r:id="rId13">
              <w:r>
                <w:rPr>
                  <w:rFonts w:ascii="Calibri" w:hAnsi="Calibri" w:cs="Calibri"/>
                  <w:sz w:val="18"/>
                  <w:color w:val="1155CC"/>
                  <w:u w:val="single"/>
                </w:rPr>
                <w:t xml:space="preserve">physio-pedia.com — Chronic Ankle Instability</w:t>
              </w:r>
            </w:hyperlink>
          </w:p>
          <w:p>
            <w:pPr>
              <w:spacing w:before="60" w:after="40"/>
            </w:pPr>
            <w:r>
              <w:rPr>
                <w:rFonts w:ascii="Calibri" w:hAnsi="Calibri"/>
                <w:b w:val="0"/>
                <w:i w:val="0"/>
                <w:color w:val="5A5A5A"/>
                <w:sz w:val="18"/>
              </w:rPr>
              <w:t>#recurrence  #chronicankleinstability  #proprioception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peripheral neuropathy</w:t>
            </w:r>
          </w:p>
        </w:tc>
        <w:tc>
          <w:tcPr>
            <w:tcW w:type="dxa" w:w="2160"/>
            <w:vAlign w:val="top"/>
          </w:tcPr>
          <w:p>
            <w:pPr>
              <w:spacing w:after="40" w:before="0" w:line="259" w:lineRule="auto"/>
            </w:pPr>
            <w:r>
              <w:rPr>
                <w:rFonts w:ascii="Calibri" w:hAnsi="Calibri"/>
                <w:b w:val="0"/>
                <w:i w:val="0"/>
                <w:color w:val="212121"/>
                <w:sz w:val="19"/>
              </w:rPr>
              <w:t>Diabetics &amp; neuropathy patients</w:t>
            </w:r>
          </w:p>
        </w:tc>
        <w:tc>
          <w:tcPr>
            <w:tcW w:type="dxa" w:w="4276"/>
            <w:vAlign w:val="top"/>
          </w:tcPr>
          <w:p>
            <w:pPr>
              <w:spacing w:after="60" w:line="259" w:lineRule="auto"/>
            </w:pPr>
            <w:r>
              <w:rPr>
                <w:rFonts w:ascii="Calibri" w:hAnsi="Calibri"/>
                <w:b w:val="0"/>
                <w:i w:val="0"/>
                <w:color w:val="212121"/>
                <w:sz w:val="19"/>
              </w:rPr>
              <w:t>Impaired proprioception and protective sensation increase mis-steps and sprains, while microvascular disease slows soft-tissue healing.</w:t>
            </w:r>
          </w:p>
          <w:p>
            <w:pPr>
              <w:spacing w:after="40" w:before="60" w:line="259" w:lineRule="auto"/>
            </w:pPr>
            <w:r>
              <w:rPr>
                <w:rFonts w:ascii="Calibri" w:hAnsi="Calibri"/>
                <w:b w:val="0"/>
                <w:i w:val="0"/>
                <w:color w:val="212121"/>
                <w:sz w:val="19"/>
              </w:rPr>
              <w:t>Peripheral neuropathy degrades proprioception and delays healing, raising injury risk.</w:t>
            </w:r>
          </w:p>
          <w:p>
            <w:pPr>
              <w:spacing w:before="60" w:after="40"/>
            </w:pPr>
            <w:r>
              <w:rPr>
                <w:rFonts w:ascii="Calibri" w:hAnsi="Calibri"/>
                <w:b w:val="0"/>
                <w:i w:val="0"/>
                <w:color w:val="5A5A5A"/>
                <w:sz w:val="18"/>
              </w:rPr>
              <w:t>#diabetes  #neuropathy  #proprioception  #delayedhealing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Osteoarthritis</w:t>
            </w:r>
          </w:p>
        </w:tc>
        <w:tc>
          <w:tcPr>
            <w:tcW w:type="dxa" w:w="2160"/>
            <w:vAlign w:val="top"/>
          </w:tcPr>
          <w:p>
            <w:pPr>
              <w:spacing w:after="40" w:before="0" w:line="259" w:lineRule="auto"/>
            </w:pPr>
            <w:r>
              <w:rPr>
                <w:rFonts w:ascii="Calibri" w:hAnsi="Calibri"/>
                <w:b w:val="0"/>
                <w:i w:val="0"/>
                <w:color w:val="212121"/>
                <w:sz w:val="19"/>
              </w:rPr>
              <w:t>Patients with joint degeneration</w:t>
            </w:r>
          </w:p>
        </w:tc>
        <w:tc>
          <w:tcPr>
            <w:tcW w:type="dxa" w:w="4276"/>
            <w:vAlign w:val="top"/>
          </w:tcPr>
          <w:p>
            <w:pPr>
              <w:spacing w:after="60" w:line="259" w:lineRule="auto"/>
            </w:pPr>
            <w:r>
              <w:rPr>
                <w:rFonts w:ascii="Calibri" w:hAnsi="Calibri"/>
                <w:b w:val="0"/>
                <w:i w:val="0"/>
                <w:color w:val="212121"/>
                <w:sz w:val="19"/>
              </w:rPr>
              <w:t>Prior severe or repeated sprains damage cartilage and destabilise the joint, predisposing to post-traumatic osteoarthritis; degenerate joints are in turn easier to injure.</w:t>
            </w:r>
          </w:p>
          <w:p>
            <w:pPr>
              <w:spacing w:after="40" w:before="60" w:line="259" w:lineRule="auto"/>
            </w:pPr>
            <w:r>
              <w:rPr>
                <w:rFonts w:ascii="Calibri" w:hAnsi="Calibri"/>
                <w:b w:val="0"/>
                <w:i w:val="0"/>
                <w:color w:val="212121"/>
                <w:sz w:val="19"/>
              </w:rPr>
              <w:t>Severe and recurrent ankle sprains can progress to post-traumatic osteoarthritis.</w:t>
            </w:r>
          </w:p>
          <w:p>
            <w:pPr>
              <w:spacing w:after="40" w:line="252" w:lineRule="auto"/>
            </w:pPr>
            <w:hyperlink r:id="rId12">
              <w:r>
                <w:rPr>
                  <w:rFonts w:ascii="Calibri" w:hAnsi="Calibri" w:cs="Calibri"/>
                  <w:sz w:val="18"/>
                  <w:color w:val="1155CC"/>
                  <w:u w:val="single"/>
                </w:rPr>
                <w:t xml:space="preserve">physio-pedia.com — Ankle Sprain</w:t>
              </w:r>
            </w:hyperlink>
          </w:p>
          <w:p>
            <w:pPr>
              <w:spacing w:before="60" w:after="40"/>
            </w:pPr>
            <w:r>
              <w:rPr>
                <w:rFonts w:ascii="Calibri" w:hAnsi="Calibri"/>
                <w:b w:val="0"/>
                <w:i w:val="0"/>
                <w:color w:val="5A5A5A"/>
                <w:sz w:val="18"/>
              </w:rPr>
              <w:t>#osteoarthritis  #posttraumatic  #cartilage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extremes raise risk: chronic inactivity (54.4% of Indian adults are inactive) leaves muscles weak with poor proprioception, while sudden unaccustomed high-intensity activity overloads unprepared tissue. Graded conditioning, warm-up and balance training markedly reduce sprain and strain incidence.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protein, vitamin D and calcium support muscle strength and connective-tissue repair; deficiency (common in India) weakens muscle function and delays healing.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or poor-quality sleep impairs neuromuscular control, reaction time and tissue recovery, increasing injury risk and slowing rehabilitation.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Nicotine-induced vasoconstriction and impaired collagen synthesis delay ligament and tendon healing and worsen soft-tissue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Intoxication impairs balance, coordination and judgement, causing falls and awkward loading, and blunts the inflammatory-repair response.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distraction and fatigue can increase acute injury risk; after injury, pain-related fear of movement (kinesiophobia) impairs rehabilitation and return to activity.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Dehydration and electrolyte loss predispose to muscle cramps and strains, especially during exertion in hot, humid conditions; adequate hydration supports muscle function.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link to sprain/strain risk; excessive stimulant use may mask fatigue and encourage over-exertion.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Minimal direct role, but skin integrity and clean wound care matter for abrasions accompanying injury and for safe application of taping, bracing and support.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Sudden twisting/inversion, mis-steps on uneven or wet (monsoon) ground, awkward or heavy lifting, inadequate warm-up, fatigue and unsupportive footwear directly provoke acute sprains and strains.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lifting mechanics (flexed, twisted spine) and sustained awkward postures overload the lumbar and cervical muscles, and altered limb alignment concentrates load on specific ligaments — driving low-back and neck strains and recurrent joint sprains.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 built up gradually</w:t>
            </w:r>
          </w:p>
        </w:tc>
        <w:tc>
          <w:tcPr>
            <w:tcW w:type="dxa" w:w="1512"/>
            <w:vAlign w:val="top"/>
          </w:tcPr>
          <w:p>
            <w:pPr>
              <w:spacing w:after="40" w:before="0" w:line="259" w:lineRule="auto"/>
            </w:pPr>
            <w:r>
              <w:rPr>
                <w:rFonts w:ascii="Calibri" w:hAnsi="Calibri"/>
                <w:b w:val="0"/>
                <w:i w:val="0"/>
                <w:color w:val="212121"/>
                <w:sz w:val="19"/>
              </w:rPr>
              <w:t>&lt; 150 min/week, or abrupt unaccustomed bouts</w:t>
            </w:r>
          </w:p>
        </w:tc>
        <w:tc>
          <w:tcPr>
            <w:tcW w:type="dxa" w:w="1468"/>
            <w:vAlign w:val="top"/>
          </w:tcPr>
          <w:p>
            <w:pPr>
              <w:spacing w:after="60" w:line="259" w:lineRule="auto"/>
            </w:pPr>
            <w:r>
              <w:rPr>
                <w:rFonts w:ascii="Calibri" w:hAnsi="Calibri"/>
                <w:b w:val="0"/>
                <w:i w:val="0"/>
                <w:color w:val="212121"/>
                <w:sz w:val="19"/>
              </w:rPr>
              <w:t>Deconditioning plus sudden overload is the key sprain/strain mechanism</w:t>
            </w:r>
          </w:p>
          <w:p>
            <w:pPr>
              <w:spacing w:after="40" w:line="252" w:lineRule="auto"/>
            </w:pPr>
            <w:hyperlink r:id="rId10">
              <w:r>
                <w:rPr>
                  <w:rFonts w:ascii="Calibri" w:hAnsi="Calibri" w:cs="Calibri"/>
                  <w:sz w:val="18"/>
                  <w:color w:val="1155CC"/>
                  <w:u w:val="single"/>
                </w:rPr>
                <w:t xml:space="preserve">https://ijbnpa.biomedcentral.com/articles/10.1186/1479-5868-11-26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Warm-up before activity</w:t>
            </w:r>
          </w:p>
        </w:tc>
        <w:tc>
          <w:tcPr>
            <w:tcW w:type="dxa" w:w="1655"/>
            <w:vAlign w:val="top"/>
          </w:tcPr>
          <w:p>
            <w:pPr>
              <w:spacing w:after="40" w:before="0" w:line="259" w:lineRule="auto"/>
            </w:pPr>
            <w:r>
              <w:rPr>
                <w:rFonts w:ascii="Calibri" w:hAnsi="Calibri"/>
                <w:b w:val="0"/>
                <w:i w:val="0"/>
                <w:color w:val="212121"/>
                <w:sz w:val="19"/>
              </w:rPr>
              <w:t>Athletes, manual workers</w:t>
            </w:r>
          </w:p>
        </w:tc>
        <w:tc>
          <w:tcPr>
            <w:tcW w:type="dxa" w:w="1512"/>
            <w:vAlign w:val="top"/>
          </w:tcPr>
          <w:p>
            <w:pPr>
              <w:spacing w:after="40" w:before="0" w:line="259" w:lineRule="auto"/>
            </w:pPr>
            <w:r>
              <w:rPr>
                <w:rFonts w:ascii="Calibri" w:hAnsi="Calibri"/>
                <w:b w:val="0"/>
                <w:i w:val="0"/>
                <w:color w:val="212121"/>
                <w:sz w:val="19"/>
              </w:rPr>
              <w:t>10–15 min dynamic warm-up</w:t>
            </w:r>
          </w:p>
        </w:tc>
        <w:tc>
          <w:tcPr>
            <w:tcW w:type="dxa" w:w="1512"/>
            <w:vAlign w:val="top"/>
          </w:tcPr>
          <w:p>
            <w:pPr>
              <w:spacing w:after="40" w:before="0" w:line="259" w:lineRule="auto"/>
            </w:pPr>
            <w:r>
              <w:rPr>
                <w:rFonts w:ascii="Calibri" w:hAnsi="Calibri"/>
                <w:b w:val="0"/>
                <w:i w:val="0"/>
                <w:color w:val="212121"/>
                <w:sz w:val="19"/>
              </w:rPr>
              <w:t>No / inadequate warm-up</w:t>
            </w:r>
          </w:p>
        </w:tc>
        <w:tc>
          <w:tcPr>
            <w:tcW w:type="dxa" w:w="1468"/>
            <w:vAlign w:val="top"/>
          </w:tcPr>
          <w:p>
            <w:pPr>
              <w:spacing w:after="60" w:line="259" w:lineRule="auto"/>
            </w:pPr>
            <w:r>
              <w:rPr>
                <w:rFonts w:ascii="Calibri" w:hAnsi="Calibri"/>
                <w:b w:val="0"/>
                <w:i w:val="0"/>
                <w:color w:val="212121"/>
                <w:sz w:val="19"/>
              </w:rPr>
              <w:t>Cold, unprepared muscle tears more readily</w:t>
            </w:r>
          </w:p>
          <w:p>
            <w:pPr>
              <w:spacing w:after="40" w:line="252" w:lineRule="auto"/>
            </w:pPr>
            <w:hyperlink r:id="rId14">
              <w:r>
                <w:rPr>
                  <w:rFonts w:ascii="Calibri" w:hAnsi="Calibri" w:cs="Calibri"/>
                  <w:sz w:val="18"/>
                  <w:color w:val="1155CC"/>
                  <w:u w:val="single"/>
                </w:rPr>
                <w:t xml:space="preserve">https://www.orthoinfo.org/diseases--conditions/sprains-strains-and-other-soft-tissue-injuries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Balance / proprioception (single-leg stance)</w:t>
            </w:r>
          </w:p>
        </w:tc>
        <w:tc>
          <w:tcPr>
            <w:tcW w:type="dxa" w:w="1655"/>
            <w:vAlign w:val="top"/>
          </w:tcPr>
          <w:p>
            <w:pPr>
              <w:spacing w:after="40" w:before="0" w:line="259" w:lineRule="auto"/>
            </w:pPr>
            <w:r>
              <w:rPr>
                <w:rFonts w:ascii="Calibri" w:hAnsi="Calibri"/>
                <w:b w:val="0"/>
                <w:i w:val="0"/>
                <w:color w:val="212121"/>
                <w:sz w:val="19"/>
              </w:rPr>
              <w:t>Prior sprain, elderly</w:t>
            </w:r>
          </w:p>
        </w:tc>
        <w:tc>
          <w:tcPr>
            <w:tcW w:type="dxa" w:w="1512"/>
            <w:vAlign w:val="top"/>
          </w:tcPr>
          <w:p>
            <w:pPr>
              <w:spacing w:after="40" w:before="0" w:line="259" w:lineRule="auto"/>
            </w:pPr>
            <w:r>
              <w:rPr>
                <w:rFonts w:ascii="Calibri" w:hAnsi="Calibri"/>
                <w:b w:val="0"/>
                <w:i w:val="0"/>
                <w:color w:val="212121"/>
                <w:sz w:val="19"/>
              </w:rPr>
              <w:t>Steady ≥ 20–30 s each leg</w:t>
            </w:r>
          </w:p>
        </w:tc>
        <w:tc>
          <w:tcPr>
            <w:tcW w:type="dxa" w:w="1512"/>
            <w:vAlign w:val="top"/>
          </w:tcPr>
          <w:p>
            <w:pPr>
              <w:spacing w:after="40" w:before="0" w:line="259" w:lineRule="auto"/>
            </w:pPr>
            <w:r>
              <w:rPr>
                <w:rFonts w:ascii="Calibri" w:hAnsi="Calibri"/>
                <w:b w:val="0"/>
                <w:i w:val="0"/>
                <w:color w:val="212121"/>
                <w:sz w:val="19"/>
              </w:rPr>
              <w:t>Unable to hold; frequent “giving way”</w:t>
            </w:r>
          </w:p>
        </w:tc>
        <w:tc>
          <w:tcPr>
            <w:tcW w:type="dxa" w:w="1468"/>
            <w:vAlign w:val="top"/>
          </w:tcPr>
          <w:p>
            <w:pPr>
              <w:spacing w:after="60" w:line="259" w:lineRule="auto"/>
            </w:pPr>
            <w:r>
              <w:rPr>
                <w:rFonts w:ascii="Calibri" w:hAnsi="Calibri"/>
                <w:b w:val="0"/>
                <w:i w:val="0"/>
                <w:color w:val="212121"/>
                <w:sz w:val="19"/>
              </w:rPr>
              <w:t>Poor proprioception is a leading intrinsic risk for (re-)sprain</w:t>
            </w:r>
          </w:p>
          <w:p>
            <w:pPr>
              <w:spacing w:after="40" w:line="252" w:lineRule="auto"/>
            </w:pPr>
            <w:hyperlink r:id="rId9">
              <w:r>
                <w:rPr>
                  <w:rFonts w:ascii="Calibri" w:hAnsi="Calibri" w:cs="Calibri"/>
                  <w:sz w:val="18"/>
                  <w:color w:val="1155CC"/>
                  <w:u w:val="single"/>
                </w:rPr>
                <w:t xml:space="preserve">https://www.ncbi.nlm.nih.gov/books/NBK459212/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Higher mass increases joint load and slows recovery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Sleep loss impairs neuromuscular control and repair</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Injured / recovering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delays ligament/tendon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low</w:t>
            </w:r>
          </w:p>
        </w:tc>
        <w:tc>
          <w:tcPr>
            <w:tcW w:type="dxa" w:w="1512"/>
            <w:vAlign w:val="top"/>
          </w:tcPr>
          <w:p>
            <w:pPr>
              <w:spacing w:after="40" w:before="0" w:line="259" w:lineRule="auto"/>
            </w:pPr>
            <w:r>
              <w:rPr>
                <w:rFonts w:ascii="Calibri" w:hAnsi="Calibri"/>
                <w:b w:val="0"/>
                <w:i w:val="0"/>
                <w:color w:val="212121"/>
                <w:sz w:val="19"/>
              </w:rPr>
              <w:t>Binge / heavy use</w:t>
            </w:r>
          </w:p>
        </w:tc>
        <w:tc>
          <w:tcPr>
            <w:tcW w:type="dxa" w:w="1468"/>
            <w:vAlign w:val="top"/>
          </w:tcPr>
          <w:p>
            <w:pPr>
              <w:spacing w:after="40" w:before="0" w:line="259" w:lineRule="auto"/>
            </w:pPr>
            <w:r>
              <w:rPr>
                <w:rFonts w:ascii="Calibri" w:hAnsi="Calibri"/>
                <w:b w:val="0"/>
                <w:i w:val="0"/>
                <w:color w:val="212121"/>
                <w:sz w:val="19"/>
              </w:rPr>
              <w:t>Impairs balance and coordination, raising fall/injury risk</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Recurrent injury, poor healers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40" w:before="0" w:line="259" w:lineRule="auto"/>
            </w:pPr>
            <w:r>
              <w:rPr>
                <w:rFonts w:ascii="Calibri" w:hAnsi="Calibri"/>
                <w:b w:val="0"/>
                <w:i w:val="0"/>
                <w:color w:val="212121"/>
                <w:sz w:val="19"/>
              </w:rPr>
              <w:t>Low vitamin D impairs muscle function; deficiency is widespread in India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protein intake</w:t>
            </w:r>
          </w:p>
        </w:tc>
        <w:tc>
          <w:tcPr>
            <w:tcW w:type="dxa" w:w="1655"/>
            <w:vAlign w:val="top"/>
          </w:tcPr>
          <w:p>
            <w:pPr>
              <w:spacing w:after="40" w:before="0" w:line="259" w:lineRule="auto"/>
            </w:pPr>
            <w:r>
              <w:rPr>
                <w:rFonts w:ascii="Calibri" w:hAnsi="Calibri"/>
                <w:b w:val="0"/>
                <w:i w:val="0"/>
                <w:color w:val="212121"/>
                <w:sz w:val="19"/>
              </w:rPr>
              <w:t>Active adults, recovery</w:t>
            </w:r>
          </w:p>
        </w:tc>
        <w:tc>
          <w:tcPr>
            <w:tcW w:type="dxa" w:w="1512"/>
            <w:vAlign w:val="top"/>
          </w:tcPr>
          <w:p>
            <w:pPr>
              <w:spacing w:after="40" w:before="0" w:line="259" w:lineRule="auto"/>
            </w:pPr>
            <w:r>
              <w:rPr>
                <w:rFonts w:ascii="Calibri" w:hAnsi="Calibri"/>
                <w:b w:val="0"/>
                <w:i w:val="0"/>
                <w:color w:val="212121"/>
                <w:sz w:val="19"/>
              </w:rPr>
              <w:t>1.0–1.6 g/kg/day</w:t>
            </w:r>
          </w:p>
        </w:tc>
        <w:tc>
          <w:tcPr>
            <w:tcW w:type="dxa" w:w="1512"/>
            <w:vAlign w:val="top"/>
          </w:tcPr>
          <w:p>
            <w:pPr>
              <w:spacing w:after="40" w:before="0" w:line="259" w:lineRule="auto"/>
            </w:pPr>
            <w:r>
              <w:rPr>
                <w:rFonts w:ascii="Calibri" w:hAnsi="Calibri"/>
                <w:b w:val="0"/>
                <w:i w:val="0"/>
                <w:color w:val="212121"/>
                <w:sz w:val="19"/>
              </w:rPr>
              <w:t>&lt; 0.8 g/kg/day</w:t>
            </w:r>
          </w:p>
        </w:tc>
        <w:tc>
          <w:tcPr>
            <w:tcW w:type="dxa" w:w="1468"/>
            <w:vAlign w:val="top"/>
          </w:tcPr>
          <w:p>
            <w:pPr>
              <w:spacing w:after="40" w:before="0" w:line="259" w:lineRule="auto"/>
            </w:pPr>
            <w:r>
              <w:rPr>
                <w:rFonts w:ascii="Calibri" w:hAnsi="Calibri"/>
                <w:b w:val="0"/>
                <w:i w:val="0"/>
                <w:color w:val="212121"/>
                <w:sz w:val="19"/>
              </w:rPr>
              <w:t>Protein is required for muscle and connective-tissue repair</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Athletes, outdoor workers</w:t>
            </w:r>
          </w:p>
        </w:tc>
        <w:tc>
          <w:tcPr>
            <w:tcW w:type="dxa" w:w="1512"/>
            <w:vAlign w:val="top"/>
          </w:tcPr>
          <w:p>
            <w:pPr>
              <w:spacing w:after="40" w:before="0" w:line="259" w:lineRule="auto"/>
            </w:pPr>
            <w:r>
              <w:rPr>
                <w:rFonts w:ascii="Calibri" w:hAnsi="Calibri"/>
                <w:b w:val="0"/>
                <w:i w:val="0"/>
                <w:color w:val="212121"/>
                <w:sz w:val="19"/>
              </w:rPr>
              <w:t>~2–3 L/day (adjust for heat)</w:t>
            </w:r>
          </w:p>
        </w:tc>
        <w:tc>
          <w:tcPr>
            <w:tcW w:type="dxa" w:w="1512"/>
            <w:vAlign w:val="top"/>
          </w:tcPr>
          <w:p>
            <w:pPr>
              <w:spacing w:after="40" w:before="0" w:line="259" w:lineRule="auto"/>
            </w:pPr>
            <w:r>
              <w:rPr>
                <w:rFonts w:ascii="Calibri" w:hAnsi="Calibri"/>
                <w:b w:val="0"/>
                <w:i w:val="0"/>
                <w:color w:val="212121"/>
                <w:sz w:val="19"/>
              </w:rPr>
              <w:t>Signs of dehydration during exertion</w:t>
            </w:r>
          </w:p>
        </w:tc>
        <w:tc>
          <w:tcPr>
            <w:tcW w:type="dxa" w:w="1468"/>
            <w:vAlign w:val="top"/>
          </w:tcPr>
          <w:p>
            <w:pPr>
              <w:spacing w:after="40" w:before="0" w:line="259" w:lineRule="auto"/>
            </w:pPr>
            <w:r>
              <w:rPr>
                <w:rFonts w:ascii="Calibri" w:hAnsi="Calibri"/>
                <w:b w:val="0"/>
                <w:i w:val="0"/>
                <w:color w:val="212121"/>
                <w:sz w:val="19"/>
              </w:rPr>
              <w:t>Dehydration predisposes to cramps and muscle strain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Footwear &amp; surface</w:t>
            </w:r>
          </w:p>
        </w:tc>
        <w:tc>
          <w:tcPr>
            <w:tcW w:type="dxa" w:w="1655"/>
            <w:vAlign w:val="top"/>
          </w:tcPr>
          <w:p>
            <w:pPr>
              <w:spacing w:after="40" w:before="0" w:line="259" w:lineRule="auto"/>
            </w:pPr>
            <w:r>
              <w:rPr>
                <w:rFonts w:ascii="Calibri" w:hAnsi="Calibri"/>
                <w:b w:val="0"/>
                <w:i w:val="0"/>
                <w:color w:val="212121"/>
                <w:sz w:val="19"/>
              </w:rPr>
              <w:t>All, esp. uneven/wet terrain</w:t>
            </w:r>
          </w:p>
        </w:tc>
        <w:tc>
          <w:tcPr>
            <w:tcW w:type="dxa" w:w="1512"/>
            <w:vAlign w:val="top"/>
          </w:tcPr>
          <w:p>
            <w:pPr>
              <w:spacing w:after="40" w:before="0" w:line="259" w:lineRule="auto"/>
            </w:pPr>
            <w:r>
              <w:rPr>
                <w:rFonts w:ascii="Calibri" w:hAnsi="Calibri"/>
                <w:b w:val="0"/>
                <w:i w:val="0"/>
                <w:color w:val="212121"/>
                <w:sz w:val="19"/>
              </w:rPr>
              <w:t>Supportive fitted footwear on even, dry ground</w:t>
            </w:r>
          </w:p>
        </w:tc>
        <w:tc>
          <w:tcPr>
            <w:tcW w:type="dxa" w:w="1512"/>
            <w:vAlign w:val="top"/>
          </w:tcPr>
          <w:p>
            <w:pPr>
              <w:spacing w:after="40" w:before="0" w:line="259" w:lineRule="auto"/>
            </w:pPr>
            <w:r>
              <w:rPr>
                <w:rFonts w:ascii="Calibri" w:hAnsi="Calibri"/>
                <w:b w:val="0"/>
                <w:i w:val="0"/>
                <w:color w:val="212121"/>
                <w:sz w:val="19"/>
              </w:rPr>
              <w:t>Flat/backless footwear on uneven or wet surface</w:t>
            </w:r>
          </w:p>
        </w:tc>
        <w:tc>
          <w:tcPr>
            <w:tcW w:type="dxa" w:w="1468"/>
            <w:vAlign w:val="top"/>
          </w:tcPr>
          <w:p>
            <w:pPr>
              <w:spacing w:after="60" w:line="259" w:lineRule="auto"/>
            </w:pPr>
            <w:r>
              <w:rPr>
                <w:rFonts w:ascii="Calibri" w:hAnsi="Calibri"/>
                <w:b w:val="0"/>
                <w:i w:val="0"/>
                <w:color w:val="212121"/>
                <w:sz w:val="19"/>
              </w:rPr>
              <w:t>Improper footwear and uneven surfaces are recognised extrinsic risks</w:t>
            </w:r>
          </w:p>
          <w:p>
            <w:pPr>
              <w:spacing w:after="40" w:line="252" w:lineRule="auto"/>
            </w:pPr>
            <w:hyperlink r:id="rId9">
              <w:r>
                <w:rPr>
                  <w:rFonts w:ascii="Calibri" w:hAnsi="Calibri" w:cs="Calibri"/>
                  <w:sz w:val="18"/>
                  <w:color w:val="1155CC"/>
                  <w:u w:val="single"/>
                </w:rPr>
                <w:t xml:space="preserve">https://www.ncbi.nlm.nih.gov/books/NBK459212/</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Lifting technique</w:t>
            </w:r>
          </w:p>
        </w:tc>
        <w:tc>
          <w:tcPr>
            <w:tcW w:type="dxa" w:w="1655"/>
            <w:vAlign w:val="top"/>
          </w:tcPr>
          <w:p>
            <w:pPr>
              <w:spacing w:after="40" w:before="0" w:line="259" w:lineRule="auto"/>
            </w:pPr>
            <w:r>
              <w:rPr>
                <w:rFonts w:ascii="Calibri" w:hAnsi="Calibri"/>
                <w:b w:val="0"/>
                <w:i w:val="0"/>
                <w:color w:val="212121"/>
                <w:sz w:val="19"/>
              </w:rPr>
              <w:t>Manual workers</w:t>
            </w:r>
          </w:p>
        </w:tc>
        <w:tc>
          <w:tcPr>
            <w:tcW w:type="dxa" w:w="1512"/>
            <w:vAlign w:val="top"/>
          </w:tcPr>
          <w:p>
            <w:pPr>
              <w:spacing w:after="40" w:before="0" w:line="259" w:lineRule="auto"/>
            </w:pPr>
            <w:r>
              <w:rPr>
                <w:rFonts w:ascii="Calibri" w:hAnsi="Calibri"/>
                <w:b w:val="0"/>
                <w:i w:val="0"/>
                <w:color w:val="212121"/>
                <w:sz w:val="19"/>
              </w:rPr>
              <w:t>Neutral spine, lift with legs, no twist</w:t>
            </w:r>
          </w:p>
        </w:tc>
        <w:tc>
          <w:tcPr>
            <w:tcW w:type="dxa" w:w="1512"/>
            <w:vAlign w:val="top"/>
          </w:tcPr>
          <w:p>
            <w:pPr>
              <w:spacing w:after="40" w:before="0" w:line="259" w:lineRule="auto"/>
            </w:pPr>
            <w:r>
              <w:rPr>
                <w:rFonts w:ascii="Calibri" w:hAnsi="Calibri"/>
                <w:b w:val="0"/>
                <w:i w:val="0"/>
                <w:color w:val="212121"/>
                <w:sz w:val="19"/>
              </w:rPr>
              <w:t>Flexed/twisted spine, heavy load</w:t>
            </w:r>
          </w:p>
        </w:tc>
        <w:tc>
          <w:tcPr>
            <w:tcW w:type="dxa" w:w="1468"/>
            <w:vAlign w:val="top"/>
          </w:tcPr>
          <w:p>
            <w:pPr>
              <w:spacing w:after="40" w:before="0" w:line="259" w:lineRule="auto"/>
            </w:pPr>
            <w:r>
              <w:rPr>
                <w:rFonts w:ascii="Calibri" w:hAnsi="Calibri"/>
                <w:b w:val="0"/>
                <w:i w:val="0"/>
                <w:color w:val="212121"/>
                <w:sz w:val="19"/>
              </w:rPr>
              <w:t>Poor mechanics cause acute lumbar (low-back) strain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Bony integrity (fracture/avulsion)</w:t>
            </w:r>
          </w:p>
        </w:tc>
        <w:tc>
          <w:tcPr>
            <w:tcW w:type="dxa" w:w="892"/>
            <w:vAlign w:val="top"/>
          </w:tcPr>
          <w:p>
            <w:pPr>
              <w:spacing w:after="40" w:before="0" w:line="259" w:lineRule="auto"/>
            </w:pPr>
            <w:r>
              <w:rPr>
                <w:rFonts w:ascii="Calibri" w:hAnsi="Calibri"/>
                <w:b w:val="0"/>
                <w:i w:val="0"/>
                <w:color w:val="212121"/>
                <w:sz w:val="16"/>
              </w:rPr>
              <w:t>Plain radiograph (X-ray)</w:t>
            </w:r>
          </w:p>
        </w:tc>
        <w:tc>
          <w:tcPr>
            <w:tcW w:type="dxa" w:w="950"/>
            <w:vAlign w:val="top"/>
          </w:tcPr>
          <w:p>
            <w:pPr>
              <w:spacing w:after="40" w:before="0" w:line="259" w:lineRule="auto"/>
            </w:pPr>
            <w:r>
              <w:rPr>
                <w:rFonts w:ascii="Calibri" w:hAnsi="Calibri"/>
                <w:b w:val="0"/>
                <w:i w:val="0"/>
                <w:color w:val="212121"/>
                <w:sz w:val="16"/>
              </w:rPr>
              <w:t>No fracture; normal alignment</w:t>
            </w:r>
          </w:p>
        </w:tc>
        <w:tc>
          <w:tcPr>
            <w:tcW w:type="dxa" w:w="950"/>
            <w:vAlign w:val="top"/>
          </w:tcPr>
          <w:p>
            <w:pPr>
              <w:spacing w:after="40" w:before="0" w:line="259" w:lineRule="auto"/>
            </w:pPr>
            <w:r>
              <w:rPr>
                <w:rFonts w:ascii="Calibri" w:hAnsi="Calibri"/>
                <w:b w:val="0"/>
                <w:i w:val="0"/>
                <w:color w:val="212121"/>
                <w:sz w:val="16"/>
              </w:rPr>
              <w:t>Avulsion or fracture; widened mortise</w:t>
            </w:r>
          </w:p>
        </w:tc>
        <w:tc>
          <w:tcPr>
            <w:tcW w:type="dxa" w:w="1036"/>
            <w:vAlign w:val="top"/>
          </w:tcPr>
          <w:p>
            <w:pPr>
              <w:spacing w:after="40" w:before="0" w:line="259" w:lineRule="auto"/>
            </w:pPr>
            <w:r>
              <w:rPr>
                <w:rFonts w:ascii="Calibri" w:hAnsi="Calibri"/>
                <w:b w:val="0"/>
                <w:i w:val="0"/>
                <w:color w:val="212121"/>
                <w:sz w:val="16"/>
              </w:rPr>
              <w:t>Excludes fracture in acute injury per Ottawa Ankle/Foot Rules</w:t>
            </w:r>
          </w:p>
        </w:tc>
        <w:tc>
          <w:tcPr>
            <w:tcW w:type="dxa" w:w="1036"/>
            <w:vAlign w:val="top"/>
          </w:tcPr>
          <w:p>
            <w:pPr>
              <w:spacing w:after="40" w:before="0" w:line="259" w:lineRule="auto"/>
            </w:pPr>
            <w:r>
              <w:rPr>
                <w:rFonts w:ascii="Calibri" w:hAnsi="Calibri"/>
                <w:b w:val="0"/>
                <w:i w:val="0"/>
                <w:color w:val="212121"/>
                <w:sz w:val="16"/>
              </w:rPr>
              <w:t>Acute injuries meeting Ottawa criteria, unable to bear weight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Ottawa rules safely reduce unnecessary X-rays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Ligament / tendon integrity</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Intact ligaments, tendons and muscle</w:t>
            </w:r>
          </w:p>
        </w:tc>
        <w:tc>
          <w:tcPr>
            <w:tcW w:type="dxa" w:w="950"/>
            <w:vAlign w:val="top"/>
          </w:tcPr>
          <w:p>
            <w:pPr>
              <w:spacing w:after="40" w:before="0" w:line="259" w:lineRule="auto"/>
            </w:pPr>
            <w:r>
              <w:rPr>
                <w:rFonts w:ascii="Calibri" w:hAnsi="Calibri"/>
                <w:b w:val="0"/>
                <w:i w:val="0"/>
                <w:color w:val="212121"/>
                <w:sz w:val="16"/>
              </w:rPr>
              <w:t>Partial/complete tear, high-grade rupture, bone bruise</w:t>
            </w:r>
          </w:p>
        </w:tc>
        <w:tc>
          <w:tcPr>
            <w:tcW w:type="dxa" w:w="1036"/>
            <w:vAlign w:val="top"/>
          </w:tcPr>
          <w:p>
            <w:pPr>
              <w:spacing w:after="40" w:before="0" w:line="259" w:lineRule="auto"/>
            </w:pPr>
            <w:r>
              <w:rPr>
                <w:rFonts w:ascii="Calibri" w:hAnsi="Calibri"/>
                <w:b w:val="0"/>
                <w:i w:val="0"/>
                <w:color w:val="212121"/>
                <w:sz w:val="16"/>
              </w:rPr>
              <w:t>Characterises and grades severe or persistent soft-tissue injury</w:t>
            </w:r>
          </w:p>
        </w:tc>
        <w:tc>
          <w:tcPr>
            <w:tcW w:type="dxa" w:w="1036"/>
            <w:vAlign w:val="top"/>
          </w:tcPr>
          <w:p>
            <w:pPr>
              <w:spacing w:after="40" w:before="0" w:line="259" w:lineRule="auto"/>
            </w:pPr>
            <w:r>
              <w:rPr>
                <w:rFonts w:ascii="Calibri" w:hAnsi="Calibri"/>
                <w:b w:val="0"/>
                <w:i w:val="0"/>
                <w:color w:val="212121"/>
                <w:sz w:val="16"/>
              </w:rPr>
              <w:t>Grade III, persistent pain, suspected rupture, athletes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Gold standard for soft-tissue detail; not needed in mild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Muscle/tendon tear, haematoma</w:t>
            </w:r>
          </w:p>
        </w:tc>
        <w:tc>
          <w:tcPr>
            <w:tcW w:type="dxa" w:w="892"/>
            <w:vAlign w:val="top"/>
          </w:tcPr>
          <w:p>
            <w:pPr>
              <w:spacing w:after="40" w:before="0" w:line="259" w:lineRule="auto"/>
            </w:pPr>
            <w:r>
              <w:rPr>
                <w:rFonts w:ascii="Calibri" w:hAnsi="Calibri"/>
                <w:b w:val="0"/>
                <w:i w:val="0"/>
                <w:color w:val="212121"/>
                <w:sz w:val="16"/>
              </w:rPr>
              <w:t>Musculoskeletal ultrasound</w:t>
            </w:r>
          </w:p>
        </w:tc>
        <w:tc>
          <w:tcPr>
            <w:tcW w:type="dxa" w:w="950"/>
            <w:vAlign w:val="top"/>
          </w:tcPr>
          <w:p>
            <w:pPr>
              <w:spacing w:after="40" w:before="0" w:line="259" w:lineRule="auto"/>
            </w:pPr>
            <w:r>
              <w:rPr>
                <w:rFonts w:ascii="Calibri" w:hAnsi="Calibri"/>
                <w:b w:val="0"/>
                <w:i w:val="0"/>
                <w:color w:val="212121"/>
                <w:sz w:val="16"/>
              </w:rPr>
              <w:t>Intact muscle–tendon architecture</w:t>
            </w:r>
          </w:p>
        </w:tc>
        <w:tc>
          <w:tcPr>
            <w:tcW w:type="dxa" w:w="950"/>
            <w:vAlign w:val="top"/>
          </w:tcPr>
          <w:p>
            <w:pPr>
              <w:spacing w:after="40" w:before="0" w:line="259" w:lineRule="auto"/>
            </w:pPr>
            <w:r>
              <w:rPr>
                <w:rFonts w:ascii="Calibri" w:hAnsi="Calibri"/>
                <w:b w:val="0"/>
                <w:i w:val="0"/>
                <w:color w:val="212121"/>
                <w:sz w:val="16"/>
              </w:rPr>
              <w:t>Fibre disruption, gap, haematoma</w:t>
            </w:r>
          </w:p>
        </w:tc>
        <w:tc>
          <w:tcPr>
            <w:tcW w:type="dxa" w:w="1036"/>
            <w:vAlign w:val="top"/>
          </w:tcPr>
          <w:p>
            <w:pPr>
              <w:spacing w:after="40" w:before="0" w:line="259" w:lineRule="auto"/>
            </w:pPr>
            <w:r>
              <w:rPr>
                <w:rFonts w:ascii="Calibri" w:hAnsi="Calibri"/>
                <w:b w:val="0"/>
                <w:i w:val="0"/>
                <w:color w:val="212121"/>
                <w:sz w:val="16"/>
              </w:rPr>
              <w:t>Dynamic, bedside assessment of muscle strain and tendon injury</w:t>
            </w:r>
          </w:p>
        </w:tc>
        <w:tc>
          <w:tcPr>
            <w:tcW w:type="dxa" w:w="1036"/>
            <w:vAlign w:val="top"/>
          </w:tcPr>
          <w:p>
            <w:pPr>
              <w:spacing w:after="40" w:before="0" w:line="259" w:lineRule="auto"/>
            </w:pPr>
            <w:r>
              <w:rPr>
                <w:rFonts w:ascii="Calibri" w:hAnsi="Calibri"/>
                <w:b w:val="0"/>
                <w:i w:val="0"/>
                <w:color w:val="212121"/>
                <w:sz w:val="16"/>
              </w:rPr>
              <w:t>Hamstring/calf strains, tendon injury, follow-up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Operator-dependent; allows dynamic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Joint laxity under stress</w:t>
            </w:r>
          </w:p>
        </w:tc>
        <w:tc>
          <w:tcPr>
            <w:tcW w:type="dxa" w:w="892"/>
            <w:vAlign w:val="top"/>
          </w:tcPr>
          <w:p>
            <w:pPr>
              <w:spacing w:after="40" w:before="0" w:line="259" w:lineRule="auto"/>
            </w:pPr>
            <w:r>
              <w:rPr>
                <w:rFonts w:ascii="Calibri" w:hAnsi="Calibri"/>
                <w:b w:val="0"/>
                <w:i w:val="0"/>
                <w:color w:val="212121"/>
                <w:sz w:val="16"/>
              </w:rPr>
              <w:t>Stress radiographs</w:t>
            </w:r>
          </w:p>
        </w:tc>
        <w:tc>
          <w:tcPr>
            <w:tcW w:type="dxa" w:w="950"/>
            <w:vAlign w:val="top"/>
          </w:tcPr>
          <w:p>
            <w:pPr>
              <w:spacing w:after="40" w:before="0" w:line="259" w:lineRule="auto"/>
            </w:pPr>
            <w:r>
              <w:rPr>
                <w:rFonts w:ascii="Calibri" w:hAnsi="Calibri"/>
                <w:b w:val="0"/>
                <w:i w:val="0"/>
                <w:color w:val="212121"/>
                <w:sz w:val="16"/>
              </w:rPr>
              <w:t>Talar tilt / anterior translation within normal limits</w:t>
            </w:r>
          </w:p>
        </w:tc>
        <w:tc>
          <w:tcPr>
            <w:tcW w:type="dxa" w:w="950"/>
            <w:vAlign w:val="top"/>
          </w:tcPr>
          <w:p>
            <w:pPr>
              <w:spacing w:after="40" w:before="0" w:line="259" w:lineRule="auto"/>
            </w:pPr>
            <w:r>
              <w:rPr>
                <w:rFonts w:ascii="Calibri" w:hAnsi="Calibri"/>
                <w:b w:val="0"/>
                <w:i w:val="0"/>
                <w:color w:val="212121"/>
                <w:sz w:val="16"/>
              </w:rPr>
              <w:t>Increased tilt/translation vs contralateral side</w:t>
            </w:r>
          </w:p>
        </w:tc>
        <w:tc>
          <w:tcPr>
            <w:tcW w:type="dxa" w:w="1036"/>
            <w:vAlign w:val="top"/>
          </w:tcPr>
          <w:p>
            <w:pPr>
              <w:spacing w:after="40" w:before="0" w:line="259" w:lineRule="auto"/>
            </w:pPr>
            <w:r>
              <w:rPr>
                <w:rFonts w:ascii="Calibri" w:hAnsi="Calibri"/>
                <w:b w:val="0"/>
                <w:i w:val="0"/>
                <w:color w:val="212121"/>
                <w:sz w:val="16"/>
              </w:rPr>
              <w:t>Quantifies mechanical instability in high-grade or chronic injury</w:t>
            </w:r>
          </w:p>
        </w:tc>
        <w:tc>
          <w:tcPr>
            <w:tcW w:type="dxa" w:w="1036"/>
            <w:vAlign w:val="top"/>
          </w:tcPr>
          <w:p>
            <w:pPr>
              <w:spacing w:after="40" w:before="0" w:line="259" w:lineRule="auto"/>
            </w:pPr>
            <w:r>
              <w:rPr>
                <w:rFonts w:ascii="Calibri" w:hAnsi="Calibri"/>
                <w:b w:val="0"/>
                <w:i w:val="0"/>
                <w:color w:val="212121"/>
                <w:sz w:val="16"/>
              </w:rPr>
              <w:t>Grade III sprain, chronic ankle instability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Compare with the uninjured side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D &amp; calcium status</w:t>
            </w:r>
          </w:p>
        </w:tc>
        <w:tc>
          <w:tcPr>
            <w:tcW w:type="dxa" w:w="892"/>
            <w:vAlign w:val="top"/>
          </w:tcPr>
          <w:p>
            <w:pPr>
              <w:spacing w:after="40" w:before="0" w:line="259" w:lineRule="auto"/>
            </w:pPr>
            <w:r>
              <w:rPr>
                <w:rFonts w:ascii="Calibri" w:hAnsi="Calibri"/>
                <w:b w:val="0"/>
                <w:i w:val="0"/>
                <w:color w:val="212121"/>
                <w:sz w:val="16"/>
              </w:rPr>
              <w:t>Serum 25(OH)D, calcium</w:t>
            </w:r>
          </w:p>
        </w:tc>
        <w:tc>
          <w:tcPr>
            <w:tcW w:type="dxa" w:w="950"/>
            <w:vAlign w:val="top"/>
          </w:tcPr>
          <w:p>
            <w:pPr>
              <w:spacing w:after="40" w:before="0" w:line="259" w:lineRule="auto"/>
            </w:pPr>
            <w:r>
              <w:rPr>
                <w:rFonts w:ascii="Calibri" w:hAnsi="Calibri"/>
                <w:b w:val="0"/>
                <w:i w:val="0"/>
                <w:color w:val="212121"/>
                <w:sz w:val="16"/>
              </w:rPr>
              <w:t>25(OH)D ≥ 30 ng/mL; normal calcium</w:t>
            </w:r>
          </w:p>
        </w:tc>
        <w:tc>
          <w:tcPr>
            <w:tcW w:type="dxa" w:w="950"/>
            <w:vAlign w:val="top"/>
          </w:tcPr>
          <w:p>
            <w:pPr>
              <w:spacing w:after="40" w:before="0" w:line="259" w:lineRule="auto"/>
            </w:pPr>
            <w:r>
              <w:rPr>
                <w:rFonts w:ascii="Calibri" w:hAnsi="Calibri"/>
                <w:b w:val="0"/>
                <w:i w:val="0"/>
                <w:color w:val="212121"/>
                <w:sz w:val="16"/>
              </w:rPr>
              <w:t>25(OH)D &lt; 20 ng/mL; low calcium</w:t>
            </w:r>
          </w:p>
        </w:tc>
        <w:tc>
          <w:tcPr>
            <w:tcW w:type="dxa" w:w="1036"/>
            <w:vAlign w:val="top"/>
          </w:tcPr>
          <w:p>
            <w:pPr>
              <w:spacing w:after="40" w:before="0" w:line="259" w:lineRule="auto"/>
            </w:pPr>
            <w:r>
              <w:rPr>
                <w:rFonts w:ascii="Calibri" w:hAnsi="Calibri"/>
                <w:b w:val="0"/>
                <w:i w:val="0"/>
                <w:color w:val="212121"/>
                <w:sz w:val="16"/>
              </w:rPr>
              <w:t>Adjunct in recurrent injury / poor healing; deficiency common in India</w:t>
            </w:r>
          </w:p>
        </w:tc>
        <w:tc>
          <w:tcPr>
            <w:tcW w:type="dxa" w:w="1036"/>
            <w:vAlign w:val="top"/>
          </w:tcPr>
          <w:p>
            <w:pPr>
              <w:spacing w:after="40" w:before="0" w:line="259" w:lineRule="auto"/>
            </w:pPr>
            <w:r>
              <w:rPr>
                <w:rFonts w:ascii="Calibri" w:hAnsi="Calibri"/>
                <w:b w:val="0"/>
                <w:i w:val="0"/>
                <w:color w:val="212121"/>
                <w:sz w:val="16"/>
              </w:rPr>
              <w:t>Recurrent sprains/strains, poor healers,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Moderate</w:t>
            </w:r>
          </w:p>
        </w:tc>
        <w:tc>
          <w:tcPr>
            <w:tcW w:type="dxa" w:w="720"/>
            <w:vAlign w:val="top"/>
          </w:tcPr>
          <w:p>
            <w:pPr>
              <w:spacing w:after="40" w:before="0" w:line="259" w:lineRule="auto"/>
            </w:pPr>
            <w:r>
              <w:rPr>
                <w:rFonts w:ascii="Calibri" w:hAnsi="Calibri"/>
                <w:b w:val="0"/>
                <w:i w:val="0"/>
                <w:color w:val="212121"/>
                <w:sz w:val="16"/>
              </w:rPr>
              <w:t>Correcting deficiency supports muscle and tissue health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Inflammatory / infection screen</w:t>
            </w:r>
          </w:p>
        </w:tc>
        <w:tc>
          <w:tcPr>
            <w:tcW w:type="dxa" w:w="892"/>
            <w:vAlign w:val="top"/>
          </w:tcPr>
          <w:p>
            <w:pPr>
              <w:spacing w:after="40" w:before="0" w:line="259" w:lineRule="auto"/>
            </w:pPr>
            <w:r>
              <w:rPr>
                <w:rFonts w:ascii="Calibri" w:hAnsi="Calibri"/>
                <w:b w:val="0"/>
                <w:i w:val="0"/>
                <w:color w:val="212121"/>
                <w:sz w:val="16"/>
              </w:rPr>
              <w:t>CBC, CRP, ESR</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Raised WBC/CRP/ESR</w:t>
            </w:r>
          </w:p>
        </w:tc>
        <w:tc>
          <w:tcPr>
            <w:tcW w:type="dxa" w:w="1036"/>
            <w:vAlign w:val="top"/>
          </w:tcPr>
          <w:p>
            <w:pPr>
              <w:spacing w:after="40" w:before="0" w:line="259" w:lineRule="auto"/>
            </w:pPr>
            <w:r>
              <w:rPr>
                <w:rFonts w:ascii="Calibri" w:hAnsi="Calibri"/>
                <w:b w:val="0"/>
                <w:i w:val="0"/>
                <w:color w:val="212121"/>
                <w:sz w:val="16"/>
              </w:rPr>
              <w:t>Excludes septic arthritis or cellulitis when a swollen, hot joint is atypical</w:t>
            </w:r>
          </w:p>
        </w:tc>
        <w:tc>
          <w:tcPr>
            <w:tcW w:type="dxa" w:w="1036"/>
            <w:vAlign w:val="top"/>
          </w:tcPr>
          <w:p>
            <w:pPr>
              <w:spacing w:after="40" w:before="0" w:line="259" w:lineRule="auto"/>
            </w:pPr>
            <w:r>
              <w:rPr>
                <w:rFonts w:ascii="Calibri" w:hAnsi="Calibri"/>
                <w:b w:val="0"/>
                <w:i w:val="0"/>
                <w:color w:val="212121"/>
                <w:sz w:val="16"/>
              </w:rPr>
              <w:t>Atypical hot/swollen joint, diabetics, immunocompromised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Low</w:t>
            </w:r>
          </w:p>
        </w:tc>
        <w:tc>
          <w:tcPr>
            <w:tcW w:type="dxa" w:w="720"/>
            <w:vAlign w:val="top"/>
          </w:tcPr>
          <w:p>
            <w:pPr>
              <w:spacing w:after="40" w:before="0" w:line="259" w:lineRule="auto"/>
            </w:pPr>
            <w:r>
              <w:rPr>
                <w:rFonts w:ascii="Calibri" w:hAnsi="Calibri"/>
                <w:b w:val="0"/>
                <w:i w:val="0"/>
                <w:color w:val="212121"/>
                <w:sz w:val="16"/>
              </w:rPr>
              <w:t>Not routine; only when infection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Mechanism of injury</w:t>
            </w:r>
          </w:p>
        </w:tc>
        <w:tc>
          <w:tcPr>
            <w:tcW w:type="dxa" w:w="979"/>
            <w:vAlign w:val="top"/>
          </w:tcPr>
          <w:p>
            <w:pPr>
              <w:spacing w:after="40" w:before="0" w:line="259" w:lineRule="auto"/>
            </w:pPr>
            <w:r>
              <w:rPr>
                <w:rFonts w:ascii="Calibri" w:hAnsi="Calibri"/>
                <w:b w:val="0"/>
                <w:i w:val="0"/>
                <w:color w:val="212121"/>
                <w:sz w:val="16"/>
              </w:rPr>
              <w:t>Inversion twist, fall, eccentric overload</w:t>
            </w:r>
          </w:p>
        </w:tc>
        <w:tc>
          <w:tcPr>
            <w:tcW w:type="dxa" w:w="950"/>
            <w:vAlign w:val="top"/>
          </w:tcPr>
          <w:p>
            <w:pPr>
              <w:spacing w:after="40" w:before="0" w:line="259" w:lineRule="auto"/>
            </w:pPr>
            <w:r>
              <w:rPr>
                <w:rFonts w:ascii="Calibri" w:hAnsi="Calibri"/>
                <w:b w:val="0"/>
                <w:i w:val="0"/>
                <w:color w:val="212121"/>
                <w:sz w:val="16"/>
              </w:rPr>
              <w:t>No injuring event</w:t>
            </w:r>
          </w:p>
        </w:tc>
        <w:tc>
          <w:tcPr>
            <w:tcW w:type="dxa" w:w="950"/>
            <w:vAlign w:val="top"/>
          </w:tcPr>
          <w:p>
            <w:pPr>
              <w:spacing w:after="40" w:before="0" w:line="259" w:lineRule="auto"/>
            </w:pPr>
            <w:r>
              <w:rPr>
                <w:rFonts w:ascii="Calibri" w:hAnsi="Calibri"/>
                <w:b w:val="0"/>
                <w:i w:val="0"/>
                <w:color w:val="212121"/>
                <w:sz w:val="16"/>
              </w:rPr>
              <w:t>Clear over-load / twist / “pop”</w:t>
            </w:r>
          </w:p>
        </w:tc>
        <w:tc>
          <w:tcPr>
            <w:tcW w:type="dxa" w:w="1036"/>
            <w:vAlign w:val="top"/>
          </w:tcPr>
          <w:p>
            <w:pPr>
              <w:spacing w:after="40" w:before="0" w:line="259" w:lineRule="auto"/>
            </w:pPr>
            <w:r>
              <w:rPr>
                <w:rFonts w:ascii="Calibri" w:hAnsi="Calibri"/>
                <w:b w:val="0"/>
                <w:i w:val="0"/>
                <w:color w:val="212121"/>
                <w:sz w:val="16"/>
              </w:rPr>
              <w:t>Defines likely tissue injured and severity</w:t>
            </w:r>
          </w:p>
        </w:tc>
        <w:tc>
          <w:tcPr>
            <w:tcW w:type="dxa" w:w="1036"/>
            <w:vAlign w:val="top"/>
          </w:tcPr>
          <w:p>
            <w:pPr>
              <w:spacing w:after="40" w:before="0" w:line="259" w:lineRule="auto"/>
            </w:pPr>
            <w:r>
              <w:rPr>
                <w:rFonts w:ascii="Calibri" w:hAnsi="Calibri"/>
                <w:b w:val="0"/>
                <w:i w:val="0"/>
                <w:color w:val="212121"/>
                <w:sz w:val="16"/>
              </w:rPr>
              <w:t>All acute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 audible pop suggests higher-grade injury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Weight-bearing &amp; function</w:t>
            </w:r>
          </w:p>
        </w:tc>
        <w:tc>
          <w:tcPr>
            <w:tcW w:type="dxa" w:w="979"/>
            <w:vAlign w:val="top"/>
          </w:tcPr>
          <w:p>
            <w:pPr>
              <w:spacing w:after="40" w:before="0" w:line="259" w:lineRule="auto"/>
            </w:pPr>
            <w:r>
              <w:rPr>
                <w:rFonts w:ascii="Calibri" w:hAnsi="Calibri"/>
                <w:b w:val="0"/>
                <w:i w:val="0"/>
                <w:color w:val="212121"/>
                <w:sz w:val="16"/>
              </w:rPr>
              <w:t>Ability to bear weight / use the muscle after injury</w:t>
            </w:r>
          </w:p>
        </w:tc>
        <w:tc>
          <w:tcPr>
            <w:tcW w:type="dxa" w:w="950"/>
            <w:vAlign w:val="top"/>
          </w:tcPr>
          <w:p>
            <w:pPr>
              <w:spacing w:after="40" w:before="0" w:line="259" w:lineRule="auto"/>
            </w:pPr>
            <w:r>
              <w:rPr>
                <w:rFonts w:ascii="Calibri" w:hAnsi="Calibri"/>
                <w:b w:val="0"/>
                <w:i w:val="0"/>
                <w:color w:val="212121"/>
                <w:sz w:val="16"/>
              </w:rPr>
              <w:t>Weight-bears normally</w:t>
            </w:r>
          </w:p>
        </w:tc>
        <w:tc>
          <w:tcPr>
            <w:tcW w:type="dxa" w:w="950"/>
            <w:vAlign w:val="top"/>
          </w:tcPr>
          <w:p>
            <w:pPr>
              <w:spacing w:after="40" w:before="0" w:line="259" w:lineRule="auto"/>
            </w:pPr>
            <w:r>
              <w:rPr>
                <w:rFonts w:ascii="Calibri" w:hAnsi="Calibri"/>
                <w:b w:val="0"/>
                <w:i w:val="0"/>
                <w:color w:val="212121"/>
                <w:sz w:val="16"/>
              </w:rPr>
              <w:t>Unable to take 4 steps / use muscle</w:t>
            </w:r>
          </w:p>
        </w:tc>
        <w:tc>
          <w:tcPr>
            <w:tcW w:type="dxa" w:w="1036"/>
            <w:vAlign w:val="top"/>
          </w:tcPr>
          <w:p>
            <w:pPr>
              <w:spacing w:after="40" w:before="0" w:line="259" w:lineRule="auto"/>
            </w:pPr>
            <w:r>
              <w:rPr>
                <w:rFonts w:ascii="Calibri" w:hAnsi="Calibri"/>
                <w:b w:val="0"/>
                <w:i w:val="0"/>
                <w:color w:val="212121"/>
                <w:sz w:val="16"/>
              </w:rPr>
              <w:t>Higher grade and Ottawa-positive if unable to bear weight</w:t>
            </w:r>
          </w:p>
        </w:tc>
        <w:tc>
          <w:tcPr>
            <w:tcW w:type="dxa" w:w="1036"/>
            <w:vAlign w:val="top"/>
          </w:tcPr>
          <w:p>
            <w:pPr>
              <w:spacing w:after="40" w:before="0" w:line="259" w:lineRule="auto"/>
            </w:pPr>
            <w:r>
              <w:rPr>
                <w:rFonts w:ascii="Calibri" w:hAnsi="Calibri"/>
                <w:b w:val="0"/>
                <w:i w:val="0"/>
                <w:color w:val="212121"/>
                <w:sz w:val="16"/>
              </w:rPr>
              <w:t>Ankle &amp; lower-limb injuries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Feeds Ottawa Ankle Rules decision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Swelling &amp; ecchymosis</w:t>
            </w:r>
          </w:p>
        </w:tc>
        <w:tc>
          <w:tcPr>
            <w:tcW w:type="dxa" w:w="979"/>
            <w:vAlign w:val="top"/>
          </w:tcPr>
          <w:p>
            <w:pPr>
              <w:spacing w:after="40" w:before="0" w:line="259" w:lineRule="auto"/>
            </w:pPr>
            <w:r>
              <w:rPr>
                <w:rFonts w:ascii="Calibri" w:hAnsi="Calibri"/>
                <w:b w:val="0"/>
                <w:i w:val="0"/>
                <w:color w:val="212121"/>
                <w:sz w:val="16"/>
              </w:rPr>
              <w:t>Localised swelling, bruising, deformity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Rapid swelling, extensive bruising, deformity</w:t>
            </w:r>
          </w:p>
        </w:tc>
        <w:tc>
          <w:tcPr>
            <w:tcW w:type="dxa" w:w="1036"/>
            <w:vAlign w:val="top"/>
          </w:tcPr>
          <w:p>
            <w:pPr>
              <w:spacing w:after="40" w:before="0" w:line="259" w:lineRule="auto"/>
            </w:pPr>
            <w:r>
              <w:rPr>
                <w:rFonts w:ascii="Calibri" w:hAnsi="Calibri"/>
                <w:b w:val="0"/>
                <w:i w:val="0"/>
                <w:color w:val="212121"/>
                <w:sz w:val="16"/>
              </w:rPr>
              <w:t>Reflects bleeding and severity; deformity suggests rupture/fracture</w:t>
            </w:r>
          </w:p>
        </w:tc>
        <w:tc>
          <w:tcPr>
            <w:tcW w:type="dxa" w:w="1036"/>
            <w:vAlign w:val="top"/>
          </w:tcPr>
          <w:p>
            <w:pPr>
              <w:spacing w:after="40" w:before="0" w:line="259" w:lineRule="auto"/>
            </w:pPr>
            <w:r>
              <w:rPr>
                <w:rFonts w:ascii="Calibri" w:hAnsi="Calibri"/>
                <w:b w:val="0"/>
                <w:i w:val="0"/>
                <w:color w:val="212121"/>
                <w:sz w:val="16"/>
              </w:rPr>
              <w:t>Moderate–severe injuries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Bruising may track distally with gravity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Point tenderness &amp; gap</w:t>
            </w:r>
          </w:p>
        </w:tc>
        <w:tc>
          <w:tcPr>
            <w:tcW w:type="dxa" w:w="979"/>
            <w:vAlign w:val="top"/>
          </w:tcPr>
          <w:p>
            <w:pPr>
              <w:spacing w:after="40" w:before="0" w:line="259" w:lineRule="auto"/>
            </w:pPr>
            <w:r>
              <w:rPr>
                <w:rFonts w:ascii="Calibri" w:hAnsi="Calibri"/>
                <w:b w:val="0"/>
                <w:i w:val="0"/>
                <w:color w:val="212121"/>
                <w:sz w:val="16"/>
              </w:rPr>
              <w:t>Tenderness over ligament/muscle; palpable defect</w:t>
            </w:r>
          </w:p>
        </w:tc>
        <w:tc>
          <w:tcPr>
            <w:tcW w:type="dxa" w:w="950"/>
            <w:vAlign w:val="top"/>
          </w:tcPr>
          <w:p>
            <w:pPr>
              <w:spacing w:after="40" w:before="0" w:line="259" w:lineRule="auto"/>
            </w:pPr>
            <w:r>
              <w:rPr>
                <w:rFonts w:ascii="Calibri" w:hAnsi="Calibri"/>
                <w:b w:val="0"/>
                <w:i w:val="0"/>
                <w:color w:val="212121"/>
                <w:sz w:val="16"/>
              </w:rPr>
              <w:t>No focal tenderness</w:t>
            </w:r>
          </w:p>
        </w:tc>
        <w:tc>
          <w:tcPr>
            <w:tcW w:type="dxa" w:w="950"/>
            <w:vAlign w:val="top"/>
          </w:tcPr>
          <w:p>
            <w:pPr>
              <w:spacing w:after="40" w:before="0" w:line="259" w:lineRule="auto"/>
            </w:pPr>
            <w:r>
              <w:rPr>
                <w:rFonts w:ascii="Calibri" w:hAnsi="Calibri"/>
                <w:b w:val="0"/>
                <w:i w:val="0"/>
                <w:color w:val="212121"/>
                <w:sz w:val="16"/>
              </w:rPr>
              <w:t>Focal tenderness; palpable gap</w:t>
            </w:r>
          </w:p>
        </w:tc>
        <w:tc>
          <w:tcPr>
            <w:tcW w:type="dxa" w:w="1036"/>
            <w:vAlign w:val="top"/>
          </w:tcPr>
          <w:p>
            <w:pPr>
              <w:spacing w:after="40" w:before="0" w:line="259" w:lineRule="auto"/>
            </w:pPr>
            <w:r>
              <w:rPr>
                <w:rFonts w:ascii="Calibri" w:hAnsi="Calibri"/>
                <w:b w:val="0"/>
                <w:i w:val="0"/>
                <w:color w:val="212121"/>
                <w:sz w:val="16"/>
              </w:rPr>
              <w:t>Localises the injured structure; a gap suggests Grade III</w:t>
            </w:r>
          </w:p>
        </w:tc>
        <w:tc>
          <w:tcPr>
            <w:tcW w:type="dxa" w:w="1036"/>
            <w:vAlign w:val="top"/>
          </w:tcPr>
          <w:p>
            <w:pPr>
              <w:spacing w:after="40" w:before="0" w:line="259" w:lineRule="auto"/>
            </w:pPr>
            <w:r>
              <w:rPr>
                <w:rFonts w:ascii="Calibri" w:hAnsi="Calibri"/>
                <w:b w:val="0"/>
                <w:i w:val="0"/>
                <w:color w:val="212121"/>
                <w:sz w:val="16"/>
              </w:rPr>
              <w:t>All; suspected rupture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Palpate bony points for Ottawa rules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tests</w:t>
            </w:r>
          </w:p>
        </w:tc>
        <w:tc>
          <w:tcPr>
            <w:tcW w:type="dxa" w:w="950"/>
            <w:vAlign w:val="top"/>
          </w:tcPr>
          <w:p>
            <w:pPr>
              <w:spacing w:after="40" w:before="0" w:line="259" w:lineRule="auto"/>
            </w:pPr>
            <w:r>
              <w:rPr>
                <w:rFonts w:ascii="Calibri" w:hAnsi="Calibri"/>
                <w:b w:val="0"/>
                <w:i w:val="0"/>
                <w:color w:val="212121"/>
                <w:sz w:val="16"/>
              </w:rPr>
              <w:t>Joint stability tests</w:t>
            </w:r>
          </w:p>
        </w:tc>
        <w:tc>
          <w:tcPr>
            <w:tcW w:type="dxa" w:w="979"/>
            <w:vAlign w:val="top"/>
          </w:tcPr>
          <w:p>
            <w:pPr>
              <w:spacing w:after="40" w:before="0" w:line="259" w:lineRule="auto"/>
            </w:pPr>
            <w:r>
              <w:rPr>
                <w:rFonts w:ascii="Calibri" w:hAnsi="Calibri"/>
                <w:b w:val="0"/>
                <w:i w:val="0"/>
                <w:color w:val="212121"/>
                <w:sz w:val="16"/>
              </w:rPr>
              <w:t>Anterior drawer (ATFL), talar tilt (CFL), squeeze/ER (syndesmosis)</w:t>
            </w:r>
          </w:p>
        </w:tc>
        <w:tc>
          <w:tcPr>
            <w:tcW w:type="dxa" w:w="950"/>
            <w:vAlign w:val="top"/>
          </w:tcPr>
          <w:p>
            <w:pPr>
              <w:spacing w:after="40" w:before="0" w:line="259" w:lineRule="auto"/>
            </w:pPr>
            <w:r>
              <w:rPr>
                <w:rFonts w:ascii="Calibri" w:hAnsi="Calibri"/>
                <w:b w:val="0"/>
                <w:i w:val="0"/>
                <w:color w:val="212121"/>
                <w:sz w:val="16"/>
              </w:rPr>
              <w:t>Firm end-point, no excess laxity</w:t>
            </w:r>
          </w:p>
        </w:tc>
        <w:tc>
          <w:tcPr>
            <w:tcW w:type="dxa" w:w="950"/>
            <w:vAlign w:val="top"/>
          </w:tcPr>
          <w:p>
            <w:pPr>
              <w:spacing w:after="40" w:before="0" w:line="259" w:lineRule="auto"/>
            </w:pPr>
            <w:r>
              <w:rPr>
                <w:rFonts w:ascii="Calibri" w:hAnsi="Calibri"/>
                <w:b w:val="0"/>
                <w:i w:val="0"/>
                <w:color w:val="212121"/>
                <w:sz w:val="16"/>
              </w:rPr>
              <w:t>Increased laxity, empty end-feel</w:t>
            </w:r>
          </w:p>
        </w:tc>
        <w:tc>
          <w:tcPr>
            <w:tcW w:type="dxa" w:w="1036"/>
            <w:vAlign w:val="top"/>
          </w:tcPr>
          <w:p>
            <w:pPr>
              <w:spacing w:after="40" w:before="0" w:line="259" w:lineRule="auto"/>
            </w:pPr>
            <w:r>
              <w:rPr>
                <w:rFonts w:ascii="Calibri" w:hAnsi="Calibri"/>
                <w:b w:val="0"/>
                <w:i w:val="0"/>
                <w:color w:val="212121"/>
                <w:sz w:val="16"/>
              </w:rPr>
              <w:t>Identifies the ligament injured and mechanical instability</w:t>
            </w:r>
          </w:p>
        </w:tc>
        <w:tc>
          <w:tcPr>
            <w:tcW w:type="dxa" w:w="1036"/>
            <w:vAlign w:val="top"/>
          </w:tcPr>
          <w:p>
            <w:pPr>
              <w:spacing w:after="40" w:before="0" w:line="259" w:lineRule="auto"/>
            </w:pPr>
            <w:r>
              <w:rPr>
                <w:rFonts w:ascii="Calibri" w:hAnsi="Calibri"/>
                <w:b w:val="0"/>
                <w:i w:val="0"/>
                <w:color w:val="212121"/>
                <w:sz w:val="16"/>
              </w:rPr>
              <w:t>Ankle sprains, suspected instability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Best done once acute pain/spasm settles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tests</w:t>
            </w:r>
          </w:p>
        </w:tc>
        <w:tc>
          <w:tcPr>
            <w:tcW w:type="dxa" w:w="950"/>
            <w:vAlign w:val="top"/>
          </w:tcPr>
          <w:p>
            <w:pPr>
              <w:spacing w:after="40" w:before="0" w:line="259" w:lineRule="auto"/>
            </w:pPr>
            <w:r>
              <w:rPr>
                <w:rFonts w:ascii="Calibri" w:hAnsi="Calibri"/>
                <w:b w:val="0"/>
                <w:i w:val="0"/>
                <w:color w:val="212121"/>
                <w:sz w:val="16"/>
              </w:rPr>
              <w:t>Muscle–tendon integrity</w:t>
            </w:r>
          </w:p>
        </w:tc>
        <w:tc>
          <w:tcPr>
            <w:tcW w:type="dxa" w:w="979"/>
            <w:vAlign w:val="top"/>
          </w:tcPr>
          <w:p>
            <w:pPr>
              <w:spacing w:after="40" w:before="0" w:line="259" w:lineRule="auto"/>
            </w:pPr>
            <w:r>
              <w:rPr>
                <w:rFonts w:ascii="Calibri" w:hAnsi="Calibri"/>
                <w:b w:val="0"/>
                <w:i w:val="0"/>
                <w:color w:val="212121"/>
                <w:sz w:val="16"/>
              </w:rPr>
              <w:t>Resisted/painful contraction; Thompson test (Achilles)</w:t>
            </w:r>
          </w:p>
        </w:tc>
        <w:tc>
          <w:tcPr>
            <w:tcW w:type="dxa" w:w="950"/>
            <w:vAlign w:val="top"/>
          </w:tcPr>
          <w:p>
            <w:pPr>
              <w:spacing w:after="40" w:before="0" w:line="259" w:lineRule="auto"/>
            </w:pPr>
            <w:r>
              <w:rPr>
                <w:rFonts w:ascii="Calibri" w:hAnsi="Calibri"/>
                <w:b w:val="0"/>
                <w:i w:val="0"/>
                <w:color w:val="212121"/>
                <w:sz w:val="16"/>
              </w:rPr>
              <w:t>Strong, painless contraction</w:t>
            </w:r>
          </w:p>
        </w:tc>
        <w:tc>
          <w:tcPr>
            <w:tcW w:type="dxa" w:w="950"/>
            <w:vAlign w:val="top"/>
          </w:tcPr>
          <w:p>
            <w:pPr>
              <w:spacing w:after="40" w:before="0" w:line="259" w:lineRule="auto"/>
            </w:pPr>
            <w:r>
              <w:rPr>
                <w:rFonts w:ascii="Calibri" w:hAnsi="Calibri"/>
                <w:b w:val="0"/>
                <w:i w:val="0"/>
                <w:color w:val="212121"/>
                <w:sz w:val="16"/>
              </w:rPr>
              <w:t>Weak/painful contraction; positive Thompson</w:t>
            </w:r>
          </w:p>
        </w:tc>
        <w:tc>
          <w:tcPr>
            <w:tcW w:type="dxa" w:w="1036"/>
            <w:vAlign w:val="top"/>
          </w:tcPr>
          <w:p>
            <w:pPr>
              <w:spacing w:after="40" w:before="0" w:line="259" w:lineRule="auto"/>
            </w:pPr>
            <w:r>
              <w:rPr>
                <w:rFonts w:ascii="Calibri" w:hAnsi="Calibri"/>
                <w:b w:val="0"/>
                <w:i w:val="0"/>
                <w:color w:val="212121"/>
                <w:sz w:val="16"/>
              </w:rPr>
              <w:t>Confirms strain vs complete tendon rupture</w:t>
            </w:r>
          </w:p>
        </w:tc>
        <w:tc>
          <w:tcPr>
            <w:tcW w:type="dxa" w:w="1036"/>
            <w:vAlign w:val="top"/>
          </w:tcPr>
          <w:p>
            <w:pPr>
              <w:spacing w:after="40" w:before="0" w:line="259" w:lineRule="auto"/>
            </w:pPr>
            <w:r>
              <w:rPr>
                <w:rFonts w:ascii="Calibri" w:hAnsi="Calibri"/>
                <w:b w:val="0"/>
                <w:i w:val="0"/>
                <w:color w:val="212121"/>
                <w:sz w:val="16"/>
              </w:rPr>
              <w:t>Hamstring, calf, Achilles injuries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Positive Thompson indicates Achilles rupture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Neurovascular / screening</w:t>
            </w:r>
          </w:p>
        </w:tc>
        <w:tc>
          <w:tcPr>
            <w:tcW w:type="dxa" w:w="950"/>
            <w:vAlign w:val="top"/>
          </w:tcPr>
          <w:p>
            <w:pPr>
              <w:spacing w:after="40" w:before="0" w:line="259" w:lineRule="auto"/>
            </w:pPr>
            <w:r>
              <w:rPr>
                <w:rFonts w:ascii="Calibri" w:hAnsi="Calibri"/>
                <w:b w:val="0"/>
                <w:i w:val="0"/>
                <w:color w:val="212121"/>
                <w:sz w:val="16"/>
              </w:rPr>
              <w:t>Distal neurovascular &amp; hypermobility check</w:t>
            </w:r>
          </w:p>
        </w:tc>
        <w:tc>
          <w:tcPr>
            <w:tcW w:type="dxa" w:w="979"/>
            <w:vAlign w:val="top"/>
          </w:tcPr>
          <w:p>
            <w:pPr>
              <w:spacing w:after="40" w:before="0" w:line="259" w:lineRule="auto"/>
            </w:pPr>
            <w:r>
              <w:rPr>
                <w:rFonts w:ascii="Calibri" w:hAnsi="Calibri"/>
                <w:b w:val="0"/>
                <w:i w:val="0"/>
                <w:color w:val="212121"/>
                <w:sz w:val="16"/>
              </w:rPr>
              <w:t>Pulses, sensation; Beighton score</w:t>
            </w:r>
          </w:p>
        </w:tc>
        <w:tc>
          <w:tcPr>
            <w:tcW w:type="dxa" w:w="950"/>
            <w:vAlign w:val="top"/>
          </w:tcPr>
          <w:p>
            <w:pPr>
              <w:spacing w:after="40" w:before="0" w:line="259" w:lineRule="auto"/>
            </w:pPr>
            <w:r>
              <w:rPr>
                <w:rFonts w:ascii="Calibri" w:hAnsi="Calibri"/>
                <w:b w:val="0"/>
                <w:i w:val="0"/>
                <w:color w:val="212121"/>
                <w:sz w:val="16"/>
              </w:rPr>
              <w:t>Intact pulses/sensation; Beighton low</w:t>
            </w:r>
          </w:p>
        </w:tc>
        <w:tc>
          <w:tcPr>
            <w:tcW w:type="dxa" w:w="950"/>
            <w:vAlign w:val="top"/>
          </w:tcPr>
          <w:p>
            <w:pPr>
              <w:spacing w:after="40" w:before="0" w:line="259" w:lineRule="auto"/>
            </w:pPr>
            <w:r>
              <w:rPr>
                <w:rFonts w:ascii="Calibri" w:hAnsi="Calibri"/>
                <w:b w:val="0"/>
                <w:i w:val="0"/>
                <w:color w:val="212121"/>
                <w:sz w:val="16"/>
              </w:rPr>
              <w:t>Deficit; Beighton ≥ 5 (hypermobile)</w:t>
            </w:r>
          </w:p>
        </w:tc>
        <w:tc>
          <w:tcPr>
            <w:tcW w:type="dxa" w:w="1036"/>
            <w:vAlign w:val="top"/>
          </w:tcPr>
          <w:p>
            <w:pPr>
              <w:spacing w:after="40" w:before="0" w:line="259" w:lineRule="auto"/>
            </w:pPr>
            <w:r>
              <w:rPr>
                <w:rFonts w:ascii="Calibri" w:hAnsi="Calibri"/>
                <w:b w:val="0"/>
                <w:i w:val="0"/>
                <w:color w:val="212121"/>
                <w:sz w:val="16"/>
              </w:rPr>
              <w:t>Excludes nerve/vascular/compartment injury; flags laxity driving recurrence</w:t>
            </w:r>
          </w:p>
        </w:tc>
        <w:tc>
          <w:tcPr>
            <w:tcW w:type="dxa" w:w="1036"/>
            <w:vAlign w:val="top"/>
          </w:tcPr>
          <w:p>
            <w:pPr>
              <w:spacing w:after="40" w:before="0" w:line="259" w:lineRule="auto"/>
            </w:pPr>
            <w:r>
              <w:rPr>
                <w:rFonts w:ascii="Calibri" w:hAnsi="Calibri"/>
                <w:b w:val="0"/>
                <w:i w:val="0"/>
                <w:color w:val="212121"/>
                <w:sz w:val="16"/>
              </w:rPr>
              <w:t>Severe injury, recurrent sprains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Numbness/tense swelling is a red flag for compartment syndrome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Immediate at the injury site, worse with movement, stretch or weight-bearing.</w:t>
            </w:r>
          </w:p>
        </w:tc>
      </w:tr>
      <w:tr>
        <w:trPr>
          <w:cantSplit/>
        </w:trPr>
        <w:tc>
          <w:tcPr>
            <w:tcW w:type="dxa" w:w="2304"/>
            <w:vAlign w:val="top"/>
          </w:tcPr>
          <w:p>
            <w:pPr>
              <w:spacing w:after="40" w:before="0" w:line="259" w:lineRule="auto"/>
            </w:pPr>
            <w:r>
              <w:rPr>
                <w:rFonts w:ascii="Calibri" w:hAnsi="Calibri"/>
                <w:b/>
                <w:i w:val="0"/>
                <w:color w:val="212121"/>
                <w:sz w:val="19"/>
              </w:rPr>
              <w:t>Swelling /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Develops over minutes to hours from inflammation and local bleeding.</w:t>
            </w:r>
          </w:p>
        </w:tc>
      </w:tr>
      <w:tr>
        <w:trPr>
          <w:cantSplit/>
        </w:trPr>
        <w:tc>
          <w:tcPr>
            <w:tcW w:type="dxa" w:w="2304"/>
            <w:vAlign w:val="top"/>
          </w:tcPr>
          <w:p>
            <w:pPr>
              <w:spacing w:after="40" w:before="0" w:line="259" w:lineRule="auto"/>
            </w:pPr>
            <w:r>
              <w:rPr>
                <w:rFonts w:ascii="Calibri" w:hAnsi="Calibri"/>
                <w:b/>
                <w:i w:val="0"/>
                <w:color w:val="212121"/>
                <w:sz w:val="19"/>
              </w:rPr>
              <w:t>Bruising / ecchymosis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torn fibres and small vessels; may track distally with gravity.</w:t>
            </w:r>
          </w:p>
        </w:tc>
      </w:tr>
      <w:tr>
        <w:trPr>
          <w:cantSplit/>
        </w:trPr>
        <w:tc>
          <w:tcPr>
            <w:tcW w:type="dxa" w:w="2304"/>
            <w:vAlign w:val="top"/>
          </w:tcPr>
          <w:p>
            <w:pPr>
              <w:spacing w:after="40" w:before="0" w:line="259" w:lineRule="auto"/>
            </w:pPr>
            <w:r>
              <w:rPr>
                <w:rFonts w:ascii="Calibri" w:hAnsi="Calibri"/>
                <w:b/>
                <w:i w:val="0"/>
                <w:color w:val="212121"/>
                <w:sz w:val="19"/>
              </w:rPr>
              <w:t>Audible or felt “pop” / tearing at injury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a higher-grade ligament or muscle–tendon tear.</w:t>
            </w:r>
          </w:p>
        </w:tc>
      </w:tr>
      <w:tr>
        <w:trPr>
          <w:cantSplit/>
        </w:trPr>
        <w:tc>
          <w:tcPr>
            <w:tcW w:type="dxa" w:w="2304"/>
            <w:vAlign w:val="top"/>
          </w:tcPr>
          <w:p>
            <w:pPr>
              <w:spacing w:after="40" w:before="0" w:line="259" w:lineRule="auto"/>
            </w:pPr>
            <w:r>
              <w:rPr>
                <w:rFonts w:ascii="Calibri" w:hAnsi="Calibri"/>
                <w:b/>
                <w:i w:val="0"/>
                <w:color w:val="212121"/>
                <w:sz w:val="19"/>
              </w:rPr>
              <w:t>Reduced range of motion /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swelling and guarding limit movement of the joint or muscle.</w:t>
            </w:r>
          </w:p>
        </w:tc>
      </w:tr>
      <w:tr>
        <w:trPr>
          <w:cantSplit/>
        </w:trPr>
        <w:tc>
          <w:tcPr>
            <w:tcW w:type="dxa" w:w="2304"/>
            <w:vAlign w:val="top"/>
          </w:tcPr>
          <w:p>
            <w:pPr>
              <w:spacing w:after="40" w:before="0" w:line="259" w:lineRule="auto"/>
            </w:pPr>
            <w:r>
              <w:rPr>
                <w:rFonts w:ascii="Calibri" w:hAnsi="Calibri"/>
                <w:b/>
                <w:i w:val="0"/>
                <w:color w:val="212121"/>
                <w:sz w:val="19"/>
              </w:rPr>
              <w:t>Muscle spasm or cramping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protective spasm, characteristic of muscle strains (e.g., low back, calf).</w:t>
            </w:r>
          </w:p>
        </w:tc>
      </w:tr>
      <w:tr>
        <w:trPr>
          <w:cantSplit/>
        </w:trPr>
        <w:tc>
          <w:tcPr>
            <w:tcW w:type="dxa" w:w="2304"/>
            <w:vAlign w:val="top"/>
          </w:tcPr>
          <w:p>
            <w:pPr>
              <w:spacing w:after="40" w:before="0" w:line="259" w:lineRule="auto"/>
            </w:pPr>
            <w:r>
              <w:rPr>
                <w:rFonts w:ascii="Calibri" w:hAnsi="Calibri"/>
                <w:b/>
                <w:i w:val="0"/>
                <w:color w:val="212121"/>
                <w:sz w:val="19"/>
              </w:rPr>
              <w:t>Weakness / difficulty using the part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strength or inability to bear weight in higher-grade injuries.</w:t>
            </w:r>
          </w:p>
        </w:tc>
      </w:tr>
      <w:tr>
        <w:trPr>
          <w:cantSplit/>
        </w:trPr>
        <w:tc>
          <w:tcPr>
            <w:tcW w:type="dxa" w:w="2304"/>
            <w:vAlign w:val="top"/>
          </w:tcPr>
          <w:p>
            <w:pPr>
              <w:spacing w:after="40" w:before="0" w:line="259" w:lineRule="auto"/>
            </w:pPr>
            <w:r>
              <w:rPr>
                <w:rFonts w:ascii="Calibri" w:hAnsi="Calibri"/>
                <w:b/>
                <w:i w:val="0"/>
                <w:color w:val="212121"/>
                <w:sz w:val="19"/>
              </w:rPr>
              <w:t>Tenderness to touch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Focal tenderness overlies the injured ligament or muscle–tendon unit.</w:t>
            </w:r>
          </w:p>
        </w:tc>
      </w:tr>
      <w:tr>
        <w:trPr>
          <w:cantSplit/>
        </w:trPr>
        <w:tc>
          <w:tcPr>
            <w:tcW w:type="dxa" w:w="2304"/>
            <w:vAlign w:val="top"/>
          </w:tcPr>
          <w:p>
            <w:pPr>
              <w:spacing w:after="40" w:before="0" w:line="259" w:lineRule="auto"/>
            </w:pPr>
            <w:r>
              <w:rPr>
                <w:rFonts w:ascii="Calibri" w:hAnsi="Calibri"/>
                <w:b/>
                <w:i w:val="0"/>
                <w:color w:val="212121"/>
                <w:sz w:val="19"/>
              </w:rPr>
              <w:t>Joint instability / “giving way”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Feeling that the joint gives out, typical of severe sprain or chronic instability.</w:t>
            </w:r>
          </w:p>
        </w:tc>
      </w:tr>
      <w:tr>
        <w:trPr>
          <w:cantSplit/>
        </w:trPr>
        <w:tc>
          <w:tcPr>
            <w:tcW w:type="dxa" w:w="2304"/>
            <w:vAlign w:val="top"/>
          </w:tcPr>
          <w:p>
            <w:pPr>
              <w:spacing w:after="40" w:before="0" w:line="259" w:lineRule="auto"/>
            </w:pPr>
            <w:r>
              <w:rPr>
                <w:rFonts w:ascii="Calibri" w:hAnsi="Calibri"/>
                <w:b/>
                <w:i w:val="0"/>
                <w:color w:val="212121"/>
                <w:sz w:val="19"/>
              </w:rPr>
              <w:t>Numbness / tingling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nerve involvement or, with tense swelling, evolving compartment syndrome — a red flag.</w:t>
            </w:r>
          </w:p>
        </w:tc>
      </w:tr>
      <w:tr>
        <w:trPr>
          <w:cantSplit/>
        </w:trPr>
        <w:tc>
          <w:tcPr>
            <w:tcW w:type="dxa" w:w="2304"/>
            <w:vAlign w:val="top"/>
          </w:tcPr>
          <w:p>
            <w:pPr>
              <w:spacing w:after="40" w:before="0" w:line="259" w:lineRule="auto"/>
            </w:pPr>
            <w:r>
              <w:rPr>
                <w:rFonts w:ascii="Calibri" w:hAnsi="Calibri"/>
                <w:b/>
                <w:i w:val="0"/>
                <w:color w:val="212121"/>
                <w:sz w:val="19"/>
              </w:rPr>
              <w:t>Warmth / redness over the area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Part of the inflammatory response; marked heat/redness should prompt exclusion of infection.</w:t>
            </w:r>
          </w:p>
        </w:tc>
      </w:tr>
      <w:tr>
        <w:trPr>
          <w:cantSplit/>
        </w:trPr>
        <w:tc>
          <w:tcPr>
            <w:tcW w:type="dxa" w:w="2304"/>
            <w:vAlign w:val="top"/>
          </w:tcPr>
          <w:p>
            <w:pPr>
              <w:spacing w:after="40" w:before="0" w:line="259" w:lineRule="auto"/>
            </w:pPr>
            <w:r>
              <w:rPr>
                <w:rFonts w:ascii="Calibri" w:hAnsi="Calibri"/>
                <w:b/>
                <w:i w:val="0"/>
                <w:color w:val="212121"/>
                <w:sz w:val="19"/>
              </w:rPr>
              <w:t>Delayed-onset pain/tenderness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(Grade I) muscle strains may only become painful hours after activity.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Localised swelling / effusion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Soft-tissue or joint swelling over the injured structure.</w:t>
            </w:r>
          </w:p>
        </w:tc>
      </w:tr>
      <w:tr>
        <w:trPr>
          <w:cantSplit/>
        </w:trPr>
        <w:tc>
          <w:tcPr>
            <w:tcW w:type="dxa" w:w="3456"/>
            <w:vAlign w:val="top"/>
          </w:tcPr>
          <w:p>
            <w:pPr>
              <w:spacing w:after="40" w:before="0" w:line="259" w:lineRule="auto"/>
            </w:pPr>
            <w:r>
              <w:rPr>
                <w:rFonts w:ascii="Calibri" w:hAnsi="Calibri"/>
                <w:b/>
                <w:i w:val="0"/>
                <w:color w:val="212121"/>
                <w:sz w:val="19"/>
              </w:rPr>
              <w:t>Ecchymosis / bruising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bruising, often appearing and tracking over 24–72 hours.</w:t>
            </w:r>
          </w:p>
        </w:tc>
      </w:tr>
      <w:tr>
        <w:trPr>
          <w:cantSplit/>
        </w:trPr>
        <w:tc>
          <w:tcPr>
            <w:tcW w:type="dxa" w:w="3456"/>
            <w:vAlign w:val="top"/>
          </w:tcPr>
          <w:p>
            <w:pPr>
              <w:spacing w:after="40" w:before="0" w:line="259" w:lineRule="auto"/>
            </w:pPr>
            <w:r>
              <w:rPr>
                <w:rFonts w:ascii="Calibri" w:hAnsi="Calibri"/>
                <w:b/>
                <w:i w:val="0"/>
                <w:color w:val="212121"/>
                <w:sz w:val="19"/>
              </w:rPr>
              <w:t>Point tenderness over ligament/muscle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Maximal tenderness localises the injured structure (e.g., over the ATFL).</w:t>
            </w:r>
          </w:p>
        </w:tc>
      </w:tr>
      <w:tr>
        <w:trPr>
          <w:cantSplit/>
        </w:trPr>
        <w:tc>
          <w:tcPr>
            <w:tcW w:type="dxa" w:w="3456"/>
            <w:vAlign w:val="top"/>
          </w:tcPr>
          <w:p>
            <w:pPr>
              <w:spacing w:after="40" w:before="0" w:line="259" w:lineRule="auto"/>
            </w:pPr>
            <w:r>
              <w:rPr>
                <w:rFonts w:ascii="Calibri" w:hAnsi="Calibri"/>
                <w:b/>
                <w:i w:val="0"/>
                <w:color w:val="212121"/>
                <w:sz w:val="19"/>
              </w:rPr>
              <w:t>Antalgic gait / inability to bear weight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Limping or refusal to weight-bear indicates a higher-grade lower-limb injury.</w:t>
            </w:r>
          </w:p>
        </w:tc>
      </w:tr>
      <w:tr>
        <w:trPr>
          <w:cantSplit/>
        </w:trPr>
        <w:tc>
          <w:tcPr>
            <w:tcW w:type="dxa" w:w="3456"/>
            <w:vAlign w:val="top"/>
          </w:tcPr>
          <w:p>
            <w:pPr>
              <w:spacing w:after="40" w:before="0" w:line="259" w:lineRule="auto"/>
            </w:pPr>
            <w:r>
              <w:rPr>
                <w:rFonts w:ascii="Calibri" w:hAnsi="Calibri"/>
                <w:b/>
                <w:i w:val="0"/>
                <w:color w:val="212121"/>
                <w:sz w:val="19"/>
              </w:rPr>
              <w:t>Painful / restricted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Active and passive movement are limited by pain and swelling.</w:t>
            </w:r>
          </w:p>
        </w:tc>
      </w:tr>
      <w:tr>
        <w:trPr>
          <w:cantSplit/>
        </w:trPr>
        <w:tc>
          <w:tcPr>
            <w:tcW w:type="dxa" w:w="3456"/>
            <w:vAlign w:val="top"/>
          </w:tcPr>
          <w:p>
            <w:pPr>
              <w:spacing w:after="40" w:before="0" w:line="259" w:lineRule="auto"/>
            </w:pPr>
            <w:r>
              <w:rPr>
                <w:rFonts w:ascii="Calibri" w:hAnsi="Calibri"/>
                <w:b/>
                <w:i w:val="0"/>
                <w:color w:val="212121"/>
                <w:sz w:val="19"/>
              </w:rPr>
              <w:t>Weakness on resisted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Pain-limited or true weakness on resisted contraction of the strained muscle.</w:t>
            </w:r>
          </w:p>
        </w:tc>
      </w:tr>
      <w:tr>
        <w:trPr>
          <w:cantSplit/>
        </w:trPr>
        <w:tc>
          <w:tcPr>
            <w:tcW w:type="dxa" w:w="3456"/>
            <w:vAlign w:val="top"/>
          </w:tcPr>
          <w:p>
            <w:pPr>
              <w:spacing w:after="40" w:before="0" w:line="259" w:lineRule="auto"/>
            </w:pPr>
            <w:r>
              <w:rPr>
                <w:rFonts w:ascii="Calibri" w:hAnsi="Calibri"/>
                <w:b/>
                <w:i w:val="0"/>
                <w:color w:val="212121"/>
                <w:sz w:val="19"/>
              </w:rPr>
              <w:t>Positive stability special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Positive anterior drawer or talar tilt indicates ATFL/CFL laxity.</w:t>
            </w:r>
          </w:p>
        </w:tc>
      </w:tr>
      <w:tr>
        <w:trPr>
          <w:cantSplit/>
        </w:trPr>
        <w:tc>
          <w:tcPr>
            <w:tcW w:type="dxa" w:w="3456"/>
            <w:vAlign w:val="top"/>
          </w:tcPr>
          <w:p>
            <w:pPr>
              <w:spacing w:after="40" w:before="0" w:line="259" w:lineRule="auto"/>
            </w:pPr>
            <w:r>
              <w:rPr>
                <w:rFonts w:ascii="Calibri" w:hAnsi="Calibri"/>
                <w:b/>
                <w:i w:val="0"/>
                <w:color w:val="212121"/>
                <w:sz w:val="19"/>
              </w:rPr>
              <w:t>Palpable gap or defect in muscle belly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a Grade III (complete) muscle or tendon rupture.</w:t>
            </w:r>
          </w:p>
        </w:tc>
      </w:tr>
      <w:tr>
        <w:trPr>
          <w:cantSplit/>
        </w:trPr>
        <w:tc>
          <w:tcPr>
            <w:tcW w:type="dxa" w:w="3456"/>
            <w:vAlign w:val="top"/>
          </w:tcPr>
          <w:p>
            <w:pPr>
              <w:spacing w:after="40" w:before="0" w:line="259" w:lineRule="auto"/>
            </w:pPr>
            <w:r>
              <w:rPr>
                <w:rFonts w:ascii="Calibri" w:hAnsi="Calibri"/>
                <w:b/>
                <w:i w:val="0"/>
                <w:color w:val="212121"/>
                <w:sz w:val="19"/>
              </w:rPr>
              <w:t>Positive Thompson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Absent plantarflexion on calf squeeze indicates Achilles tendon rupture.</w:t>
            </w:r>
          </w:p>
        </w:tc>
      </w:tr>
      <w:tr>
        <w:trPr>
          <w:cantSplit/>
        </w:trPr>
        <w:tc>
          <w:tcPr>
            <w:tcW w:type="dxa" w:w="3456"/>
            <w:vAlign w:val="top"/>
          </w:tcPr>
          <w:p>
            <w:pPr>
              <w:spacing w:after="40" w:before="0" w:line="259" w:lineRule="auto"/>
            </w:pPr>
            <w:r>
              <w:rPr>
                <w:rFonts w:ascii="Calibri" w:hAnsi="Calibri"/>
                <w:b/>
                <w:i w:val="0"/>
                <w:color w:val="212121"/>
                <w:sz w:val="19"/>
              </w:rPr>
              <w:t>Gross joint laxity / instability on stress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Empty end-feel and excess translation indicate a Grade III sprain.</w:t>
            </w:r>
          </w:p>
        </w:tc>
      </w:tr>
      <w:tr>
        <w:trPr>
          <w:cantSplit/>
        </w:trPr>
        <w:tc>
          <w:tcPr>
            <w:tcW w:type="dxa" w:w="3456"/>
            <w:vAlign w:val="top"/>
          </w:tcPr>
          <w:p>
            <w:pPr>
              <w:spacing w:after="40" w:before="0" w:line="259" w:lineRule="auto"/>
            </w:pPr>
            <w:r>
              <w:rPr>
                <w:rFonts w:ascii="Calibri" w:hAnsi="Calibri"/>
                <w:b/>
                <w:i w:val="0"/>
                <w:color w:val="212121"/>
                <w:sz w:val="19"/>
              </w:rPr>
              <w:t>Neurovascular deficit / tense compartment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Diminished pulses, sensory loss or a tense, exquisitely painful limb — a surgical red flag.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 swelling and functional loss limiting mobility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Haematoma / haemarthrosis from torn fibres and vessels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joint instability (Grade III sprain)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avulsion or occult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Incomplete or delayed primary healing</w:t>
            </w:r>
          </w:p>
        </w:tc>
        <w:tc>
          <w:tcPr>
            <w:tcW w:type="dxa" w:w="2980"/>
            <w:vAlign w:val="top"/>
          </w:tcPr>
          <w:p>
            <w:pPr>
              <w:spacing w:after="40" w:before="0" w:line="259" w:lineRule="auto"/>
            </w:pPr>
            <w:r>
              <w:rPr>
                <w:rFonts w:ascii="Calibri" w:hAnsi="Calibri"/>
                <w:b w:val="0"/>
                <w:i w:val="0"/>
                <w:color w:val="212121"/>
                <w:sz w:val="19"/>
              </w:rPr>
              <w:t>Direct acute consequences of the ligament or muscle–tendon tear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sprains and re-injury (up to ~70% after a first lateral ankle sprain)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ankle instability (about 1 in 5 acute sprains)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and persistent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weakness, atrophy and proprioceptive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Tendinopathy and scar/adhesion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Myositis ossificans (heterotopic bone) after severe muscle strain</w:t>
            </w:r>
          </w:p>
        </w:tc>
        <w:tc>
          <w:tcPr>
            <w:tcW w:type="dxa" w:w="2980"/>
            <w:vAlign w:val="top"/>
          </w:tcPr>
          <w:p>
            <w:pPr>
              <w:spacing w:after="40" w:before="0" w:line="259" w:lineRule="auto"/>
            </w:pPr>
            <w:r>
              <w:rPr>
                <w:rFonts w:ascii="Calibri" w:hAnsi="Calibri"/>
                <w:b w:val="0"/>
                <w:i w:val="0"/>
                <w:color w:val="212121"/>
                <w:sz w:val="19"/>
              </w:rPr>
              <w:t>Result from inadequate healing, poor rehabilitation and residual laxity or deconditioning.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Post-traumatic osteoarthritis of the injured joint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functional disability and reduced participation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low-back pain from recurrent lumbar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Kinesiophobia (fear-avoidance) with deconditioning and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sporting career or occupational capacity</w:t>
            </w:r>
          </w:p>
        </w:tc>
        <w:tc>
          <w:tcPr>
            <w:tcW w:type="dxa" w:w="2980"/>
            <w:vAlign w:val="top"/>
          </w:tcPr>
          <w:p>
            <w:pPr>
              <w:spacing w:after="40" w:before="0" w:line="259" w:lineRule="auto"/>
            </w:pPr>
            <w:r>
              <w:rPr>
                <w:rFonts w:ascii="Calibri" w:hAnsi="Calibri"/>
                <w:b w:val="0"/>
                <w:i w:val="0"/>
                <w:color w:val="212121"/>
                <w:sz w:val="19"/>
              </w:rPr>
              <w:t>Irreversible or long-term outcomes of untreated, severe or repeatedly injured soft tissue.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ankle instability (CAI)</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Residual laxity and sensorimotor deficit after a sprain cause repeated “giving way”; about one in five acute ankle sprains progress to CAI.</w:t>
            </w:r>
          </w:p>
          <w:p>
            <w:pPr>
              <w:spacing w:after="40" w:before="0" w:line="259" w:lineRule="auto"/>
            </w:pPr>
            <w:r>
              <w:rPr>
                <w:rFonts w:ascii="Calibri" w:hAnsi="Calibri"/>
                <w:b/>
                <w:i w:val="0"/>
                <w:color w:val="212121"/>
                <w:sz w:val="19"/>
              </w:rPr>
              <w:t>~20%</w:t>
            </w:r>
          </w:p>
        </w:tc>
      </w:tr>
      <w:tr>
        <w:trPr>
          <w:cantSplit/>
        </w:trPr>
        <w:tc>
          <w:tcPr>
            <w:tcW w:type="dxa" w:w="2232"/>
            <w:vAlign w:val="top"/>
          </w:tcPr>
          <w:p>
            <w:pPr>
              <w:spacing w:after="40" w:before="0" w:line="259" w:lineRule="auto"/>
            </w:pPr>
            <w:r>
              <w:rPr>
                <w:rFonts w:ascii="Calibri" w:hAnsi="Calibri"/>
                <w:b/>
                <w:i w:val="0"/>
                <w:color w:val="212121"/>
                <w:sz w:val="19"/>
              </w:rPr>
              <w:t>Recurrent sprain / re-injury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Incomplete healing and proprioceptive loss leave the joint prone to repeated sprains.</w:t>
            </w:r>
          </w:p>
          <w:p>
            <w:pPr>
              <w:spacing w:after="40" w:before="0" w:line="259" w:lineRule="auto"/>
            </w:pPr>
            <w:r>
              <w:rPr>
                <w:rFonts w:ascii="Calibri" w:hAnsi="Calibri"/>
                <w:b/>
                <w:i w:val="0"/>
                <w:color w:val="212121"/>
                <w:sz w:val="19"/>
              </w:rPr>
              <w:t>Up to ~70% (first lateral ankle sprain)</w:t>
            </w:r>
          </w:p>
        </w:tc>
      </w:tr>
      <w:tr>
        <w:trPr>
          <w:cantSplit/>
        </w:trPr>
        <w:tc>
          <w:tcPr>
            <w:tcW w:type="dxa" w:w="2232"/>
            <w:vAlign w:val="top"/>
          </w:tcPr>
          <w:p>
            <w:pPr>
              <w:spacing w:after="40" w:before="0" w:line="259" w:lineRule="auto"/>
            </w:pPr>
            <w:r>
              <w:rPr>
                <w:rFonts w:ascii="Calibri" w:hAnsi="Calibri"/>
                <w:b/>
                <w:i w:val="0"/>
                <w:color w:val="212121"/>
                <w:sz w:val="19"/>
              </w:rPr>
              <w:t>Post-traumatic osteoarthritis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Severe or repeated sprains damage cartilage and destabilise the joint, accelerating degenerative change.</w:t>
            </w:r>
          </w:p>
        </w:tc>
      </w:tr>
      <w:tr>
        <w:trPr>
          <w:cantSplit/>
        </w:trPr>
        <w:tc>
          <w:tcPr>
            <w:tcW w:type="dxa" w:w="2232"/>
            <w:vAlign w:val="top"/>
          </w:tcPr>
          <w:p>
            <w:pPr>
              <w:spacing w:after="40" w:before="0" w:line="259" w:lineRule="auto"/>
            </w:pPr>
            <w:r>
              <w:rPr>
                <w:rFonts w:ascii="Calibri" w:hAnsi="Calibri"/>
                <w:b/>
                <w:i w:val="0"/>
                <w:color w:val="212121"/>
                <w:sz w:val="19"/>
              </w:rPr>
              <w:t>Joint hypermobility / Ehlers–Danlos spectrum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Constitutional ligamentous laxity permits excess joint motion and predisposes to recurrent sprains.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Excess body mass increases joint load and alters balance, raising sprain risk and slowing recovery.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Neuropathy impairs proprioception (more mis-steps) and microvascular disease delays soft-tissue healing; NSAID use needs caution.</w:t>
            </w:r>
          </w:p>
        </w:tc>
      </w:tr>
      <w:tr>
        <w:trPr>
          <w:cantSplit/>
        </w:trPr>
        <w:tc>
          <w:tcPr>
            <w:tcW w:type="dxa" w:w="2232"/>
            <w:vAlign w:val="top"/>
          </w:tcPr>
          <w:p>
            <w:pPr>
              <w:spacing w:after="40" w:before="0" w:line="259" w:lineRule="auto"/>
            </w:pPr>
            <w:r>
              <w:rPr>
                <w:rFonts w:ascii="Calibri" w:hAnsi="Calibri"/>
                <w:b/>
                <w:i w:val="0"/>
                <w:color w:val="212121"/>
                <w:sz w:val="19"/>
              </w:rPr>
              <w:t>Peripheral neuropathy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protective sensation and proprioception increases injury risk and impairs balance.</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muscle strength and connective-tissue repair; highly prevalent in India and linked to poorer recovery.</w:t>
            </w:r>
          </w:p>
        </w:tc>
      </w:tr>
      <w:tr>
        <w:trPr>
          <w:cantSplit/>
        </w:trPr>
        <w:tc>
          <w:tcPr>
            <w:tcW w:type="dxa" w:w="2232"/>
            <w:vAlign w:val="top"/>
          </w:tcPr>
          <w:p>
            <w:pPr>
              <w:spacing w:after="40" w:before="0" w:line="259" w:lineRule="auto"/>
            </w:pPr>
            <w:r>
              <w:rPr>
                <w:rFonts w:ascii="Calibri" w:hAnsi="Calibri"/>
                <w:b/>
                <w:i w:val="0"/>
                <w:color w:val="212121"/>
                <w:sz w:val="19"/>
              </w:rPr>
              <w:t>Pes planus / foot malalignment</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Abnormal load distribution predisposes to ankle sprain and overuse strain.</w:t>
            </w:r>
          </w:p>
        </w:tc>
      </w:tr>
      <w:tr>
        <w:trPr>
          <w:cantSplit/>
        </w:trPr>
        <w:tc>
          <w:tcPr>
            <w:tcW w:type="dxa" w:w="2232"/>
            <w:vAlign w:val="top"/>
          </w:tcPr>
          <w:p>
            <w:pPr>
              <w:spacing w:after="40" w:before="0" w:line="259" w:lineRule="auto"/>
            </w:pPr>
            <w:r>
              <w:rPr>
                <w:rFonts w:ascii="Calibri" w:hAnsi="Calibri"/>
                <w:b/>
                <w:i w:val="0"/>
                <w:color w:val="212121"/>
                <w:sz w:val="19"/>
              </w:rPr>
              <w:t>Chronic low-back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Recurrent lumbar/paraspinal strains from poor lifting mechanics contribute to and are aggravated by chronic back pain.</w:t>
            </w:r>
          </w:p>
        </w:tc>
      </w:tr>
      <w:tr>
        <w:trPr>
          <w:cantSplit/>
        </w:trPr>
        <w:tc>
          <w:tcPr>
            <w:tcW w:type="dxa" w:w="2232"/>
            <w:vAlign w:val="top"/>
          </w:tcPr>
          <w:p>
            <w:pPr>
              <w:spacing w:after="40" w:before="0" w:line="259" w:lineRule="auto"/>
            </w:pPr>
            <w:r>
              <w:rPr>
                <w:rFonts w:ascii="Calibri" w:hAnsi="Calibri"/>
                <w:b/>
                <w:i w:val="0"/>
                <w:color w:val="212121"/>
                <w:sz w:val="19"/>
              </w:rPr>
              <w:t>Tendinopathy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Repetitive overload and altered mechanics link strains with chronic tendon degeneration.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difference between a sprain (ligament) and a strain (muscle/tendon) and when each needs medical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immediate P.R.I.C.E. / R.I.C.E. (Protection, Rest, Ice ≤20 min at a time, Compression, Elevation) for the first 48–72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needing urgent care — inability to bear weight, marked deformity, numbness, or tense, severe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“weekend-warrior” pattern: build activity gradually rather than in sudden intense bursts.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for 10–15 minutes and cool down around any sport or heavy physical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supportive, well-fitted footwear and take care on uneven, wet or poorly lit surfaces.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return to full sport or heavy work until pain-free with restored strength, balance and range of motion.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sports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informal-sector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Weekend-warrior / 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to ≥150 minutes/week of moderate activity gradually to keep muscles and ligaments conditioned.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and proprioception training (single-leg stance, wobble board) — proven to cut ankle-sprain risk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work 2–3 days/week, emphasising eccentric control for hamstrings and calves.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warm up and stretch before, and cool down after,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training load by no more than ~10% per week to avoid overload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appropriate protective equipment and taping/bracing for high-risk sports.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Weekend-warrior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Prior-sprain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Sedentary/deconditioned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the acute phase, begin early protected mobilisation rather than prolonged rest to speed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graded rehabilitation programme: range of motion → strength → proprioception/balance → sport-specific drills.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proprioceptive/neuromuscular retraining to prevent chronic instability and re-injury.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functional bracing or taping during return-to-activity for higher-grade or recurrent sprains.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sport only after achieving full, pain-free strength, balance and hop/functional tests.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Grade III / suspected complete ruptures and persistent instability for specialist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sprain/strain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Grade II–III injuries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ankle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athletes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adequate protein (about 1.0–1.6 g/kg/day for active people) to support muscle and connective-tissue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vitamin D and calcium (sunlight, fortified foods, dairy, correct deficiency) — both are commonly low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vitamin-C and antioxidant-rich fruits and vegetables to support collagen synthesis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to reduce joint load and re-injury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an anti-inflammatory, balanced diet and avoid excess ultra-processed food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Recurrent-injury / poor healers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neuromuscular control and reaction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extra rest and sleep during heavy training or rehabilitation for tissue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schedule; limit late-night screens and stimulants.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fatigue and sleep debt increase mis-steps and injury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&amp;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nicotine constricts blood vessels and impairs collagen, delaying ligament and tendon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nicotine-replacement or pharmacotherapy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during the recovery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cessation improves soft-tissue and (if present) fracture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Injured / 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repair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 intoxication impairs balance and judgement and is a common cause of falls and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before sport, driving, or work at height or on uneven ground.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avoid alcohol during recovery, as it blunts the inflammatory-repair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heavy or binge drinking to lower ongoing injury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pain-related fear of movement (kinesiophobia) that stalls rehabilitation and return to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graded, realistic recovery goals to rebuild confidence in the injured part.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stress management and, where needed, counselling for injury-related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safe activity and social engagement to prevent deconditioning and low mood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prolonged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facing return-to-sport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 recurrent-injury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212/" TargetMode="External"/><Relationship Id="rId10" Type="http://schemas.openxmlformats.org/officeDocument/2006/relationships/hyperlink" Target="https://ijbnpa.biomedcentral.com/articles/10.1186/1479-5868-11-26" TargetMode="External"/><Relationship Id="rId11" Type="http://schemas.openxmlformats.org/officeDocument/2006/relationships/hyperlink" Target="https://www.who.int/news-room/fact-sheets/detail/musculoskeletal-conditions" TargetMode="External"/><Relationship Id="rId12" Type="http://schemas.openxmlformats.org/officeDocument/2006/relationships/hyperlink" Target="https://www.physio-pedia.com/Ankle_Sprain" TargetMode="External"/><Relationship Id="rId13" Type="http://schemas.openxmlformats.org/officeDocument/2006/relationships/hyperlink" Target="https://www.physio-pedia.com/Chronic_Ankle_Instability" TargetMode="External"/><Relationship Id="rId14" Type="http://schemas.openxmlformats.org/officeDocument/2006/relationships/hyperlink" Target="https://www.orthoinfo.org/diseases--conditions/sprains-strains-and-other-soft-tissue-inju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