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Skeletal Fluorosis</w:t>
      </w:r>
    </w:p>
    <w:p>
      <w:pPr>
        <w:spacing w:before="0" w:after="160"/>
      </w:pPr>
      <w:r>
        <w:rPr>
          <w:rFonts w:ascii="Calibri" w:hAnsi="Calibri"/>
          <w:b/>
          <w:i w:val="0"/>
          <w:color w:val="212121"/>
          <w:sz w:val="22"/>
        </w:rPr>
        <w:t xml:space="preserve">AKA </w:t>
      </w:r>
      <w:r>
        <w:rPr>
          <w:rFonts w:ascii="Calibri" w:hAnsi="Calibri"/>
          <w:b w:val="0"/>
          <w:i w:val="0"/>
          <w:color w:val="212121"/>
          <w:sz w:val="22"/>
        </w:rPr>
        <w:t>i.e., Endemic skeletal fluorosis, Fluoride osteosclerosis, Crippling fluorosis, Chronic fluoride toxicity of bone; the bone/joint form of Fluorosis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Skeletal fluorosis is a chronic, crippling metabolic bone disease caused by prolonged excessive ingestion (or inhalation) of fluoride, which is deposited in the skeleton as fluorapatite and in soft connective tissues. It produces osteosclerosis, calcification and ossification of ligaments, tendons and the interosseous membranes, and osteophytosis, giving rise to joint pain, stiffness, spinal rigidity, deformity and, in advanced disease, neurological compression. In India it is overwhelmingly endemic, driven by groundwater fluoride above the Bureau of Indian Standards (BIS) permissible limit of 1.0 mg/L, and is frequently accompanied by dental fluorosis and non-skeletal (gastrointestinal, muscular and neurological) manifestations.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Fluorosis is one of India's most widespread groundwater-related public-health problems: about 25 million people are estimated to be already affected and roughly 66 million are at risk across some 17 of 32 states/UTs. The National Programme for Prevention and Control of Fluorosis (NPPCF), launched in the 11th Five-Year Plan (around 2008-09), covers 157 districts across 18 states and 1 Union Territory, with over 1.2 million suspected cases recorded. Endemic belts lie in Rajasthan (the largest burden), the Nalgonda belt of Telangana and Andhra Pradesh, Gujarat, Karnataka, Bihar and Madhya Pradesh; groundwater fluoride has reached 48 mg/L in some pockets. Sustained safe-water mitigation has cut fluoride-affected habitations from 26,131 (2010) to 5,485 (2020), an about 80% fall, with Karnataka and Rajasthan now carrying most community-level skeletal fluorosis.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Skeletal fluorosis is diagnosed from a history of chronic high fluoride exposure supported by clinical, biochemical, environmental and radiological findings; radiographic changes are the most reliable confirmation. The core diagnostic panel used in India (NPPCF) comprises: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Source of exposure - drinking-water fluoride above the BIS permissible limit of 1.0 mg/L (WHO regards &gt;1.5 mg/L as excessive; endemic pockets reach up to 48 mg/L);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Urine fluoride &gt; 1.0 mg/L, the best index of current fluoride exposure and body burden;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fluoride raised above the reference of about 0.02-0.05 mg/L, reflecting recent and chronic intake;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Radiographic osteosclerosis with calcification of the interosseous membrane of the forearm/leg, ossification of ligaments and tendons, osteophytosis and a rigid ('poker') spine - the calcified forearm interosseous membrane is a classic sign;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clinical features - chronic pain and stiffness of the spine and large joints, restricted movement, and coexisting dental mottling;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biochemistry - raised serum alkaline phosphatase (increased bone turnover), with calcium, phosphate, PTH and vitamin D assessed for coexisting deficiency and secondary hyperparathyroidism.</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Skeletal fluorosis is graded clinically and radiologically by severity; the Indian (NCDC/NPPCF) staging progresses through a preclinical phase to crippling disease, paralleling the classical Roholm radiological grades I-III, with a distinct juvenile (nutritional) genu-valgum variant:</w:t>
      </w:r>
    </w:p>
    <w:p>
      <w:pPr>
        <w:spacing w:before="0" w:after="80"/>
      </w:pPr>
      <w:r>
        <w:rPr>
          <w:rFonts w:ascii="Calibri" w:hAnsi="Calibri"/>
          <w:b w:val="0"/>
          <w:i w:val="0"/>
          <w:color w:val="212121"/>
          <w:sz w:val="21"/>
        </w:rPr>
        <w:t>(1) Preclinical (asymptomatic) phase - no symptoms, with radiographic evidence of increased bone mass/density detectable before clinical disease;</w:t>
      </w:r>
    </w:p>
    <w:p>
      <w:pPr>
        <w:spacing w:before="0" w:after="80"/>
      </w:pPr>
      <w:r>
        <w:rPr>
          <w:rFonts w:ascii="Calibri" w:hAnsi="Calibri"/>
          <w:b w:val="0"/>
          <w:i w:val="0"/>
          <w:color w:val="212121"/>
          <w:sz w:val="21"/>
        </w:rPr>
        <w:t>(2) Phase I (early / musculoskeletal) - sporadic pain and stiffness of joints, with early osteosclerosis of the pelvis and spine;</w:t>
      </w:r>
    </w:p>
    <w:p>
      <w:pPr>
        <w:spacing w:before="0" w:after="80"/>
      </w:pPr>
      <w:r>
        <w:rPr>
          <w:rFonts w:ascii="Calibri" w:hAnsi="Calibri"/>
          <w:b w:val="0"/>
          <w:i w:val="0"/>
          <w:color w:val="212121"/>
          <w:sz w:val="21"/>
        </w:rPr>
        <w:t>(3) Phase II (chronic / degenerative) - chronic joint pain and arthritic symptoms, calcification of ligaments, mixed osteosclerosis and osteoporosis/osteomalacia, and early deformity;</w:t>
      </w:r>
    </w:p>
    <w:p>
      <w:pPr>
        <w:spacing w:before="0" w:after="80"/>
      </w:pPr>
      <w:r>
        <w:rPr>
          <w:rFonts w:ascii="Calibri" w:hAnsi="Calibri"/>
          <w:b w:val="0"/>
          <w:i w:val="0"/>
          <w:color w:val="212121"/>
          <w:sz w:val="21"/>
        </w:rPr>
        <w:t>(4) Phase III (crippling) - limitation of joint movement, extensive calcification of spinal and other ligaments, kyphosis and deformity, muscle wasting, and neurological deficits from spinal-cord and nerve-root compression;</w:t>
      </w:r>
    </w:p>
    <w:p>
      <w:pPr>
        <w:spacing w:before="0" w:after="80"/>
      </w:pPr>
      <w:r>
        <w:rPr>
          <w:rFonts w:ascii="Calibri" w:hAnsi="Calibri"/>
          <w:b w:val="0"/>
          <w:i w:val="0"/>
          <w:color w:val="212121"/>
          <w:sz w:val="21"/>
        </w:rPr>
        <w:t>(5) Juvenile genu-valgum (nutritional) variant - seen in children and adolescents exposed to high fluoride with concurrent calcium/vitamin-D deficiency, causing knock-knee (or bow-leg), bone bending and short stature.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Chronic excess fluoride ingestion: Prolonged consumption of groundwater with fluoride above 1.0-1.5 mg/L (and other sources) is the fundamental cause; cumulative dose over years determines skeletal deposition.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Total dose and duration: Risk depends on the total daily fluoride intake and years of exposure - advanced skeletal fluorosis is typically associated with intakes of about 9-12 mg/day sustained over many years.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Nutritional deficiency: Low dietary calcium, vitamin C and vitamin D increase fluoride absorption and skeletal retention and worsen bone toxicity; combined fluoride excess with malnutrition underlies the juvenile genu-valgum form.</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Hot, arid climate and high water intake: In hot semi-arid belts (Rajasthan, Telangana, Gujarat) people drink more water, raising the fluoride dose from the same source and allowing disease at lower water-fluoride levels.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Impaired renal excretion: The kidney clears about half of absorbed fluoride, so chronic kidney disease increases fluoride retention and can precipitate fluorosis at lower intakes.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Additional fluoride sources: Black tea, black/red rock salt, tobacco, bidi, paan and betel nut, some tinned foods, and industrial/occupational emissions (aluminium smelting, phosphate fertiliser, brick kilns, coal burning) add to the body burden.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Skeletal fluorosis develops only after years of cumulative fluoride intake, so it usually becomes symptomatic in working-age adults who have drunk high-fluoride groundwater since childhood. Deposited fluoride raises bone density but reduces bone quality, producing pain and stiffness during peak productive years.</w:t>
            </w:r>
          </w:p>
          <w:p>
            <w:pPr>
              <w:spacing w:after="40" w:before="60" w:line="259" w:lineRule="auto"/>
            </w:pPr>
            <w:r>
              <w:rPr>
                <w:rFonts w:ascii="Calibri" w:hAnsi="Calibri"/>
                <w:b w:val="0"/>
                <w:i w:val="0"/>
                <w:color w:val="212121"/>
                <w:sz w:val="19"/>
              </w:rPr>
              <w:t>In India about 25 million people are estimated to be affected by fluorosis and around 66 million are at risk, across roughly 17 of 32 states.</w:t>
            </w:r>
          </w:p>
          <w:p>
            <w:pPr>
              <w:spacing w:after="40" w:line="252" w:lineRule="auto"/>
            </w:pPr>
            <w:hyperlink r:id="rId9">
              <w:r>
                <w:rPr>
                  <w:rFonts w:ascii="Calibri" w:hAnsi="Calibri" w:cs="Calibri"/>
                  <w:sz w:val="18"/>
                  <w:color w:val="1155CC"/>
                  <w:u w:val="single"/>
                </w:rPr>
                <w:t xml:space="preserve">fluoridealert.org - skeletal fluorosis in India</w:t>
              </w:r>
            </w:hyperlink>
          </w:p>
          <w:p>
            <w:pPr>
              <w:spacing w:before="60" w:after="40"/>
            </w:pPr>
            <w:r>
              <w:rPr>
                <w:rFonts w:ascii="Calibri" w:hAnsi="Calibri"/>
                <w:b w:val="0"/>
                <w:i w:val="0"/>
                <w:color w:val="5A5A5A"/>
                <w:sz w:val="18"/>
              </w:rPr>
              <w:t>#fluorosis  #groundwater  #workingage  #osteosclerosis  #endemic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The longest-exposed patients reach the crippling (Phase III) stage in later life, when fluorotic osteosclerosis, ligament ossification and osteophytosis compound age-related degenerative spine and joint disease, producing severe deformity, rigidity and disability.</w:t>
            </w:r>
          </w:p>
          <w:p>
            <w:pPr>
              <w:spacing w:after="40" w:before="60" w:line="259" w:lineRule="auto"/>
            </w:pPr>
            <w:r>
              <w:rPr>
                <w:rFonts w:ascii="Calibri" w:hAnsi="Calibri"/>
                <w:b w:val="0"/>
                <w:i w:val="0"/>
                <w:color w:val="212121"/>
                <w:sz w:val="19"/>
              </w:rPr>
              <w:t>Phase III (crippling) fluorosis - with rigid spine, deformity, muscle wasting and neurological deficit - represents the end-stage of decades of cumulative exposure.</w:t>
            </w:r>
          </w:p>
          <w:p>
            <w:pPr>
              <w:spacing w:after="40" w:line="252" w:lineRule="auto"/>
            </w:pPr>
            <w:hyperlink r:id="rId10">
              <w:r>
                <w:rPr>
                  <w:rFonts w:ascii="Calibri" w:hAnsi="Calibri" w:cs="Calibri"/>
                  <w:sz w:val="18"/>
                  <w:color w:val="1155CC"/>
                  <w:u w:val="single"/>
                </w:rPr>
                <w:t xml:space="preserve">ncdc.mohfw.gov.in - CD Alert on Fluorosis (2022)</w:t>
              </w:r>
            </w:hyperlink>
          </w:p>
          <w:p>
            <w:pPr>
              <w:spacing w:before="60" w:after="40"/>
            </w:pPr>
            <w:r>
              <w:rPr>
                <w:rFonts w:ascii="Calibri" w:hAnsi="Calibri"/>
                <w:b w:val="0"/>
                <w:i w:val="0"/>
                <w:color w:val="5A5A5A"/>
                <w:sz w:val="18"/>
              </w:rPr>
              <w:t>#elderly  #crippling  #PhaseIII  #deformity  #disability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The growing skeleton is especially vulnerable: excess fluoride during tooth and bone development causes dental fluorosis and, when combined with calcium/vitamin-D deficiency, the juvenile genu-valgum (knock-knee) form with limb bowing and short stature.</w:t>
            </w:r>
          </w:p>
          <w:p>
            <w:pPr>
              <w:spacing w:after="40" w:before="60" w:line="259" w:lineRule="auto"/>
            </w:pPr>
            <w:r>
              <w:rPr>
                <w:rFonts w:ascii="Calibri" w:hAnsi="Calibri"/>
                <w:b w:val="0"/>
                <w:i w:val="0"/>
                <w:color w:val="212121"/>
                <w:sz w:val="19"/>
              </w:rPr>
              <w:t>Dental fluorosis reached 46% among 6-12-year-old children in an endemic (aspirational) district of Karnataka, up from 32.6% a decade earlier.</w:t>
            </w:r>
          </w:p>
          <w:p>
            <w:pPr>
              <w:spacing w:after="40" w:line="252" w:lineRule="auto"/>
            </w:pPr>
            <w:hyperlink r:id="rId11">
              <w:r>
                <w:rPr>
                  <w:rFonts w:ascii="Calibri" w:hAnsi="Calibri" w:cs="Calibri"/>
                  <w:sz w:val="18"/>
                  <w:color w:val="1155CC"/>
                  <w:u w:val="single"/>
                </w:rPr>
                <w:t xml:space="preserve">frontiersin.org - dental fluorosis in rural Karnataka children</w:t>
              </w:r>
            </w:hyperlink>
          </w:p>
          <w:p>
            <w:pPr>
              <w:spacing w:before="60" w:after="40"/>
            </w:pPr>
            <w:r>
              <w:rPr>
                <w:rFonts w:ascii="Calibri" w:hAnsi="Calibri"/>
                <w:b w:val="0"/>
                <w:i w:val="0"/>
                <w:color w:val="5A5A5A"/>
                <w:sz w:val="18"/>
              </w:rPr>
              <w:t>#children  #dentalfluorosis  #genuvalgum  #growingbone  #Karnataka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Adult males (outdoor labourers)</w:t>
            </w:r>
          </w:p>
        </w:tc>
        <w:tc>
          <w:tcPr>
            <w:tcW w:type="dxa" w:w="4276"/>
            <w:vAlign w:val="top"/>
          </w:tcPr>
          <w:p>
            <w:pPr>
              <w:spacing w:after="60" w:line="259" w:lineRule="auto"/>
            </w:pPr>
            <w:r>
              <w:rPr>
                <w:rFonts w:ascii="Calibri" w:hAnsi="Calibri"/>
                <w:b w:val="0"/>
                <w:i w:val="0"/>
                <w:color w:val="212121"/>
                <w:sz w:val="19"/>
              </w:rPr>
              <w:t>Men doing heavy outdoor manual and agricultural work in hot climates drink larger volumes of local high-fluoride water and often add fluoride from tobacco, bidi and paan; crippling skeletal fluorosis with heavy mechanical load is frequently reported in men.</w:t>
            </w:r>
          </w:p>
          <w:p>
            <w:pPr>
              <w:spacing w:after="40" w:before="60" w:line="259" w:lineRule="auto"/>
            </w:pPr>
            <w:r>
              <w:rPr>
                <w:rFonts w:ascii="Calibri" w:hAnsi="Calibri"/>
                <w:b w:val="0"/>
                <w:i w:val="0"/>
                <w:color w:val="212121"/>
                <w:sz w:val="19"/>
              </w:rPr>
              <w:t>Higher water intake during outdoor labour and additional fluoride from tobacco/paan increase the cumulative dose in working men in endemic villages.</w:t>
            </w:r>
          </w:p>
          <w:p>
            <w:pPr>
              <w:spacing w:after="40" w:line="252" w:lineRule="auto"/>
            </w:pPr>
            <w:hyperlink r:id="rId10">
              <w:r>
                <w:rPr>
                  <w:rFonts w:ascii="Calibri" w:hAnsi="Calibri" w:cs="Calibri"/>
                  <w:sz w:val="18"/>
                  <w:color w:val="1155CC"/>
                  <w:u w:val="single"/>
                </w:rPr>
                <w:t xml:space="preserve">ncdc.mohfw.gov.in - CD Alert on Fluorosis (2022)</w:t>
              </w:r>
            </w:hyperlink>
          </w:p>
          <w:p>
            <w:pPr>
              <w:spacing w:before="60" w:after="40"/>
            </w:pPr>
            <w:r>
              <w:rPr>
                <w:rFonts w:ascii="Calibri" w:hAnsi="Calibri"/>
                <w:b w:val="0"/>
                <w:i w:val="0"/>
                <w:color w:val="5A5A5A"/>
                <w:sz w:val="18"/>
              </w:rPr>
              <w:t>#male  #manuallabour  #tobacco  #waterintake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Rural poor / low-income households</w:t>
            </w:r>
          </w:p>
        </w:tc>
        <w:tc>
          <w:tcPr>
            <w:tcW w:type="dxa" w:w="4276"/>
            <w:vAlign w:val="top"/>
          </w:tcPr>
          <w:p>
            <w:pPr>
              <w:spacing w:after="60" w:line="259" w:lineRule="auto"/>
            </w:pPr>
            <w:r>
              <w:rPr>
                <w:rFonts w:ascii="Calibri" w:hAnsi="Calibri"/>
                <w:b w:val="0"/>
                <w:i w:val="0"/>
                <w:color w:val="212121"/>
                <w:sz w:val="19"/>
              </w:rPr>
              <w:t>Poverty forces dependence on untreated borewell water and a monotonous, calcium- and vitamin-poor diet, both of which raise fluoride intake and retention; limited awareness and health access delay diagnosis until deformity is established.</w:t>
            </w:r>
          </w:p>
          <w:p>
            <w:pPr>
              <w:spacing w:after="40" w:before="60" w:line="259" w:lineRule="auto"/>
            </w:pPr>
            <w:r>
              <w:rPr>
                <w:rFonts w:ascii="Calibri" w:hAnsi="Calibri"/>
                <w:b w:val="0"/>
                <w:i w:val="0"/>
                <w:color w:val="212121"/>
                <w:sz w:val="19"/>
              </w:rPr>
              <w:t>Over 1.2 million suspected fluorosis cases have been recorded in India, concentrated in poor rural habitations dependent on contaminated groundwater.</w:t>
            </w:r>
          </w:p>
          <w:p>
            <w:pPr>
              <w:spacing w:after="40" w:line="252" w:lineRule="auto"/>
            </w:pPr>
            <w:hyperlink r:id="rId12">
              <w:r>
                <w:rPr>
                  <w:rFonts w:ascii="Calibri" w:hAnsi="Calibri" w:cs="Calibri"/>
                  <w:sz w:val="18"/>
                  <w:color w:val="1155CC"/>
                  <w:u w:val="single"/>
                </w:rPr>
                <w:t xml:space="preserve">factly.in - fluorosis progress and burden in India</w:t>
              </w:r>
            </w:hyperlink>
          </w:p>
          <w:p>
            <w:pPr>
              <w:spacing w:before="60" w:after="40"/>
            </w:pPr>
            <w:r>
              <w:rPr>
                <w:rFonts w:ascii="Calibri" w:hAnsi="Calibri"/>
                <w:b w:val="0"/>
                <w:i w:val="0"/>
                <w:color w:val="5A5A5A"/>
                <w:sz w:val="18"/>
              </w:rPr>
              <w:t>#ruralpoor  #lowincome  #borewell  #poornutrition  #accessgap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Rajasthan (Dungarpur, Nagaur, Jhunjhunu belts)</w:t>
            </w:r>
          </w:p>
        </w:tc>
        <w:tc>
          <w:tcPr>
            <w:tcW w:type="dxa" w:w="4276"/>
            <w:vAlign w:val="top"/>
          </w:tcPr>
          <w:p>
            <w:pPr>
              <w:spacing w:after="60" w:line="259" w:lineRule="auto"/>
            </w:pPr>
            <w:r>
              <w:rPr>
                <w:rFonts w:ascii="Calibri" w:hAnsi="Calibri"/>
                <w:b w:val="0"/>
                <w:i w:val="0"/>
                <w:color w:val="212121"/>
                <w:sz w:val="19"/>
              </w:rPr>
              <w:t>Semi-arid Rajasthan has deep, fluoride-rich granitic aquifers and high water needs, giving it the country's largest fluoride burden; districts such as Dungarpur, Nagaur and Jhunjhunu have long been endemic, and the juvenile genu-valgum form is described here.</w:t>
            </w:r>
          </w:p>
          <w:p>
            <w:pPr>
              <w:spacing w:after="40" w:before="60" w:line="259" w:lineRule="auto"/>
            </w:pPr>
            <w:r>
              <w:rPr>
                <w:rFonts w:ascii="Calibri" w:hAnsi="Calibri"/>
                <w:b w:val="0"/>
                <w:i w:val="0"/>
                <w:color w:val="212121"/>
                <w:sz w:val="19"/>
              </w:rPr>
              <w:t>Rajasthan accounted for 2,956 (about 54%) of India's 5,485 fluoride-affected habitations in 2020 and roughly 14% of community-level skeletal fluorosis cases.</w:t>
            </w:r>
          </w:p>
          <w:p>
            <w:pPr>
              <w:spacing w:after="40" w:line="252" w:lineRule="auto"/>
            </w:pPr>
            <w:hyperlink r:id="rId12">
              <w:r>
                <w:rPr>
                  <w:rFonts w:ascii="Calibri" w:hAnsi="Calibri" w:cs="Calibri"/>
                  <w:sz w:val="18"/>
                  <w:color w:val="1155CC"/>
                  <w:u w:val="single"/>
                </w:rPr>
                <w:t xml:space="preserve">factly.in - state-wise fluoride-affected habitations</w:t>
              </w:r>
            </w:hyperlink>
          </w:p>
          <w:p>
            <w:pPr>
              <w:spacing w:before="60" w:after="40"/>
            </w:pPr>
            <w:r>
              <w:rPr>
                <w:rFonts w:ascii="Calibri" w:hAnsi="Calibri"/>
                <w:b w:val="0"/>
                <w:i w:val="0"/>
                <w:color w:val="5A5A5A"/>
                <w:sz w:val="18"/>
              </w:rPr>
              <w:t>#Rajasthan  #Dungarpur  #aridzone  #groundwater  #genuvalgum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Telangana &amp; Andhra Pradesh (Nalgonda belt)</w:t>
            </w:r>
          </w:p>
        </w:tc>
        <w:tc>
          <w:tcPr>
            <w:tcW w:type="dxa" w:w="4276"/>
            <w:vAlign w:val="top"/>
          </w:tcPr>
          <w:p>
            <w:pPr>
              <w:spacing w:after="60" w:line="259" w:lineRule="auto"/>
            </w:pPr>
            <w:r>
              <w:rPr>
                <w:rFonts w:ascii="Calibri" w:hAnsi="Calibri"/>
                <w:b w:val="0"/>
                <w:i w:val="0"/>
                <w:color w:val="212121"/>
                <w:sz w:val="19"/>
              </w:rPr>
              <w:t>The Nalgonda belt is the classic Indian skeletal-fluorosis endemic zone, where groundwater fluoride has reached 10-12 ppm; sustained state safe-water schemes have since sharply reduced affected habitations (Telangana fell from 967 in 2015 to zero by 2020).</w:t>
            </w:r>
          </w:p>
          <w:p>
            <w:pPr>
              <w:spacing w:after="40" w:before="60" w:line="259" w:lineRule="auto"/>
            </w:pPr>
            <w:r>
              <w:rPr>
                <w:rFonts w:ascii="Calibri" w:hAnsi="Calibri"/>
                <w:b w:val="0"/>
                <w:i w:val="0"/>
                <w:color w:val="212121"/>
                <w:sz w:val="19"/>
              </w:rPr>
              <w:t>Groundwater fluoride in Nalgonda has been recorded at 10-12 ppm, far above the WHO limit of 1.5 mg/L.</w:t>
            </w:r>
          </w:p>
          <w:p>
            <w:pPr>
              <w:spacing w:after="40" w:line="252" w:lineRule="auto"/>
            </w:pPr>
            <w:hyperlink r:id="rId9">
              <w:r>
                <w:rPr>
                  <w:rFonts w:ascii="Calibri" w:hAnsi="Calibri" w:cs="Calibri"/>
                  <w:sz w:val="18"/>
                  <w:color w:val="1155CC"/>
                  <w:u w:val="single"/>
                </w:rPr>
                <w:t xml:space="preserve">fluoridealert.org - Nalgonda district fluoride levels</w:t>
              </w:r>
            </w:hyperlink>
          </w:p>
          <w:p>
            <w:pPr>
              <w:spacing w:before="60" w:after="40"/>
            </w:pPr>
            <w:r>
              <w:rPr>
                <w:rFonts w:ascii="Calibri" w:hAnsi="Calibri"/>
                <w:b w:val="0"/>
                <w:i w:val="0"/>
                <w:color w:val="5A5A5A"/>
                <w:sz w:val="18"/>
              </w:rPr>
              <w:t>#Nalgonda  #Telangana  #AndhraPradesh  #safewater  #endemicbelt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Karnataka (Raichur, Kolar, Gadag)</w:t>
            </w:r>
          </w:p>
        </w:tc>
        <w:tc>
          <w:tcPr>
            <w:tcW w:type="dxa" w:w="4276"/>
            <w:vAlign w:val="top"/>
          </w:tcPr>
          <w:p>
            <w:pPr>
              <w:spacing w:after="60" w:line="259" w:lineRule="auto"/>
            </w:pPr>
            <w:r>
              <w:rPr>
                <w:rFonts w:ascii="Calibri" w:hAnsi="Calibri"/>
                <w:b w:val="0"/>
                <w:i w:val="0"/>
                <w:color w:val="212121"/>
                <w:sz w:val="19"/>
              </w:rPr>
              <w:t>Karnataka's Deccan-plateau districts have widespread high-fluoride groundwater and now carry the largest share of community skeletal fluorosis in India, reflecting both geology and long-standing dependence on borewell water.</w:t>
            </w:r>
          </w:p>
          <w:p>
            <w:pPr>
              <w:spacing w:after="40" w:before="60" w:line="259" w:lineRule="auto"/>
            </w:pPr>
            <w:r>
              <w:rPr>
                <w:rFonts w:ascii="Calibri" w:hAnsi="Calibri"/>
                <w:b w:val="0"/>
                <w:i w:val="0"/>
                <w:color w:val="212121"/>
                <w:sz w:val="19"/>
              </w:rPr>
              <w:t>Karnataka accounts for approximately 72% of skeletal fluorosis (and about 60% of dental fluorosis) cases identified at community level in India.</w:t>
            </w:r>
          </w:p>
          <w:p>
            <w:pPr>
              <w:spacing w:after="40" w:line="252" w:lineRule="auto"/>
            </w:pPr>
            <w:hyperlink r:id="rId12">
              <w:r>
                <w:rPr>
                  <w:rFonts w:ascii="Calibri" w:hAnsi="Calibri" w:cs="Calibri"/>
                  <w:sz w:val="18"/>
                  <w:color w:val="1155CC"/>
                  <w:u w:val="single"/>
                </w:rPr>
                <w:t xml:space="preserve">factly.in - state share of skeletal fluorosis</w:t>
              </w:r>
            </w:hyperlink>
          </w:p>
          <w:p>
            <w:pPr>
              <w:spacing w:before="60" w:after="40"/>
            </w:pPr>
            <w:r>
              <w:rPr>
                <w:rFonts w:ascii="Calibri" w:hAnsi="Calibri"/>
                <w:b w:val="0"/>
                <w:i w:val="0"/>
                <w:color w:val="5A5A5A"/>
                <w:sz w:val="18"/>
              </w:rPr>
              <w:t>#Karnataka  #Raichur  #Kolar  #Deccan  #communityburden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climate</w:t>
            </w:r>
          </w:p>
        </w:tc>
        <w:tc>
          <w:tcPr>
            <w:tcW w:type="dxa" w:w="2160"/>
            <w:vAlign w:val="top"/>
          </w:tcPr>
          <w:p>
            <w:pPr>
              <w:spacing w:after="40" w:before="0" w:line="259" w:lineRule="auto"/>
            </w:pPr>
            <w:r>
              <w:rPr>
                <w:rFonts w:ascii="Calibri" w:hAnsi="Calibri"/>
                <w:b w:val="0"/>
                <w:i w:val="0"/>
                <w:color w:val="212121"/>
                <w:sz w:val="19"/>
              </w:rPr>
              <w:t>Gujarat &amp; hot semi-arid belts</w:t>
            </w:r>
          </w:p>
        </w:tc>
        <w:tc>
          <w:tcPr>
            <w:tcW w:type="dxa" w:w="4276"/>
            <w:vAlign w:val="top"/>
          </w:tcPr>
          <w:p>
            <w:pPr>
              <w:spacing w:after="60" w:line="259" w:lineRule="auto"/>
            </w:pPr>
            <w:r>
              <w:rPr>
                <w:rFonts w:ascii="Calibri" w:hAnsi="Calibri"/>
                <w:b w:val="0"/>
                <w:i w:val="0"/>
                <w:color w:val="212121"/>
                <w:sz w:val="19"/>
              </w:rPr>
              <w:t>Gujarat, with parts of Bihar, Madhya Pradesh, Tamil Nadu and Punjab, sits on fluoride-rich aquifers; arid climate and groundwater dependence historically made these areas endemic, though mitigation has reduced habitations. Heat raises water intake and thus the fluoride dose.</w:t>
            </w:r>
          </w:p>
          <w:p>
            <w:pPr>
              <w:spacing w:after="40" w:before="60" w:line="259" w:lineRule="auto"/>
            </w:pPr>
            <w:r>
              <w:rPr>
                <w:rFonts w:ascii="Calibri" w:hAnsi="Calibri"/>
                <w:b w:val="0"/>
                <w:i w:val="0"/>
                <w:color w:val="212121"/>
                <w:sz w:val="19"/>
              </w:rPr>
              <w:t>Nationally, fluoride-affected habitations fell from 26,131 (2010) to 5,485 (2020), with Gujarat among states reaching zero affected habitations.</w:t>
            </w:r>
          </w:p>
          <w:p>
            <w:pPr>
              <w:spacing w:after="40" w:line="252" w:lineRule="auto"/>
            </w:pPr>
            <w:hyperlink r:id="rId12">
              <w:r>
                <w:rPr>
                  <w:rFonts w:ascii="Calibri" w:hAnsi="Calibri" w:cs="Calibri"/>
                  <w:sz w:val="18"/>
                  <w:color w:val="1155CC"/>
                  <w:u w:val="single"/>
                </w:rPr>
                <w:t xml:space="preserve">factly.in - decline in fluoride-affected habitations</w:t>
              </w:r>
            </w:hyperlink>
          </w:p>
          <w:p>
            <w:pPr>
              <w:spacing w:before="60" w:after="40"/>
            </w:pPr>
            <w:r>
              <w:rPr>
                <w:rFonts w:ascii="Calibri" w:hAnsi="Calibri"/>
                <w:b w:val="0"/>
                <w:i w:val="0"/>
                <w:color w:val="5A5A5A"/>
                <w:sz w:val="18"/>
              </w:rPr>
              <w:t>#Gujarat  #semiarid  #aquifer  #mitigation  #groundwater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 / activity</w:t>
            </w:r>
          </w:p>
        </w:tc>
        <w:tc>
          <w:tcPr>
            <w:tcW w:type="dxa" w:w="2160"/>
            <w:vAlign w:val="top"/>
          </w:tcPr>
          <w:p>
            <w:pPr>
              <w:spacing w:after="40" w:before="0" w:line="259" w:lineRule="auto"/>
            </w:pPr>
            <w:r>
              <w:rPr>
                <w:rFonts w:ascii="Calibri" w:hAnsi="Calibri"/>
                <w:b w:val="0"/>
                <w:i w:val="0"/>
                <w:color w:val="212121"/>
                <w:sz w:val="19"/>
              </w:rPr>
              <w:t>Farmers, manual &amp; industrial workers</w:t>
            </w:r>
          </w:p>
        </w:tc>
        <w:tc>
          <w:tcPr>
            <w:tcW w:type="dxa" w:w="4276"/>
            <w:vAlign w:val="top"/>
          </w:tcPr>
          <w:p>
            <w:pPr>
              <w:spacing w:after="60" w:line="259" w:lineRule="auto"/>
            </w:pPr>
            <w:r>
              <w:rPr>
                <w:rFonts w:ascii="Calibri" w:hAnsi="Calibri"/>
                <w:b w:val="0"/>
                <w:i w:val="0"/>
                <w:color w:val="212121"/>
                <w:sz w:val="19"/>
              </w:rPr>
              <w:t>Agricultural and manual workers drink large volumes of local water while labouring in heat; industrial workers in aluminium smelting, phosphate fertiliser, brick kilns and coal burning can additionally inhale fluoride, adding an occupational route on top of waterborne intake.</w:t>
            </w:r>
          </w:p>
          <w:p>
            <w:pPr>
              <w:spacing w:after="40" w:before="60" w:line="259" w:lineRule="auto"/>
            </w:pPr>
            <w:r>
              <w:rPr>
                <w:rFonts w:ascii="Calibri" w:hAnsi="Calibri"/>
                <w:b w:val="0"/>
                <w:i w:val="0"/>
                <w:color w:val="212121"/>
                <w:sz w:val="19"/>
              </w:rPr>
              <w:t>Fluoride-bearing minerals and industrial emissions are recognised exposure sources alongside groundwater; inhaled fluoride adds to the body burden in exposed workers.</w:t>
            </w:r>
          </w:p>
          <w:p>
            <w:pPr>
              <w:spacing w:after="40" w:line="252" w:lineRule="auto"/>
            </w:pPr>
            <w:hyperlink r:id="rId10">
              <w:r>
                <w:rPr>
                  <w:rFonts w:ascii="Calibri" w:hAnsi="Calibri" w:cs="Calibri"/>
                  <w:sz w:val="18"/>
                  <w:color w:val="1155CC"/>
                  <w:u w:val="single"/>
                </w:rPr>
                <w:t xml:space="preserve">ncdc.mohfw.gov.in - CD Alert on Fluorosis (2022)</w:t>
              </w:r>
            </w:hyperlink>
          </w:p>
          <w:p>
            <w:pPr>
              <w:spacing w:before="60" w:after="40"/>
            </w:pPr>
            <w:r>
              <w:rPr>
                <w:rFonts w:ascii="Calibri" w:hAnsi="Calibri"/>
                <w:b w:val="0"/>
                <w:i w:val="0"/>
                <w:color w:val="5A5A5A"/>
                <w:sz w:val="18"/>
              </w:rPr>
              <w:t>#occupational  #industrial  #aluminium  #inhalation  #farmers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Water source</w:t>
            </w:r>
          </w:p>
        </w:tc>
        <w:tc>
          <w:tcPr>
            <w:tcW w:type="dxa" w:w="2160"/>
            <w:vAlign w:val="top"/>
          </w:tcPr>
          <w:p>
            <w:pPr>
              <w:spacing w:after="40" w:before="0" w:line="259" w:lineRule="auto"/>
            </w:pPr>
            <w:r>
              <w:rPr>
                <w:rFonts w:ascii="Calibri" w:hAnsi="Calibri"/>
                <w:b w:val="0"/>
                <w:i w:val="0"/>
                <w:color w:val="212121"/>
                <w:sz w:val="19"/>
              </w:rPr>
              <w:t>Deep-borewell / groundwater-dependent communities</w:t>
            </w:r>
          </w:p>
        </w:tc>
        <w:tc>
          <w:tcPr>
            <w:tcW w:type="dxa" w:w="4276"/>
            <w:vAlign w:val="top"/>
          </w:tcPr>
          <w:p>
            <w:pPr>
              <w:spacing w:after="60" w:line="259" w:lineRule="auto"/>
            </w:pPr>
            <w:r>
              <w:rPr>
                <w:rFonts w:ascii="Calibri" w:hAnsi="Calibri"/>
                <w:b w:val="0"/>
                <w:i w:val="0"/>
                <w:color w:val="212121"/>
                <w:sz w:val="19"/>
              </w:rPr>
              <w:t>Groundwater from deep borewells in fluoride-bearing rock is the principal exposure route; deeper, older aquifers dissolve more fluoride, and reliance on untreated borewell water is the dominant cause of endemic skeletal fluorosis.</w:t>
            </w:r>
          </w:p>
          <w:p>
            <w:pPr>
              <w:spacing w:after="40" w:before="60" w:line="259" w:lineRule="auto"/>
            </w:pPr>
            <w:r>
              <w:rPr>
                <w:rFonts w:ascii="Calibri" w:hAnsi="Calibri"/>
                <w:b w:val="0"/>
                <w:i w:val="0"/>
                <w:color w:val="212121"/>
                <w:sz w:val="19"/>
              </w:rPr>
              <w:t>Groundwater fluoride in Indian endemic pockets has been recorded up to 48 mg/L, far exceeding the BIS permissible limit of 1.0 mg/L.</w:t>
            </w:r>
          </w:p>
          <w:p>
            <w:pPr>
              <w:spacing w:after="40" w:line="252" w:lineRule="auto"/>
            </w:pPr>
            <w:hyperlink r:id="rId10">
              <w:r>
                <w:rPr>
                  <w:rFonts w:ascii="Calibri" w:hAnsi="Calibri" w:cs="Calibri"/>
                  <w:sz w:val="18"/>
                  <w:color w:val="1155CC"/>
                  <w:u w:val="single"/>
                </w:rPr>
                <w:t xml:space="preserve">ncdc.mohfw.gov.in - CD Alert on Fluorosis (2022)</w:t>
              </w:r>
            </w:hyperlink>
          </w:p>
          <w:p>
            <w:pPr>
              <w:spacing w:before="60" w:after="40"/>
            </w:pPr>
            <w:r>
              <w:rPr>
                <w:rFonts w:ascii="Calibri" w:hAnsi="Calibri"/>
                <w:b w:val="0"/>
                <w:i w:val="0"/>
                <w:color w:val="5A5A5A"/>
                <w:sz w:val="18"/>
              </w:rPr>
              <w:t>#borewell  #groundwater  #BISlimit  #watersource  #48mgL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Tobacco &amp; betel use</w:t>
            </w:r>
          </w:p>
        </w:tc>
        <w:tc>
          <w:tcPr>
            <w:tcW w:type="dxa" w:w="2160"/>
            <w:vAlign w:val="top"/>
          </w:tcPr>
          <w:p>
            <w:pPr>
              <w:spacing w:after="40" w:before="0" w:line="259" w:lineRule="auto"/>
            </w:pPr>
            <w:r>
              <w:rPr>
                <w:rFonts w:ascii="Calibri" w:hAnsi="Calibri"/>
                <w:b w:val="0"/>
                <w:i w:val="0"/>
                <w:color w:val="212121"/>
                <w:sz w:val="19"/>
              </w:rPr>
              <w:t>Tobacco, bidi, paan &amp; betel-nut users</w:t>
            </w:r>
          </w:p>
        </w:tc>
        <w:tc>
          <w:tcPr>
            <w:tcW w:type="dxa" w:w="4276"/>
            <w:vAlign w:val="top"/>
          </w:tcPr>
          <w:p>
            <w:pPr>
              <w:spacing w:after="60" w:line="259" w:lineRule="auto"/>
            </w:pPr>
            <w:r>
              <w:rPr>
                <w:rFonts w:ascii="Calibri" w:hAnsi="Calibri"/>
                <w:b w:val="0"/>
                <w:i w:val="0"/>
                <w:color w:val="212121"/>
                <w:sz w:val="19"/>
              </w:rPr>
              <w:t>Tobacco, bidi, paan (betel quid), betel nut and black/red rock salt add to the daily fluoride load on top of water, and are widely used in endemic rural populations, increasing the cumulative dose.</w:t>
            </w:r>
          </w:p>
          <w:p>
            <w:pPr>
              <w:spacing w:after="40" w:before="60" w:line="259" w:lineRule="auto"/>
            </w:pPr>
            <w:r>
              <w:rPr>
                <w:rFonts w:ascii="Calibri" w:hAnsi="Calibri"/>
                <w:b w:val="0"/>
                <w:i w:val="0"/>
                <w:color w:val="212121"/>
                <w:sz w:val="19"/>
              </w:rPr>
              <w:t>Tobacco, paan, betel nut, black/red rock salt and black tea are listed among the dietary/behavioural fluoride sources contributing to fluorosis in India.</w:t>
            </w:r>
          </w:p>
          <w:p>
            <w:pPr>
              <w:spacing w:after="40" w:line="252" w:lineRule="auto"/>
            </w:pPr>
            <w:hyperlink r:id="rId10">
              <w:r>
                <w:rPr>
                  <w:rFonts w:ascii="Calibri" w:hAnsi="Calibri" w:cs="Calibri"/>
                  <w:sz w:val="18"/>
                  <w:color w:val="1155CC"/>
                  <w:u w:val="single"/>
                </w:rPr>
                <w:t xml:space="preserve">ncdc.mohfw.gov.in - CD Alert on Fluorosis (2022)</w:t>
              </w:r>
            </w:hyperlink>
          </w:p>
          <w:p>
            <w:pPr>
              <w:spacing w:before="60" w:after="40"/>
            </w:pPr>
            <w:r>
              <w:rPr>
                <w:rFonts w:ascii="Calibri" w:hAnsi="Calibri"/>
                <w:b w:val="0"/>
                <w:i w:val="0"/>
                <w:color w:val="5A5A5A"/>
                <w:sz w:val="18"/>
              </w:rPr>
              <w:t>#tobacco  #paan  #betelnut  #rocksalt  #additivesource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 calcium / vitamin C &amp; D diet</w:t>
            </w:r>
          </w:p>
        </w:tc>
        <w:tc>
          <w:tcPr>
            <w:tcW w:type="dxa" w:w="2160"/>
            <w:vAlign w:val="top"/>
          </w:tcPr>
          <w:p>
            <w:pPr>
              <w:spacing w:after="40" w:before="0" w:line="259" w:lineRule="auto"/>
            </w:pPr>
            <w:r>
              <w:rPr>
                <w:rFonts w:ascii="Calibri" w:hAnsi="Calibri"/>
                <w:b w:val="0"/>
                <w:i w:val="0"/>
                <w:color w:val="212121"/>
                <w:sz w:val="19"/>
              </w:rPr>
              <w:t>Calcium- and vitamin-deficient diets</w:t>
            </w:r>
          </w:p>
        </w:tc>
        <w:tc>
          <w:tcPr>
            <w:tcW w:type="dxa" w:w="4276"/>
            <w:vAlign w:val="top"/>
          </w:tcPr>
          <w:p>
            <w:pPr>
              <w:spacing w:after="60" w:line="259" w:lineRule="auto"/>
            </w:pPr>
            <w:r>
              <w:rPr>
                <w:rFonts w:ascii="Calibri" w:hAnsi="Calibri"/>
                <w:b w:val="0"/>
                <w:i w:val="0"/>
                <w:color w:val="212121"/>
                <w:sz w:val="19"/>
              </w:rPr>
              <w:t>A diet poor in calcium, vitamin C and vitamin D increases gastrointestinal absorption and skeletal retention of fluoride and worsens bone toxicity; combined fluoride excess with nutrient deficiency underlies the genu-valgum (knock-knee) form.</w:t>
            </w:r>
          </w:p>
          <w:p>
            <w:pPr>
              <w:spacing w:after="40" w:before="60" w:line="259" w:lineRule="auto"/>
            </w:pPr>
            <w:r>
              <w:rPr>
                <w:rFonts w:ascii="Calibri" w:hAnsi="Calibri"/>
                <w:b w:val="0"/>
                <w:i w:val="0"/>
                <w:color w:val="212121"/>
                <w:sz w:val="19"/>
              </w:rPr>
              <w:t>The genu-valgum syndrome of fluorosis, linked to high fluoride with poor nutrition, has been reported at up to about 51% prevalence in some endemic villages (e.g., Tilaipani, Madhya Pradesh).</w:t>
            </w:r>
          </w:p>
          <w:p>
            <w:pPr>
              <w:spacing w:after="40" w:line="252" w:lineRule="auto"/>
            </w:pPr>
            <w:hyperlink r:id="rId13">
              <w:r>
                <w:rPr>
                  <w:rFonts w:ascii="Calibri" w:hAnsi="Calibri" w:cs="Calibri"/>
                  <w:sz w:val="18"/>
                  <w:color w:val="1155CC"/>
                  <w:u w:val="single"/>
                </w:rPr>
                <w:t xml:space="preserve">fluorideresearch.org - genu-valgum syndrome in fluorosis-endemic India</w:t>
              </w:r>
            </w:hyperlink>
          </w:p>
          <w:p>
            <w:pPr>
              <w:spacing w:before="60" w:after="40"/>
            </w:pPr>
            <w:r>
              <w:rPr>
                <w:rFonts w:ascii="Calibri" w:hAnsi="Calibri"/>
                <w:b w:val="0"/>
                <w:i w:val="0"/>
                <w:color w:val="5A5A5A"/>
                <w:sz w:val="18"/>
              </w:rPr>
              <w:t>#lowcalcium  #vitaminD  #malnutrition  #genuvalgum  #retention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High-fluoride foods &amp; beverages</w:t>
            </w:r>
          </w:p>
        </w:tc>
        <w:tc>
          <w:tcPr>
            <w:tcW w:type="dxa" w:w="2160"/>
            <w:vAlign w:val="top"/>
          </w:tcPr>
          <w:p>
            <w:pPr>
              <w:spacing w:after="40" w:before="0" w:line="259" w:lineRule="auto"/>
            </w:pPr>
            <w:r>
              <w:rPr>
                <w:rFonts w:ascii="Calibri" w:hAnsi="Calibri"/>
                <w:b w:val="0"/>
                <w:i w:val="0"/>
                <w:color w:val="212121"/>
                <w:sz w:val="19"/>
              </w:rPr>
              <w:t>Heavy black-tea / rock-salt / tinned-food consumers</w:t>
            </w:r>
          </w:p>
        </w:tc>
        <w:tc>
          <w:tcPr>
            <w:tcW w:type="dxa" w:w="4276"/>
            <w:vAlign w:val="top"/>
          </w:tcPr>
          <w:p>
            <w:pPr>
              <w:spacing w:after="60" w:line="259" w:lineRule="auto"/>
            </w:pPr>
            <w:r>
              <w:rPr>
                <w:rFonts w:ascii="Calibri" w:hAnsi="Calibri"/>
                <w:b w:val="0"/>
                <w:i w:val="0"/>
                <w:color w:val="212121"/>
                <w:sz w:val="19"/>
              </w:rPr>
              <w:t>Strong black or brick tea (the tea plant concentrates fluoride), black and red rock salt, some tinned foods, and crops grown on high-fluoride soils raise intake; young children who swallow fluoride toothpaste add a further source.</w:t>
            </w:r>
          </w:p>
          <w:p>
            <w:pPr>
              <w:spacing w:after="40" w:before="60" w:line="259" w:lineRule="auto"/>
            </w:pPr>
            <w:r>
              <w:rPr>
                <w:rFonts w:ascii="Calibri" w:hAnsi="Calibri"/>
                <w:b w:val="0"/>
                <w:i w:val="0"/>
                <w:color w:val="212121"/>
                <w:sz w:val="19"/>
              </w:rPr>
              <w:t>Black tea, rock salt and tinned foods are recognised dietary contributors that add to waterborne fluoride intake.</w:t>
            </w:r>
          </w:p>
          <w:p>
            <w:pPr>
              <w:spacing w:after="40" w:line="252" w:lineRule="auto"/>
            </w:pPr>
            <w:hyperlink r:id="rId10">
              <w:r>
                <w:rPr>
                  <w:rFonts w:ascii="Calibri" w:hAnsi="Calibri" w:cs="Calibri"/>
                  <w:sz w:val="18"/>
                  <w:color w:val="1155CC"/>
                  <w:u w:val="single"/>
                </w:rPr>
                <w:t xml:space="preserve">ncdc.mohfw.gov.in - CD Alert on Fluorosis (2022)</w:t>
              </w:r>
            </w:hyperlink>
          </w:p>
          <w:p>
            <w:pPr>
              <w:spacing w:before="60" w:after="40"/>
            </w:pPr>
            <w:r>
              <w:rPr>
                <w:rFonts w:ascii="Calibri" w:hAnsi="Calibri"/>
                <w:b w:val="0"/>
                <w:i w:val="0"/>
                <w:color w:val="5A5A5A"/>
                <w:sz w:val="18"/>
              </w:rPr>
              <w:t>#blacktea  #rocksalt  #tinnedfood  #dietaryfluoride  #toothpaste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 household clustering</w:t>
            </w:r>
          </w:p>
        </w:tc>
        <w:tc>
          <w:tcPr>
            <w:tcW w:type="dxa" w:w="2160"/>
            <w:vAlign w:val="top"/>
          </w:tcPr>
          <w:p>
            <w:pPr>
              <w:spacing w:after="40" w:before="0" w:line="259" w:lineRule="auto"/>
            </w:pPr>
            <w:r>
              <w:rPr>
                <w:rFonts w:ascii="Calibri" w:hAnsi="Calibri"/>
                <w:b w:val="0"/>
                <w:i w:val="0"/>
                <w:color w:val="212121"/>
                <w:sz w:val="19"/>
              </w:rPr>
              <w:t>Households sharing a contaminated source</w:t>
            </w:r>
          </w:p>
        </w:tc>
        <w:tc>
          <w:tcPr>
            <w:tcW w:type="dxa" w:w="4276"/>
            <w:vAlign w:val="top"/>
          </w:tcPr>
          <w:p>
            <w:pPr>
              <w:spacing w:after="60" w:line="259" w:lineRule="auto"/>
            </w:pPr>
            <w:r>
              <w:rPr>
                <w:rFonts w:ascii="Calibri" w:hAnsi="Calibri"/>
                <w:b w:val="0"/>
                <w:i w:val="0"/>
                <w:color w:val="212121"/>
                <w:sz w:val="19"/>
              </w:rPr>
              <w:t>Skeletal fluorosis clusters within households and villages because family members share the same contaminated water and diet; individual differences in renal fluoride handling and bone metabolism further modulate susceptibility.</w:t>
            </w:r>
          </w:p>
          <w:p>
            <w:pPr>
              <w:spacing w:after="40" w:before="60" w:line="259" w:lineRule="auto"/>
            </w:pPr>
            <w:r>
              <w:rPr>
                <w:rFonts w:ascii="Calibri" w:hAnsi="Calibri"/>
                <w:b w:val="0"/>
                <w:i w:val="0"/>
                <w:color w:val="212121"/>
                <w:sz w:val="19"/>
              </w:rPr>
              <w:t>Familial and village-level clustering reflects a shared water source and diet rather than a single inherited gene, so whole households are typically affected together.</w:t>
            </w:r>
          </w:p>
          <w:p>
            <w:pPr>
              <w:spacing w:before="60" w:after="40"/>
            </w:pPr>
            <w:r>
              <w:rPr>
                <w:rFonts w:ascii="Calibri" w:hAnsi="Calibri"/>
                <w:b w:val="0"/>
                <w:i w:val="0"/>
                <w:color w:val="5A5A5A"/>
                <w:sz w:val="18"/>
              </w:rPr>
              <w:t>#familyclustering  #householdrisk  #sharedsource  #susceptibility  #village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renal impairment</w:t>
            </w:r>
          </w:p>
        </w:tc>
        <w:tc>
          <w:tcPr>
            <w:tcW w:type="dxa" w:w="4276"/>
            <w:vAlign w:val="top"/>
          </w:tcPr>
          <w:p>
            <w:pPr>
              <w:spacing w:after="60" w:line="259" w:lineRule="auto"/>
            </w:pPr>
            <w:r>
              <w:rPr>
                <w:rFonts w:ascii="Calibri" w:hAnsi="Calibri"/>
                <w:b w:val="0"/>
                <w:i w:val="0"/>
                <w:color w:val="212121"/>
                <w:sz w:val="19"/>
              </w:rPr>
              <w:t>About half of absorbed fluoride is excreted by the kidneys, so impaired renal function markedly increases skeletal fluoride retention and can precipitate skeletal fluorosis even at lower intakes; fluoride is itself nephrotoxic, creating a vicious cycle.</w:t>
            </w:r>
          </w:p>
          <w:p>
            <w:pPr>
              <w:spacing w:after="40" w:before="60" w:line="259" w:lineRule="auto"/>
            </w:pPr>
            <w:r>
              <w:rPr>
                <w:rFonts w:ascii="Calibri" w:hAnsi="Calibri"/>
                <w:b w:val="0"/>
                <w:i w:val="0"/>
                <w:color w:val="212121"/>
                <w:sz w:val="19"/>
              </w:rPr>
              <w:t>Reduced renal clearance raises body fluoride burden, so renal impairment lowers the exposure threshold for developing skeletal fluorosis.</w:t>
            </w:r>
          </w:p>
          <w:p>
            <w:pPr>
              <w:spacing w:before="60" w:after="40"/>
            </w:pPr>
            <w:r>
              <w:rPr>
                <w:rFonts w:ascii="Calibri" w:hAnsi="Calibri"/>
                <w:b w:val="0"/>
                <w:i w:val="0"/>
                <w:color w:val="5A5A5A"/>
                <w:sz w:val="18"/>
              </w:rPr>
              <w:t>#CKD  #renalexcretion  #retention  #nephrotoxicity  #vicious cycle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 / vitamin-D deficiency</w:t>
            </w:r>
          </w:p>
        </w:tc>
        <w:tc>
          <w:tcPr>
            <w:tcW w:type="dxa" w:w="2160"/>
            <w:vAlign w:val="top"/>
          </w:tcPr>
          <w:p>
            <w:pPr>
              <w:spacing w:after="40" w:before="0" w:line="259" w:lineRule="auto"/>
            </w:pPr>
            <w:r>
              <w:rPr>
                <w:rFonts w:ascii="Calibri" w:hAnsi="Calibri"/>
                <w:b w:val="0"/>
                <w:i w:val="0"/>
                <w:color w:val="212121"/>
                <w:sz w:val="19"/>
              </w:rPr>
              <w:t>Malnourished patients &amp; children with osteomalacia/rickets</w:t>
            </w:r>
          </w:p>
        </w:tc>
        <w:tc>
          <w:tcPr>
            <w:tcW w:type="dxa" w:w="4276"/>
            <w:vAlign w:val="top"/>
          </w:tcPr>
          <w:p>
            <w:pPr>
              <w:spacing w:after="60" w:line="259" w:lineRule="auto"/>
            </w:pPr>
            <w:r>
              <w:rPr>
                <w:rFonts w:ascii="Calibri" w:hAnsi="Calibri"/>
                <w:b w:val="0"/>
                <w:i w:val="0"/>
                <w:color w:val="212121"/>
                <w:sz w:val="19"/>
              </w:rPr>
              <w:t>Protein-energy malnutrition and vitamin-D-deficiency osteomalacia or rickets coexist with fluorosis in poor endemic populations and aggravate bone deformity, especially the juvenile genu-valgum form in children.</w:t>
            </w:r>
          </w:p>
          <w:p>
            <w:pPr>
              <w:spacing w:after="40" w:before="60" w:line="259" w:lineRule="auto"/>
            </w:pPr>
            <w:r>
              <w:rPr>
                <w:rFonts w:ascii="Calibri" w:hAnsi="Calibri"/>
                <w:b w:val="0"/>
                <w:i w:val="0"/>
                <w:color w:val="212121"/>
                <w:sz w:val="19"/>
              </w:rPr>
              <w:t>Coexisting calcium and vitamin-D deficiency amplifies fluorotic bone deformity, particularly in growing children.</w:t>
            </w:r>
          </w:p>
          <w:p>
            <w:pPr>
              <w:spacing w:before="60" w:after="40"/>
            </w:pPr>
            <w:r>
              <w:rPr>
                <w:rFonts w:ascii="Calibri" w:hAnsi="Calibri"/>
                <w:b w:val="0"/>
                <w:i w:val="0"/>
                <w:color w:val="5A5A5A"/>
                <w:sz w:val="18"/>
              </w:rPr>
              <w:t>#malnutrition  #osteomalacia  #rickets  #vitaminD  #deformity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Secondary hyperparathyroidism</w:t>
            </w:r>
          </w:p>
        </w:tc>
        <w:tc>
          <w:tcPr>
            <w:tcW w:type="dxa" w:w="2160"/>
            <w:vAlign w:val="top"/>
          </w:tcPr>
          <w:p>
            <w:pPr>
              <w:spacing w:after="40" w:before="0" w:line="259" w:lineRule="auto"/>
            </w:pPr>
            <w:r>
              <w:rPr>
                <w:rFonts w:ascii="Calibri" w:hAnsi="Calibri"/>
                <w:b w:val="0"/>
                <w:i w:val="0"/>
                <w:color w:val="212121"/>
                <w:sz w:val="19"/>
              </w:rPr>
              <w:t>Patients with chronic low calcium &amp; high fluoride</w:t>
            </w:r>
          </w:p>
        </w:tc>
        <w:tc>
          <w:tcPr>
            <w:tcW w:type="dxa" w:w="4276"/>
            <w:vAlign w:val="top"/>
          </w:tcPr>
          <w:p>
            <w:pPr>
              <w:spacing w:after="60" w:line="259" w:lineRule="auto"/>
            </w:pPr>
            <w:r>
              <w:rPr>
                <w:rFonts w:ascii="Calibri" w:hAnsi="Calibri"/>
                <w:b w:val="0"/>
                <w:i w:val="0"/>
                <w:color w:val="212121"/>
                <w:sz w:val="19"/>
              </w:rPr>
              <w:t>Chronic low calcium intake with high fluoride drives compensatory secondary hyperparathyroidism, which accelerates bone turnover and contributes to the mixed osteosclerosis and osteomalacia seen in skeletal fluorosis.</w:t>
            </w:r>
          </w:p>
          <w:p>
            <w:pPr>
              <w:spacing w:after="40" w:before="60" w:line="259" w:lineRule="auto"/>
            </w:pPr>
            <w:r>
              <w:rPr>
                <w:rFonts w:ascii="Calibri" w:hAnsi="Calibri"/>
                <w:b w:val="0"/>
                <w:i w:val="0"/>
                <w:color w:val="212121"/>
                <w:sz w:val="19"/>
              </w:rPr>
              <w:t>Secondary hyperparathyroidism from calcium deficiency is a recognised accompaniment of skeletal fluorosis and worsens the bone disease.</w:t>
            </w:r>
          </w:p>
          <w:p>
            <w:pPr>
              <w:spacing w:before="60" w:after="40"/>
            </w:pPr>
            <w:r>
              <w:rPr>
                <w:rFonts w:ascii="Calibri" w:hAnsi="Calibri"/>
                <w:b w:val="0"/>
                <w:i w:val="0"/>
                <w:color w:val="5A5A5A"/>
                <w:sz w:val="18"/>
              </w:rPr>
              <w:t>#hyperparathyroidism  #PTH  #boneturnover  #calciumdeficiency  #mixedbonedisease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outdoor manual labour in hot climates raises water (and therefore fluoride) intake, while weight-bearing on fluorotic, stiff or deformed bone accelerates degenerative change; activity is not causal but modifies dose and mechanical load.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strongly modifies risk: high-fluoride items (black tea, rock salt, tobacco/paan, tinned foods) add to intake, whereas a calcium-, vitamin-C- and vitamin-D-rich diet reduces fluoride absorption and retention; poor nutrition underlies the juvenile genu-valgum form.</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relationship between sleep and skeletal fluorosis; disturbed sleep is a secondary consequence of chronic bone and joint pain rather than a cause of the disease.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bidi and smokeless tobacco/paan contain fluoride and add to the total body burden; smoking also worsens the bone and vascular health of chronically exposed patients.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Local/country liquor is not a major fluoride source, but heavy alcohol use with poor nutrition can further impair calcium and vitamin-D status and bone quality.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pain, disability and economic hardship of crippling fluorosis commonly cause depression and anxiety; the relationship is a consequence of established disease rather than a cause.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Fluoride-contaminated groundwater is the single most important determinant; drinking water above the BIS limit of 1.0 mg/L, and especially above the WHO limit of 1.5 mg/L, is the principal cause of endemic skeletal fluorosis.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Black tea is itself a significant dietary source of fluoride in India because the tea plant concentrates fluoride, so heavy consumption of strong or brick tea adds meaningfully to total intake.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Swallowing fluoride toothpaste is a minor extra source in young children; dental hygiene is relevant to associated dental fluorosis but has little bearing on skeletal disease.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Occupational and industrial fluoride exposure (aluminium smelting, phosphate fertiliser, brick kilns, coal burning) and prolonged residence in an endemic belt provoke or accelerate disease on top of waterborne intake.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fluoride (mg/L)</w:t>
            </w:r>
          </w:p>
        </w:tc>
        <w:tc>
          <w:tcPr>
            <w:tcW w:type="dxa" w:w="1655"/>
            <w:vAlign w:val="top"/>
          </w:tcPr>
          <w:p>
            <w:pPr>
              <w:spacing w:after="40" w:before="0" w:line="259" w:lineRule="auto"/>
            </w:pPr>
            <w:r>
              <w:rPr>
                <w:rFonts w:ascii="Calibri" w:hAnsi="Calibri"/>
                <w:b w:val="0"/>
                <w:i w:val="0"/>
                <w:color w:val="212121"/>
                <w:sz w:val="19"/>
              </w:rPr>
              <w:t>All residents of endemic areas</w:t>
            </w:r>
          </w:p>
        </w:tc>
        <w:tc>
          <w:tcPr>
            <w:tcW w:type="dxa" w:w="1512"/>
            <w:vAlign w:val="top"/>
          </w:tcPr>
          <w:p>
            <w:pPr>
              <w:spacing w:after="40" w:before="0" w:line="259" w:lineRule="auto"/>
            </w:pPr>
            <w:r>
              <w:rPr>
                <w:rFonts w:ascii="Calibri" w:hAnsi="Calibri"/>
                <w:b w:val="0"/>
                <w:i w:val="0"/>
                <w:color w:val="212121"/>
                <w:sz w:val="19"/>
              </w:rPr>
              <w:t>&lt;= 1.0 mg/L (BIS permissible)</w:t>
            </w:r>
          </w:p>
        </w:tc>
        <w:tc>
          <w:tcPr>
            <w:tcW w:type="dxa" w:w="1512"/>
            <w:vAlign w:val="top"/>
          </w:tcPr>
          <w:p>
            <w:pPr>
              <w:spacing w:after="40" w:before="0" w:line="259" w:lineRule="auto"/>
            </w:pPr>
            <w:r>
              <w:rPr>
                <w:rFonts w:ascii="Calibri" w:hAnsi="Calibri"/>
                <w:b w:val="0"/>
                <w:i w:val="0"/>
                <w:color w:val="212121"/>
                <w:sz w:val="19"/>
              </w:rPr>
              <w:t>&gt; 1.5 mg/L (WHO); up to 48 in endemic pockets</w:t>
            </w:r>
          </w:p>
        </w:tc>
        <w:tc>
          <w:tcPr>
            <w:tcW w:type="dxa" w:w="1468"/>
            <w:vAlign w:val="top"/>
          </w:tcPr>
          <w:p>
            <w:pPr>
              <w:spacing w:after="60" w:line="259" w:lineRule="auto"/>
            </w:pPr>
            <w:r>
              <w:rPr>
                <w:rFonts w:ascii="Calibri" w:hAnsi="Calibri"/>
                <w:b w:val="0"/>
                <w:i w:val="0"/>
                <w:color w:val="212121"/>
                <w:sz w:val="19"/>
              </w:rPr>
              <w:t>The principal determinant of skeletal fluorosis; test and switch sources</w:t>
            </w:r>
          </w:p>
          <w:p>
            <w:pPr>
              <w:spacing w:after="40" w:line="252" w:lineRule="auto"/>
            </w:pPr>
            <w:hyperlink r:id="rId10">
              <w:r>
                <w:rPr>
                  <w:rFonts w:ascii="Calibri" w:hAnsi="Calibri" w:cs="Calibri"/>
                  <w:sz w:val="18"/>
                  <w:color w:val="1155CC"/>
                  <w:u w:val="single"/>
                </w:rPr>
                <w:t xml:space="preserve">https://ncdc.mohfw.gov.in/wp-content/uploads/2024/05/CD-Alert-on-Fluorosis-Final-28-Apr-2022.pdf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drinking-water intake (L/day)</w:t>
            </w:r>
          </w:p>
        </w:tc>
        <w:tc>
          <w:tcPr>
            <w:tcW w:type="dxa" w:w="1655"/>
            <w:vAlign w:val="top"/>
          </w:tcPr>
          <w:p>
            <w:pPr>
              <w:spacing w:after="40" w:before="0" w:line="259" w:lineRule="auto"/>
            </w:pPr>
            <w:r>
              <w:rPr>
                <w:rFonts w:ascii="Calibri" w:hAnsi="Calibri"/>
                <w:b w:val="0"/>
                <w:i w:val="0"/>
                <w:color w:val="212121"/>
                <w:sz w:val="19"/>
              </w:rPr>
              <w:t>Adults in hot arid zones</w:t>
            </w:r>
          </w:p>
        </w:tc>
        <w:tc>
          <w:tcPr>
            <w:tcW w:type="dxa" w:w="1512"/>
            <w:vAlign w:val="top"/>
          </w:tcPr>
          <w:p>
            <w:pPr>
              <w:spacing w:after="40" w:before="0" w:line="259" w:lineRule="auto"/>
            </w:pPr>
            <w:r>
              <w:rPr>
                <w:rFonts w:ascii="Calibri" w:hAnsi="Calibri"/>
                <w:b w:val="0"/>
                <w:i w:val="0"/>
                <w:color w:val="212121"/>
                <w:sz w:val="19"/>
              </w:rPr>
              <w:t>~2-3 L/day</w:t>
            </w:r>
          </w:p>
        </w:tc>
        <w:tc>
          <w:tcPr>
            <w:tcW w:type="dxa" w:w="1512"/>
            <w:vAlign w:val="top"/>
          </w:tcPr>
          <w:p>
            <w:pPr>
              <w:spacing w:after="40" w:before="0" w:line="259" w:lineRule="auto"/>
            </w:pPr>
            <w:r>
              <w:rPr>
                <w:rFonts w:ascii="Calibri" w:hAnsi="Calibri"/>
                <w:b w:val="0"/>
                <w:i w:val="0"/>
                <w:color w:val="212121"/>
                <w:sz w:val="19"/>
              </w:rPr>
              <w:t>High intake in heat multiplies fluoride dose</w:t>
            </w:r>
          </w:p>
        </w:tc>
        <w:tc>
          <w:tcPr>
            <w:tcW w:type="dxa" w:w="1468"/>
            <w:vAlign w:val="top"/>
          </w:tcPr>
          <w:p>
            <w:pPr>
              <w:spacing w:after="40" w:before="0" w:line="259" w:lineRule="auto"/>
            </w:pPr>
            <w:r>
              <w:rPr>
                <w:rFonts w:ascii="Calibri" w:hAnsi="Calibri"/>
                <w:b w:val="0"/>
                <w:i w:val="0"/>
                <w:color w:val="212121"/>
                <w:sz w:val="19"/>
              </w:rPr>
              <w:t>The same water delivers a larger fluoride dose when intake is high</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Total fluoride intake (mg/day)</w:t>
            </w:r>
          </w:p>
        </w:tc>
        <w:tc>
          <w:tcPr>
            <w:tcW w:type="dxa" w:w="1655"/>
            <w:vAlign w:val="top"/>
          </w:tcPr>
          <w:p>
            <w:pPr>
              <w:spacing w:after="40" w:before="0" w:line="259" w:lineRule="auto"/>
            </w:pPr>
            <w:r>
              <w:rPr>
                <w:rFonts w:ascii="Calibri" w:hAnsi="Calibri"/>
                <w:b w:val="0"/>
                <w:i w:val="0"/>
                <w:color w:val="212121"/>
                <w:sz w:val="19"/>
              </w:rPr>
              <w:t>Chronically exposed adults</w:t>
            </w:r>
          </w:p>
        </w:tc>
        <w:tc>
          <w:tcPr>
            <w:tcW w:type="dxa" w:w="1512"/>
            <w:vAlign w:val="top"/>
          </w:tcPr>
          <w:p>
            <w:pPr>
              <w:spacing w:after="40" w:before="0" w:line="259" w:lineRule="auto"/>
            </w:pPr>
            <w:r>
              <w:rPr>
                <w:rFonts w:ascii="Calibri" w:hAnsi="Calibri"/>
                <w:b w:val="0"/>
                <w:i w:val="0"/>
                <w:color w:val="212121"/>
                <w:sz w:val="19"/>
              </w:rPr>
              <w:t>&lt; 0.05 mg/kg body weight/day</w:t>
            </w:r>
          </w:p>
        </w:tc>
        <w:tc>
          <w:tcPr>
            <w:tcW w:type="dxa" w:w="1512"/>
            <w:vAlign w:val="top"/>
          </w:tcPr>
          <w:p>
            <w:pPr>
              <w:spacing w:after="40" w:before="0" w:line="259" w:lineRule="auto"/>
            </w:pPr>
            <w:r>
              <w:rPr>
                <w:rFonts w:ascii="Calibri" w:hAnsi="Calibri"/>
                <w:b w:val="0"/>
                <w:i w:val="0"/>
                <w:color w:val="212121"/>
                <w:sz w:val="19"/>
              </w:rPr>
              <w:t>&gt;= 9-12 mg/day (advanced skeletal fluorosis)</w:t>
            </w:r>
          </w:p>
        </w:tc>
        <w:tc>
          <w:tcPr>
            <w:tcW w:type="dxa" w:w="1468"/>
            <w:vAlign w:val="top"/>
          </w:tcPr>
          <w:p>
            <w:pPr>
              <w:spacing w:after="60" w:line="259" w:lineRule="auto"/>
            </w:pPr>
            <w:r>
              <w:rPr>
                <w:rFonts w:ascii="Calibri" w:hAnsi="Calibri"/>
                <w:b w:val="0"/>
                <w:i w:val="0"/>
                <w:color w:val="212121"/>
                <w:sz w:val="19"/>
              </w:rPr>
              <w:t>Cumulative dose over years drives skeletal disease</w:t>
            </w:r>
          </w:p>
          <w:p>
            <w:pPr>
              <w:spacing w:after="40" w:line="252" w:lineRule="auto"/>
            </w:pPr>
            <w:hyperlink r:id="rId9">
              <w:r>
                <w:rPr>
                  <w:rFonts w:ascii="Calibri" w:hAnsi="Calibri" w:cs="Calibri"/>
                  <w:sz w:val="18"/>
                  <w:color w:val="1155CC"/>
                  <w:u w:val="single"/>
                </w:rPr>
                <w:t xml:space="preserve">https://fluoridealert.org/content/india-fluorosis/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calcium (mg/day)</w:t>
            </w:r>
          </w:p>
        </w:tc>
        <w:tc>
          <w:tcPr>
            <w:tcW w:type="dxa" w:w="1655"/>
            <w:vAlign w:val="top"/>
          </w:tcPr>
          <w:p>
            <w:pPr>
              <w:spacing w:after="40" w:before="0" w:line="259" w:lineRule="auto"/>
            </w:pPr>
            <w:r>
              <w:rPr>
                <w:rFonts w:ascii="Calibri" w:hAnsi="Calibri"/>
                <w:b w:val="0"/>
                <w:i w:val="0"/>
                <w:color w:val="212121"/>
                <w:sz w:val="19"/>
              </w:rPr>
              <w:t>Endemic-area residents, children</w:t>
            </w:r>
          </w:p>
        </w:tc>
        <w:tc>
          <w:tcPr>
            <w:tcW w:type="dxa" w:w="1512"/>
            <w:vAlign w:val="top"/>
          </w:tcPr>
          <w:p>
            <w:pPr>
              <w:spacing w:after="40" w:before="0" w:line="259" w:lineRule="auto"/>
            </w:pPr>
            <w:r>
              <w:rPr>
                <w:rFonts w:ascii="Calibri" w:hAnsi="Calibri"/>
                <w:b w:val="0"/>
                <w:i w:val="0"/>
                <w:color w:val="212121"/>
                <w:sz w:val="19"/>
              </w:rPr>
              <w:t>800-1200 mg/day</w:t>
            </w:r>
          </w:p>
        </w:tc>
        <w:tc>
          <w:tcPr>
            <w:tcW w:type="dxa" w:w="1512"/>
            <w:vAlign w:val="top"/>
          </w:tcPr>
          <w:p>
            <w:pPr>
              <w:spacing w:after="40" w:before="0" w:line="259" w:lineRule="auto"/>
            </w:pPr>
            <w:r>
              <w:rPr>
                <w:rFonts w:ascii="Calibri" w:hAnsi="Calibri"/>
                <w:b w:val="0"/>
                <w:i w:val="0"/>
                <w:color w:val="212121"/>
                <w:sz w:val="19"/>
              </w:rPr>
              <w:t>Low intake (&lt; 400 mg/day)</w:t>
            </w:r>
          </w:p>
        </w:tc>
        <w:tc>
          <w:tcPr>
            <w:tcW w:type="dxa" w:w="1468"/>
            <w:vAlign w:val="top"/>
          </w:tcPr>
          <w:p>
            <w:pPr>
              <w:spacing w:after="40" w:before="0" w:line="259" w:lineRule="auto"/>
            </w:pPr>
            <w:r>
              <w:rPr>
                <w:rFonts w:ascii="Calibri" w:hAnsi="Calibri"/>
                <w:b w:val="0"/>
                <w:i w:val="0"/>
                <w:color w:val="212121"/>
                <w:sz w:val="19"/>
              </w:rPr>
              <w:t>Low calcium increases fluoride absorption/retention and deformity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25-OH vitamin D (ng/mL)</w:t>
            </w:r>
          </w:p>
        </w:tc>
        <w:tc>
          <w:tcPr>
            <w:tcW w:type="dxa" w:w="1655"/>
            <w:vAlign w:val="top"/>
          </w:tcPr>
          <w:p>
            <w:pPr>
              <w:spacing w:after="40" w:before="0" w:line="259" w:lineRule="auto"/>
            </w:pPr>
            <w:r>
              <w:rPr>
                <w:rFonts w:ascii="Calibri" w:hAnsi="Calibri"/>
                <w:b w:val="0"/>
                <w:i w:val="0"/>
                <w:color w:val="212121"/>
                <w:sz w:val="19"/>
              </w:rPr>
              <w:t>Children, women, malnourished</w:t>
            </w:r>
          </w:p>
        </w:tc>
        <w:tc>
          <w:tcPr>
            <w:tcW w:type="dxa" w:w="1512"/>
            <w:vAlign w:val="top"/>
          </w:tcPr>
          <w:p>
            <w:pPr>
              <w:spacing w:after="40" w:before="0" w:line="259" w:lineRule="auto"/>
            </w:pPr>
            <w:r>
              <w:rPr>
                <w:rFonts w:ascii="Calibri" w:hAnsi="Calibri"/>
                <w:b w:val="0"/>
                <w:i w:val="0"/>
                <w:color w:val="212121"/>
                <w:sz w:val="19"/>
              </w:rPr>
              <w:t>&gt;= 20-30 ng/mL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40" w:before="0" w:line="259" w:lineRule="auto"/>
            </w:pPr>
            <w:r>
              <w:rPr>
                <w:rFonts w:ascii="Calibri" w:hAnsi="Calibri"/>
                <w:b w:val="0"/>
                <w:i w:val="0"/>
                <w:color w:val="212121"/>
                <w:sz w:val="19"/>
              </w:rPr>
              <w:t>Vitamin-D deficiency worsens fluorotic bone disease and genu valgum</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Urine fluoride (mg/L)</w:t>
            </w:r>
          </w:p>
        </w:tc>
        <w:tc>
          <w:tcPr>
            <w:tcW w:type="dxa" w:w="1655"/>
            <w:vAlign w:val="top"/>
          </w:tcPr>
          <w:p>
            <w:pPr>
              <w:spacing w:after="40" w:before="0" w:line="259" w:lineRule="auto"/>
            </w:pPr>
            <w:r>
              <w:rPr>
                <w:rFonts w:ascii="Calibri" w:hAnsi="Calibri"/>
                <w:b w:val="0"/>
                <w:i w:val="0"/>
                <w:color w:val="212121"/>
                <w:sz w:val="19"/>
              </w:rPr>
              <w:t>Exposed individuals / suspected fluorosis</w:t>
            </w:r>
          </w:p>
        </w:tc>
        <w:tc>
          <w:tcPr>
            <w:tcW w:type="dxa" w:w="1512"/>
            <w:vAlign w:val="top"/>
          </w:tcPr>
          <w:p>
            <w:pPr>
              <w:spacing w:after="40" w:before="0" w:line="259" w:lineRule="auto"/>
            </w:pPr>
            <w:r>
              <w:rPr>
                <w:rFonts w:ascii="Calibri" w:hAnsi="Calibri"/>
                <w:b w:val="0"/>
                <w:i w:val="0"/>
                <w:color w:val="212121"/>
                <w:sz w:val="19"/>
              </w:rPr>
              <w:t>&lt; 1.0 mg/L</w:t>
            </w:r>
          </w:p>
        </w:tc>
        <w:tc>
          <w:tcPr>
            <w:tcW w:type="dxa" w:w="1512"/>
            <w:vAlign w:val="top"/>
          </w:tcPr>
          <w:p>
            <w:pPr>
              <w:spacing w:after="40" w:before="0" w:line="259" w:lineRule="auto"/>
            </w:pPr>
            <w:r>
              <w:rPr>
                <w:rFonts w:ascii="Calibri" w:hAnsi="Calibri"/>
                <w:b w:val="0"/>
                <w:i w:val="0"/>
                <w:color w:val="212121"/>
                <w:sz w:val="19"/>
              </w:rPr>
              <w:t>&gt; 1.0 mg/L</w:t>
            </w:r>
          </w:p>
        </w:tc>
        <w:tc>
          <w:tcPr>
            <w:tcW w:type="dxa" w:w="1468"/>
            <w:vAlign w:val="top"/>
          </w:tcPr>
          <w:p>
            <w:pPr>
              <w:spacing w:after="60" w:line="259" w:lineRule="auto"/>
            </w:pPr>
            <w:r>
              <w:rPr>
                <w:rFonts w:ascii="Calibri" w:hAnsi="Calibri"/>
                <w:b w:val="0"/>
                <w:i w:val="0"/>
                <w:color w:val="212121"/>
                <w:sz w:val="19"/>
              </w:rPr>
              <w:t>Best marker of current fluoride exposure and body burden</w:t>
            </w:r>
          </w:p>
          <w:p>
            <w:pPr>
              <w:spacing w:after="40" w:line="252" w:lineRule="auto"/>
            </w:pPr>
            <w:hyperlink r:id="rId10">
              <w:r>
                <w:rPr>
                  <w:rFonts w:ascii="Calibri" w:hAnsi="Calibri" w:cs="Calibri"/>
                  <w:sz w:val="18"/>
                  <w:color w:val="1155CC"/>
                  <w:u w:val="single"/>
                </w:rPr>
                <w:t xml:space="preserve">https://ncdc.mohfw.gov.in/wp-content/uploads/2024/05/CD-Alert-on-Fluorosis-Final-28-Apr-2022.pdf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fluoride (mg/L)</w:t>
            </w:r>
          </w:p>
        </w:tc>
        <w:tc>
          <w:tcPr>
            <w:tcW w:type="dxa" w:w="1655"/>
            <w:vAlign w:val="top"/>
          </w:tcPr>
          <w:p>
            <w:pPr>
              <w:spacing w:after="40" w:before="0" w:line="259" w:lineRule="auto"/>
            </w:pPr>
            <w:r>
              <w:rPr>
                <w:rFonts w:ascii="Calibri" w:hAnsi="Calibri"/>
                <w:b w:val="0"/>
                <w:i w:val="0"/>
                <w:color w:val="212121"/>
                <w:sz w:val="19"/>
              </w:rPr>
              <w:t>Suspected fluorosis</w:t>
            </w:r>
          </w:p>
        </w:tc>
        <w:tc>
          <w:tcPr>
            <w:tcW w:type="dxa" w:w="1512"/>
            <w:vAlign w:val="top"/>
          </w:tcPr>
          <w:p>
            <w:pPr>
              <w:spacing w:after="40" w:before="0" w:line="259" w:lineRule="auto"/>
            </w:pPr>
            <w:r>
              <w:rPr>
                <w:rFonts w:ascii="Calibri" w:hAnsi="Calibri"/>
                <w:b w:val="0"/>
                <w:i w:val="0"/>
                <w:color w:val="212121"/>
                <w:sz w:val="19"/>
              </w:rPr>
              <w:t>~0.02-0.05 mg/L</w:t>
            </w:r>
          </w:p>
        </w:tc>
        <w:tc>
          <w:tcPr>
            <w:tcW w:type="dxa" w:w="1512"/>
            <w:vAlign w:val="top"/>
          </w:tcPr>
          <w:p>
            <w:pPr>
              <w:spacing w:after="40" w:before="0" w:line="259" w:lineRule="auto"/>
            </w:pPr>
            <w:r>
              <w:rPr>
                <w:rFonts w:ascii="Calibri" w:hAnsi="Calibri"/>
                <w:b w:val="0"/>
                <w:i w:val="0"/>
                <w:color w:val="212121"/>
                <w:sz w:val="19"/>
              </w:rPr>
              <w:t>Raised above reference</w:t>
            </w:r>
          </w:p>
        </w:tc>
        <w:tc>
          <w:tcPr>
            <w:tcW w:type="dxa" w:w="1468"/>
            <w:vAlign w:val="top"/>
          </w:tcPr>
          <w:p>
            <w:pPr>
              <w:spacing w:after="60" w:line="259" w:lineRule="auto"/>
            </w:pPr>
            <w:r>
              <w:rPr>
                <w:rFonts w:ascii="Calibri" w:hAnsi="Calibri"/>
                <w:b w:val="0"/>
                <w:i w:val="0"/>
                <w:color w:val="212121"/>
                <w:sz w:val="19"/>
              </w:rPr>
              <w:t>Reflects recent and chronic intake; part of the diagnostic panel</w:t>
            </w:r>
          </w:p>
          <w:p>
            <w:pPr>
              <w:spacing w:after="40" w:line="252" w:lineRule="auto"/>
            </w:pPr>
            <w:hyperlink r:id="rId10">
              <w:r>
                <w:rPr>
                  <w:rFonts w:ascii="Calibri" w:hAnsi="Calibri" w:cs="Calibri"/>
                  <w:sz w:val="18"/>
                  <w:color w:val="1155CC"/>
                  <w:u w:val="single"/>
                </w:rPr>
                <w:t xml:space="preserve">https://ncdc.mohfw.gov.in/wp-content/uploads/2024/05/CD-Alert-on-Fluorosis-Final-28-Apr-2022.pdf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alkaline phosphatase (U/L)</w:t>
            </w:r>
          </w:p>
        </w:tc>
        <w:tc>
          <w:tcPr>
            <w:tcW w:type="dxa" w:w="1655"/>
            <w:vAlign w:val="top"/>
          </w:tcPr>
          <w:p>
            <w:pPr>
              <w:spacing w:after="40" w:before="0" w:line="259" w:lineRule="auto"/>
            </w:pPr>
            <w:r>
              <w:rPr>
                <w:rFonts w:ascii="Calibri" w:hAnsi="Calibri"/>
                <w:b w:val="0"/>
                <w:i w:val="0"/>
                <w:color w:val="212121"/>
                <w:sz w:val="19"/>
              </w:rPr>
              <w:t>Active skeletal fluorosis</w:t>
            </w:r>
          </w:p>
        </w:tc>
        <w:tc>
          <w:tcPr>
            <w:tcW w:type="dxa" w:w="1512"/>
            <w:vAlign w:val="top"/>
          </w:tcPr>
          <w:p>
            <w:pPr>
              <w:spacing w:after="40" w:before="0" w:line="259" w:lineRule="auto"/>
            </w:pPr>
            <w:r>
              <w:rPr>
                <w:rFonts w:ascii="Calibri" w:hAnsi="Calibri"/>
                <w:b w:val="0"/>
                <w:i w:val="0"/>
                <w:color w:val="212121"/>
                <w:sz w:val="19"/>
              </w:rPr>
              <w:t>~40-129 U/L (adult)</w:t>
            </w:r>
          </w:p>
        </w:tc>
        <w:tc>
          <w:tcPr>
            <w:tcW w:type="dxa" w:w="1512"/>
            <w:vAlign w:val="top"/>
          </w:tcPr>
          <w:p>
            <w:pPr>
              <w:spacing w:after="40" w:before="0" w:line="259" w:lineRule="auto"/>
            </w:pPr>
            <w:r>
              <w:rPr>
                <w:rFonts w:ascii="Calibri" w:hAnsi="Calibri"/>
                <w:b w:val="0"/>
                <w:i w:val="0"/>
                <w:color w:val="212121"/>
                <w:sz w:val="19"/>
              </w:rPr>
              <w:t>Elevated</w:t>
            </w:r>
          </w:p>
        </w:tc>
        <w:tc>
          <w:tcPr>
            <w:tcW w:type="dxa" w:w="1468"/>
            <w:vAlign w:val="top"/>
          </w:tcPr>
          <w:p>
            <w:pPr>
              <w:spacing w:after="40" w:before="0" w:line="259" w:lineRule="auto"/>
            </w:pPr>
            <w:r>
              <w:rPr>
                <w:rFonts w:ascii="Calibri" w:hAnsi="Calibri"/>
                <w:b w:val="0"/>
                <w:i w:val="0"/>
                <w:color w:val="212121"/>
                <w:sz w:val="19"/>
              </w:rPr>
              <w:t>Raised ALP reflects increased osteoblastic bone turnover</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 bidi / paan use</w:t>
            </w:r>
          </w:p>
        </w:tc>
        <w:tc>
          <w:tcPr>
            <w:tcW w:type="dxa" w:w="1655"/>
            <w:vAlign w:val="top"/>
          </w:tcPr>
          <w:p>
            <w:pPr>
              <w:spacing w:after="40" w:before="0" w:line="259" w:lineRule="auto"/>
            </w:pPr>
            <w:r>
              <w:rPr>
                <w:rFonts w:ascii="Calibri" w:hAnsi="Calibri"/>
                <w:b w:val="0"/>
                <w:i w:val="0"/>
                <w:color w:val="212121"/>
                <w:sz w:val="19"/>
              </w:rPr>
              <w:t>Endemic-area adults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Any regular use</w:t>
            </w:r>
          </w:p>
        </w:tc>
        <w:tc>
          <w:tcPr>
            <w:tcW w:type="dxa" w:w="1468"/>
            <w:vAlign w:val="top"/>
          </w:tcPr>
          <w:p>
            <w:pPr>
              <w:spacing w:after="60" w:line="259" w:lineRule="auto"/>
            </w:pPr>
            <w:r>
              <w:rPr>
                <w:rFonts w:ascii="Calibri" w:hAnsi="Calibri"/>
                <w:b w:val="0"/>
                <w:i w:val="0"/>
                <w:color w:val="212121"/>
                <w:sz w:val="19"/>
              </w:rPr>
              <w:t>Tobacco and paan add fluoride to the total body burden</w:t>
            </w:r>
          </w:p>
          <w:p>
            <w:pPr>
              <w:spacing w:after="40" w:line="252" w:lineRule="auto"/>
            </w:pPr>
            <w:hyperlink r:id="rId10">
              <w:r>
                <w:rPr>
                  <w:rFonts w:ascii="Calibri" w:hAnsi="Calibri" w:cs="Calibri"/>
                  <w:sz w:val="18"/>
                  <w:color w:val="1155CC"/>
                  <w:u w:val="single"/>
                </w:rPr>
                <w:t xml:space="preserve">https://ncdc.mohfw.gov.in/wp-content/uploads/2024/05/CD-Alert-on-Fluorosis-Final-28-Apr-2022.pdf</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Strong / black tea (cups/day)</w:t>
            </w:r>
          </w:p>
        </w:tc>
        <w:tc>
          <w:tcPr>
            <w:tcW w:type="dxa" w:w="1655"/>
            <w:vAlign w:val="top"/>
          </w:tcPr>
          <w:p>
            <w:pPr>
              <w:spacing w:after="40" w:before="0" w:line="259" w:lineRule="auto"/>
            </w:pPr>
            <w:r>
              <w:rPr>
                <w:rFonts w:ascii="Calibri" w:hAnsi="Calibri"/>
                <w:b w:val="0"/>
                <w:i w:val="0"/>
                <w:color w:val="212121"/>
                <w:sz w:val="19"/>
              </w:rPr>
              <w:t>Heavy tea drinkers</w:t>
            </w:r>
          </w:p>
        </w:tc>
        <w:tc>
          <w:tcPr>
            <w:tcW w:type="dxa" w:w="1512"/>
            <w:vAlign w:val="top"/>
          </w:tcPr>
          <w:p>
            <w:pPr>
              <w:spacing w:after="40" w:before="0" w:line="259" w:lineRule="auto"/>
            </w:pPr>
            <w:r>
              <w:rPr>
                <w:rFonts w:ascii="Calibri" w:hAnsi="Calibri"/>
                <w:b w:val="0"/>
                <w:i w:val="0"/>
                <w:color w:val="212121"/>
                <w:sz w:val="19"/>
              </w:rPr>
              <w:t>Moderate</w:t>
            </w:r>
          </w:p>
        </w:tc>
        <w:tc>
          <w:tcPr>
            <w:tcW w:type="dxa" w:w="1512"/>
            <w:vAlign w:val="top"/>
          </w:tcPr>
          <w:p>
            <w:pPr>
              <w:spacing w:after="40" w:before="0" w:line="259" w:lineRule="auto"/>
            </w:pPr>
            <w:r>
              <w:rPr>
                <w:rFonts w:ascii="Calibri" w:hAnsi="Calibri"/>
                <w:b w:val="0"/>
                <w:i w:val="0"/>
                <w:color w:val="212121"/>
                <w:sz w:val="19"/>
              </w:rPr>
              <w:t>Heavy strong or brick-tea intake</w:t>
            </w:r>
          </w:p>
        </w:tc>
        <w:tc>
          <w:tcPr>
            <w:tcW w:type="dxa" w:w="1468"/>
            <w:vAlign w:val="top"/>
          </w:tcPr>
          <w:p>
            <w:pPr>
              <w:spacing w:after="40" w:before="0" w:line="259" w:lineRule="auto"/>
            </w:pPr>
            <w:r>
              <w:rPr>
                <w:rFonts w:ascii="Calibri" w:hAnsi="Calibri"/>
                <w:b w:val="0"/>
                <w:i w:val="0"/>
                <w:color w:val="212121"/>
                <w:sz w:val="19"/>
              </w:rPr>
              <w:t>Tea leaves concentrate fluoride; adds to dietary intake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Urine fluoride</w:t>
            </w:r>
          </w:p>
        </w:tc>
        <w:tc>
          <w:tcPr>
            <w:tcW w:type="dxa" w:w="892"/>
            <w:vAlign w:val="top"/>
          </w:tcPr>
          <w:p>
            <w:pPr>
              <w:spacing w:after="40" w:before="0" w:line="259" w:lineRule="auto"/>
            </w:pPr>
            <w:r>
              <w:rPr>
                <w:rFonts w:ascii="Calibri" w:hAnsi="Calibri"/>
                <w:b w:val="0"/>
                <w:i w:val="0"/>
                <w:color w:val="212121"/>
                <w:sz w:val="16"/>
              </w:rPr>
              <w:t>Ion-selective electrode assay</w:t>
            </w:r>
          </w:p>
        </w:tc>
        <w:tc>
          <w:tcPr>
            <w:tcW w:type="dxa" w:w="950"/>
            <w:vAlign w:val="top"/>
          </w:tcPr>
          <w:p>
            <w:pPr>
              <w:spacing w:after="40" w:before="0" w:line="259" w:lineRule="auto"/>
            </w:pPr>
            <w:r>
              <w:rPr>
                <w:rFonts w:ascii="Calibri" w:hAnsi="Calibri"/>
                <w:b w:val="0"/>
                <w:i w:val="0"/>
                <w:color w:val="212121"/>
                <w:sz w:val="16"/>
              </w:rPr>
              <w:t>&lt; 1.0 mg/L</w:t>
            </w:r>
          </w:p>
        </w:tc>
        <w:tc>
          <w:tcPr>
            <w:tcW w:type="dxa" w:w="950"/>
            <w:vAlign w:val="top"/>
          </w:tcPr>
          <w:p>
            <w:pPr>
              <w:spacing w:after="40" w:before="0" w:line="259" w:lineRule="auto"/>
            </w:pPr>
            <w:r>
              <w:rPr>
                <w:rFonts w:ascii="Calibri" w:hAnsi="Calibri"/>
                <w:b w:val="0"/>
                <w:i w:val="0"/>
                <w:color w:val="212121"/>
                <w:sz w:val="16"/>
              </w:rPr>
              <w:t>&gt; 1.0 mg/L</w:t>
            </w:r>
          </w:p>
        </w:tc>
        <w:tc>
          <w:tcPr>
            <w:tcW w:type="dxa" w:w="1036"/>
            <w:vAlign w:val="top"/>
          </w:tcPr>
          <w:p>
            <w:pPr>
              <w:spacing w:after="40" w:before="0" w:line="259" w:lineRule="auto"/>
            </w:pPr>
            <w:r>
              <w:rPr>
                <w:rFonts w:ascii="Calibri" w:hAnsi="Calibri"/>
                <w:b w:val="0"/>
                <w:i w:val="0"/>
                <w:color w:val="212121"/>
                <w:sz w:val="16"/>
              </w:rPr>
              <w:t>Best index of current fluoride exposure and body burden; used for community diagnosis and monitoring after safe-water intervention</w:t>
            </w:r>
          </w:p>
        </w:tc>
        <w:tc>
          <w:tcPr>
            <w:tcW w:type="dxa" w:w="1036"/>
            <w:vAlign w:val="top"/>
          </w:tcPr>
          <w:p>
            <w:pPr>
              <w:spacing w:after="40" w:before="0" w:line="259" w:lineRule="auto"/>
            </w:pPr>
            <w:r>
              <w:rPr>
                <w:rFonts w:ascii="Calibri" w:hAnsi="Calibri"/>
                <w:b w:val="0"/>
                <w:i w:val="0"/>
                <w:color w:val="212121"/>
                <w:sz w:val="16"/>
              </w:rPr>
              <w:t>Exposed residents, suspected fluorosis, community surveys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Spot or 24-hour sample; core NPPCF diagnostic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fluoride</w:t>
            </w:r>
          </w:p>
        </w:tc>
        <w:tc>
          <w:tcPr>
            <w:tcW w:type="dxa" w:w="892"/>
            <w:vAlign w:val="top"/>
          </w:tcPr>
          <w:p>
            <w:pPr>
              <w:spacing w:after="40" w:before="0" w:line="259" w:lineRule="auto"/>
            </w:pPr>
            <w:r>
              <w:rPr>
                <w:rFonts w:ascii="Calibri" w:hAnsi="Calibri"/>
                <w:b w:val="0"/>
                <w:i w:val="0"/>
                <w:color w:val="212121"/>
                <w:sz w:val="16"/>
              </w:rPr>
              <w:t>Ion-selective electrode assay</w:t>
            </w:r>
          </w:p>
        </w:tc>
        <w:tc>
          <w:tcPr>
            <w:tcW w:type="dxa" w:w="950"/>
            <w:vAlign w:val="top"/>
          </w:tcPr>
          <w:p>
            <w:pPr>
              <w:spacing w:after="40" w:before="0" w:line="259" w:lineRule="auto"/>
            </w:pPr>
            <w:r>
              <w:rPr>
                <w:rFonts w:ascii="Calibri" w:hAnsi="Calibri"/>
                <w:b w:val="0"/>
                <w:i w:val="0"/>
                <w:color w:val="212121"/>
                <w:sz w:val="16"/>
              </w:rPr>
              <w:t>~0.02-0.05 mg/L</w:t>
            </w:r>
          </w:p>
        </w:tc>
        <w:tc>
          <w:tcPr>
            <w:tcW w:type="dxa" w:w="950"/>
            <w:vAlign w:val="top"/>
          </w:tcPr>
          <w:p>
            <w:pPr>
              <w:spacing w:after="40" w:before="0" w:line="259" w:lineRule="auto"/>
            </w:pPr>
            <w:r>
              <w:rPr>
                <w:rFonts w:ascii="Calibri" w:hAnsi="Calibri"/>
                <w:b w:val="0"/>
                <w:i w:val="0"/>
                <w:color w:val="212121"/>
                <w:sz w:val="16"/>
              </w:rPr>
              <w:t>Raised above reference</w:t>
            </w:r>
          </w:p>
        </w:tc>
        <w:tc>
          <w:tcPr>
            <w:tcW w:type="dxa" w:w="1036"/>
            <w:vAlign w:val="top"/>
          </w:tcPr>
          <w:p>
            <w:pPr>
              <w:spacing w:after="40" w:before="0" w:line="259" w:lineRule="auto"/>
            </w:pPr>
            <w:r>
              <w:rPr>
                <w:rFonts w:ascii="Calibri" w:hAnsi="Calibri"/>
                <w:b w:val="0"/>
                <w:i w:val="0"/>
                <w:color w:val="212121"/>
                <w:sz w:val="16"/>
              </w:rPr>
              <w:t>Reflects recent and chronic intake and supports the diagnosis alongside urine and water fluoride</w:t>
            </w:r>
          </w:p>
        </w:tc>
        <w:tc>
          <w:tcPr>
            <w:tcW w:type="dxa" w:w="1036"/>
            <w:vAlign w:val="top"/>
          </w:tcPr>
          <w:p>
            <w:pPr>
              <w:spacing w:after="40" w:before="0" w:line="259" w:lineRule="auto"/>
            </w:pPr>
            <w:r>
              <w:rPr>
                <w:rFonts w:ascii="Calibri" w:hAnsi="Calibri"/>
                <w:b w:val="0"/>
                <w:i w:val="0"/>
                <w:color w:val="212121"/>
                <w:sz w:val="16"/>
              </w:rPr>
              <w:t>Suspected fluorosis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Interpret with exposure history and radiology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Environmental</w:t>
            </w:r>
          </w:p>
        </w:tc>
        <w:tc>
          <w:tcPr>
            <w:tcW w:type="dxa" w:w="1036"/>
            <w:vAlign w:val="top"/>
          </w:tcPr>
          <w:p>
            <w:pPr>
              <w:spacing w:after="40" w:before="0" w:line="259" w:lineRule="auto"/>
            </w:pPr>
            <w:r>
              <w:rPr>
                <w:rFonts w:ascii="Calibri" w:hAnsi="Calibri"/>
                <w:b w:val="0"/>
                <w:i w:val="0"/>
                <w:color w:val="212121"/>
                <w:sz w:val="16"/>
              </w:rPr>
              <w:t>Drinking-water fluoride</w:t>
            </w:r>
          </w:p>
        </w:tc>
        <w:tc>
          <w:tcPr>
            <w:tcW w:type="dxa" w:w="892"/>
            <w:vAlign w:val="top"/>
          </w:tcPr>
          <w:p>
            <w:pPr>
              <w:spacing w:after="40" w:before="0" w:line="259" w:lineRule="auto"/>
            </w:pPr>
            <w:r>
              <w:rPr>
                <w:rFonts w:ascii="Calibri" w:hAnsi="Calibri"/>
                <w:b w:val="0"/>
                <w:i w:val="0"/>
                <w:color w:val="212121"/>
                <w:sz w:val="16"/>
              </w:rPr>
              <w:t>SPADNS colorimetry / ISE</w:t>
            </w:r>
          </w:p>
        </w:tc>
        <w:tc>
          <w:tcPr>
            <w:tcW w:type="dxa" w:w="950"/>
            <w:vAlign w:val="top"/>
          </w:tcPr>
          <w:p>
            <w:pPr>
              <w:spacing w:after="40" w:before="0" w:line="259" w:lineRule="auto"/>
            </w:pPr>
            <w:r>
              <w:rPr>
                <w:rFonts w:ascii="Calibri" w:hAnsi="Calibri"/>
                <w:b w:val="0"/>
                <w:i w:val="0"/>
                <w:color w:val="212121"/>
                <w:sz w:val="16"/>
              </w:rPr>
              <w:t>&lt;= 1.0 mg/L (BIS)</w:t>
            </w:r>
          </w:p>
        </w:tc>
        <w:tc>
          <w:tcPr>
            <w:tcW w:type="dxa" w:w="950"/>
            <w:vAlign w:val="top"/>
          </w:tcPr>
          <w:p>
            <w:pPr>
              <w:spacing w:after="40" w:before="0" w:line="259" w:lineRule="auto"/>
            </w:pPr>
            <w:r>
              <w:rPr>
                <w:rFonts w:ascii="Calibri" w:hAnsi="Calibri"/>
                <w:b w:val="0"/>
                <w:i w:val="0"/>
                <w:color w:val="212121"/>
                <w:sz w:val="16"/>
              </w:rPr>
              <w:t>&gt; 1.5 mg/L (WHO); up to 48 mg/L in pockets</w:t>
            </w:r>
          </w:p>
        </w:tc>
        <w:tc>
          <w:tcPr>
            <w:tcW w:type="dxa" w:w="1036"/>
            <w:vAlign w:val="top"/>
          </w:tcPr>
          <w:p>
            <w:pPr>
              <w:spacing w:after="40" w:before="0" w:line="259" w:lineRule="auto"/>
            </w:pPr>
            <w:r>
              <w:rPr>
                <w:rFonts w:ascii="Calibri" w:hAnsi="Calibri"/>
                <w:b w:val="0"/>
                <w:i w:val="0"/>
                <w:color w:val="212121"/>
                <w:sz w:val="16"/>
              </w:rPr>
              <w:t>Confirms the environmental source and guides safe-water intervention and source mapping</w:t>
            </w:r>
          </w:p>
        </w:tc>
        <w:tc>
          <w:tcPr>
            <w:tcW w:type="dxa" w:w="1036"/>
            <w:vAlign w:val="top"/>
          </w:tcPr>
          <w:p>
            <w:pPr>
              <w:spacing w:after="40" w:before="0" w:line="259" w:lineRule="auto"/>
            </w:pPr>
            <w:r>
              <w:rPr>
                <w:rFonts w:ascii="Calibri" w:hAnsi="Calibri"/>
                <w:b w:val="0"/>
                <w:i w:val="0"/>
                <w:color w:val="212121"/>
                <w:sz w:val="16"/>
              </w:rPr>
              <w:t>Households and habitations in endemic areas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Map safe vs unsafe sources for the community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Radiograph forearm, pelvis &amp; spine</w:t>
            </w:r>
          </w:p>
        </w:tc>
        <w:tc>
          <w:tcPr>
            <w:tcW w:type="dxa" w:w="892"/>
            <w:vAlign w:val="top"/>
          </w:tcPr>
          <w:p>
            <w:pPr>
              <w:spacing w:after="40" w:before="0" w:line="259" w:lineRule="auto"/>
            </w:pPr>
            <w:r>
              <w:rPr>
                <w:rFonts w:ascii="Calibri" w:hAnsi="Calibri"/>
                <w:b w:val="0"/>
                <w:i w:val="0"/>
                <w:color w:val="212121"/>
                <w:sz w:val="16"/>
              </w:rPr>
              <w:t>Plain X-ray</w:t>
            </w:r>
          </w:p>
        </w:tc>
        <w:tc>
          <w:tcPr>
            <w:tcW w:type="dxa" w:w="950"/>
            <w:vAlign w:val="top"/>
          </w:tcPr>
          <w:p>
            <w:pPr>
              <w:spacing w:after="40" w:before="0" w:line="259" w:lineRule="auto"/>
            </w:pPr>
            <w:r>
              <w:rPr>
                <w:rFonts w:ascii="Calibri" w:hAnsi="Calibri"/>
                <w:b w:val="0"/>
                <w:i w:val="0"/>
                <w:color w:val="212121"/>
                <w:sz w:val="16"/>
              </w:rPr>
              <w:t>Normal density; no ligament calcification</w:t>
            </w:r>
          </w:p>
        </w:tc>
        <w:tc>
          <w:tcPr>
            <w:tcW w:type="dxa" w:w="950"/>
            <w:vAlign w:val="top"/>
          </w:tcPr>
          <w:p>
            <w:pPr>
              <w:spacing w:after="40" w:before="0" w:line="259" w:lineRule="auto"/>
            </w:pPr>
            <w:r>
              <w:rPr>
                <w:rFonts w:ascii="Calibri" w:hAnsi="Calibri"/>
                <w:b w:val="0"/>
                <w:i w:val="0"/>
                <w:color w:val="212121"/>
                <w:sz w:val="16"/>
              </w:rPr>
              <w:t>Osteosclerosis, calcified interosseous membrane of forearm/leg, ligament &amp; tendon ossification, osteophytosis, rigid spine</w:t>
            </w:r>
          </w:p>
        </w:tc>
        <w:tc>
          <w:tcPr>
            <w:tcW w:type="dxa" w:w="1036"/>
            <w:vAlign w:val="top"/>
          </w:tcPr>
          <w:p>
            <w:pPr>
              <w:spacing w:after="40" w:before="0" w:line="259" w:lineRule="auto"/>
            </w:pPr>
            <w:r>
              <w:rPr>
                <w:rFonts w:ascii="Calibri" w:hAnsi="Calibri"/>
                <w:b w:val="0"/>
                <w:i w:val="0"/>
                <w:color w:val="212121"/>
                <w:sz w:val="16"/>
              </w:rPr>
              <w:t>Radiological findings are the most reliable confirmation of skeletal fluorosis; the calcified forearm interosseous membrane is classic</w:t>
            </w:r>
          </w:p>
        </w:tc>
        <w:tc>
          <w:tcPr>
            <w:tcW w:type="dxa" w:w="1036"/>
            <w:vAlign w:val="top"/>
          </w:tcPr>
          <w:p>
            <w:pPr>
              <w:spacing w:after="40" w:before="0" w:line="259" w:lineRule="auto"/>
            </w:pPr>
            <w:r>
              <w:rPr>
                <w:rFonts w:ascii="Calibri" w:hAnsi="Calibri"/>
                <w:b w:val="0"/>
                <w:i w:val="0"/>
                <w:color w:val="212121"/>
                <w:sz w:val="16"/>
              </w:rPr>
              <w:t>Symptomatic patients, staging</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Grade severity (preclinical to crippling) radiologically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alkaline phosphatase</w:t>
            </w:r>
          </w:p>
        </w:tc>
        <w:tc>
          <w:tcPr>
            <w:tcW w:type="dxa" w:w="892"/>
            <w:vAlign w:val="top"/>
          </w:tcPr>
          <w:p>
            <w:pPr>
              <w:spacing w:after="40" w:before="0" w:line="259" w:lineRule="auto"/>
            </w:pPr>
            <w:r>
              <w:rPr>
                <w:rFonts w:ascii="Calibri" w:hAnsi="Calibri"/>
                <w:b w:val="0"/>
                <w:i w:val="0"/>
                <w:color w:val="212121"/>
                <w:sz w:val="16"/>
              </w:rPr>
              <w:t>Bone turnover marker</w:t>
            </w:r>
          </w:p>
        </w:tc>
        <w:tc>
          <w:tcPr>
            <w:tcW w:type="dxa" w:w="950"/>
            <w:vAlign w:val="top"/>
          </w:tcPr>
          <w:p>
            <w:pPr>
              <w:spacing w:after="40" w:before="0" w:line="259" w:lineRule="auto"/>
            </w:pPr>
            <w:r>
              <w:rPr>
                <w:rFonts w:ascii="Calibri" w:hAnsi="Calibri"/>
                <w:b w:val="0"/>
                <w:i w:val="0"/>
                <w:color w:val="212121"/>
                <w:sz w:val="16"/>
              </w:rPr>
              <w:t>~40-129 U/L (adult)</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Raised ALP indicates increased osteoblastic activity in active fluorotic bone disease</w:t>
            </w:r>
          </w:p>
        </w:tc>
        <w:tc>
          <w:tcPr>
            <w:tcW w:type="dxa" w:w="1036"/>
            <w:vAlign w:val="top"/>
          </w:tcPr>
          <w:p>
            <w:pPr>
              <w:spacing w:after="40" w:before="0" w:line="259" w:lineRule="auto"/>
            </w:pPr>
            <w:r>
              <w:rPr>
                <w:rFonts w:ascii="Calibri" w:hAnsi="Calibri"/>
                <w:b w:val="0"/>
                <w:i w:val="0"/>
                <w:color w:val="212121"/>
                <w:sz w:val="16"/>
              </w:rPr>
              <w:t>Active skeletal fluorosis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correlate with radiology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calcium, phosphate &amp; PTH</w:t>
            </w:r>
          </w:p>
        </w:tc>
        <w:tc>
          <w:tcPr>
            <w:tcW w:type="dxa" w:w="892"/>
            <w:vAlign w:val="top"/>
          </w:tcPr>
          <w:p>
            <w:pPr>
              <w:spacing w:after="40" w:before="0" w:line="259" w:lineRule="auto"/>
            </w:pPr>
            <w:r>
              <w:rPr>
                <w:rFonts w:ascii="Calibri" w:hAnsi="Calibri"/>
                <w:b w:val="0"/>
                <w:i w:val="0"/>
                <w:color w:val="212121"/>
                <w:sz w:val="16"/>
              </w:rPr>
              <w:t>Mineral / parathyroid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Low/normal calcium with raised PTH (secondary hyperparathyroidism)</w:t>
            </w:r>
          </w:p>
        </w:tc>
        <w:tc>
          <w:tcPr>
            <w:tcW w:type="dxa" w:w="1036"/>
            <w:vAlign w:val="top"/>
          </w:tcPr>
          <w:p>
            <w:pPr>
              <w:spacing w:after="40" w:before="0" w:line="259" w:lineRule="auto"/>
            </w:pPr>
            <w:r>
              <w:rPr>
                <w:rFonts w:ascii="Calibri" w:hAnsi="Calibri"/>
                <w:b w:val="0"/>
                <w:i w:val="0"/>
                <w:color w:val="212121"/>
                <w:sz w:val="16"/>
              </w:rPr>
              <w:t>Identifies coexisting calcium deficiency and secondary hyperparathyroidism that worsen the bone disease</w:t>
            </w:r>
          </w:p>
        </w:tc>
        <w:tc>
          <w:tcPr>
            <w:tcW w:type="dxa" w:w="1036"/>
            <w:vAlign w:val="top"/>
          </w:tcPr>
          <w:p>
            <w:pPr>
              <w:spacing w:after="40" w:before="0" w:line="259" w:lineRule="auto"/>
            </w:pPr>
            <w:r>
              <w:rPr>
                <w:rFonts w:ascii="Calibri" w:hAnsi="Calibri"/>
                <w:b w:val="0"/>
                <w:i w:val="0"/>
                <w:color w:val="212121"/>
                <w:sz w:val="16"/>
              </w:rPr>
              <w:t>Malnourished patients, children with deformity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Assess with vitamin 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25-OH 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&gt;= 20-30 ng/mL</w:t>
            </w:r>
          </w:p>
        </w:tc>
        <w:tc>
          <w:tcPr>
            <w:tcW w:type="dxa" w:w="950"/>
            <w:vAlign w:val="top"/>
          </w:tcPr>
          <w:p>
            <w:pPr>
              <w:spacing w:after="40" w:before="0" w:line="259" w:lineRule="auto"/>
            </w:pPr>
            <w:r>
              <w:rPr>
                <w:rFonts w:ascii="Calibri" w:hAnsi="Calibri"/>
                <w:b w:val="0"/>
                <w:i w:val="0"/>
                <w:color w:val="212121"/>
                <w:sz w:val="16"/>
              </w:rPr>
              <w:t>&lt; 20 ng/mL (deficiency)</w:t>
            </w:r>
          </w:p>
        </w:tc>
        <w:tc>
          <w:tcPr>
            <w:tcW w:type="dxa" w:w="1036"/>
            <w:vAlign w:val="top"/>
          </w:tcPr>
          <w:p>
            <w:pPr>
              <w:spacing w:after="40" w:before="0" w:line="259" w:lineRule="auto"/>
            </w:pPr>
            <w:r>
              <w:rPr>
                <w:rFonts w:ascii="Calibri" w:hAnsi="Calibri"/>
                <w:b w:val="0"/>
                <w:i w:val="0"/>
                <w:color w:val="212121"/>
                <w:sz w:val="16"/>
              </w:rPr>
              <w:t>Deficiency aggravates fluorotic bone disease and deformity and guides supplementation</w:t>
            </w:r>
          </w:p>
        </w:tc>
        <w:tc>
          <w:tcPr>
            <w:tcW w:type="dxa" w:w="1036"/>
            <w:vAlign w:val="top"/>
          </w:tcPr>
          <w:p>
            <w:pPr>
              <w:spacing w:after="40" w:before="0" w:line="259" w:lineRule="auto"/>
            </w:pPr>
            <w:r>
              <w:rPr>
                <w:rFonts w:ascii="Calibri" w:hAnsi="Calibri"/>
                <w:b w:val="0"/>
                <w:i w:val="0"/>
                <w:color w:val="212121"/>
                <w:sz w:val="16"/>
              </w:rPr>
              <w:t>Children with deformity, women, malnourished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Correct alongside calcium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 CT spine (if neurological deficit)</w:t>
            </w:r>
          </w:p>
        </w:tc>
        <w:tc>
          <w:tcPr>
            <w:tcW w:type="dxa" w:w="892"/>
            <w:vAlign w:val="top"/>
          </w:tcPr>
          <w:p>
            <w:pPr>
              <w:spacing w:after="40" w:before="0" w:line="259" w:lineRule="auto"/>
            </w:pPr>
            <w:r>
              <w:rPr>
                <w:rFonts w:ascii="Calibri" w:hAnsi="Calibri"/>
                <w:b w:val="0"/>
                <w:i w:val="0"/>
                <w:color w:val="212121"/>
                <w:sz w:val="16"/>
              </w:rPr>
              <w:t>Cross-sectional imaging</w:t>
            </w:r>
          </w:p>
        </w:tc>
        <w:tc>
          <w:tcPr>
            <w:tcW w:type="dxa" w:w="950"/>
            <w:vAlign w:val="top"/>
          </w:tcPr>
          <w:p>
            <w:pPr>
              <w:spacing w:after="40" w:before="0" w:line="259" w:lineRule="auto"/>
            </w:pPr>
            <w:r>
              <w:rPr>
                <w:rFonts w:ascii="Calibri" w:hAnsi="Calibri"/>
                <w:b w:val="0"/>
                <w:i w:val="0"/>
                <w:color w:val="212121"/>
                <w:sz w:val="16"/>
              </w:rPr>
              <w:t>Patent spinal canal</w:t>
            </w:r>
          </w:p>
        </w:tc>
        <w:tc>
          <w:tcPr>
            <w:tcW w:type="dxa" w:w="950"/>
            <w:vAlign w:val="top"/>
          </w:tcPr>
          <w:p>
            <w:pPr>
              <w:spacing w:after="40" w:before="0" w:line="259" w:lineRule="auto"/>
            </w:pPr>
            <w:r>
              <w:rPr>
                <w:rFonts w:ascii="Calibri" w:hAnsi="Calibri"/>
                <w:b w:val="0"/>
                <w:i w:val="0"/>
                <w:color w:val="212121"/>
                <w:sz w:val="16"/>
              </w:rPr>
              <w:t>Canal stenosis, ossified posterior longitudinal/ligamentum flavum, cord/root compression</w:t>
            </w:r>
          </w:p>
        </w:tc>
        <w:tc>
          <w:tcPr>
            <w:tcW w:type="dxa" w:w="1036"/>
            <w:vAlign w:val="top"/>
          </w:tcPr>
          <w:p>
            <w:pPr>
              <w:spacing w:after="40" w:before="0" w:line="259" w:lineRule="auto"/>
            </w:pPr>
            <w:r>
              <w:rPr>
                <w:rFonts w:ascii="Calibri" w:hAnsi="Calibri"/>
                <w:b w:val="0"/>
                <w:i w:val="0"/>
                <w:color w:val="212121"/>
                <w:sz w:val="16"/>
              </w:rPr>
              <w:t>Defines neural compression from ligament ossification needing decompressive surgery in crippling fluorosis</w:t>
            </w:r>
          </w:p>
        </w:tc>
        <w:tc>
          <w:tcPr>
            <w:tcW w:type="dxa" w:w="1036"/>
            <w:vAlign w:val="top"/>
          </w:tcPr>
          <w:p>
            <w:pPr>
              <w:spacing w:after="40" w:before="0" w:line="259" w:lineRule="auto"/>
            </w:pPr>
            <w:r>
              <w:rPr>
                <w:rFonts w:ascii="Calibri" w:hAnsi="Calibri"/>
                <w:b w:val="0"/>
                <w:i w:val="0"/>
                <w:color w:val="212121"/>
                <w:sz w:val="16"/>
              </w:rPr>
              <w:t>Patients with myelopathy or radiculopathy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Guides surgical planning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Water source &amp; residence</w:t>
            </w:r>
          </w:p>
        </w:tc>
        <w:tc>
          <w:tcPr>
            <w:tcW w:type="dxa" w:w="979"/>
            <w:vAlign w:val="top"/>
          </w:tcPr>
          <w:p>
            <w:pPr>
              <w:spacing w:after="40" w:before="0" w:line="259" w:lineRule="auto"/>
            </w:pPr>
            <w:r>
              <w:rPr>
                <w:rFonts w:ascii="Calibri" w:hAnsi="Calibri"/>
                <w:b w:val="0"/>
                <w:i w:val="0"/>
                <w:color w:val="212121"/>
                <w:sz w:val="16"/>
              </w:rPr>
              <w:t>Source and duration of drinking water in an endemic area</w:t>
            </w:r>
          </w:p>
        </w:tc>
        <w:tc>
          <w:tcPr>
            <w:tcW w:type="dxa" w:w="950"/>
            <w:vAlign w:val="top"/>
          </w:tcPr>
          <w:p>
            <w:pPr>
              <w:spacing w:after="40" w:before="0" w:line="259" w:lineRule="auto"/>
            </w:pPr>
            <w:r>
              <w:rPr>
                <w:rFonts w:ascii="Calibri" w:hAnsi="Calibri"/>
                <w:b w:val="0"/>
                <w:i w:val="0"/>
                <w:color w:val="212121"/>
                <w:sz w:val="16"/>
              </w:rPr>
              <w:t>Safe (low-fluoride) water</w:t>
            </w:r>
          </w:p>
        </w:tc>
        <w:tc>
          <w:tcPr>
            <w:tcW w:type="dxa" w:w="950"/>
            <w:vAlign w:val="top"/>
          </w:tcPr>
          <w:p>
            <w:pPr>
              <w:spacing w:after="40" w:before="0" w:line="259" w:lineRule="auto"/>
            </w:pPr>
            <w:r>
              <w:rPr>
                <w:rFonts w:ascii="Calibri" w:hAnsi="Calibri"/>
                <w:b w:val="0"/>
                <w:i w:val="0"/>
                <w:color w:val="212121"/>
                <w:sz w:val="16"/>
              </w:rPr>
              <w:t>Years of high-fluoride groundwater/borewell use</w:t>
            </w:r>
          </w:p>
        </w:tc>
        <w:tc>
          <w:tcPr>
            <w:tcW w:type="dxa" w:w="1036"/>
            <w:vAlign w:val="top"/>
          </w:tcPr>
          <w:p>
            <w:pPr>
              <w:spacing w:after="40" w:before="0" w:line="259" w:lineRule="auto"/>
            </w:pPr>
            <w:r>
              <w:rPr>
                <w:rFonts w:ascii="Calibri" w:hAnsi="Calibri"/>
                <w:b w:val="0"/>
                <w:i w:val="0"/>
                <w:color w:val="212121"/>
                <w:sz w:val="16"/>
              </w:rPr>
              <w:t>Establishes chronic exposure - the essential aetiological clue for fluorosis</w:t>
            </w:r>
          </w:p>
        </w:tc>
        <w:tc>
          <w:tcPr>
            <w:tcW w:type="dxa" w:w="1036"/>
            <w:vAlign w:val="top"/>
          </w:tcPr>
          <w:p>
            <w:pPr>
              <w:spacing w:after="40" w:before="0" w:line="259" w:lineRule="auto"/>
            </w:pPr>
            <w:r>
              <w:rPr>
                <w:rFonts w:ascii="Calibri" w:hAnsi="Calibri"/>
                <w:b w:val="0"/>
                <w:i w:val="0"/>
                <w:color w:val="212121"/>
                <w:sz w:val="16"/>
              </w:rPr>
              <w:t>Residents of endemic districts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borewell depth and years of residence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Joint pain, stiffness, back/neck pain, difficulty bending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Chronic pain and stiffness of spine, hips, knees, shoulders</w:t>
            </w:r>
          </w:p>
        </w:tc>
        <w:tc>
          <w:tcPr>
            <w:tcW w:type="dxa" w:w="1036"/>
            <w:vAlign w:val="top"/>
          </w:tcPr>
          <w:p>
            <w:pPr>
              <w:spacing w:after="40" w:before="0" w:line="259" w:lineRule="auto"/>
            </w:pPr>
            <w:r>
              <w:rPr>
                <w:rFonts w:ascii="Calibri" w:hAnsi="Calibri"/>
                <w:b w:val="0"/>
                <w:i w:val="0"/>
                <w:color w:val="212121"/>
                <w:sz w:val="16"/>
              </w:rPr>
              <w:t>Musculoskeletal symptoms of Phase I-II fluorosis, often mistaken for arthritis</w:t>
            </w:r>
          </w:p>
        </w:tc>
        <w:tc>
          <w:tcPr>
            <w:tcW w:type="dxa" w:w="1036"/>
            <w:vAlign w:val="top"/>
          </w:tcPr>
          <w:p>
            <w:pPr>
              <w:spacing w:after="40" w:before="0" w:line="259" w:lineRule="auto"/>
            </w:pPr>
            <w:r>
              <w:rPr>
                <w:rFonts w:ascii="Calibri" w:hAnsi="Calibri"/>
                <w:b w:val="0"/>
                <w:i w:val="0"/>
                <w:color w:val="212121"/>
                <w:sz w:val="16"/>
              </w:rPr>
              <w:t>Symptomatic adults in endemic areas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Frequently misdiagnosed as rheumatoid arthritis or osteoarthritis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Non-skeletal &amp; dietary history</w:t>
            </w:r>
          </w:p>
        </w:tc>
        <w:tc>
          <w:tcPr>
            <w:tcW w:type="dxa" w:w="979"/>
            <w:vAlign w:val="top"/>
          </w:tcPr>
          <w:p>
            <w:pPr>
              <w:spacing w:after="40" w:before="0" w:line="259" w:lineRule="auto"/>
            </w:pPr>
            <w:r>
              <w:rPr>
                <w:rFonts w:ascii="Calibri" w:hAnsi="Calibri"/>
                <w:b w:val="0"/>
                <w:i w:val="0"/>
                <w:color w:val="212121"/>
                <w:sz w:val="16"/>
              </w:rPr>
              <w:t>GI symptoms, polyuria/polydipsia, weakness; calcium/tea/tobacco intake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Dyspepsia, constipation/diarrhoea, thirst; low calcium, high tea/tobacco</w:t>
            </w:r>
          </w:p>
        </w:tc>
        <w:tc>
          <w:tcPr>
            <w:tcW w:type="dxa" w:w="1036"/>
            <w:vAlign w:val="top"/>
          </w:tcPr>
          <w:p>
            <w:pPr>
              <w:spacing w:after="40" w:before="0" w:line="259" w:lineRule="auto"/>
            </w:pPr>
            <w:r>
              <w:rPr>
                <w:rFonts w:ascii="Calibri" w:hAnsi="Calibri"/>
                <w:b w:val="0"/>
                <w:i w:val="0"/>
                <w:color w:val="212121"/>
                <w:sz w:val="16"/>
              </w:rPr>
              <w:t>Captures non-skeletal fluorosis and dietary amplifiers of intake</w:t>
            </w:r>
          </w:p>
        </w:tc>
        <w:tc>
          <w:tcPr>
            <w:tcW w:type="dxa" w:w="1036"/>
            <w:vAlign w:val="top"/>
          </w:tcPr>
          <w:p>
            <w:pPr>
              <w:spacing w:after="40" w:before="0" w:line="259" w:lineRule="auto"/>
            </w:pPr>
            <w:r>
              <w:rPr>
                <w:rFonts w:ascii="Calibri" w:hAnsi="Calibri"/>
                <w:b w:val="0"/>
                <w:i w:val="0"/>
                <w:color w:val="212121"/>
                <w:sz w:val="16"/>
              </w:rPr>
              <w:t>Endemic-area adults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GI symptoms may precede bone symptoms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Dental inspection</w:t>
            </w:r>
          </w:p>
        </w:tc>
        <w:tc>
          <w:tcPr>
            <w:tcW w:type="dxa" w:w="979"/>
            <w:vAlign w:val="top"/>
          </w:tcPr>
          <w:p>
            <w:pPr>
              <w:spacing w:after="40" w:before="0" w:line="259" w:lineRule="auto"/>
            </w:pPr>
            <w:r>
              <w:rPr>
                <w:rFonts w:ascii="Calibri" w:hAnsi="Calibri"/>
                <w:b w:val="0"/>
                <w:i w:val="0"/>
                <w:color w:val="212121"/>
                <w:sz w:val="16"/>
              </w:rPr>
              <w:t>Mottling - yellow/brown/black staining, pitting</w:t>
            </w:r>
          </w:p>
        </w:tc>
        <w:tc>
          <w:tcPr>
            <w:tcW w:type="dxa" w:w="950"/>
            <w:vAlign w:val="top"/>
          </w:tcPr>
          <w:p>
            <w:pPr>
              <w:spacing w:after="40" w:before="0" w:line="259" w:lineRule="auto"/>
            </w:pPr>
            <w:r>
              <w:rPr>
                <w:rFonts w:ascii="Calibri" w:hAnsi="Calibri"/>
                <w:b w:val="0"/>
                <w:i w:val="0"/>
                <w:color w:val="212121"/>
                <w:sz w:val="16"/>
              </w:rPr>
              <w:t>Normal enamel</w:t>
            </w:r>
          </w:p>
        </w:tc>
        <w:tc>
          <w:tcPr>
            <w:tcW w:type="dxa" w:w="950"/>
            <w:vAlign w:val="top"/>
          </w:tcPr>
          <w:p>
            <w:pPr>
              <w:spacing w:after="40" w:before="0" w:line="259" w:lineRule="auto"/>
            </w:pPr>
            <w:r>
              <w:rPr>
                <w:rFonts w:ascii="Calibri" w:hAnsi="Calibri"/>
                <w:b w:val="0"/>
                <w:i w:val="0"/>
                <w:color w:val="212121"/>
                <w:sz w:val="16"/>
              </w:rPr>
              <w:t>Fluorotic mottling and pitting</w:t>
            </w:r>
          </w:p>
        </w:tc>
        <w:tc>
          <w:tcPr>
            <w:tcW w:type="dxa" w:w="1036"/>
            <w:vAlign w:val="top"/>
          </w:tcPr>
          <w:p>
            <w:pPr>
              <w:spacing w:after="40" w:before="0" w:line="259" w:lineRule="auto"/>
            </w:pPr>
            <w:r>
              <w:rPr>
                <w:rFonts w:ascii="Calibri" w:hAnsi="Calibri"/>
                <w:b w:val="0"/>
                <w:i w:val="0"/>
                <w:color w:val="212121"/>
                <w:sz w:val="16"/>
              </w:rPr>
              <w:t>Dental fluorosis is a visible marker of childhood fluoride exposure and supports the diagnosis</w:t>
            </w:r>
          </w:p>
        </w:tc>
        <w:tc>
          <w:tcPr>
            <w:tcW w:type="dxa" w:w="1036"/>
            <w:vAlign w:val="top"/>
          </w:tcPr>
          <w:p>
            <w:pPr>
              <w:spacing w:after="40" w:before="0" w:line="259" w:lineRule="auto"/>
            </w:pPr>
            <w:r>
              <w:rPr>
                <w:rFonts w:ascii="Calibri" w:hAnsi="Calibri"/>
                <w:b w:val="0"/>
                <w:i w:val="0"/>
                <w:color w:val="212121"/>
                <w:sz w:val="16"/>
              </w:rPr>
              <w:t>All suspected fluorosis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Reflects exposure during tooth development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Spinal &amp; joint mobility</w:t>
            </w:r>
          </w:p>
        </w:tc>
        <w:tc>
          <w:tcPr>
            <w:tcW w:type="dxa" w:w="979"/>
            <w:vAlign w:val="top"/>
          </w:tcPr>
          <w:p>
            <w:pPr>
              <w:spacing w:after="40" w:before="0" w:line="259" w:lineRule="auto"/>
            </w:pPr>
            <w:r>
              <w:rPr>
                <w:rFonts w:ascii="Calibri" w:hAnsi="Calibri"/>
                <w:b w:val="0"/>
                <w:i w:val="0"/>
                <w:color w:val="212121"/>
                <w:sz w:val="16"/>
              </w:rPr>
              <w:t>Chin-to-chest, forward bending to toes, arm behind head</w:t>
            </w:r>
          </w:p>
        </w:tc>
        <w:tc>
          <w:tcPr>
            <w:tcW w:type="dxa" w:w="950"/>
            <w:vAlign w:val="top"/>
          </w:tcPr>
          <w:p>
            <w:pPr>
              <w:spacing w:after="40" w:before="0" w:line="259" w:lineRule="auto"/>
            </w:pPr>
            <w:r>
              <w:rPr>
                <w:rFonts w:ascii="Calibri" w:hAnsi="Calibri"/>
                <w:b w:val="0"/>
                <w:i w:val="0"/>
                <w:color w:val="212121"/>
                <w:sz w:val="16"/>
              </w:rPr>
              <w:t>Full range of movement</w:t>
            </w:r>
          </w:p>
        </w:tc>
        <w:tc>
          <w:tcPr>
            <w:tcW w:type="dxa" w:w="950"/>
            <w:vAlign w:val="top"/>
          </w:tcPr>
          <w:p>
            <w:pPr>
              <w:spacing w:after="40" w:before="0" w:line="259" w:lineRule="auto"/>
            </w:pPr>
            <w:r>
              <w:rPr>
                <w:rFonts w:ascii="Calibri" w:hAnsi="Calibri"/>
                <w:b w:val="0"/>
                <w:i w:val="0"/>
                <w:color w:val="212121"/>
                <w:sz w:val="16"/>
              </w:rPr>
              <w:t>Unable to touch chin to chest, bend to toes or raise arm behind head; rigid spine</w:t>
            </w:r>
          </w:p>
        </w:tc>
        <w:tc>
          <w:tcPr>
            <w:tcW w:type="dxa" w:w="1036"/>
            <w:vAlign w:val="top"/>
          </w:tcPr>
          <w:p>
            <w:pPr>
              <w:spacing w:after="40" w:before="0" w:line="259" w:lineRule="auto"/>
            </w:pPr>
            <w:r>
              <w:rPr>
                <w:rFonts w:ascii="Calibri" w:hAnsi="Calibri"/>
                <w:b w:val="0"/>
                <w:i w:val="0"/>
                <w:color w:val="212121"/>
                <w:sz w:val="16"/>
              </w:rPr>
              <w:t>Quantifies the stiffness and rigidity of skeletal fluorosis using simple field tests</w:t>
            </w:r>
          </w:p>
        </w:tc>
        <w:tc>
          <w:tcPr>
            <w:tcW w:type="dxa" w:w="1036"/>
            <w:vAlign w:val="top"/>
          </w:tcPr>
          <w:p>
            <w:pPr>
              <w:spacing w:after="40" w:before="0" w:line="259" w:lineRule="auto"/>
            </w:pPr>
            <w:r>
              <w:rPr>
                <w:rFonts w:ascii="Calibri" w:hAnsi="Calibri"/>
                <w:b w:val="0"/>
                <w:i w:val="0"/>
                <w:color w:val="212121"/>
                <w:sz w:val="16"/>
              </w:rPr>
              <w:t>Symptomatic patients, community surveys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Standard clinical tests used in NPPCF surveys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Deformity &amp; gait</w:t>
            </w:r>
          </w:p>
        </w:tc>
        <w:tc>
          <w:tcPr>
            <w:tcW w:type="dxa" w:w="979"/>
            <w:vAlign w:val="top"/>
          </w:tcPr>
          <w:p>
            <w:pPr>
              <w:spacing w:after="40" w:before="0" w:line="259" w:lineRule="auto"/>
            </w:pPr>
            <w:r>
              <w:rPr>
                <w:rFonts w:ascii="Calibri" w:hAnsi="Calibri"/>
                <w:b w:val="0"/>
                <w:i w:val="0"/>
                <w:color w:val="212121"/>
                <w:sz w:val="16"/>
              </w:rPr>
              <w:t>Genu valgum/varum, kyphosis, chest expansion, muscle wasting, gait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Knock-knee/bow-leg, kyphosis, restricted chest expansion, wasting, stiff/waddling gait</w:t>
            </w:r>
          </w:p>
        </w:tc>
        <w:tc>
          <w:tcPr>
            <w:tcW w:type="dxa" w:w="1036"/>
            <w:vAlign w:val="top"/>
          </w:tcPr>
          <w:p>
            <w:pPr>
              <w:spacing w:after="40" w:before="0" w:line="259" w:lineRule="auto"/>
            </w:pPr>
            <w:r>
              <w:rPr>
                <w:rFonts w:ascii="Calibri" w:hAnsi="Calibri"/>
                <w:b w:val="0"/>
                <w:i w:val="0"/>
                <w:color w:val="212121"/>
                <w:sz w:val="16"/>
              </w:rPr>
              <w:t>Signs of advanced (Phase III) crippling disease and the juvenile genu-valgum form</w:t>
            </w:r>
          </w:p>
        </w:tc>
        <w:tc>
          <w:tcPr>
            <w:tcW w:type="dxa" w:w="1036"/>
            <w:vAlign w:val="top"/>
          </w:tcPr>
          <w:p>
            <w:pPr>
              <w:spacing w:after="40" w:before="0" w:line="259" w:lineRule="auto"/>
            </w:pPr>
            <w:r>
              <w:rPr>
                <w:rFonts w:ascii="Calibri" w:hAnsi="Calibri"/>
                <w:b w:val="0"/>
                <w:i w:val="0"/>
                <w:color w:val="212121"/>
                <w:sz w:val="16"/>
              </w:rPr>
              <w:t>Long-exposed patients, children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Document deformities for rehabilitation planning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Neurological examination</w:t>
            </w:r>
          </w:p>
        </w:tc>
        <w:tc>
          <w:tcPr>
            <w:tcW w:type="dxa" w:w="979"/>
            <w:vAlign w:val="top"/>
          </w:tcPr>
          <w:p>
            <w:pPr>
              <w:spacing w:after="40" w:before="0" w:line="259" w:lineRule="auto"/>
            </w:pPr>
            <w:r>
              <w:rPr>
                <w:rFonts w:ascii="Calibri" w:hAnsi="Calibri"/>
                <w:b w:val="0"/>
                <w:i w:val="0"/>
                <w:color w:val="212121"/>
                <w:sz w:val="16"/>
              </w:rPr>
              <w:t>Limb power, tone, reflexes, sensory level, bladder/bowel</w:t>
            </w:r>
          </w:p>
        </w:tc>
        <w:tc>
          <w:tcPr>
            <w:tcW w:type="dxa" w:w="950"/>
            <w:vAlign w:val="top"/>
          </w:tcPr>
          <w:p>
            <w:pPr>
              <w:spacing w:after="40" w:before="0" w:line="259" w:lineRule="auto"/>
            </w:pPr>
            <w:r>
              <w:rPr>
                <w:rFonts w:ascii="Calibri" w:hAnsi="Calibri"/>
                <w:b w:val="0"/>
                <w:i w:val="0"/>
                <w:color w:val="212121"/>
                <w:sz w:val="16"/>
              </w:rPr>
              <w:t>Normal neurology</w:t>
            </w:r>
          </w:p>
        </w:tc>
        <w:tc>
          <w:tcPr>
            <w:tcW w:type="dxa" w:w="950"/>
            <w:vAlign w:val="top"/>
          </w:tcPr>
          <w:p>
            <w:pPr>
              <w:spacing w:after="40" w:before="0" w:line="259" w:lineRule="auto"/>
            </w:pPr>
            <w:r>
              <w:rPr>
                <w:rFonts w:ascii="Calibri" w:hAnsi="Calibri"/>
                <w:b w:val="0"/>
                <w:i w:val="0"/>
                <w:color w:val="212121"/>
                <w:sz w:val="16"/>
              </w:rPr>
              <w:t>Spastic paraparesis, hyperreflexia, sensory level, sphincter involvement</w:t>
            </w:r>
          </w:p>
        </w:tc>
        <w:tc>
          <w:tcPr>
            <w:tcW w:type="dxa" w:w="1036"/>
            <w:vAlign w:val="top"/>
          </w:tcPr>
          <w:p>
            <w:pPr>
              <w:spacing w:after="40" w:before="0" w:line="259" w:lineRule="auto"/>
            </w:pPr>
            <w:r>
              <w:rPr>
                <w:rFonts w:ascii="Calibri" w:hAnsi="Calibri"/>
                <w:b w:val="0"/>
                <w:i w:val="0"/>
                <w:color w:val="212121"/>
                <w:sz w:val="16"/>
              </w:rPr>
              <w:t>Detects spinal-cord and nerve-root compression from ligament ossification and canal stenosis</w:t>
            </w:r>
          </w:p>
        </w:tc>
        <w:tc>
          <w:tcPr>
            <w:tcW w:type="dxa" w:w="1036"/>
            <w:vAlign w:val="top"/>
          </w:tcPr>
          <w:p>
            <w:pPr>
              <w:spacing w:after="40" w:before="0" w:line="259" w:lineRule="auto"/>
            </w:pPr>
            <w:r>
              <w:rPr>
                <w:rFonts w:ascii="Calibri" w:hAnsi="Calibri"/>
                <w:b w:val="0"/>
                <w:i w:val="0"/>
                <w:color w:val="212121"/>
                <w:sz w:val="16"/>
              </w:rPr>
              <w:t>Patients with limb weakness or numbness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Myelopathy/radiculopathy is the major crippling complication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Pain in the spine and large joints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pain in the neck, back, hips, knees and shoulders is the earliest and commonest symptom; pain and stiffness of joints were reported in about 43% of an endemic West Bengal population.</w:t>
            </w:r>
          </w:p>
        </w:tc>
      </w:tr>
      <w:tr>
        <w:trPr>
          <w:cantSplit/>
        </w:trPr>
        <w:tc>
          <w:tcPr>
            <w:tcW w:type="dxa" w:w="2304"/>
            <w:vAlign w:val="top"/>
          </w:tcPr>
          <w:p>
            <w:pPr>
              <w:spacing w:after="40" w:before="0" w:line="259" w:lineRule="auto"/>
            </w:pPr>
            <w:r>
              <w:rPr>
                <w:rFonts w:ascii="Calibri" w:hAnsi="Calibri"/>
                <w:b/>
                <w:i w:val="0"/>
                <w:color w:val="212121"/>
                <w:sz w:val="19"/>
              </w:rPr>
              <w:t>Joint stiffness and restricted movement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Stiffness of the spine and large joints that limits bending, turning and reaching.</w:t>
            </w:r>
          </w:p>
        </w:tc>
      </w:tr>
      <w:tr>
        <w:trPr>
          <w:cantSplit/>
        </w:trPr>
        <w:tc>
          <w:tcPr>
            <w:tcW w:type="dxa" w:w="2304"/>
            <w:vAlign w:val="top"/>
          </w:tcPr>
          <w:p>
            <w:pPr>
              <w:spacing w:after="40" w:before="0" w:line="259" w:lineRule="auto"/>
            </w:pPr>
            <w:r>
              <w:rPr>
                <w:rFonts w:ascii="Calibri" w:hAnsi="Calibri"/>
                <w:b/>
                <w:i w:val="0"/>
                <w:color w:val="212121"/>
                <w:sz w:val="19"/>
              </w:rPr>
              <w:t>Back and neck rigidity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rigidity of the vertebral column ('poker spine') with dorsal and lumbar pain.</w:t>
            </w:r>
          </w:p>
        </w:tc>
      </w:tr>
      <w:tr>
        <w:trPr>
          <w:cantSplit/>
        </w:trPr>
        <w:tc>
          <w:tcPr>
            <w:tcW w:type="dxa" w:w="2304"/>
            <w:vAlign w:val="top"/>
          </w:tcPr>
          <w:p>
            <w:pPr>
              <w:spacing w:after="40" w:before="0" w:line="259" w:lineRule="auto"/>
            </w:pPr>
            <w:r>
              <w:rPr>
                <w:rFonts w:ascii="Calibri" w:hAnsi="Calibri"/>
                <w:b/>
                <w:i w:val="0"/>
                <w:color w:val="212121"/>
                <w:sz w:val="19"/>
              </w:rPr>
              <w:t>Muscle weakness and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Generalised muscle weakness and easy fatigue; reported in roughly 30-40% of exposed individuals as a non-skeletal manifestation.</w:t>
            </w:r>
          </w:p>
        </w:tc>
      </w:tr>
      <w:tr>
        <w:trPr>
          <w:cantSplit/>
        </w:trPr>
        <w:tc>
          <w:tcPr>
            <w:tcW w:type="dxa" w:w="2304"/>
            <w:vAlign w:val="top"/>
          </w:tcPr>
          <w:p>
            <w:pPr>
              <w:spacing w:after="40" w:before="0" w:line="259" w:lineRule="auto"/>
            </w:pPr>
            <w:r>
              <w:rPr>
                <w:rFonts w:ascii="Calibri" w:hAnsi="Calibri"/>
                <w:b/>
                <w:i w:val="0"/>
                <w:color w:val="212121"/>
                <w:sz w:val="19"/>
              </w:rPr>
              <w:t>Difficulty bending, squatting and walking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Trouble bending to touch the toes, squatting, climbing stairs or walking as stiffness advances.</w:t>
            </w:r>
          </w:p>
        </w:tc>
      </w:tr>
      <w:tr>
        <w:trPr>
          <w:cantSplit/>
        </w:trPr>
        <w:tc>
          <w:tcPr>
            <w:tcW w:type="dxa" w:w="2304"/>
            <w:vAlign w:val="top"/>
          </w:tcPr>
          <w:p>
            <w:pPr>
              <w:spacing w:after="40" w:before="0" w:line="259" w:lineRule="auto"/>
            </w:pPr>
            <w:r>
              <w:rPr>
                <w:rFonts w:ascii="Calibri" w:hAnsi="Calibri"/>
                <w:b/>
                <w:i w:val="0"/>
                <w:color w:val="212121"/>
                <w:sz w:val="19"/>
              </w:rPr>
              <w:t>Gastrointestinal symptoms (pain, bloating, altered bowel habit)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Non-skeletal fluorosis often begins with dyspepsia, abdominal pain, bloating and constipation/diarrhoea, sometimes before bone symptoms; reported in about 40-50%.</w:t>
            </w:r>
          </w:p>
        </w:tc>
      </w:tr>
      <w:tr>
        <w:trPr>
          <w:cantSplit/>
        </w:trPr>
        <w:tc>
          <w:tcPr>
            <w:tcW w:type="dxa" w:w="2304"/>
            <w:vAlign w:val="top"/>
          </w:tcPr>
          <w:p>
            <w:pPr>
              <w:spacing w:after="40" w:before="0" w:line="259" w:lineRule="auto"/>
            </w:pPr>
            <w:r>
              <w:rPr>
                <w:rFonts w:ascii="Calibri" w:hAnsi="Calibri"/>
                <w:b/>
                <w:i w:val="0"/>
                <w:color w:val="212121"/>
                <w:sz w:val="19"/>
              </w:rPr>
              <w:t>Dental discoloration and mottling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Yellow-brown to black staining and pitting of the teeth from childhood fluoride exposure, usually coexisting with skeletal disease.</w:t>
            </w:r>
          </w:p>
        </w:tc>
      </w:tr>
      <w:tr>
        <w:trPr>
          <w:cantSplit/>
        </w:trPr>
        <w:tc>
          <w:tcPr>
            <w:tcW w:type="dxa" w:w="2304"/>
            <w:vAlign w:val="top"/>
          </w:tcPr>
          <w:p>
            <w:pPr>
              <w:spacing w:after="40" w:before="0" w:line="259" w:lineRule="auto"/>
            </w:pPr>
            <w:r>
              <w:rPr>
                <w:rFonts w:ascii="Calibri" w:hAnsi="Calibri"/>
                <w:b/>
                <w:i w:val="0"/>
                <w:color w:val="212121"/>
                <w:sz w:val="19"/>
              </w:rPr>
              <w:t>Excessive thirst and urination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Polydipsia and polyuria are non-skeletal manifestations reported in a minority (about 2-27%) of patients.</w:t>
            </w:r>
          </w:p>
        </w:tc>
      </w:tr>
      <w:tr>
        <w:trPr>
          <w:cantSplit/>
        </w:trPr>
        <w:tc>
          <w:tcPr>
            <w:tcW w:type="dxa" w:w="2304"/>
            <w:vAlign w:val="top"/>
          </w:tcPr>
          <w:p>
            <w:pPr>
              <w:spacing w:after="40" w:before="0" w:line="259" w:lineRule="auto"/>
            </w:pPr>
            <w:r>
              <w:rPr>
                <w:rFonts w:ascii="Calibri" w:hAnsi="Calibri"/>
                <w:b/>
                <w:i w:val="0"/>
                <w:color w:val="212121"/>
                <w:sz w:val="19"/>
              </w:rPr>
              <w:t>Numbness, tingling or weakness of limbs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Radicular or cord-compression symptoms from spinal ligament ossification and canal narrowing.</w:t>
            </w:r>
          </w:p>
        </w:tc>
      </w:tr>
      <w:tr>
        <w:trPr>
          <w:cantSplit/>
        </w:trPr>
        <w:tc>
          <w:tcPr>
            <w:tcW w:type="dxa" w:w="2304"/>
            <w:vAlign w:val="top"/>
          </w:tcPr>
          <w:p>
            <w:pPr>
              <w:spacing w:after="40" w:before="0" w:line="259" w:lineRule="auto"/>
            </w:pPr>
            <w:r>
              <w:rPr>
                <w:rFonts w:ascii="Calibri" w:hAnsi="Calibri"/>
                <w:b/>
                <w:i w:val="0"/>
                <w:color w:val="212121"/>
                <w:sz w:val="19"/>
              </w:rPr>
              <w:t>Loss of appetite and 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Constitutional non-skeletal features; loss of appetite was reported in about a quarter of an endemic population.</w:t>
            </w:r>
          </w:p>
        </w:tc>
      </w:tr>
      <w:tr>
        <w:trPr>
          <w:cantSplit/>
        </w:trPr>
        <w:tc>
          <w:tcPr>
            <w:tcW w:type="dxa" w:w="2304"/>
            <w:vAlign w:val="top"/>
          </w:tcPr>
          <w:p>
            <w:pPr>
              <w:spacing w:after="40" w:before="0" w:line="259" w:lineRule="auto"/>
            </w:pPr>
            <w:r>
              <w:rPr>
                <w:rFonts w:ascii="Calibri" w:hAnsi="Calibri"/>
                <w:b/>
                <w:i w:val="0"/>
                <w:color w:val="212121"/>
                <w:sz w:val="19"/>
              </w:rPr>
              <w:t>Limb deformity (knock-knee or bow-leg)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Especially in children and adolescents with the juvenile genu-valgum (nutritional) form.</w:t>
            </w:r>
          </w:p>
        </w:tc>
      </w:tr>
      <w:tr>
        <w:trPr>
          <w:cantSplit/>
        </w:trPr>
        <w:tc>
          <w:tcPr>
            <w:tcW w:type="dxa" w:w="2304"/>
            <w:vAlign w:val="top"/>
          </w:tcPr>
          <w:p>
            <w:pPr>
              <w:spacing w:after="40" w:before="0" w:line="259" w:lineRule="auto"/>
            </w:pPr>
            <w:r>
              <w:rPr>
                <w:rFonts w:ascii="Calibri" w:hAnsi="Calibri"/>
                <w:b/>
                <w:i w:val="0"/>
                <w:color w:val="212121"/>
                <w:sz w:val="19"/>
              </w:rPr>
              <w:t>Progressive crippling / dependence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Advanced disease severely limits self-care, mobility and livelihood.</w:t>
            </w:r>
          </w:p>
        </w:tc>
      </w:tr>
      <w:tr>
        <w:trPr>
          <w:cantSplit/>
        </w:trPr>
        <w:tc>
          <w:tcPr>
            <w:tcW w:type="dxa" w:w="2304"/>
            <w:vAlign w:val="top"/>
          </w:tcPr>
          <w:p>
            <w:pPr>
              <w:spacing w:after="40" w:before="0" w:line="259" w:lineRule="auto"/>
            </w:pPr>
            <w:r>
              <w:rPr>
                <w:rFonts w:ascii="Calibri" w:hAnsi="Calibri"/>
                <w:b/>
                <w:i w:val="0"/>
                <w:color w:val="212121"/>
                <w:sz w:val="19"/>
              </w:rPr>
              <w:t>Limb paralysis (paraparesis / quadriparesis)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End-stage spinal-cord compression can cause paralysis with bladder and bowel involvement.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Dental mottling (staining and pitting)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Yellow/brown/black enamel discoloration and pitting - a visible marker of chronic fluoride exposure.</w:t>
            </w:r>
          </w:p>
        </w:tc>
      </w:tr>
      <w:tr>
        <w:trPr>
          <w:cantSplit/>
        </w:trPr>
        <w:tc>
          <w:tcPr>
            <w:tcW w:type="dxa" w:w="3456"/>
            <w:vAlign w:val="top"/>
          </w:tcPr>
          <w:p>
            <w:pPr>
              <w:spacing w:after="40" w:before="0" w:line="259" w:lineRule="auto"/>
            </w:pPr>
            <w:r>
              <w:rPr>
                <w:rFonts w:ascii="Calibri" w:hAnsi="Calibri"/>
                <w:b/>
                <w:i w:val="0"/>
                <w:color w:val="212121"/>
                <w:sz w:val="19"/>
              </w:rPr>
              <w:t>Restricted spinal flexion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cervical and lumbar flexion on simple tests; inability to touch chin to chest (about 40%) or bend to touch the toes (about 33%) in an endemic population.</w:t>
            </w:r>
          </w:p>
        </w:tc>
      </w:tr>
      <w:tr>
        <w:trPr>
          <w:cantSplit/>
        </w:trPr>
        <w:tc>
          <w:tcPr>
            <w:tcW w:type="dxa" w:w="3456"/>
            <w:vAlign w:val="top"/>
          </w:tcPr>
          <w:p>
            <w:pPr>
              <w:spacing w:after="40" w:before="0" w:line="259" w:lineRule="auto"/>
            </w:pPr>
            <w:r>
              <w:rPr>
                <w:rFonts w:ascii="Calibri" w:hAnsi="Calibri"/>
                <w:b/>
                <w:i w:val="0"/>
                <w:color w:val="212121"/>
                <w:sz w:val="19"/>
              </w:rPr>
              <w:t>Restricted shoulder / neck movement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Limited shoulder and neck mobility, e.g. inability to place the arm behind the head (about 15%).</w:t>
            </w:r>
          </w:p>
        </w:tc>
      </w:tr>
      <w:tr>
        <w:trPr>
          <w:cantSplit/>
        </w:trPr>
        <w:tc>
          <w:tcPr>
            <w:tcW w:type="dxa" w:w="3456"/>
            <w:vAlign w:val="top"/>
          </w:tcPr>
          <w:p>
            <w:pPr>
              <w:spacing w:after="40" w:before="0" w:line="259" w:lineRule="auto"/>
            </w:pPr>
            <w:r>
              <w:rPr>
                <w:rFonts w:ascii="Calibri" w:hAnsi="Calibri"/>
                <w:b/>
                <w:i w:val="0"/>
                <w:color w:val="212121"/>
                <w:sz w:val="19"/>
              </w:rPr>
              <w:t>Rigid, board-like ('poker') spine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Fixed, stiff vertebral column with loss of normal movement of the curvatures.</w:t>
            </w:r>
          </w:p>
        </w:tc>
      </w:tr>
      <w:tr>
        <w:trPr>
          <w:cantSplit/>
        </w:trPr>
        <w:tc>
          <w:tcPr>
            <w:tcW w:type="dxa" w:w="3456"/>
            <w:vAlign w:val="top"/>
          </w:tcPr>
          <w:p>
            <w:pPr>
              <w:spacing w:after="40" w:before="0" w:line="259" w:lineRule="auto"/>
            </w:pPr>
            <w:r>
              <w:rPr>
                <w:rFonts w:ascii="Calibri" w:hAnsi="Calibri"/>
                <w:b/>
                <w:i w:val="0"/>
                <w:color w:val="212121"/>
                <w:sz w:val="19"/>
              </w:rPr>
              <w:t>Kyphosis / spinal deformity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Forward stooping and thoracic deformity in advanced disease.</w:t>
            </w:r>
          </w:p>
        </w:tc>
      </w:tr>
      <w:tr>
        <w:trPr>
          <w:cantSplit/>
        </w:trPr>
        <w:tc>
          <w:tcPr>
            <w:tcW w:type="dxa" w:w="3456"/>
            <w:vAlign w:val="top"/>
          </w:tcPr>
          <w:p>
            <w:pPr>
              <w:spacing w:after="40" w:before="0" w:line="259" w:lineRule="auto"/>
            </w:pPr>
            <w:r>
              <w:rPr>
                <w:rFonts w:ascii="Calibri" w:hAnsi="Calibri"/>
                <w:b/>
                <w:i w:val="0"/>
                <w:color w:val="212121"/>
                <w:sz w:val="19"/>
              </w:rPr>
              <w:t>Genu valgum (knock-knee) or genu varum (bow-leg)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Lower-limb deformity characteristic of the juvenile/nutritional form; reported at high prevalence in some endemic villages.</w:t>
            </w:r>
          </w:p>
        </w:tc>
      </w:tr>
      <w:tr>
        <w:trPr>
          <w:cantSplit/>
        </w:trPr>
        <w:tc>
          <w:tcPr>
            <w:tcW w:type="dxa" w:w="3456"/>
            <w:vAlign w:val="top"/>
          </w:tcPr>
          <w:p>
            <w:pPr>
              <w:spacing w:after="40" w:before="0" w:line="259" w:lineRule="auto"/>
            </w:pPr>
            <w:r>
              <w:rPr>
                <w:rFonts w:ascii="Calibri" w:hAnsi="Calibri"/>
                <w:b/>
                <w:i w:val="0"/>
                <w:color w:val="212121"/>
                <w:sz w:val="19"/>
              </w:rPr>
              <w:t>Palpable exostoses and calcified interosseous membranes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Bony outgrowths and calcified forearm/leg interosseous membranes palpable on the limbs.</w:t>
            </w:r>
          </w:p>
        </w:tc>
      </w:tr>
      <w:tr>
        <w:trPr>
          <w:cantSplit/>
        </w:trPr>
        <w:tc>
          <w:tcPr>
            <w:tcW w:type="dxa" w:w="3456"/>
            <w:vAlign w:val="top"/>
          </w:tcPr>
          <w:p>
            <w:pPr>
              <w:spacing w:after="40" w:before="0" w:line="259" w:lineRule="auto"/>
            </w:pPr>
            <w:r>
              <w:rPr>
                <w:rFonts w:ascii="Calibri" w:hAnsi="Calibri"/>
                <w:b/>
                <w:i w:val="0"/>
                <w:color w:val="212121"/>
                <w:sz w:val="19"/>
              </w:rPr>
              <w:t>Muscle wasting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Disuse and neurogenic wasting of limb muscles in advanced disease.</w:t>
            </w:r>
          </w:p>
        </w:tc>
      </w:tr>
      <w:tr>
        <w:trPr>
          <w:cantSplit/>
        </w:trPr>
        <w:tc>
          <w:tcPr>
            <w:tcW w:type="dxa" w:w="3456"/>
            <w:vAlign w:val="top"/>
          </w:tcPr>
          <w:p>
            <w:pPr>
              <w:spacing w:after="40" w:before="0" w:line="259" w:lineRule="auto"/>
            </w:pPr>
            <w:r>
              <w:rPr>
                <w:rFonts w:ascii="Calibri" w:hAnsi="Calibri"/>
                <w:b/>
                <w:i w:val="0"/>
                <w:color w:val="212121"/>
                <w:sz w:val="19"/>
              </w:rPr>
              <w:t>Restricted chest expansion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Costal and spinal calcification reduce chest-wall movement.</w:t>
            </w:r>
          </w:p>
        </w:tc>
      </w:tr>
      <w:tr>
        <w:trPr>
          <w:cantSplit/>
        </w:trPr>
        <w:tc>
          <w:tcPr>
            <w:tcW w:type="dxa" w:w="3456"/>
            <w:vAlign w:val="top"/>
          </w:tcPr>
          <w:p>
            <w:pPr>
              <w:spacing w:after="40" w:before="0" w:line="259" w:lineRule="auto"/>
            </w:pPr>
            <w:r>
              <w:rPr>
                <w:rFonts w:ascii="Calibri" w:hAnsi="Calibri"/>
                <w:b/>
                <w:i w:val="0"/>
                <w:color w:val="212121"/>
                <w:sz w:val="19"/>
              </w:rPr>
              <w:t>Stiff or waddling gait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Altered gait from hip and spine rigidity and deformity.</w:t>
            </w:r>
          </w:p>
        </w:tc>
      </w:tr>
      <w:tr>
        <w:trPr>
          <w:cantSplit/>
        </w:trPr>
        <w:tc>
          <w:tcPr>
            <w:tcW w:type="dxa" w:w="3456"/>
            <w:vAlign w:val="top"/>
          </w:tcPr>
          <w:p>
            <w:pPr>
              <w:spacing w:after="40" w:before="0" w:line="259" w:lineRule="auto"/>
            </w:pPr>
            <w:r>
              <w:rPr>
                <w:rFonts w:ascii="Calibri" w:hAnsi="Calibri"/>
                <w:b/>
                <w:i w:val="0"/>
                <w:color w:val="212121"/>
                <w:sz w:val="19"/>
              </w:rPr>
              <w:t>Neurological deficit (spastic paraparesis, hyperreflexia, sensory level)</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Signs of spinal-cord compression (myelopathy) from ligament ossification and canal stenosis.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and stiffness of the spine and large joints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Osteosclerosis of the spine and pelvis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Calcification and ossification of ligaments, tendons and interosseous membranes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Osteophytosis (bony outgrowths)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Restricted spinal and joint mobility ('poker' spine)</w:t>
            </w:r>
          </w:p>
        </w:tc>
        <w:tc>
          <w:tcPr>
            <w:tcW w:type="dxa" w:w="2980"/>
            <w:vAlign w:val="top"/>
          </w:tcPr>
          <w:p>
            <w:pPr>
              <w:spacing w:after="40" w:before="0" w:line="259" w:lineRule="auto"/>
            </w:pPr>
            <w:r>
              <w:rPr>
                <w:rFonts w:ascii="Calibri" w:hAnsi="Calibri"/>
                <w:b w:val="0"/>
                <w:i w:val="0"/>
                <w:color w:val="212121"/>
                <w:sz w:val="19"/>
              </w:rPr>
              <w:t>Direct skeletal consequences of fluoride deposition and increased, disordered bone formation.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Spinal canal/foraminal stenosis with nerve-root and spinal-cord compression (radiculopathy, myelopathy)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Genu valgum and other skeletal deformities; kyphosis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hyperparathyroidism and mixed osteosclerosis-osteomalacia with increased fracture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Restricted chest expansion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Non-skeletal effects - gastrointestinal, muscular, renal, thyroid dysfunction and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Coexisting dental fluorosis</w:t>
            </w:r>
          </w:p>
        </w:tc>
        <w:tc>
          <w:tcPr>
            <w:tcW w:type="dxa" w:w="2980"/>
            <w:vAlign w:val="top"/>
          </w:tcPr>
          <w:p>
            <w:pPr>
              <w:spacing w:after="40" w:before="0" w:line="259" w:lineRule="auto"/>
            </w:pPr>
            <w:r>
              <w:rPr>
                <w:rFonts w:ascii="Calibri" w:hAnsi="Calibri"/>
                <w:b w:val="0"/>
                <w:i w:val="0"/>
                <w:color w:val="212121"/>
                <w:sz w:val="19"/>
              </w:rPr>
              <w:t>Neurological, deformity-related, metabolic and systemic effects of longstanding fluoride toxicity.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Crippling skeletal fluorosis with permanent deformity and immobility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Paraparesis/quadriparesis and bladder-bowel dysfunction from cord compression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livelihood, independence and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disabling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and economic hardship for patient and family</w:t>
            </w:r>
          </w:p>
        </w:tc>
        <w:tc>
          <w:tcPr>
            <w:tcW w:type="dxa" w:w="2980"/>
            <w:vAlign w:val="top"/>
          </w:tcPr>
          <w:p>
            <w:pPr>
              <w:spacing w:after="40" w:before="0" w:line="259" w:lineRule="auto"/>
            </w:pPr>
            <w:r>
              <w:rPr>
                <w:rFonts w:ascii="Calibri" w:hAnsi="Calibri"/>
                <w:b w:val="0"/>
                <w:i w:val="0"/>
                <w:color w:val="212121"/>
                <w:sz w:val="19"/>
              </w:rPr>
              <w:t>Irreversible, disabling outcomes of advanced (Phase III) crippling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Dental fluorosis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are manifestations of the same excess fluoride intake; dental fluorosis reflects childhood exposure and almost always coexists with skeletal fluorosis in endemic areas (dental fluorosis prevalence of about 18-46% is reported in Indian endemic populations).</w:t>
            </w:r>
          </w:p>
        </w:tc>
      </w:tr>
      <w:tr>
        <w:trPr>
          <w:cantSplit/>
        </w:trPr>
        <w:tc>
          <w:tcPr>
            <w:tcW w:type="dxa" w:w="2232"/>
            <w:vAlign w:val="top"/>
          </w:tcPr>
          <w:p>
            <w:pPr>
              <w:spacing w:after="40" w:before="0" w:line="259" w:lineRule="auto"/>
            </w:pPr>
            <w:r>
              <w:rPr>
                <w:rFonts w:ascii="Calibri" w:hAnsi="Calibri"/>
                <w:b/>
                <w:i w:val="0"/>
                <w:color w:val="212121"/>
                <w:sz w:val="19"/>
              </w:rPr>
              <w:t>Spinal cord / nerve-root compression (myelopathy, radiculopathy)</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Ossification of spinal ligaments (posterior longitudinal ligament, ligamentum flavum) and osteophytosis narrow the canal and foramina, producing the major crippling neurological complication of skeletal fluorosis.</w:t>
            </w:r>
          </w:p>
        </w:tc>
      </w:tr>
      <w:tr>
        <w:trPr>
          <w:cantSplit/>
        </w:trPr>
        <w:tc>
          <w:tcPr>
            <w:tcW w:type="dxa" w:w="2232"/>
            <w:vAlign w:val="top"/>
          </w:tcPr>
          <w:p>
            <w:pPr>
              <w:spacing w:after="40" w:before="0" w:line="259" w:lineRule="auto"/>
            </w:pPr>
            <w:r>
              <w:rPr>
                <w:rFonts w:ascii="Calibri" w:hAnsi="Calibri"/>
                <w:b/>
                <w:i w:val="0"/>
                <w:color w:val="212121"/>
                <w:sz w:val="19"/>
              </w:rPr>
              <w:t>Secondary hyperparathyroidism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low calcium intake with high fluoride drives compensatory PTH excess, accelerating bone turnover and contributing to the mixed osteosclerosis-osteomalacia of fluorosis.</w:t>
            </w:r>
          </w:p>
        </w:tc>
      </w:tr>
      <w:tr>
        <w:trPr>
          <w:cantSplit/>
        </w:trPr>
        <w:tc>
          <w:tcPr>
            <w:tcW w:type="dxa" w:w="2232"/>
            <w:vAlign w:val="top"/>
          </w:tcPr>
          <w:p>
            <w:pPr>
              <w:spacing w:after="40" w:before="0" w:line="259" w:lineRule="auto"/>
            </w:pPr>
            <w:r>
              <w:rPr>
                <w:rFonts w:ascii="Calibri" w:hAnsi="Calibri"/>
                <w:b/>
                <w:i w:val="0"/>
                <w:color w:val="212121"/>
                <w:sz w:val="19"/>
              </w:rPr>
              <w:t>Nutritional osteomalacia / vitamin-D deficiency / rickets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Coexisting calcium and vitamin-D deficiency worsens fluorotic bone deformity, especially the juvenile genu-valgum form, and both share the poor-nutrition context of endemic areas.</w:t>
            </w:r>
          </w:p>
        </w:tc>
      </w:tr>
      <w:tr>
        <w:trPr>
          <w:cantSplit/>
        </w:trPr>
        <w:tc>
          <w:tcPr>
            <w:tcW w:type="dxa" w:w="2232"/>
            <w:vAlign w:val="top"/>
          </w:tcPr>
          <w:p>
            <w:pPr>
              <w:spacing w:after="40" w:before="0" w:line="259" w:lineRule="auto"/>
            </w:pPr>
            <w:r>
              <w:rPr>
                <w:rFonts w:ascii="Calibri" w:hAnsi="Calibri"/>
                <w:b/>
                <w:i w:val="0"/>
                <w:color w:val="212121"/>
                <w:sz w:val="19"/>
              </w:rPr>
              <w:t>Chronic kidney disease / renal impairment</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kidney excretes about half of absorbed fluoride, so renal impairment increases fluoride retention and fluorosis risk, while fluoride is itself nephrotoxic - a bidirectional relationship.</w:t>
            </w:r>
          </w:p>
        </w:tc>
      </w:tr>
      <w:tr>
        <w:trPr>
          <w:cantSplit/>
        </w:trPr>
        <w:tc>
          <w:tcPr>
            <w:tcW w:type="dxa" w:w="2232"/>
            <w:vAlign w:val="top"/>
          </w:tcPr>
          <w:p>
            <w:pPr>
              <w:spacing w:after="40" w:before="0" w:line="259" w:lineRule="auto"/>
            </w:pPr>
            <w:r>
              <w:rPr>
                <w:rFonts w:ascii="Calibri" w:hAnsi="Calibri"/>
                <w:b/>
                <w:i w:val="0"/>
                <w:color w:val="212121"/>
                <w:sz w:val="19"/>
              </w:rPr>
              <w:t>Nephrolithiasis (kidney stones)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High fluoride intake is associated with an increased burden of urinary-tract stone disease in endemic tribal and rural populations.</w:t>
            </w:r>
          </w:p>
        </w:tc>
      </w:tr>
      <w:tr>
        <w:trPr>
          <w:cantSplit/>
        </w:trPr>
        <w:tc>
          <w:tcPr>
            <w:tcW w:type="dxa" w:w="2232"/>
            <w:vAlign w:val="top"/>
          </w:tcPr>
          <w:p>
            <w:pPr>
              <w:spacing w:after="40" w:before="0" w:line="259" w:lineRule="auto"/>
            </w:pPr>
            <w:r>
              <w:rPr>
                <w:rFonts w:ascii="Calibri" w:hAnsi="Calibri"/>
                <w:b/>
                <w:i w:val="0"/>
                <w:color w:val="212121"/>
                <w:sz w:val="19"/>
              </w:rPr>
              <w:t>Anaemia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gastrointestinal fluorosis and poor nutrition contribute to anaemia; fluorosis is now addressed within India's Anaemia Mukt Bharat programme guidelines.</w:t>
            </w:r>
          </w:p>
        </w:tc>
      </w:tr>
      <w:tr>
        <w:trPr>
          <w:cantSplit/>
        </w:trPr>
        <w:tc>
          <w:tcPr>
            <w:tcW w:type="dxa" w:w="2232"/>
            <w:vAlign w:val="top"/>
          </w:tcPr>
          <w:p>
            <w:pPr>
              <w:spacing w:after="40" w:before="0" w:line="259" w:lineRule="auto"/>
            </w:pPr>
            <w:r>
              <w:rPr>
                <w:rFonts w:ascii="Calibri" w:hAnsi="Calibri"/>
                <w:b/>
                <w:i w:val="0"/>
                <w:color w:val="212121"/>
                <w:sz w:val="19"/>
              </w:rPr>
              <w:t>Thyroid dysfunction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Excess fluoride can disturb thyroid hormone (FT3/FT4) regulation, and fluorosis and thyroid dysfunction may coexist in endemic areas.</w:t>
            </w:r>
          </w:p>
        </w:tc>
      </w:tr>
      <w:tr>
        <w:trPr>
          <w:cantSplit/>
        </w:trPr>
        <w:tc>
          <w:tcPr>
            <w:tcW w:type="dxa" w:w="2232"/>
            <w:vAlign w:val="top"/>
          </w:tcPr>
          <w:p>
            <w:pPr>
              <w:spacing w:after="40" w:before="0" w:line="259" w:lineRule="auto"/>
            </w:pPr>
            <w:r>
              <w:rPr>
                <w:rFonts w:ascii="Calibri" w:hAnsi="Calibri"/>
                <w:b/>
                <w:i w:val="0"/>
                <w:color w:val="212121"/>
                <w:sz w:val="19"/>
              </w:rPr>
              <w:t>Osteoarthritis / rheumatoid-type arthropathy (mimic)</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Fluorotic osteophytosis and joint stiffness overlap with, and are frequently misdiagnosed as, osteoarthritis or rheumatoid arthritis, altering diagnosis and management.</w:t>
            </w:r>
          </w:p>
        </w:tc>
      </w:tr>
      <w:tr>
        <w:trPr>
          <w:cantSplit/>
        </w:trPr>
        <w:tc>
          <w:tcPr>
            <w:tcW w:type="dxa" w:w="2232"/>
            <w:vAlign w:val="top"/>
          </w:tcPr>
          <w:p>
            <w:pPr>
              <w:spacing w:after="40" w:before="0" w:line="259" w:lineRule="auto"/>
            </w:pPr>
            <w:r>
              <w:rPr>
                <w:rFonts w:ascii="Calibri" w:hAnsi="Calibri"/>
                <w:b/>
                <w:i w:val="0"/>
                <w:color w:val="212121"/>
                <w:sz w:val="19"/>
              </w:rPr>
              <w:t>Cognitive impairment / low IQ (children)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Chronic fluoride neurotoxicity is associated with lower IQ and neurodevelopmental effects in children in endemic areas, so fluorosis control has wider developmental benefit.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Test your drinking-water source for fluoride and use water at or below the BIS limit of 1.0 mg/L for drinking and cooking; mark safe and unsafe sources in the village.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persistent pain and stiffness of the neck, back and large joints, difficulty bending, and yellow-brown mottling of teeth - and seek screening, as early disease can improve after switching to safe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there is no medicine that cures skeletal fluorosis; prevention and safe water are the mainstays, and reversal is possible only in early stages.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the many non-water sources of fluoride - black tea, black/red rock salt, tobacco, bidi, paan and betel nut, some tinned foods, and swallowed toothpaste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household defluoridation (activated alumina, the Nalgonda technique, or reverse osmosis) or alternative supplies (treated surface water, rainwater harvesting, blending with low-fluoride water) where all groundwater is high in fluoride.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children and pregnant or lactating women in particular, since the growing skeleton is most vulnerable and breast milk is naturally low in fluoride.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endemic districts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using borewell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at-risk adults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gentle range-of-motion and stretching exercises for the spine, hips, shoulders and knees to preserve mobility and slow stiffening.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physiotherapy-guided strengthening and posture programme, especially for the back, to reduce deformity and maintain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active within the limits of pain to prevent muscle wasting and joint contractures.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walking aids, joint protection and occupational-therapy support for daily activities in advanced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early orthopaedic or neurosurgical assessment if there is limb weakness, numbness or bladder/bowel change (possible spinal-cord compression).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skeletal fluorosis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spinal rigidity or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Crippled patients in rehabilitation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an adequate calcium intake (milk, curd, ragi/finger millet, sesame, green leafy vegetables, drumstick) - calcium reduces fluoride absorption and protects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vitamin-C-rich foods (amla, lemon, orange, guava, tomato, sprouts) and vitamin-D sources with sensible sun exposure, as these lessen fluoride toxicity.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vitamin-E and antioxidant-rich foods (nuts, whole grains, garlic, ginger, carrot, papaya, green vegetables).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limit strong black tea, black/red rock salt, tinned foods and other high-fluoride items.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children a nutrient-dense diet to prevent the combined fluoride-plus-malnutrition (genu-valgum) form of the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calcium, vitamin C, vitamin D and vitamin E deficiency through a rich diet and supplements where needed, alongside a switch to safe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general nutrition to support bone recovery after fluoride exposure is stopped.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with a dietitian on calcium- and antioxidant-focused meal planning in established fluorosis.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nutrient-dense local foods (millets, pulses, leafy greens, dairy) that are affordable and protective.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fluorosis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deformity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chronic bone and joint pain adequately so that discomfort does not disturb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firm, supportive mattress and comfortable positioning to ease spinal and joint discomfort at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routine and a calm sleeping environment.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associated low mood and anxiety that impair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spinal rigidity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 or anxiety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forms of tobacco - cigarettes, bidi and smokeless tobacco/paan/betel quid - which add to the total fluoride load and harm bone and 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areas of industrial fluoride emission and use protective measures if working in aluminium, phosphate, brick-kiln or coal industries.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and nicotine replacement)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tobacco-free households to protect children and other family members.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Tobacco/bidi/paan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Industrial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together with poor nutrition worsens calcium and vitamin-D status and bone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resource-poor households, prioritise spending on safe water and a nutritious diet over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where present, as it undermines nutrition and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arising from chronic pain, disability and economic hardship of crippling fluorosis.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peer support and rehabilitation to reduce isolation and improve coping.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community health workers (ASHAs) to support adherence to safe-water and nutrition measures.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disabled patients to rehabilitation and social-support/disability schemes to relieve the burden of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crippling or disabling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and families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luoridealert.org/content/india-fluorosis/" TargetMode="External"/><Relationship Id="rId10" Type="http://schemas.openxmlformats.org/officeDocument/2006/relationships/hyperlink" Target="https://ncdc.mohfw.gov.in/wp-content/uploads/2024/05/CD-Alert-on-Fluorosis-Final-28-Apr-2022.pdf" TargetMode="External"/><Relationship Id="rId11" Type="http://schemas.openxmlformats.org/officeDocument/2006/relationships/hyperlink" Target="https://www.frontiersin.org/journals/public-health/articles/10.3389/fpubh.2023.1110777/full" TargetMode="External"/><Relationship Id="rId12" Type="http://schemas.openxmlformats.org/officeDocument/2006/relationships/hyperlink" Target="https://factly.in/fluorosis-significant-progress-in-the-last-10-years-thousands-still-susceptible/" TargetMode="External"/><Relationship Id="rId13" Type="http://schemas.openxmlformats.org/officeDocument/2006/relationships/hyperlink" Target="https://www.fluorideresearch.org/522/files/FJ2019_v52_n2_p161-168_sf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