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Migraine</w:t>
      </w:r>
    </w:p>
    <w:p>
      <w:pPr>
        <w:spacing w:before="0" w:after="160"/>
      </w:pPr>
      <w:r>
        <w:rPr>
          <w:rFonts w:ascii="Calibri" w:hAnsi="Calibri"/>
          <w:b/>
          <w:i w:val="0"/>
          <w:color w:val="212121"/>
          <w:sz w:val="22"/>
        </w:rPr>
        <w:t xml:space="preserve">AKA </w:t>
      </w:r>
      <w:r>
        <w:rPr>
          <w:rFonts w:ascii="Calibri" w:hAnsi="Calibri"/>
          <w:b w:val="0"/>
          <w:i w:val="0"/>
          <w:color w:val="212121"/>
          <w:sz w:val="22"/>
        </w:rPr>
        <w:t>i.e., Sick headache, Hemicrania, Migraine headache; lay terms “adhkapari” / half-head headache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Migraine is a common chronic neurovascular disorder characterised by recurrent attacks of moderate-to-severe, typically unilateral and pulsating headache lasting 4–72 hours, aggravated by routine physical activity and accompanied by nausea and/or sensitivity to light (photophobia) and sound (phonophobia). In roughly a quarter of patients the headache is preceded or accompanied by transient, fully reversible focal neurological symptoms called aura (most often visual). It is classified by the International Classification of Headache Disorders (ICHD-3); when headache occurs on 15 or more days per month for more than three months it is termed chronic migraine.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Migraine is among the most common neurological disorders in India, with population-based studies reporting a 1-year prevalence of roughly 14–27% (about 14.1% in eastern India, 25.2% in Karnataka and 26.3% in the Delhi–NCR region); a commonly cited working figure is about 25%, corresponding to more than 200 million Indians affected. Prevalence is 2–3 times higher in women than men (32.4% vs 18.6% in Karnataka; 35.7% vs 15.1% in Delhi–NCR), peaks during the most productive years (roughly ages 20–50, peak 30–34) and is often higher in rural than urban populations. India carries the world’s largest absolute migraine burden by disability-adjusted life years.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Migraine is a clinical diagnosis based on the ICHD-3 criteria; investigations are reserved for atypical features or red flags. Migraine without aura is diagnosed after at least five attacks fulfilling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headache attacks lasting 4–72 hours when untreated or unsuccessfully treated;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headache with at least two of four characteristics: unilateral location, pulsating quality, moderate-to-severe intensity, and aggravation by (or causing avoidance of) routine physical activity;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during the headache, at least one of: nausea and/or vomiting, or both photophobia and phonophobia;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attacks are not better accounted for by another ICHD-3 diagnosis, with a normal neurological examination between attacks;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migraine with aura additionally requires at least two attacks with fully reversible visual, sensory, speech/language, motor, brainstem or retinal aura developing gradually over ≥5 minutes and each symptom lasting 5–60 minutes;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chronic migraine is diagnosed when headache occurs on ≥15 days/month for &gt;3 months, with migraine features on ≥8 days/month.</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Migraine is classified by the ICHD-3 into several subtypes and related presentations:</w:t>
      </w:r>
    </w:p>
    <w:p>
      <w:pPr>
        <w:spacing w:before="0" w:after="80"/>
      </w:pPr>
      <w:r>
        <w:rPr>
          <w:rFonts w:ascii="Calibri" w:hAnsi="Calibri"/>
          <w:b w:val="0"/>
          <w:i w:val="0"/>
          <w:color w:val="212121"/>
          <w:sz w:val="21"/>
        </w:rPr>
        <w:t>(1) Migraine without aura — the most common form (~70–75% of migraine), with the characteristic recurrent headache and associated nausea, photophobia and phonophobia but no aura;</w:t>
      </w:r>
    </w:p>
    <w:p>
      <w:pPr>
        <w:spacing w:before="0" w:after="80"/>
      </w:pPr>
      <w:r>
        <w:rPr>
          <w:rFonts w:ascii="Calibri" w:hAnsi="Calibri"/>
          <w:b w:val="0"/>
          <w:i w:val="0"/>
          <w:color w:val="212121"/>
          <w:sz w:val="21"/>
        </w:rPr>
        <w:t>(2) Migraine with aura — attacks preceded or accompanied by fully reversible focal neurological symptoms (visual in &gt;90% of aura, but also sensory, speech/language, motor, brainstem or retinal), developing over ≥5 minutes and lasting up to 60 minutes; it affects roughly one quarter of patients;</w:t>
      </w:r>
    </w:p>
    <w:p>
      <w:pPr>
        <w:spacing w:before="0" w:after="80"/>
      </w:pPr>
      <w:r>
        <w:rPr>
          <w:rFonts w:ascii="Calibri" w:hAnsi="Calibri"/>
          <w:b w:val="0"/>
          <w:i w:val="0"/>
          <w:color w:val="212121"/>
          <w:sz w:val="21"/>
        </w:rPr>
        <w:t>(3) Chronic migraine — headache on ≥15 days/month for &gt;3 months with migraine features on ≥8 days/month, frequently complicated by medication-overuse headache;</w:t>
      </w:r>
    </w:p>
    <w:p>
      <w:pPr>
        <w:spacing w:before="0" w:after="80"/>
      </w:pPr>
      <w:r>
        <w:rPr>
          <w:rFonts w:ascii="Calibri" w:hAnsi="Calibri"/>
          <w:b w:val="0"/>
          <w:i w:val="0"/>
          <w:color w:val="212121"/>
          <w:sz w:val="21"/>
        </w:rPr>
        <w:t>(4) Episodic migraine — fewer than 15 headache days/month, ranging from occasional to high-frequency attacks;</w:t>
      </w:r>
    </w:p>
    <w:p>
      <w:pPr>
        <w:spacing w:before="0" w:after="80"/>
      </w:pPr>
      <w:r>
        <w:rPr>
          <w:rFonts w:ascii="Calibri" w:hAnsi="Calibri"/>
          <w:b w:val="0"/>
          <w:i w:val="0"/>
          <w:color w:val="212121"/>
          <w:sz w:val="21"/>
        </w:rPr>
        <w:t>(5) Complications and special forms — status migrainosus (a debilitating attack lasting &gt;72 hours), persistent aura without infarction (&gt;1 week), migrainous infarction and migraine aura-triggered seizure; clinically important variants include menstrual (hormonally related) migraine and vestibular migraine.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predisposition: Migraine is highly heritable and polygenic; lifetime risk is about 40% when one parent is affected and up to ~75% when both parents have migraine.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Trigeminovascular hyperexcitability: A genetically lowered threshold for cortical spreading depression and activation of the trigeminovascular system, with release of CGRP and neurogenic inflammation, drives the pain and associated symptoms of an attack.</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Hormonal fluctuations: Oestrogen withdrawal around menstruation and other hormonal shifts explain the marked female predominance and menstrually related migraine.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Environmental and lifestyle triggers: Stress, irregular or insufficient sleep, skipped meals, dehydration, bright light and strong odours, screen exposure and weather changes precipitate attacks in susceptible people.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Chronification factors: Frequent attacks, acute-medication and caffeine overuse, obesity and untreated psychiatric or sleep comorbidities promote transformation from episodic to chronic migraine.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(working-age, 20–50 years)</w:t>
            </w:r>
          </w:p>
        </w:tc>
        <w:tc>
          <w:tcPr>
            <w:tcW w:type="dxa" w:w="4276"/>
            <w:vAlign w:val="top"/>
          </w:tcPr>
          <w:p>
            <w:pPr>
              <w:spacing w:after="60" w:line="259" w:lineRule="auto"/>
            </w:pPr>
            <w:r>
              <w:rPr>
                <w:rFonts w:ascii="Calibri" w:hAnsi="Calibri"/>
                <w:b w:val="0"/>
                <w:i w:val="0"/>
                <w:color w:val="212121"/>
                <w:sz w:val="19"/>
              </w:rPr>
              <w:t>Migraine prevalence and disability peak during the most productive years, driven by occupational stress, irregular routines, sleep debt and hormonal factors in women. Attacks in this group cause the greatest personal and economic burden.</w:t>
            </w:r>
          </w:p>
          <w:p>
            <w:pPr>
              <w:spacing w:after="40" w:before="60" w:line="259" w:lineRule="auto"/>
            </w:pPr>
            <w:r>
              <w:rPr>
                <w:rFonts w:ascii="Calibri" w:hAnsi="Calibri"/>
                <w:b w:val="0"/>
                <w:i w:val="0"/>
                <w:color w:val="212121"/>
                <w:sz w:val="19"/>
              </w:rPr>
              <w:t>Indian studies place peak prevalence around ages 30–34, with a working figure of ~25% (more than 200 million people affected) and 17.3–17.6 lost workdays per patient per year.</w:t>
            </w:r>
          </w:p>
          <w:p>
            <w:pPr>
              <w:spacing w:after="40" w:line="252" w:lineRule="auto"/>
            </w:pPr>
            <w:hyperlink r:id="rId9">
              <w:r>
                <w:rPr>
                  <w:rFonts w:ascii="Calibri" w:hAnsi="Calibri" w:cs="Calibri"/>
                  <w:sz w:val="18"/>
                  <w:color w:val="1155CC"/>
                  <w:u w:val="single"/>
                </w:rPr>
                <w:t xml:space="preserve">link.springer.com — migraine burden in India (2025)</w:t>
              </w:r>
            </w:hyperlink>
          </w:p>
          <w:p>
            <w:pPr>
              <w:spacing w:before="60" w:after="40"/>
            </w:pPr>
            <w:r>
              <w:rPr>
                <w:rFonts w:ascii="Calibri" w:hAnsi="Calibri"/>
                <w:b w:val="0"/>
                <w:i w:val="0"/>
                <w:color w:val="5A5A5A"/>
                <w:sz w:val="18"/>
              </w:rPr>
              <w:t>#workingage  #productivity  #stress  #peakprevalence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(&gt;50 years)</w:t>
            </w:r>
          </w:p>
        </w:tc>
        <w:tc>
          <w:tcPr>
            <w:tcW w:type="dxa" w:w="4276"/>
            <w:vAlign w:val="top"/>
          </w:tcPr>
          <w:p>
            <w:pPr>
              <w:spacing w:after="60" w:line="259" w:lineRule="auto"/>
            </w:pPr>
            <w:r>
              <w:rPr>
                <w:rFonts w:ascii="Calibri" w:hAnsi="Calibri"/>
                <w:b w:val="0"/>
                <w:i w:val="0"/>
                <w:color w:val="212121"/>
                <w:sz w:val="19"/>
              </w:rPr>
              <w:t>Migraine prevalence typically declines after menopause and in older age. Crucially, a genuinely new or changed headache first appearing after age 50 is a red flag and should prompt evaluation for secondary causes (e.g., giant cell arteritis, mass lesion) rather than being assumed to be migraine.</w:t>
            </w:r>
          </w:p>
          <w:p>
            <w:pPr>
              <w:spacing w:after="40" w:before="60" w:line="259" w:lineRule="auto"/>
            </w:pPr>
            <w:r>
              <w:rPr>
                <w:rFonts w:ascii="Calibri" w:hAnsi="Calibri"/>
                <w:b w:val="0"/>
                <w:i w:val="0"/>
                <w:color w:val="212121"/>
                <w:sz w:val="19"/>
              </w:rPr>
              <w:t>Peak incidence is between ages 35 and 39 with rates declining thereafter; new-onset headache after age 50 warrants investigation.</w:t>
            </w:r>
          </w:p>
          <w:p>
            <w:pPr>
              <w:spacing w:after="40" w:line="252" w:lineRule="auto"/>
            </w:pPr>
            <w:hyperlink r:id="rId10">
              <w:r>
                <w:rPr>
                  <w:rFonts w:ascii="Calibri" w:hAnsi="Calibri" w:cs="Calibri"/>
                  <w:sz w:val="18"/>
                  <w:color w:val="1155CC"/>
                  <w:u w:val="single"/>
                </w:rPr>
                <w:t xml:space="preserve">ncbi.nlm.nih.gov — Migraine (StatPearls)</w:t>
              </w:r>
            </w:hyperlink>
          </w:p>
          <w:p>
            <w:pPr>
              <w:spacing w:before="60" w:after="40"/>
            </w:pPr>
            <w:r>
              <w:rPr>
                <w:rFonts w:ascii="Calibri" w:hAnsi="Calibri"/>
                <w:b w:val="0"/>
                <w:i w:val="0"/>
                <w:color w:val="5A5A5A"/>
                <w:sz w:val="18"/>
              </w:rPr>
              <w:t>#elderly  #newonset  #redflag  #secondaryheadache</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 (reproductive age)</w:t>
            </w:r>
          </w:p>
        </w:tc>
        <w:tc>
          <w:tcPr>
            <w:tcW w:type="dxa" w:w="4276"/>
            <w:vAlign w:val="top"/>
          </w:tcPr>
          <w:p>
            <w:pPr>
              <w:spacing w:after="60" w:line="259" w:lineRule="auto"/>
            </w:pPr>
            <w:r>
              <w:rPr>
                <w:rFonts w:ascii="Calibri" w:hAnsi="Calibri"/>
                <w:b w:val="0"/>
                <w:i w:val="0"/>
                <w:color w:val="212121"/>
                <w:sz w:val="19"/>
              </w:rPr>
              <w:t>Women are affected 2–3 times more often than men, largely because of oestrogen fluctuations across the menstrual cycle, pregnancy and perimenopause. Attacks are often more frequent, severe and disabling in women.</w:t>
            </w:r>
          </w:p>
          <w:p>
            <w:pPr>
              <w:spacing w:after="40" w:before="60" w:line="259" w:lineRule="auto"/>
            </w:pPr>
            <w:r>
              <w:rPr>
                <w:rFonts w:ascii="Calibri" w:hAnsi="Calibri"/>
                <w:b w:val="0"/>
                <w:i w:val="0"/>
                <w:color w:val="212121"/>
                <w:sz w:val="19"/>
              </w:rPr>
              <w:t>Female-to-male ratio ~3:1; migraine prevalence 32.4% in women vs 18.6% in men (Karnataka) and 35.7% vs 15.1% (Delhi–NCR, adjusted OR 3.3).</w:t>
            </w:r>
          </w:p>
          <w:p>
            <w:pPr>
              <w:spacing w:after="40" w:line="252" w:lineRule="auto"/>
            </w:pPr>
            <w:hyperlink r:id="rId11">
              <w:r>
                <w:rPr>
                  <w:rFonts w:ascii="Calibri" w:hAnsi="Calibri" w:cs="Calibri"/>
                  <w:sz w:val="18"/>
                  <w:color w:val="1155CC"/>
                  <w:u w:val="single"/>
                </w:rPr>
                <w:t xml:space="preserve">link.springer.com — headache prevalence, Karnataka</w:t>
              </w:r>
            </w:hyperlink>
          </w:p>
          <w:p>
            <w:pPr>
              <w:spacing w:before="60" w:after="40"/>
            </w:pPr>
            <w:r>
              <w:rPr>
                <w:rFonts w:ascii="Calibri" w:hAnsi="Calibri"/>
                <w:b w:val="0"/>
                <w:i w:val="0"/>
                <w:color w:val="5A5A5A"/>
                <w:sz w:val="18"/>
              </w:rPr>
              <w:t>#women  #hormonal  #estrogen  #femalepredominance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Men (underdiagnosed)</w:t>
            </w:r>
          </w:p>
        </w:tc>
        <w:tc>
          <w:tcPr>
            <w:tcW w:type="dxa" w:w="4276"/>
            <w:vAlign w:val="top"/>
          </w:tcPr>
          <w:p>
            <w:pPr>
              <w:spacing w:after="60" w:line="259" w:lineRule="auto"/>
            </w:pPr>
            <w:r>
              <w:rPr>
                <w:rFonts w:ascii="Calibri" w:hAnsi="Calibri"/>
                <w:b w:val="0"/>
                <w:i w:val="0"/>
                <w:color w:val="212121"/>
                <w:sz w:val="19"/>
              </w:rPr>
              <w:t>Although less common in men, migraine in males is frequently under-recognised and under-treated, partly because it is stereotyped as a women’s condition. Men still experience substantial disability.</w:t>
            </w:r>
          </w:p>
          <w:p>
            <w:pPr>
              <w:spacing w:after="40" w:before="60" w:line="259" w:lineRule="auto"/>
            </w:pPr>
            <w:r>
              <w:rPr>
                <w:rFonts w:ascii="Calibri" w:hAnsi="Calibri"/>
                <w:b w:val="0"/>
                <w:i w:val="0"/>
                <w:color w:val="212121"/>
                <w:sz w:val="19"/>
              </w:rPr>
              <w:t>Male prevalence about 15–19% in Indian community studies (15.1% Delhi–NCR; 18.6% Karnataka).</w:t>
            </w:r>
          </w:p>
          <w:p>
            <w:pPr>
              <w:spacing w:after="40" w:line="252" w:lineRule="auto"/>
            </w:pPr>
            <w:hyperlink r:id="rId12">
              <w:r>
                <w:rPr>
                  <w:rFonts w:ascii="Calibri" w:hAnsi="Calibri" w:cs="Calibri"/>
                  <w:sz w:val="18"/>
                  <w:color w:val="1155CC"/>
                  <w:u w:val="single"/>
                </w:rPr>
                <w:t xml:space="preserve">pubmed 38943062 — Delhi–NCR headache study</w:t>
              </w:r>
            </w:hyperlink>
          </w:p>
          <w:p>
            <w:pPr>
              <w:spacing w:before="60" w:after="40"/>
            </w:pPr>
            <w:r>
              <w:rPr>
                <w:rFonts w:ascii="Calibri" w:hAnsi="Calibri"/>
                <w:b w:val="0"/>
                <w:i w:val="0"/>
                <w:color w:val="5A5A5A"/>
                <w:sz w:val="18"/>
              </w:rPr>
              <w:t>#men  #underdiagnosed  #undertreated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adults with limited care access</w:t>
            </w:r>
          </w:p>
        </w:tc>
        <w:tc>
          <w:tcPr>
            <w:tcW w:type="dxa" w:w="4276"/>
            <w:vAlign w:val="top"/>
          </w:tcPr>
          <w:p>
            <w:pPr>
              <w:spacing w:after="60" w:line="259" w:lineRule="auto"/>
            </w:pPr>
            <w:r>
              <w:rPr>
                <w:rFonts w:ascii="Calibri" w:hAnsi="Calibri"/>
                <w:b w:val="0"/>
                <w:i w:val="0"/>
                <w:color w:val="212121"/>
                <w:sz w:val="19"/>
              </w:rPr>
              <w:t>Lower socioeconomic status is linked to higher chronic-headache burden, greater medication overuse and poorer access to accurate diagnosis and preventive treatment, so migraine is more likely to be self-medicated and to progress. Rural and low-income Indians face particular barriers.</w:t>
            </w:r>
          </w:p>
          <w:p>
            <w:pPr>
              <w:spacing w:after="40" w:before="60" w:line="259" w:lineRule="auto"/>
            </w:pPr>
            <w:r>
              <w:rPr>
                <w:rFonts w:ascii="Calibri" w:hAnsi="Calibri"/>
                <w:b w:val="0"/>
                <w:i w:val="0"/>
                <w:color w:val="212121"/>
                <w:sz w:val="19"/>
              </w:rPr>
              <w:t>Migraine imposes an estimated national economic loss of about INR 18,674 crore (~USD 22 billion), roughly 4.74% of per-capita national income, with much care unmet in low-income groups.</w:t>
            </w:r>
          </w:p>
          <w:p>
            <w:pPr>
              <w:spacing w:after="40" w:line="252" w:lineRule="auto"/>
            </w:pPr>
            <w:hyperlink r:id="rId9">
              <w:r>
                <w:rPr>
                  <w:rFonts w:ascii="Calibri" w:hAnsi="Calibri" w:cs="Calibri"/>
                  <w:sz w:val="18"/>
                  <w:color w:val="1155CC"/>
                  <w:u w:val="single"/>
                </w:rPr>
                <w:t xml:space="preserve">link.springer.com — migraine burden in India (2025)</w:t>
              </w:r>
            </w:hyperlink>
          </w:p>
          <w:p>
            <w:pPr>
              <w:spacing w:before="60" w:after="40"/>
            </w:pPr>
            <w:r>
              <w:rPr>
                <w:rFonts w:ascii="Calibri" w:hAnsi="Calibri"/>
                <w:b w:val="0"/>
                <w:i w:val="0"/>
                <w:color w:val="5A5A5A"/>
                <w:sz w:val="18"/>
              </w:rPr>
              <w:t>#socioeconomic  #accesstocare  #selfmedication  #economicburden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 / residence</w:t>
            </w:r>
          </w:p>
        </w:tc>
        <w:tc>
          <w:tcPr>
            <w:tcW w:type="dxa" w:w="2160"/>
            <w:vAlign w:val="top"/>
          </w:tcPr>
          <w:p>
            <w:pPr>
              <w:spacing w:after="40" w:before="0" w:line="259" w:lineRule="auto"/>
            </w:pPr>
            <w:r>
              <w:rPr>
                <w:rFonts w:ascii="Calibri" w:hAnsi="Calibri"/>
                <w:b w:val="0"/>
                <w:i w:val="0"/>
                <w:color w:val="212121"/>
                <w:sz w:val="19"/>
              </w:rPr>
              <w:t>South Indian (Karnataka) &amp; rural adults</w:t>
            </w:r>
          </w:p>
        </w:tc>
        <w:tc>
          <w:tcPr>
            <w:tcW w:type="dxa" w:w="4276"/>
            <w:vAlign w:val="top"/>
          </w:tcPr>
          <w:p>
            <w:pPr>
              <w:spacing w:after="60" w:line="259" w:lineRule="auto"/>
            </w:pPr>
            <w:r>
              <w:rPr>
                <w:rFonts w:ascii="Calibri" w:hAnsi="Calibri"/>
                <w:b w:val="0"/>
                <w:i w:val="0"/>
                <w:color w:val="212121"/>
                <w:sz w:val="19"/>
              </w:rPr>
              <w:t>South Indian community surveys report some of the highest migraine estimates in the country, and — contrary to a purely urban stereotype — rural residents show higher prevalence than urban ones, possibly reflecting heat exposure, manual labour, irregular meals, dehydration and limited access to preventive care.</w:t>
            </w:r>
          </w:p>
          <w:p>
            <w:pPr>
              <w:spacing w:after="40" w:before="60" w:line="259" w:lineRule="auto"/>
            </w:pPr>
            <w:r>
              <w:rPr>
                <w:rFonts w:ascii="Calibri" w:hAnsi="Calibri"/>
                <w:b w:val="0"/>
                <w:i w:val="0"/>
                <w:color w:val="212121"/>
                <w:sz w:val="19"/>
              </w:rPr>
              <w:t>1-year migraine prevalence 25.2% in Karnataka (any headache 63.9%); rural 29.7% vs urban 21.9% (OR 1.5).</w:t>
            </w:r>
          </w:p>
          <w:p>
            <w:pPr>
              <w:spacing w:after="40" w:line="252" w:lineRule="auto"/>
            </w:pPr>
            <w:hyperlink r:id="rId11">
              <w:r>
                <w:rPr>
                  <w:rFonts w:ascii="Calibri" w:hAnsi="Calibri" w:cs="Calibri"/>
                  <w:sz w:val="18"/>
                  <w:color w:val="1155CC"/>
                  <w:u w:val="single"/>
                </w:rPr>
                <w:t xml:space="preserve">link.springer.com — headache prevalence, Karnataka</w:t>
              </w:r>
            </w:hyperlink>
          </w:p>
          <w:p>
            <w:pPr>
              <w:spacing w:before="60" w:after="40"/>
            </w:pPr>
            <w:r>
              <w:rPr>
                <w:rFonts w:ascii="Calibri" w:hAnsi="Calibri"/>
                <w:b w:val="0"/>
                <w:i w:val="0"/>
                <w:color w:val="5A5A5A"/>
                <w:sz w:val="18"/>
              </w:rPr>
              <w:t>#southindia  #karnataka  #rural  #heat  #accessgap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North Indian (Delhi–NCR) adults</w:t>
            </w:r>
          </w:p>
        </w:tc>
        <w:tc>
          <w:tcPr>
            <w:tcW w:type="dxa" w:w="4276"/>
            <w:vAlign w:val="top"/>
          </w:tcPr>
          <w:p>
            <w:pPr>
              <w:spacing w:after="60" w:line="259" w:lineRule="auto"/>
            </w:pPr>
            <w:r>
              <w:rPr>
                <w:rFonts w:ascii="Calibri" w:hAnsi="Calibri"/>
                <w:b w:val="0"/>
                <w:i w:val="0"/>
                <w:color w:val="212121"/>
                <w:sz w:val="19"/>
              </w:rPr>
              <w:t>Large North Indian population-based data confirm high migraine prevalence with strong female preponderance, and a notable burden of medication-overuse headache among frequent sufferers.</w:t>
            </w:r>
          </w:p>
          <w:p>
            <w:pPr>
              <w:spacing w:after="40" w:before="60" w:line="259" w:lineRule="auto"/>
            </w:pPr>
            <w:r>
              <w:rPr>
                <w:rFonts w:ascii="Calibri" w:hAnsi="Calibri"/>
                <w:b w:val="0"/>
                <w:i w:val="0"/>
                <w:color w:val="212121"/>
                <w:sz w:val="19"/>
              </w:rPr>
              <w:t>Migraine 1-year prevalence 26.3% in Delhi–NCR, with probable medication-overuse headache 3.0%.</w:t>
            </w:r>
          </w:p>
          <w:p>
            <w:pPr>
              <w:spacing w:after="40" w:line="252" w:lineRule="auto"/>
            </w:pPr>
            <w:hyperlink r:id="rId12">
              <w:r>
                <w:rPr>
                  <w:rFonts w:ascii="Calibri" w:hAnsi="Calibri" w:cs="Calibri"/>
                  <w:sz w:val="18"/>
                  <w:color w:val="1155CC"/>
                  <w:u w:val="single"/>
                </w:rPr>
                <w:t xml:space="preserve">pubmed 38943062 — Delhi–NCR headache study</w:t>
              </w:r>
            </w:hyperlink>
          </w:p>
          <w:p>
            <w:pPr>
              <w:spacing w:before="60" w:after="40"/>
            </w:pPr>
            <w:r>
              <w:rPr>
                <w:rFonts w:ascii="Calibri" w:hAnsi="Calibri"/>
                <w:b w:val="0"/>
                <w:i w:val="0"/>
                <w:color w:val="5A5A5A"/>
                <w:sz w:val="18"/>
              </w:rPr>
              <w:t>#northindia  #delhi  #medicationoveruse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screen time</w:t>
            </w:r>
          </w:p>
        </w:tc>
        <w:tc>
          <w:tcPr>
            <w:tcW w:type="dxa" w:w="2160"/>
            <w:vAlign w:val="top"/>
          </w:tcPr>
          <w:p>
            <w:pPr>
              <w:spacing w:after="40" w:before="0" w:line="259" w:lineRule="auto"/>
            </w:pPr>
            <w:r>
              <w:rPr>
                <w:rFonts w:ascii="Calibri" w:hAnsi="Calibri"/>
                <w:b w:val="0"/>
                <w:i w:val="0"/>
                <w:color w:val="212121"/>
                <w:sz w:val="19"/>
              </w:rPr>
              <w:t>IT professionals, students, desk workers</w:t>
            </w:r>
          </w:p>
        </w:tc>
        <w:tc>
          <w:tcPr>
            <w:tcW w:type="dxa" w:w="4276"/>
            <w:vAlign w:val="top"/>
          </w:tcPr>
          <w:p>
            <w:pPr>
              <w:spacing w:after="60" w:line="259" w:lineRule="auto"/>
            </w:pPr>
            <w:r>
              <w:rPr>
                <w:rFonts w:ascii="Calibri" w:hAnsi="Calibri"/>
                <w:b w:val="0"/>
                <w:i w:val="0"/>
                <w:color w:val="212121"/>
                <w:sz w:val="19"/>
              </w:rPr>
              <w:t>Prolonged screen exposure, digital eye strain, poor posture and fixed indoor lighting are frequent precipitants of headache in India’s large student and IT/knowledge-worker population, compounded by irregular breaks and sleep.</w:t>
            </w:r>
          </w:p>
          <w:p>
            <w:pPr>
              <w:spacing w:after="40" w:before="60" w:line="259" w:lineRule="auto"/>
            </w:pPr>
            <w:r>
              <w:rPr>
                <w:rFonts w:ascii="Calibri" w:hAnsi="Calibri"/>
                <w:b w:val="0"/>
                <w:i w:val="0"/>
                <w:color w:val="212121"/>
                <w:sz w:val="19"/>
              </w:rPr>
              <w:t>Among Indian university students with digital eye strain, headache was the most common symptom, reported by 75%.</w:t>
            </w:r>
          </w:p>
          <w:p>
            <w:pPr>
              <w:spacing w:after="40" w:line="252" w:lineRule="auto"/>
            </w:pPr>
            <w:hyperlink r:id="rId13">
              <w:r>
                <w:rPr>
                  <w:rFonts w:ascii="Calibri" w:hAnsi="Calibri" w:cs="Calibri"/>
                  <w:sz w:val="18"/>
                  <w:color w:val="1155CC"/>
                  <w:u w:val="single"/>
                </w:rPr>
                <w:t xml:space="preserve">imsear.searo.who.int — digital eye strain, Hyderabad</w:t>
              </w:r>
            </w:hyperlink>
          </w:p>
          <w:p>
            <w:pPr>
              <w:spacing w:before="60" w:after="40"/>
            </w:pPr>
            <w:r>
              <w:rPr>
                <w:rFonts w:ascii="Calibri" w:hAnsi="Calibri"/>
                <w:b w:val="0"/>
                <w:i w:val="0"/>
                <w:color w:val="5A5A5A"/>
                <w:sz w:val="18"/>
              </w:rPr>
              <w:t>#screentime  #digitaleyestrain  #ITworkers  #students  #posture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Sleep</w:t>
            </w:r>
          </w:p>
        </w:tc>
        <w:tc>
          <w:tcPr>
            <w:tcW w:type="dxa" w:w="2160"/>
            <w:vAlign w:val="top"/>
          </w:tcPr>
          <w:p>
            <w:pPr>
              <w:spacing w:after="40" w:before="0" w:line="259" w:lineRule="auto"/>
            </w:pPr>
            <w:r>
              <w:rPr>
                <w:rFonts w:ascii="Calibri" w:hAnsi="Calibri"/>
                <w:b w:val="0"/>
                <w:i w:val="0"/>
                <w:color w:val="212121"/>
                <w:sz w:val="19"/>
              </w:rPr>
              <w:t>Irregular sleepers, shift &amp; night workers</w:t>
            </w:r>
          </w:p>
        </w:tc>
        <w:tc>
          <w:tcPr>
            <w:tcW w:type="dxa" w:w="4276"/>
            <w:vAlign w:val="top"/>
          </w:tcPr>
          <w:p>
            <w:pPr>
              <w:spacing w:after="60" w:line="259" w:lineRule="auto"/>
            </w:pPr>
            <w:r>
              <w:rPr>
                <w:rFonts w:ascii="Calibri" w:hAnsi="Calibri"/>
                <w:b w:val="0"/>
                <w:i w:val="0"/>
                <w:color w:val="212121"/>
                <w:sz w:val="19"/>
              </w:rPr>
              <w:t>Both too little and too much sleep, and irregular sleep timing, can trigger migraine; the relationship is bidirectional, with insomnia both provoking attacks and resulting from them. Shift work and ‘sleeping late’ are recognised precipitants.</w:t>
            </w:r>
          </w:p>
          <w:p>
            <w:pPr>
              <w:spacing w:after="40" w:before="60" w:line="259" w:lineRule="auto"/>
            </w:pPr>
            <w:r>
              <w:rPr>
                <w:rFonts w:ascii="Calibri" w:hAnsi="Calibri"/>
                <w:b w:val="0"/>
                <w:i w:val="0"/>
                <w:color w:val="212121"/>
                <w:sz w:val="19"/>
              </w:rPr>
              <w:t>Sleep disturbance was reported as a trigger by 49.8% of migraineurs (sleeping late by 32.0%).</w:t>
            </w:r>
          </w:p>
          <w:p>
            <w:pPr>
              <w:spacing w:after="40" w:line="252" w:lineRule="auto"/>
            </w:pPr>
            <w:hyperlink r:id="rId14">
              <w:r>
                <w:rPr>
                  <w:rFonts w:ascii="Calibri" w:hAnsi="Calibri" w:cs="Calibri"/>
                  <w:sz w:val="18"/>
                  <w:color w:val="1155CC"/>
                  <w:u w:val="single"/>
                </w:rPr>
                <w:t xml:space="preserve">sagepub — Kelman, triggers of migraine</w:t>
              </w:r>
            </w:hyperlink>
          </w:p>
          <w:p>
            <w:pPr>
              <w:spacing w:before="60" w:after="40"/>
            </w:pPr>
            <w:r>
              <w:rPr>
                <w:rFonts w:ascii="Calibri" w:hAnsi="Calibri"/>
                <w:b w:val="0"/>
                <w:i w:val="0"/>
                <w:color w:val="5A5A5A"/>
                <w:sz w:val="18"/>
              </w:rPr>
              <w:t>#sleep  #insomnia  #shiftwork  #circadian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Stress / mental load</w:t>
            </w:r>
          </w:p>
        </w:tc>
        <w:tc>
          <w:tcPr>
            <w:tcW w:type="dxa" w:w="2160"/>
            <w:vAlign w:val="top"/>
          </w:tcPr>
          <w:p>
            <w:pPr>
              <w:spacing w:after="40" w:before="0" w:line="259" w:lineRule="auto"/>
            </w:pPr>
            <w:r>
              <w:rPr>
                <w:rFonts w:ascii="Calibri" w:hAnsi="Calibri"/>
                <w:b w:val="0"/>
                <w:i w:val="0"/>
                <w:color w:val="212121"/>
                <w:sz w:val="19"/>
              </w:rPr>
              <w:t>High-stress occupations &amp; caregivers</w:t>
            </w:r>
          </w:p>
        </w:tc>
        <w:tc>
          <w:tcPr>
            <w:tcW w:type="dxa" w:w="4276"/>
            <w:vAlign w:val="top"/>
          </w:tcPr>
          <w:p>
            <w:pPr>
              <w:spacing w:after="60" w:line="259" w:lineRule="auto"/>
            </w:pPr>
            <w:r>
              <w:rPr>
                <w:rFonts w:ascii="Calibri" w:hAnsi="Calibri"/>
                <w:b w:val="0"/>
                <w:i w:val="0"/>
                <w:color w:val="212121"/>
                <w:sz w:val="19"/>
              </w:rPr>
              <w:t>Psychological stress is the single most commonly reported migraine trigger, and relaxation after stress (the ‘let-down’ effect) can also precipitate attacks. Chronic stress contributes to attack frequency and chronification.</w:t>
            </w:r>
          </w:p>
          <w:p>
            <w:pPr>
              <w:spacing w:after="40" w:before="60" w:line="259" w:lineRule="auto"/>
            </w:pPr>
            <w:r>
              <w:rPr>
                <w:rFonts w:ascii="Calibri" w:hAnsi="Calibri"/>
                <w:b w:val="0"/>
                <w:i w:val="0"/>
                <w:color w:val="212121"/>
                <w:sz w:val="19"/>
              </w:rPr>
              <w:t>Stress was reported as a trigger by 79.7% of migraineurs — the most frequent of all triggers.</w:t>
            </w:r>
          </w:p>
          <w:p>
            <w:pPr>
              <w:spacing w:after="40" w:line="252" w:lineRule="auto"/>
            </w:pPr>
            <w:hyperlink r:id="rId14">
              <w:r>
                <w:rPr>
                  <w:rFonts w:ascii="Calibri" w:hAnsi="Calibri" w:cs="Calibri"/>
                  <w:sz w:val="18"/>
                  <w:color w:val="1155CC"/>
                  <w:u w:val="single"/>
                </w:rPr>
                <w:t xml:space="preserve">sagepub — Kelman, triggers of migraine</w:t>
              </w:r>
            </w:hyperlink>
          </w:p>
          <w:p>
            <w:pPr>
              <w:spacing w:before="60" w:after="40"/>
            </w:pPr>
            <w:r>
              <w:rPr>
                <w:rFonts w:ascii="Calibri" w:hAnsi="Calibri"/>
                <w:b w:val="0"/>
                <w:i w:val="0"/>
                <w:color w:val="5A5A5A"/>
                <w:sz w:val="18"/>
              </w:rPr>
              <w:t>#stress  #letdown  #mentalload  #burnout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Alcohol / red-wine users</w:t>
            </w:r>
          </w:p>
        </w:tc>
        <w:tc>
          <w:tcPr>
            <w:tcW w:type="dxa" w:w="4276"/>
            <w:vAlign w:val="top"/>
          </w:tcPr>
          <w:p>
            <w:pPr>
              <w:spacing w:after="60" w:line="259" w:lineRule="auto"/>
            </w:pPr>
            <w:r>
              <w:rPr>
                <w:rFonts w:ascii="Calibri" w:hAnsi="Calibri"/>
                <w:b w:val="0"/>
                <w:i w:val="0"/>
                <w:color w:val="212121"/>
                <w:sz w:val="19"/>
              </w:rPr>
              <w:t>Alcohol, and red wine in particular, is a well-recognised dietary trigger, provoking attacks through vasoactive compounds and dehydration in susceptible individuals.</w:t>
            </w:r>
          </w:p>
          <w:p>
            <w:pPr>
              <w:spacing w:after="40" w:before="60" w:line="259" w:lineRule="auto"/>
            </w:pPr>
            <w:r>
              <w:rPr>
                <w:rFonts w:ascii="Calibri" w:hAnsi="Calibri"/>
                <w:b w:val="0"/>
                <w:i w:val="0"/>
                <w:color w:val="212121"/>
                <w:sz w:val="19"/>
              </w:rPr>
              <w:t>Alcohol was reported as a trigger by 37.8% of migraineurs.</w:t>
            </w:r>
          </w:p>
          <w:p>
            <w:pPr>
              <w:spacing w:after="40" w:line="252" w:lineRule="auto"/>
            </w:pPr>
            <w:hyperlink r:id="rId14">
              <w:r>
                <w:rPr>
                  <w:rFonts w:ascii="Calibri" w:hAnsi="Calibri" w:cs="Calibri"/>
                  <w:sz w:val="18"/>
                  <w:color w:val="1155CC"/>
                  <w:u w:val="single"/>
                </w:rPr>
                <w:t xml:space="preserve">sagepub — Kelman, triggers of migraine</w:t>
              </w:r>
            </w:hyperlink>
          </w:p>
          <w:p>
            <w:pPr>
              <w:spacing w:before="60" w:after="40"/>
            </w:pPr>
            <w:r>
              <w:rPr>
                <w:rFonts w:ascii="Calibri" w:hAnsi="Calibri"/>
                <w:b w:val="0"/>
                <w:i w:val="0"/>
                <w:color w:val="5A5A5A"/>
                <w:sz w:val="18"/>
              </w:rPr>
              <w:t>#alcohol  #redwine  #dietarytrigger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 and those exposed to smoke</w:t>
            </w:r>
          </w:p>
        </w:tc>
        <w:tc>
          <w:tcPr>
            <w:tcW w:type="dxa" w:w="4276"/>
            <w:vAlign w:val="top"/>
          </w:tcPr>
          <w:p>
            <w:pPr>
              <w:spacing w:after="60" w:line="259" w:lineRule="auto"/>
            </w:pPr>
            <w:r>
              <w:rPr>
                <w:rFonts w:ascii="Calibri" w:hAnsi="Calibri"/>
                <w:b w:val="0"/>
                <w:i w:val="0"/>
                <w:color w:val="212121"/>
                <w:sz w:val="19"/>
              </w:rPr>
              <w:t>Exposure to tobacco smoke and strong odours is a recognised precipitant; smoking is also associated with more frequent headache and adds vascular risk, which is especially relevant in migraine with aura.</w:t>
            </w:r>
          </w:p>
          <w:p>
            <w:pPr>
              <w:spacing w:after="40" w:before="60" w:line="259" w:lineRule="auto"/>
            </w:pPr>
            <w:r>
              <w:rPr>
                <w:rFonts w:ascii="Calibri" w:hAnsi="Calibri"/>
                <w:b w:val="0"/>
                <w:i w:val="0"/>
                <w:color w:val="212121"/>
                <w:sz w:val="19"/>
              </w:rPr>
              <w:t>Exposure to smoke was reported as a trigger by 35.7% of migraineurs.</w:t>
            </w:r>
          </w:p>
          <w:p>
            <w:pPr>
              <w:spacing w:after="40" w:line="252" w:lineRule="auto"/>
            </w:pPr>
            <w:hyperlink r:id="rId14">
              <w:r>
                <w:rPr>
                  <w:rFonts w:ascii="Calibri" w:hAnsi="Calibri" w:cs="Calibri"/>
                  <w:sz w:val="18"/>
                  <w:color w:val="1155CC"/>
                  <w:u w:val="single"/>
                </w:rPr>
                <w:t xml:space="preserve">sagepub — Kelman, triggers of migraine</w:t>
              </w:r>
            </w:hyperlink>
          </w:p>
          <w:p>
            <w:pPr>
              <w:spacing w:before="60" w:after="40"/>
            </w:pPr>
            <w:r>
              <w:rPr>
                <w:rFonts w:ascii="Calibri" w:hAnsi="Calibri"/>
                <w:b w:val="0"/>
                <w:i w:val="0"/>
                <w:color w:val="5A5A5A"/>
                <w:sz w:val="18"/>
              </w:rPr>
              <w:t>#smoking  #smoke  #vascularrisk</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Meal pattern</w:t>
            </w:r>
          </w:p>
        </w:tc>
        <w:tc>
          <w:tcPr>
            <w:tcW w:type="dxa" w:w="2160"/>
            <w:vAlign w:val="top"/>
          </w:tcPr>
          <w:p>
            <w:pPr>
              <w:spacing w:after="40" w:before="0" w:line="259" w:lineRule="auto"/>
            </w:pPr>
            <w:r>
              <w:rPr>
                <w:rFonts w:ascii="Calibri" w:hAnsi="Calibri"/>
                <w:b w:val="0"/>
                <w:i w:val="0"/>
                <w:color w:val="212121"/>
                <w:sz w:val="19"/>
              </w:rPr>
              <w:t>Meal-skippers &amp; those who fast</w:t>
            </w:r>
          </w:p>
        </w:tc>
        <w:tc>
          <w:tcPr>
            <w:tcW w:type="dxa" w:w="4276"/>
            <w:vAlign w:val="top"/>
          </w:tcPr>
          <w:p>
            <w:pPr>
              <w:spacing w:after="60" w:line="259" w:lineRule="auto"/>
            </w:pPr>
            <w:r>
              <w:rPr>
                <w:rFonts w:ascii="Calibri" w:hAnsi="Calibri"/>
                <w:b w:val="0"/>
                <w:i w:val="0"/>
                <w:color w:val="212121"/>
                <w:sz w:val="19"/>
              </w:rPr>
              <w:t>Skipping meals and prolonged fasting lower blood glucose and are among the most common self-reported migraine triggers — highly relevant in India given fasting practices and irregular meals in students and shift workers.</w:t>
            </w:r>
          </w:p>
          <w:p>
            <w:pPr>
              <w:spacing w:after="40" w:before="60" w:line="259" w:lineRule="auto"/>
            </w:pPr>
            <w:r>
              <w:rPr>
                <w:rFonts w:ascii="Calibri" w:hAnsi="Calibri"/>
                <w:b w:val="0"/>
                <w:i w:val="0"/>
                <w:color w:val="212121"/>
                <w:sz w:val="19"/>
              </w:rPr>
              <w:t>Not eating / skipping meals was reported as a trigger by 57.3% of migraineurs.</w:t>
            </w:r>
          </w:p>
          <w:p>
            <w:pPr>
              <w:spacing w:after="40" w:line="252" w:lineRule="auto"/>
            </w:pPr>
            <w:hyperlink r:id="rId14">
              <w:r>
                <w:rPr>
                  <w:rFonts w:ascii="Calibri" w:hAnsi="Calibri" w:cs="Calibri"/>
                  <w:sz w:val="18"/>
                  <w:color w:val="1155CC"/>
                  <w:u w:val="single"/>
                </w:rPr>
                <w:t xml:space="preserve">sagepub — Kelman, triggers of migraine</w:t>
              </w:r>
            </w:hyperlink>
          </w:p>
          <w:p>
            <w:pPr>
              <w:spacing w:before="60" w:after="40"/>
            </w:pPr>
            <w:r>
              <w:rPr>
                <w:rFonts w:ascii="Calibri" w:hAnsi="Calibri"/>
                <w:b w:val="0"/>
                <w:i w:val="0"/>
                <w:color w:val="5A5A5A"/>
                <w:sz w:val="18"/>
              </w:rPr>
              <w:t>#skippedmeals  #fasting  #hypoglycaemia  #mealtiming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Caffeine</w:t>
            </w:r>
          </w:p>
        </w:tc>
        <w:tc>
          <w:tcPr>
            <w:tcW w:type="dxa" w:w="2160"/>
            <w:vAlign w:val="top"/>
          </w:tcPr>
          <w:p>
            <w:pPr>
              <w:spacing w:after="40" w:before="0" w:line="259" w:lineRule="auto"/>
            </w:pPr>
            <w:r>
              <w:rPr>
                <w:rFonts w:ascii="Calibri" w:hAnsi="Calibri"/>
                <w:b w:val="0"/>
                <w:i w:val="0"/>
                <w:color w:val="212121"/>
                <w:sz w:val="19"/>
              </w:rPr>
              <w:t>High caffeine consumers / withdrawal</w:t>
            </w:r>
          </w:p>
        </w:tc>
        <w:tc>
          <w:tcPr>
            <w:tcW w:type="dxa" w:w="4276"/>
            <w:vAlign w:val="top"/>
          </w:tcPr>
          <w:p>
            <w:pPr>
              <w:spacing w:after="60" w:line="259" w:lineRule="auto"/>
            </w:pPr>
            <w:r>
              <w:rPr>
                <w:rFonts w:ascii="Calibri" w:hAnsi="Calibri"/>
                <w:b w:val="0"/>
                <w:i w:val="0"/>
                <w:color w:val="212121"/>
                <w:sz w:val="19"/>
              </w:rPr>
              <w:t>Caffeine has a dual role: modest amounts can relieve attacks, but high intake and, especially, abrupt withdrawal trigger migraine, and habitual overuse promotes chronification.</w:t>
            </w:r>
          </w:p>
          <w:p>
            <w:pPr>
              <w:spacing w:after="40" w:before="60" w:line="259" w:lineRule="auto"/>
            </w:pPr>
            <w:r>
              <w:rPr>
                <w:rFonts w:ascii="Calibri" w:hAnsi="Calibri"/>
                <w:b w:val="0"/>
                <w:i w:val="0"/>
                <w:color w:val="212121"/>
                <w:sz w:val="19"/>
              </w:rPr>
              <w:t>Withdrawal after regular use (&gt;200 mg/day) can trigger headache within 24 hours, and ≥3 caffeinated servings/day are linked with higher odds of headache.</w:t>
            </w:r>
          </w:p>
          <w:p>
            <w:pPr>
              <w:spacing w:after="40" w:line="252" w:lineRule="auto"/>
            </w:pPr>
            <w:hyperlink r:id="rId15">
              <w:r>
                <w:rPr>
                  <w:rFonts w:ascii="Calibri" w:hAnsi="Calibri" w:cs="Calibri"/>
                  <w:sz w:val="18"/>
                  <w:color w:val="1155CC"/>
                  <w:u w:val="single"/>
                </w:rPr>
                <w:t xml:space="preserve">mdpi.com — caffeine in migraine</w:t>
              </w:r>
            </w:hyperlink>
          </w:p>
          <w:p>
            <w:pPr>
              <w:spacing w:before="60" w:after="40"/>
            </w:pPr>
            <w:r>
              <w:rPr>
                <w:rFonts w:ascii="Calibri" w:hAnsi="Calibri"/>
                <w:b w:val="0"/>
                <w:i w:val="0"/>
                <w:color w:val="5A5A5A"/>
                <w:sz w:val="18"/>
              </w:rPr>
              <w:t>#caffeine  #withdrawal  #chronification  #coffee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Hydration</w:t>
            </w:r>
          </w:p>
        </w:tc>
        <w:tc>
          <w:tcPr>
            <w:tcW w:type="dxa" w:w="2160"/>
            <w:vAlign w:val="top"/>
          </w:tcPr>
          <w:p>
            <w:pPr>
              <w:spacing w:after="40" w:before="0" w:line="259" w:lineRule="auto"/>
            </w:pPr>
            <w:r>
              <w:rPr>
                <w:rFonts w:ascii="Calibri" w:hAnsi="Calibri"/>
                <w:b w:val="0"/>
                <w:i w:val="0"/>
                <w:color w:val="212121"/>
                <w:sz w:val="19"/>
              </w:rPr>
              <w:t>Inadequately hydrated / heat-exposed</w:t>
            </w:r>
          </w:p>
        </w:tc>
        <w:tc>
          <w:tcPr>
            <w:tcW w:type="dxa" w:w="4276"/>
            <w:vAlign w:val="top"/>
          </w:tcPr>
          <w:p>
            <w:pPr>
              <w:spacing w:after="60" w:line="259" w:lineRule="auto"/>
            </w:pPr>
            <w:r>
              <w:rPr>
                <w:rFonts w:ascii="Calibri" w:hAnsi="Calibri"/>
                <w:b w:val="0"/>
                <w:i w:val="0"/>
                <w:color w:val="212121"/>
                <w:sz w:val="19"/>
              </w:rPr>
              <w:t>Dehydration is a commonly reported precipitant, particularly with heat, physical exertion and inadequate fluid intake — a frequent issue in hot Indian climates and among outdoor workers. Maintaining regular fluid intake is a simple preventive measure.</w:t>
            </w:r>
          </w:p>
          <w:p>
            <w:pPr>
              <w:spacing w:before="60" w:after="40"/>
            </w:pPr>
            <w:r>
              <w:rPr>
                <w:rFonts w:ascii="Calibri" w:hAnsi="Calibri"/>
                <w:b w:val="0"/>
                <w:i w:val="0"/>
                <w:color w:val="5A5A5A"/>
                <w:sz w:val="18"/>
              </w:rPr>
              <w:t>#dehydration  #hydration  #heat  #fluidintake</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migraine</w:t>
            </w:r>
          </w:p>
        </w:tc>
        <w:tc>
          <w:tcPr>
            <w:tcW w:type="dxa" w:w="4276"/>
            <w:vAlign w:val="top"/>
          </w:tcPr>
          <w:p>
            <w:pPr>
              <w:spacing w:after="60" w:line="259" w:lineRule="auto"/>
            </w:pPr>
            <w:r>
              <w:rPr>
                <w:rFonts w:ascii="Calibri" w:hAnsi="Calibri"/>
                <w:b w:val="0"/>
                <w:i w:val="0"/>
                <w:color w:val="212121"/>
                <w:sz w:val="19"/>
              </w:rPr>
              <w:t>Migraine clusters strongly in families through polygenic inheritance and a shared low threshold for cortical spreading depression; a positive family history is one of the strongest risk factors.</w:t>
            </w:r>
          </w:p>
          <w:p>
            <w:pPr>
              <w:spacing w:after="40" w:before="60" w:line="259" w:lineRule="auto"/>
            </w:pPr>
            <w:r>
              <w:rPr>
                <w:rFonts w:ascii="Calibri" w:hAnsi="Calibri"/>
                <w:b w:val="0"/>
                <w:i w:val="0"/>
                <w:color w:val="212121"/>
                <w:sz w:val="19"/>
              </w:rPr>
              <w:t>Lifetime risk is about 40% with one affected parent and up to ~75% when both parents have migraine.</w:t>
            </w:r>
          </w:p>
          <w:p>
            <w:pPr>
              <w:spacing w:after="40" w:line="252" w:lineRule="auto"/>
            </w:pPr>
            <w:hyperlink r:id="rId10">
              <w:r>
                <w:rPr>
                  <w:rFonts w:ascii="Calibri" w:hAnsi="Calibri" w:cs="Calibri"/>
                  <w:sz w:val="18"/>
                  <w:color w:val="1155CC"/>
                  <w:u w:val="single"/>
                </w:rPr>
                <w:t xml:space="preserve">ncbi.nlm.nih.gov — Migraine (StatPearls)</w:t>
              </w:r>
            </w:hyperlink>
          </w:p>
          <w:p>
            <w:pPr>
              <w:spacing w:before="60" w:after="40"/>
            </w:pPr>
            <w:r>
              <w:rPr>
                <w:rFonts w:ascii="Calibri" w:hAnsi="Calibri"/>
                <w:b w:val="0"/>
                <w:i w:val="0"/>
                <w:color w:val="5A5A5A"/>
                <w:sz w:val="18"/>
              </w:rPr>
              <w:t>#familyhistory  #heritable  #polygenic</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Depression &amp; anxiety</w:t>
            </w:r>
          </w:p>
        </w:tc>
        <w:tc>
          <w:tcPr>
            <w:tcW w:type="dxa" w:w="2160"/>
            <w:vAlign w:val="top"/>
          </w:tcPr>
          <w:p>
            <w:pPr>
              <w:spacing w:after="40" w:before="0" w:line="259" w:lineRule="auto"/>
            </w:pPr>
            <w:r>
              <w:rPr>
                <w:rFonts w:ascii="Calibri" w:hAnsi="Calibri"/>
                <w:b w:val="0"/>
                <w:i w:val="0"/>
                <w:color w:val="212121"/>
                <w:sz w:val="19"/>
              </w:rPr>
              <w:t>Migraineurs with mood/anxiety disorders</w:t>
            </w:r>
          </w:p>
        </w:tc>
        <w:tc>
          <w:tcPr>
            <w:tcW w:type="dxa" w:w="4276"/>
            <w:vAlign w:val="top"/>
          </w:tcPr>
          <w:p>
            <w:pPr>
              <w:spacing w:after="60" w:line="259" w:lineRule="auto"/>
            </w:pPr>
            <w:r>
              <w:rPr>
                <w:rFonts w:ascii="Calibri" w:hAnsi="Calibri"/>
                <w:b w:val="0"/>
                <w:i w:val="0"/>
                <w:color w:val="212121"/>
                <w:sz w:val="19"/>
              </w:rPr>
              <w:t>Migraine and depression/anxiety are bidirectionally linked through shared biology; each worsens the other, raises attack frequency and drives progression to chronic migraine.</w:t>
            </w:r>
          </w:p>
          <w:p>
            <w:pPr>
              <w:spacing w:after="40" w:before="60" w:line="259" w:lineRule="auto"/>
            </w:pPr>
            <w:r>
              <w:rPr>
                <w:rFonts w:ascii="Calibri" w:hAnsi="Calibri"/>
                <w:b w:val="0"/>
                <w:i w:val="0"/>
                <w:color w:val="212121"/>
                <w:sz w:val="19"/>
              </w:rPr>
              <w:t>People with migraine are about 5× more likely to develop depression; anxiety affects roughly 20% in episodic and 30–50% in chronic migraine.</w:t>
            </w:r>
          </w:p>
          <w:p>
            <w:pPr>
              <w:spacing w:after="40" w:line="252" w:lineRule="auto"/>
            </w:pPr>
            <w:hyperlink r:id="rId16">
              <w:r>
                <w:rPr>
                  <w:rFonts w:ascii="Calibri" w:hAnsi="Calibri" w:cs="Calibri"/>
                  <w:sz w:val="18"/>
                  <w:color w:val="1155CC"/>
                  <w:u w:val="single"/>
                </w:rPr>
                <w:t xml:space="preserve">americanmigrainefoundation.org — migraine, depression &amp; anxiety</w:t>
              </w:r>
            </w:hyperlink>
          </w:p>
          <w:p>
            <w:pPr>
              <w:spacing w:before="60" w:after="40"/>
            </w:pPr>
            <w:r>
              <w:rPr>
                <w:rFonts w:ascii="Calibri" w:hAnsi="Calibri"/>
                <w:b w:val="0"/>
                <w:i w:val="0"/>
                <w:color w:val="5A5A5A"/>
                <w:sz w:val="18"/>
              </w:rPr>
              <w:t>#depression  #anxiety  #bidirectional  #chronicmigraine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Obesity</w:t>
            </w:r>
          </w:p>
        </w:tc>
        <w:tc>
          <w:tcPr>
            <w:tcW w:type="dxa" w:w="2160"/>
            <w:vAlign w:val="top"/>
          </w:tcPr>
          <w:p>
            <w:pPr>
              <w:spacing w:after="40" w:before="0" w:line="259" w:lineRule="auto"/>
            </w:pPr>
            <w:r>
              <w:rPr>
                <w:rFonts w:ascii="Calibri" w:hAnsi="Calibri"/>
                <w:b w:val="0"/>
                <w:i w:val="0"/>
                <w:color w:val="212121"/>
                <w:sz w:val="19"/>
              </w:rPr>
              <w:t>Overweight &amp; obese adults</w:t>
            </w:r>
          </w:p>
        </w:tc>
        <w:tc>
          <w:tcPr>
            <w:tcW w:type="dxa" w:w="4276"/>
            <w:vAlign w:val="top"/>
          </w:tcPr>
          <w:p>
            <w:pPr>
              <w:spacing w:after="60" w:line="259" w:lineRule="auto"/>
            </w:pPr>
            <w:r>
              <w:rPr>
                <w:rFonts w:ascii="Calibri" w:hAnsi="Calibri"/>
                <w:b w:val="0"/>
                <w:i w:val="0"/>
                <w:color w:val="212121"/>
                <w:sz w:val="19"/>
              </w:rPr>
              <w:t>Obesity does not cause migraine but is a modifiable risk factor for progression from episodic to chronic migraine, acting through adipose-derived inflammatory mediators.</w:t>
            </w:r>
          </w:p>
          <w:p>
            <w:pPr>
              <w:spacing w:after="40" w:before="60" w:line="259" w:lineRule="auto"/>
            </w:pPr>
            <w:r>
              <w:rPr>
                <w:rFonts w:ascii="Calibri" w:hAnsi="Calibri"/>
                <w:b w:val="0"/>
                <w:i w:val="0"/>
                <w:color w:val="212121"/>
                <w:sz w:val="19"/>
              </w:rPr>
              <w:t>Annual risk of developing chronic headache is ~3% at healthy weight, ~3× higher in overweight (~9%) and ~5× higher in obese individuals (~15%).</w:t>
            </w:r>
          </w:p>
          <w:p>
            <w:pPr>
              <w:spacing w:after="40" w:line="252" w:lineRule="auto"/>
            </w:pPr>
            <w:hyperlink r:id="rId17">
              <w:r>
                <w:rPr>
                  <w:rFonts w:ascii="Calibri" w:hAnsi="Calibri" w:cs="Calibri"/>
                  <w:sz w:val="18"/>
                  <w:color w:val="1155CC"/>
                  <w:u w:val="single"/>
                </w:rPr>
                <w:t xml:space="preserve">americanmigrainefoundation.org — migraine &amp; obesity</w:t>
              </w:r>
            </w:hyperlink>
          </w:p>
          <w:p>
            <w:pPr>
              <w:spacing w:before="60" w:after="40"/>
            </w:pPr>
            <w:r>
              <w:rPr>
                <w:rFonts w:ascii="Calibri" w:hAnsi="Calibri"/>
                <w:b w:val="0"/>
                <w:i w:val="0"/>
                <w:color w:val="5A5A5A"/>
                <w:sz w:val="18"/>
              </w:rPr>
              <w:t>#obesity  #chronification  #inflammation  #BMI</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Hormonal / menstrual</w:t>
            </w:r>
          </w:p>
        </w:tc>
        <w:tc>
          <w:tcPr>
            <w:tcW w:type="dxa" w:w="2160"/>
            <w:vAlign w:val="top"/>
          </w:tcPr>
          <w:p>
            <w:pPr>
              <w:spacing w:after="40" w:before="0" w:line="259" w:lineRule="auto"/>
            </w:pPr>
            <w:r>
              <w:rPr>
                <w:rFonts w:ascii="Calibri" w:hAnsi="Calibri"/>
                <w:b w:val="0"/>
                <w:i w:val="0"/>
                <w:color w:val="212121"/>
                <w:sz w:val="19"/>
              </w:rPr>
              <w:t>Women with menstrually related migraine</w:t>
            </w:r>
          </w:p>
        </w:tc>
        <w:tc>
          <w:tcPr>
            <w:tcW w:type="dxa" w:w="4276"/>
            <w:vAlign w:val="top"/>
          </w:tcPr>
          <w:p>
            <w:pPr>
              <w:spacing w:after="60" w:line="259" w:lineRule="auto"/>
            </w:pPr>
            <w:r>
              <w:rPr>
                <w:rFonts w:ascii="Calibri" w:hAnsi="Calibri"/>
                <w:b w:val="0"/>
                <w:i w:val="0"/>
                <w:color w:val="212121"/>
                <w:sz w:val="19"/>
              </w:rPr>
              <w:t>A drop in oestrogen just before menstruation triggers perimenstrual attacks, which tend to be longer, more severe and more treatment-resistant than attacks at other times of the cycle.</w:t>
            </w:r>
          </w:p>
          <w:p>
            <w:pPr>
              <w:spacing w:after="40" w:before="60" w:line="259" w:lineRule="auto"/>
            </w:pPr>
            <w:r>
              <w:rPr>
                <w:rFonts w:ascii="Calibri" w:hAnsi="Calibri"/>
                <w:b w:val="0"/>
                <w:i w:val="0"/>
                <w:color w:val="212121"/>
                <w:sz w:val="19"/>
              </w:rPr>
              <w:t>Menstrual migraine affects about 6% of reproductive-age women, and perimenstrual attacks can last up to ~35% longer than non-menstrual attacks.</w:t>
            </w:r>
          </w:p>
          <w:p>
            <w:pPr>
              <w:spacing w:after="40" w:line="252" w:lineRule="auto"/>
            </w:pPr>
            <w:hyperlink r:id="rId18">
              <w:r>
                <w:rPr>
                  <w:rFonts w:ascii="Calibri" w:hAnsi="Calibri" w:cs="Calibri"/>
                  <w:sz w:val="18"/>
                  <w:color w:val="1155CC"/>
                  <w:u w:val="single"/>
                </w:rPr>
                <w:t xml:space="preserve">link.springer.com — menstrual migraine</w:t>
              </w:r>
            </w:hyperlink>
          </w:p>
          <w:p>
            <w:pPr>
              <w:spacing w:before="60" w:after="40"/>
            </w:pPr>
            <w:r>
              <w:rPr>
                <w:rFonts w:ascii="Calibri" w:hAnsi="Calibri"/>
                <w:b w:val="0"/>
                <w:i w:val="0"/>
                <w:color w:val="5A5A5A"/>
                <w:sz w:val="18"/>
              </w:rPr>
              <w:t>#menstrualmigraine  #estrogenwithdrawal  #hormonal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Medication-overuse headache</w:t>
            </w:r>
          </w:p>
        </w:tc>
        <w:tc>
          <w:tcPr>
            <w:tcW w:type="dxa" w:w="2160"/>
            <w:vAlign w:val="top"/>
          </w:tcPr>
          <w:p>
            <w:pPr>
              <w:spacing w:after="40" w:before="0" w:line="259" w:lineRule="auto"/>
            </w:pPr>
            <w:r>
              <w:rPr>
                <w:rFonts w:ascii="Calibri" w:hAnsi="Calibri"/>
                <w:b w:val="0"/>
                <w:i w:val="0"/>
                <w:color w:val="212121"/>
                <w:sz w:val="19"/>
              </w:rPr>
              <w:t>Frequent acute-analgesic / triptan users</w:t>
            </w:r>
          </w:p>
        </w:tc>
        <w:tc>
          <w:tcPr>
            <w:tcW w:type="dxa" w:w="4276"/>
            <w:vAlign w:val="top"/>
          </w:tcPr>
          <w:p>
            <w:pPr>
              <w:spacing w:after="60" w:line="259" w:lineRule="auto"/>
            </w:pPr>
            <w:r>
              <w:rPr>
                <w:rFonts w:ascii="Calibri" w:hAnsi="Calibri"/>
                <w:b w:val="0"/>
                <w:i w:val="0"/>
                <w:color w:val="212121"/>
                <w:sz w:val="19"/>
              </w:rPr>
              <w:t>Regular overuse of acute painkillers or triptans paradoxically increases headache frequency, converting episodic migraine into chronic daily headache (medication-overuse headache).</w:t>
            </w:r>
          </w:p>
          <w:p>
            <w:pPr>
              <w:spacing w:after="40" w:before="60" w:line="259" w:lineRule="auto"/>
            </w:pPr>
            <w:r>
              <w:rPr>
                <w:rFonts w:ascii="Calibri" w:hAnsi="Calibri"/>
                <w:b w:val="0"/>
                <w:i w:val="0"/>
                <w:color w:val="212121"/>
                <w:sz w:val="19"/>
              </w:rPr>
              <w:t>Probable medication-overuse headache affects ~1.2–3.0% of adults in Indian community studies and is up to ~5× more common in women.</w:t>
            </w:r>
          </w:p>
          <w:p>
            <w:pPr>
              <w:spacing w:after="40" w:line="252" w:lineRule="auto"/>
            </w:pPr>
            <w:hyperlink r:id="rId12">
              <w:r>
                <w:rPr>
                  <w:rFonts w:ascii="Calibri" w:hAnsi="Calibri" w:cs="Calibri"/>
                  <w:sz w:val="18"/>
                  <w:color w:val="1155CC"/>
                  <w:u w:val="single"/>
                </w:rPr>
                <w:t xml:space="preserve">pubmed 38943062 — Delhi–NCR headache study</w:t>
              </w:r>
            </w:hyperlink>
          </w:p>
          <w:p>
            <w:pPr>
              <w:spacing w:before="60" w:after="40"/>
            </w:pPr>
            <w:r>
              <w:rPr>
                <w:rFonts w:ascii="Calibri" w:hAnsi="Calibri"/>
                <w:b w:val="0"/>
                <w:i w:val="0"/>
                <w:color w:val="5A5A5A"/>
                <w:sz w:val="18"/>
              </w:rPr>
              <w:t>#MOH  #overuse  #analgesics  #triptans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Regular moderate aerobic exercise reduces migraine frequency and is recommended as prophylaxis, whereas sudden strenuous exertion can precipitate an attack in some patients (a trigger in ~22%). Sedentary, screen-bound lifestyles indirectly raise risk via poor posture, stress and sleep disruption.</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Skipping meals and fasting are among the commonest triggers (~57%), and specific dietary items (aged cheese, chocolate, MSG, processed and fermented foods, red wine) precipitate attacks in susceptible individuals; regular, balanced meals are protective.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Both insufficient and excessive sleep and irregular sleep timing trigger migraine; sleep disturbance is a trigger in ~50% of patients and the relationship with insomnia is bidirectional.</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Smoke exposure is reported as a trigger by ~36%; the direct causal association is modest, but smoking adds vascular risk that is important in migraine with aura.</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especially red wine, is a recognised trigger in ~38% of migraineurs, acting through vasoactive congeners and dehydration.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Stress is the single most frequent trigger (~80%), including post-stress ‘let-down’; depression and anxiety are bidirectionally comorbid and drive chronification.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Dehydration is a commonly reported precipitant, particularly with heat and exertion; maintaining adequate hydration is a simple preventive measure, though high-quality trial evidence is limited.</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Caffeine has a dual role — small doses can abort attacks and augment analgesics, but high intake and abrupt withdrawal trigger migraine and habitual overuse promotes chronification.</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causal link with migraine; general sleep and dental hygiene and avoidance of strong environmental odours support overall attack control.</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Sensory and environmental stimuli are potent triggers: weather change ~53%, strong odours/perfume ~44%, and bright or flickering light ~38%; avoidance and trigger diaries are central to management.</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Sustained forward-head and neck strain (prolonged screen/desk work) contributes to associated neck pain, a trigger reported by ~38%, and can perpetuate frequent headache.</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 students, shift workers</w:t>
            </w:r>
          </w:p>
        </w:tc>
        <w:tc>
          <w:tcPr>
            <w:tcW w:type="dxa" w:w="1512"/>
            <w:vAlign w:val="top"/>
          </w:tcPr>
          <w:p>
            <w:pPr>
              <w:spacing w:after="40" w:before="0" w:line="259" w:lineRule="auto"/>
            </w:pPr>
            <w:r>
              <w:rPr>
                <w:rFonts w:ascii="Calibri" w:hAnsi="Calibri"/>
                <w:b w:val="0"/>
                <w:i w:val="0"/>
                <w:color w:val="212121"/>
                <w:sz w:val="19"/>
              </w:rPr>
              <w:t>7–9 hours/night, consistent timing</w:t>
            </w:r>
          </w:p>
        </w:tc>
        <w:tc>
          <w:tcPr>
            <w:tcW w:type="dxa" w:w="1512"/>
            <w:vAlign w:val="top"/>
          </w:tcPr>
          <w:p>
            <w:pPr>
              <w:spacing w:after="40" w:before="0" w:line="259" w:lineRule="auto"/>
            </w:pPr>
            <w:r>
              <w:rPr>
                <w:rFonts w:ascii="Calibri" w:hAnsi="Calibri"/>
                <w:b w:val="0"/>
                <w:i w:val="0"/>
                <w:color w:val="212121"/>
                <w:sz w:val="19"/>
              </w:rPr>
              <w:t>&lt; 6 h or &gt; 9 h, or irregular timing</w:t>
            </w:r>
          </w:p>
        </w:tc>
        <w:tc>
          <w:tcPr>
            <w:tcW w:type="dxa" w:w="1468"/>
            <w:vAlign w:val="top"/>
          </w:tcPr>
          <w:p>
            <w:pPr>
              <w:spacing w:after="60" w:line="259" w:lineRule="auto"/>
            </w:pPr>
            <w:r>
              <w:rPr>
                <w:rFonts w:ascii="Calibri" w:hAnsi="Calibri"/>
                <w:b w:val="0"/>
                <w:i w:val="0"/>
                <w:color w:val="212121"/>
                <w:sz w:val="19"/>
              </w:rPr>
              <w:t>Both short and long sleep and irregular schedules provoke attacks</w:t>
            </w:r>
          </w:p>
          <w:p>
            <w:pPr>
              <w:spacing w:after="40" w:line="252" w:lineRule="auto"/>
            </w:pPr>
            <w:hyperlink r:id="rId10">
              <w:r>
                <w:rPr>
                  <w:rFonts w:ascii="Calibri" w:hAnsi="Calibri" w:cs="Calibri"/>
                  <w:sz w:val="18"/>
                  <w:color w:val="1155CC"/>
                  <w:u w:val="single"/>
                </w:rPr>
                <w:t xml:space="preserve">https://www.ncbi.nlm.nih.gov/books/NBK560787/</w:t>
              </w:r>
            </w:hyperlink>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Headache frequency (days/month)</w:t>
            </w:r>
          </w:p>
        </w:tc>
        <w:tc>
          <w:tcPr>
            <w:tcW w:type="dxa" w:w="1655"/>
            <w:vAlign w:val="top"/>
          </w:tcPr>
          <w:p>
            <w:pPr>
              <w:spacing w:after="40" w:before="0" w:line="259" w:lineRule="auto"/>
            </w:pPr>
            <w:r>
              <w:rPr>
                <w:rFonts w:ascii="Calibri" w:hAnsi="Calibri"/>
                <w:b w:val="0"/>
                <w:i w:val="0"/>
                <w:color w:val="212121"/>
                <w:sz w:val="19"/>
              </w:rPr>
              <w:t>All migraineurs</w:t>
            </w:r>
          </w:p>
        </w:tc>
        <w:tc>
          <w:tcPr>
            <w:tcW w:type="dxa" w:w="1512"/>
            <w:vAlign w:val="top"/>
          </w:tcPr>
          <w:p>
            <w:pPr>
              <w:spacing w:after="40" w:before="0" w:line="259" w:lineRule="auto"/>
            </w:pPr>
            <w:r>
              <w:rPr>
                <w:rFonts w:ascii="Calibri" w:hAnsi="Calibri"/>
                <w:b w:val="0"/>
                <w:i w:val="0"/>
                <w:color w:val="212121"/>
                <w:sz w:val="19"/>
              </w:rPr>
              <w:t>&lt; 4 headache days/month</w:t>
            </w:r>
          </w:p>
        </w:tc>
        <w:tc>
          <w:tcPr>
            <w:tcW w:type="dxa" w:w="1512"/>
            <w:vAlign w:val="top"/>
          </w:tcPr>
          <w:p>
            <w:pPr>
              <w:spacing w:after="40" w:before="0" w:line="259" w:lineRule="auto"/>
            </w:pPr>
            <w:r>
              <w:rPr>
                <w:rFonts w:ascii="Calibri" w:hAnsi="Calibri"/>
                <w:b w:val="0"/>
                <w:i w:val="0"/>
                <w:color w:val="212121"/>
                <w:sz w:val="19"/>
              </w:rPr>
              <w:t>≥ 15 days/month = chronic migraine (≥8 migraine days)</w:t>
            </w:r>
          </w:p>
        </w:tc>
        <w:tc>
          <w:tcPr>
            <w:tcW w:type="dxa" w:w="1468"/>
            <w:vAlign w:val="top"/>
          </w:tcPr>
          <w:p>
            <w:pPr>
              <w:spacing w:after="60" w:line="259" w:lineRule="auto"/>
            </w:pPr>
            <w:r>
              <w:rPr>
                <w:rFonts w:ascii="Calibri" w:hAnsi="Calibri"/>
                <w:b w:val="0"/>
                <w:i w:val="0"/>
                <w:color w:val="212121"/>
                <w:sz w:val="19"/>
              </w:rPr>
              <w:t>Rising frequency signals chronification; track with a headache diary</w:t>
            </w:r>
          </w:p>
          <w:p>
            <w:pPr>
              <w:spacing w:after="40" w:line="252" w:lineRule="auto"/>
            </w:pPr>
            <w:hyperlink r:id="rId19">
              <w:r>
                <w:rPr>
                  <w:rFonts w:ascii="Calibri" w:hAnsi="Calibri" w:cs="Calibri"/>
                  <w:sz w:val="18"/>
                  <w:color w:val="1155CC"/>
                  <w:u w:val="single"/>
                </w:rPr>
                <w:t xml:space="preserve">https://ichd-3.org/1-migraine/1-3-chronic-migraine/</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 aerobic activity (min/week)</w:t>
            </w:r>
          </w:p>
        </w:tc>
        <w:tc>
          <w:tcPr>
            <w:tcW w:type="dxa" w:w="1655"/>
            <w:vAlign w:val="top"/>
          </w:tcPr>
          <w:p>
            <w:pPr>
              <w:spacing w:after="40" w:before="0" w:line="259" w:lineRule="auto"/>
            </w:pPr>
            <w:r>
              <w:rPr>
                <w:rFonts w:ascii="Calibri" w:hAnsi="Calibri"/>
                <w:b w:val="0"/>
                <w:i w:val="0"/>
                <w:color w:val="212121"/>
                <w:sz w:val="19"/>
              </w:rPr>
              <w:t>Adults, overweight</w:t>
            </w:r>
          </w:p>
        </w:tc>
        <w:tc>
          <w:tcPr>
            <w:tcW w:type="dxa" w:w="1512"/>
            <w:vAlign w:val="top"/>
          </w:tcPr>
          <w:p>
            <w:pPr>
              <w:spacing w:after="40" w:before="0" w:line="259" w:lineRule="auto"/>
            </w:pPr>
            <w:r>
              <w:rPr>
                <w:rFonts w:ascii="Calibri" w:hAnsi="Calibri"/>
                <w:b w:val="0"/>
                <w:i w:val="0"/>
                <w:color w:val="212121"/>
                <w:sz w:val="19"/>
              </w:rPr>
              <w:t>≥ 150 min/week regular moderate activity</w:t>
            </w:r>
          </w:p>
        </w:tc>
        <w:tc>
          <w:tcPr>
            <w:tcW w:type="dxa" w:w="1512"/>
            <w:vAlign w:val="top"/>
          </w:tcPr>
          <w:p>
            <w:pPr>
              <w:spacing w:after="40" w:before="0" w:line="259" w:lineRule="auto"/>
            </w:pPr>
            <w:r>
              <w:rPr>
                <w:rFonts w:ascii="Calibri" w:hAnsi="Calibri"/>
                <w:b w:val="0"/>
                <w:i w:val="0"/>
                <w:color w:val="212121"/>
                <w:sz w:val="19"/>
              </w:rPr>
              <w:t>Sedentary, or sudden strenuous exertion when unaccustomed</w:t>
            </w:r>
          </w:p>
        </w:tc>
        <w:tc>
          <w:tcPr>
            <w:tcW w:type="dxa" w:w="1468"/>
            <w:vAlign w:val="top"/>
          </w:tcPr>
          <w:p>
            <w:pPr>
              <w:spacing w:after="60" w:line="259" w:lineRule="auto"/>
            </w:pPr>
            <w:r>
              <w:rPr>
                <w:rFonts w:ascii="Calibri" w:hAnsi="Calibri"/>
                <w:b w:val="0"/>
                <w:i w:val="0"/>
                <w:color w:val="212121"/>
                <w:sz w:val="19"/>
              </w:rPr>
              <w:t>Regular aerobic exercise lowers attack frequency; abrupt exertion can trigger</w:t>
            </w:r>
          </w:p>
          <w:p>
            <w:pPr>
              <w:spacing w:after="40" w:line="252" w:lineRule="auto"/>
            </w:pPr>
            <w:hyperlink r:id="rId20">
              <w:r>
                <w:rPr>
                  <w:rFonts w:ascii="Calibri" w:hAnsi="Calibri" w:cs="Calibri"/>
                  <w:sz w:val="18"/>
                  <w:color w:val="1155CC"/>
                  <w:u w:val="single"/>
                </w:rPr>
                <w:t xml:space="preserve">https://www.merckmanuals.com/professional/neurologic-disorders/headache/migraine</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Longest daytime fasting interval</w:t>
            </w:r>
          </w:p>
        </w:tc>
        <w:tc>
          <w:tcPr>
            <w:tcW w:type="dxa" w:w="1655"/>
            <w:vAlign w:val="top"/>
          </w:tcPr>
          <w:p>
            <w:pPr>
              <w:spacing w:after="40" w:before="0" w:line="259" w:lineRule="auto"/>
            </w:pPr>
            <w:r>
              <w:rPr>
                <w:rFonts w:ascii="Calibri" w:hAnsi="Calibri"/>
                <w:b w:val="0"/>
                <w:i w:val="0"/>
                <w:color w:val="212121"/>
                <w:sz w:val="19"/>
              </w:rPr>
              <w:t>Students, fasting/skip-meal groups</w:t>
            </w:r>
          </w:p>
        </w:tc>
        <w:tc>
          <w:tcPr>
            <w:tcW w:type="dxa" w:w="1512"/>
            <w:vAlign w:val="top"/>
          </w:tcPr>
          <w:p>
            <w:pPr>
              <w:spacing w:after="40" w:before="0" w:line="259" w:lineRule="auto"/>
            </w:pPr>
            <w:r>
              <w:rPr>
                <w:rFonts w:ascii="Calibri" w:hAnsi="Calibri"/>
                <w:b w:val="0"/>
                <w:i w:val="0"/>
                <w:color w:val="212121"/>
                <w:sz w:val="19"/>
              </w:rPr>
              <w:t>Regular meals, no prolonged fasting</w:t>
            </w:r>
          </w:p>
        </w:tc>
        <w:tc>
          <w:tcPr>
            <w:tcW w:type="dxa" w:w="1512"/>
            <w:vAlign w:val="top"/>
          </w:tcPr>
          <w:p>
            <w:pPr>
              <w:spacing w:after="40" w:before="0" w:line="259" w:lineRule="auto"/>
            </w:pPr>
            <w:r>
              <w:rPr>
                <w:rFonts w:ascii="Calibri" w:hAnsi="Calibri"/>
                <w:b w:val="0"/>
                <w:i w:val="0"/>
                <w:color w:val="212121"/>
                <w:sz w:val="19"/>
              </w:rPr>
              <w:t>Skipping meals / prolonged fasting</w:t>
            </w:r>
          </w:p>
        </w:tc>
        <w:tc>
          <w:tcPr>
            <w:tcW w:type="dxa" w:w="1468"/>
            <w:vAlign w:val="top"/>
          </w:tcPr>
          <w:p>
            <w:pPr>
              <w:spacing w:after="60" w:line="259" w:lineRule="auto"/>
            </w:pPr>
            <w:r>
              <w:rPr>
                <w:rFonts w:ascii="Calibri" w:hAnsi="Calibri"/>
                <w:b w:val="0"/>
                <w:i w:val="0"/>
                <w:color w:val="212121"/>
                <w:sz w:val="19"/>
              </w:rPr>
              <w:t>Meal-skipping is a trigger in ~57% of migraineurs</w:t>
            </w:r>
          </w:p>
          <w:p>
            <w:pPr>
              <w:spacing w:after="40" w:line="252" w:lineRule="auto"/>
            </w:pPr>
            <w:hyperlink r:id="rId14">
              <w:r>
                <w:rPr>
                  <w:rFonts w:ascii="Calibri" w:hAnsi="Calibri" w:cs="Calibri"/>
                  <w:sz w:val="18"/>
                  <w:color w:val="1155CC"/>
                  <w:u w:val="single"/>
                </w:rPr>
                <w:t xml:space="preserve">https://journals.sagepub.com/doi/10.1111/j.1468-2982.2007.01303.x</w:t>
              </w:r>
            </w:hyperlink>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intake (mg/day)</w:t>
            </w:r>
          </w:p>
        </w:tc>
        <w:tc>
          <w:tcPr>
            <w:tcW w:type="dxa" w:w="1655"/>
            <w:vAlign w:val="top"/>
          </w:tcPr>
          <w:p>
            <w:pPr>
              <w:spacing w:after="40" w:before="0" w:line="259" w:lineRule="auto"/>
            </w:pPr>
            <w:r>
              <w:rPr>
                <w:rFonts w:ascii="Calibri" w:hAnsi="Calibri"/>
                <w:b w:val="0"/>
                <w:i w:val="0"/>
                <w:color w:val="212121"/>
                <w:sz w:val="19"/>
              </w:rPr>
              <w:t>Coffee/tea/energy-drink users</w:t>
            </w:r>
          </w:p>
        </w:tc>
        <w:tc>
          <w:tcPr>
            <w:tcW w:type="dxa" w:w="1512"/>
            <w:vAlign w:val="top"/>
          </w:tcPr>
          <w:p>
            <w:pPr>
              <w:spacing w:after="40" w:before="0" w:line="259" w:lineRule="auto"/>
            </w:pPr>
            <w:r>
              <w:rPr>
                <w:rFonts w:ascii="Calibri" w:hAnsi="Calibri"/>
                <w:b w:val="0"/>
                <w:i w:val="0"/>
                <w:color w:val="212121"/>
                <w:sz w:val="19"/>
              </w:rPr>
              <w:t>≤ 200 mg/day, stable daily intake</w:t>
            </w:r>
          </w:p>
        </w:tc>
        <w:tc>
          <w:tcPr>
            <w:tcW w:type="dxa" w:w="1512"/>
            <w:vAlign w:val="top"/>
          </w:tcPr>
          <w:p>
            <w:pPr>
              <w:spacing w:after="40" w:before="0" w:line="259" w:lineRule="auto"/>
            </w:pPr>
            <w:r>
              <w:rPr>
                <w:rFonts w:ascii="Calibri" w:hAnsi="Calibri"/>
                <w:b w:val="0"/>
                <w:i w:val="0"/>
                <w:color w:val="212121"/>
                <w:sz w:val="19"/>
              </w:rPr>
              <w:t>&gt; 200 mg/day or ≥ 3 servings/day; abrupt withdrawal</w:t>
            </w:r>
          </w:p>
        </w:tc>
        <w:tc>
          <w:tcPr>
            <w:tcW w:type="dxa" w:w="1468"/>
            <w:vAlign w:val="top"/>
          </w:tcPr>
          <w:p>
            <w:pPr>
              <w:spacing w:after="60" w:line="259" w:lineRule="auto"/>
            </w:pPr>
            <w:r>
              <w:rPr>
                <w:rFonts w:ascii="Calibri" w:hAnsi="Calibri"/>
                <w:b w:val="0"/>
                <w:i w:val="0"/>
                <w:color w:val="212121"/>
                <w:sz w:val="19"/>
              </w:rPr>
              <w:t>Overuse and withdrawal both trigger; keep intake modest and consistent</w:t>
            </w:r>
          </w:p>
          <w:p>
            <w:pPr>
              <w:spacing w:after="40" w:line="252" w:lineRule="auto"/>
            </w:pPr>
            <w:hyperlink r:id="rId15">
              <w:r>
                <w:rPr>
                  <w:rFonts w:ascii="Calibri" w:hAnsi="Calibri" w:cs="Calibri"/>
                  <w:sz w:val="18"/>
                  <w:color w:val="1155CC"/>
                  <w:u w:val="single"/>
                </w:rPr>
                <w:t xml:space="preserve">https://www.mdpi.com/2072-6643/12/8/2259</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 red wine</w:t>
            </w:r>
          </w:p>
        </w:tc>
        <w:tc>
          <w:tcPr>
            <w:tcW w:type="dxa" w:w="1655"/>
            <w:vAlign w:val="top"/>
          </w:tcPr>
          <w:p>
            <w:pPr>
              <w:spacing w:after="40" w:before="0" w:line="259" w:lineRule="auto"/>
            </w:pPr>
            <w:r>
              <w:rPr>
                <w:rFonts w:ascii="Calibri" w:hAnsi="Calibri"/>
                <w:b w:val="0"/>
                <w:i w:val="0"/>
                <w:color w:val="212121"/>
                <w:sz w:val="19"/>
              </w:rPr>
              <w:t>Adults who drink</w:t>
            </w:r>
          </w:p>
        </w:tc>
        <w:tc>
          <w:tcPr>
            <w:tcW w:type="dxa" w:w="1512"/>
            <w:vAlign w:val="top"/>
          </w:tcPr>
          <w:p>
            <w:pPr>
              <w:spacing w:after="40" w:before="0" w:line="259" w:lineRule="auto"/>
            </w:pPr>
            <w:r>
              <w:rPr>
                <w:rFonts w:ascii="Calibri" w:hAnsi="Calibri"/>
                <w:b w:val="0"/>
                <w:i w:val="0"/>
                <w:color w:val="212121"/>
                <w:sz w:val="19"/>
              </w:rPr>
              <w:t>Avoid known triggers; minimal intake</w:t>
            </w:r>
          </w:p>
        </w:tc>
        <w:tc>
          <w:tcPr>
            <w:tcW w:type="dxa" w:w="1512"/>
            <w:vAlign w:val="top"/>
          </w:tcPr>
          <w:p>
            <w:pPr>
              <w:spacing w:after="40" w:before="0" w:line="259" w:lineRule="auto"/>
            </w:pPr>
            <w:r>
              <w:rPr>
                <w:rFonts w:ascii="Calibri" w:hAnsi="Calibri"/>
                <w:b w:val="0"/>
                <w:i w:val="0"/>
                <w:color w:val="212121"/>
                <w:sz w:val="19"/>
              </w:rPr>
              <w:t>Red wine or binge drinking</w:t>
            </w:r>
          </w:p>
        </w:tc>
        <w:tc>
          <w:tcPr>
            <w:tcW w:type="dxa" w:w="1468"/>
            <w:vAlign w:val="top"/>
          </w:tcPr>
          <w:p>
            <w:pPr>
              <w:spacing w:after="60" w:line="259" w:lineRule="auto"/>
            </w:pPr>
            <w:r>
              <w:rPr>
                <w:rFonts w:ascii="Calibri" w:hAnsi="Calibri"/>
                <w:b w:val="0"/>
                <w:i w:val="0"/>
                <w:color w:val="212121"/>
                <w:sz w:val="19"/>
              </w:rPr>
              <w:t>Alcohol triggers attacks in ~38%</w:t>
            </w:r>
          </w:p>
          <w:p>
            <w:pPr>
              <w:spacing w:after="40" w:line="252" w:lineRule="auto"/>
            </w:pPr>
            <w:hyperlink r:id="rId14">
              <w:r>
                <w:rPr>
                  <w:rFonts w:ascii="Calibri" w:hAnsi="Calibri" w:cs="Calibri"/>
                  <w:sz w:val="18"/>
                  <w:color w:val="1155CC"/>
                  <w:u w:val="single"/>
                </w:rPr>
                <w:t xml:space="preserve">https://journals.sagepub.com/doi/10.1111/j.1468-2982.2007.01303.x</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Daily fluid intake</w:t>
            </w:r>
          </w:p>
        </w:tc>
        <w:tc>
          <w:tcPr>
            <w:tcW w:type="dxa" w:w="1655"/>
            <w:vAlign w:val="top"/>
          </w:tcPr>
          <w:p>
            <w:pPr>
              <w:spacing w:after="40" w:before="0" w:line="259" w:lineRule="auto"/>
            </w:pPr>
            <w:r>
              <w:rPr>
                <w:rFonts w:ascii="Calibri" w:hAnsi="Calibri"/>
                <w:b w:val="0"/>
                <w:i w:val="0"/>
                <w:color w:val="212121"/>
                <w:sz w:val="19"/>
              </w:rPr>
              <w:t>Heat-exposed / outdoor workers</w:t>
            </w:r>
          </w:p>
        </w:tc>
        <w:tc>
          <w:tcPr>
            <w:tcW w:type="dxa" w:w="1512"/>
            <w:vAlign w:val="top"/>
          </w:tcPr>
          <w:p>
            <w:pPr>
              <w:spacing w:after="40" w:before="0" w:line="259" w:lineRule="auto"/>
            </w:pPr>
            <w:r>
              <w:rPr>
                <w:rFonts w:ascii="Calibri" w:hAnsi="Calibri"/>
                <w:b w:val="0"/>
                <w:i w:val="0"/>
                <w:color w:val="212121"/>
                <w:sz w:val="19"/>
              </w:rPr>
              <w:t>Adequate hydration (~2–3 L/day, adjust for climate/activity)</w:t>
            </w:r>
          </w:p>
        </w:tc>
        <w:tc>
          <w:tcPr>
            <w:tcW w:type="dxa" w:w="1512"/>
            <w:vAlign w:val="top"/>
          </w:tcPr>
          <w:p>
            <w:pPr>
              <w:spacing w:after="40" w:before="0" w:line="259" w:lineRule="auto"/>
            </w:pPr>
            <w:r>
              <w:rPr>
                <w:rFonts w:ascii="Calibri" w:hAnsi="Calibri"/>
                <w:b w:val="0"/>
                <w:i w:val="0"/>
                <w:color w:val="212121"/>
                <w:sz w:val="19"/>
              </w:rPr>
              <w:t>Inadequate intake / dehydration</w:t>
            </w:r>
          </w:p>
        </w:tc>
        <w:tc>
          <w:tcPr>
            <w:tcW w:type="dxa" w:w="1468"/>
            <w:vAlign w:val="top"/>
          </w:tcPr>
          <w:p>
            <w:pPr>
              <w:spacing w:after="40" w:before="0" w:line="259" w:lineRule="auto"/>
            </w:pPr>
            <w:r>
              <w:rPr>
                <w:rFonts w:ascii="Calibri" w:hAnsi="Calibri"/>
                <w:b w:val="0"/>
                <w:i w:val="0"/>
                <w:color w:val="212121"/>
                <w:sz w:val="19"/>
              </w:rPr>
              <w:t>Dehydration is a commonly reported precipitant, especially in heat</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Perceived stress</w:t>
            </w:r>
          </w:p>
        </w:tc>
        <w:tc>
          <w:tcPr>
            <w:tcW w:type="dxa" w:w="1655"/>
            <w:vAlign w:val="top"/>
          </w:tcPr>
          <w:p>
            <w:pPr>
              <w:spacing w:after="40" w:before="0" w:line="259" w:lineRule="auto"/>
            </w:pPr>
            <w:r>
              <w:rPr>
                <w:rFonts w:ascii="Calibri" w:hAnsi="Calibri"/>
                <w:b w:val="0"/>
                <w:i w:val="0"/>
                <w:color w:val="212121"/>
                <w:sz w:val="19"/>
              </w:rPr>
              <w:t>High-stress workers, students, caregivers</w:t>
            </w:r>
          </w:p>
        </w:tc>
        <w:tc>
          <w:tcPr>
            <w:tcW w:type="dxa" w:w="1512"/>
            <w:vAlign w:val="top"/>
          </w:tcPr>
          <w:p>
            <w:pPr>
              <w:spacing w:after="40" w:before="0" w:line="259" w:lineRule="auto"/>
            </w:pPr>
            <w:r>
              <w:rPr>
                <w:rFonts w:ascii="Calibri" w:hAnsi="Calibri"/>
                <w:b w:val="0"/>
                <w:i w:val="0"/>
                <w:color w:val="212121"/>
                <w:sz w:val="19"/>
              </w:rPr>
              <w:t>Well-managed stress; regular relaxation</w:t>
            </w:r>
          </w:p>
        </w:tc>
        <w:tc>
          <w:tcPr>
            <w:tcW w:type="dxa" w:w="1512"/>
            <w:vAlign w:val="top"/>
          </w:tcPr>
          <w:p>
            <w:pPr>
              <w:spacing w:after="40" w:before="0" w:line="259" w:lineRule="auto"/>
            </w:pPr>
            <w:r>
              <w:rPr>
                <w:rFonts w:ascii="Calibri" w:hAnsi="Calibri"/>
                <w:b w:val="0"/>
                <w:i w:val="0"/>
                <w:color w:val="212121"/>
                <w:sz w:val="19"/>
              </w:rPr>
              <w:t>High or fluctuating stress; post-stress let-down</w:t>
            </w:r>
          </w:p>
        </w:tc>
        <w:tc>
          <w:tcPr>
            <w:tcW w:type="dxa" w:w="1468"/>
            <w:vAlign w:val="top"/>
          </w:tcPr>
          <w:p>
            <w:pPr>
              <w:spacing w:after="60" w:line="259" w:lineRule="auto"/>
            </w:pPr>
            <w:r>
              <w:rPr>
                <w:rFonts w:ascii="Calibri" w:hAnsi="Calibri"/>
                <w:b w:val="0"/>
                <w:i w:val="0"/>
                <w:color w:val="212121"/>
                <w:sz w:val="19"/>
              </w:rPr>
              <w:t>Stress is the most frequent trigger (~80%)</w:t>
            </w:r>
          </w:p>
          <w:p>
            <w:pPr>
              <w:spacing w:after="40" w:line="252" w:lineRule="auto"/>
            </w:pPr>
            <w:hyperlink r:id="rId14">
              <w:r>
                <w:rPr>
                  <w:rFonts w:ascii="Calibri" w:hAnsi="Calibri" w:cs="Calibri"/>
                  <w:sz w:val="18"/>
                  <w:color w:val="1155CC"/>
                  <w:u w:val="single"/>
                </w:rPr>
                <w:t xml:space="preserve">https://journals.sagepub.com/doi/10.1111/j.1468-2982.2007.01303.x</w:t>
              </w:r>
            </w:hyperlink>
          </w:p>
        </w:tc>
      </w:tr>
      <w:tr>
        <w:trPr>
          <w:cantSplit/>
        </w:trPr>
        <w:tc>
          <w:tcPr>
            <w:tcW w:type="dxa" w:w="1512"/>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Continuous screen time without break</w:t>
            </w:r>
          </w:p>
        </w:tc>
        <w:tc>
          <w:tcPr>
            <w:tcW w:type="dxa" w:w="1655"/>
            <w:vAlign w:val="top"/>
          </w:tcPr>
          <w:p>
            <w:pPr>
              <w:spacing w:after="40" w:before="0" w:line="259" w:lineRule="auto"/>
            </w:pPr>
            <w:r>
              <w:rPr>
                <w:rFonts w:ascii="Calibri" w:hAnsi="Calibri"/>
                <w:b w:val="0"/>
                <w:i w:val="0"/>
                <w:color w:val="212121"/>
                <w:sz w:val="19"/>
              </w:rPr>
              <w:t>IT workers, students</w:t>
            </w:r>
          </w:p>
        </w:tc>
        <w:tc>
          <w:tcPr>
            <w:tcW w:type="dxa" w:w="1512"/>
            <w:vAlign w:val="top"/>
          </w:tcPr>
          <w:p>
            <w:pPr>
              <w:spacing w:after="40" w:before="0" w:line="259" w:lineRule="auto"/>
            </w:pPr>
            <w:r>
              <w:rPr>
                <w:rFonts w:ascii="Calibri" w:hAnsi="Calibri"/>
                <w:b w:val="0"/>
                <w:i w:val="0"/>
                <w:color w:val="212121"/>
                <w:sz w:val="19"/>
              </w:rPr>
              <w:t>Regular breaks (e.g., 20–20–20 rule); neutral neck posture</w:t>
            </w:r>
          </w:p>
        </w:tc>
        <w:tc>
          <w:tcPr>
            <w:tcW w:type="dxa" w:w="1512"/>
            <w:vAlign w:val="top"/>
          </w:tcPr>
          <w:p>
            <w:pPr>
              <w:spacing w:after="40" w:before="0" w:line="259" w:lineRule="auto"/>
            </w:pPr>
            <w:r>
              <w:rPr>
                <w:rFonts w:ascii="Calibri" w:hAnsi="Calibri"/>
                <w:b w:val="0"/>
                <w:i w:val="0"/>
                <w:color w:val="212121"/>
                <w:sz w:val="19"/>
              </w:rPr>
              <w:t>Prolonged unbroken screen/desk work</w:t>
            </w:r>
          </w:p>
        </w:tc>
        <w:tc>
          <w:tcPr>
            <w:tcW w:type="dxa" w:w="1468"/>
            <w:vAlign w:val="top"/>
          </w:tcPr>
          <w:p>
            <w:pPr>
              <w:spacing w:after="60" w:line="259" w:lineRule="auto"/>
            </w:pPr>
            <w:r>
              <w:rPr>
                <w:rFonts w:ascii="Calibri" w:hAnsi="Calibri"/>
                <w:b w:val="0"/>
                <w:i w:val="0"/>
                <w:color w:val="212121"/>
                <w:sz w:val="19"/>
              </w:rPr>
              <w:t>Digital eye strain/neck strain; headache in 75% of students with eye strain</w:t>
            </w:r>
          </w:p>
          <w:p>
            <w:pPr>
              <w:spacing w:after="40" w:line="252" w:lineRule="auto"/>
            </w:pPr>
            <w:hyperlink r:id="rId13">
              <w:r>
                <w:rPr>
                  <w:rFonts w:ascii="Calibri" w:hAnsi="Calibri" w:cs="Calibri"/>
                  <w:sz w:val="18"/>
                  <w:color w:val="1155CC"/>
                  <w:u w:val="single"/>
                </w:rPr>
                <w:t xml:space="preserve">https://imsear.searo.who.int/items/d15516a7-a01f-4eab-91fe-20cbad52a3fb/full</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Overweight/obese migraineurs</w:t>
            </w:r>
          </w:p>
        </w:tc>
        <w:tc>
          <w:tcPr>
            <w:tcW w:type="dxa" w:w="1512"/>
            <w:vAlign w:val="top"/>
          </w:tcPr>
          <w:p>
            <w:pPr>
              <w:spacing w:after="40" w:before="0" w:line="259" w:lineRule="auto"/>
            </w:pPr>
            <w:r>
              <w:rPr>
                <w:rFonts w:ascii="Calibri" w:hAnsi="Calibri"/>
                <w:b w:val="0"/>
                <w:i w:val="0"/>
                <w:color w:val="212121"/>
                <w:sz w:val="19"/>
              </w:rPr>
              <w:t>18.5–24.9 kg/m²</w:t>
            </w:r>
          </w:p>
        </w:tc>
        <w:tc>
          <w:tcPr>
            <w:tcW w:type="dxa" w:w="1512"/>
            <w:vAlign w:val="top"/>
          </w:tcPr>
          <w:p>
            <w:pPr>
              <w:spacing w:after="40" w:before="0" w:line="259" w:lineRule="auto"/>
            </w:pPr>
            <w:r>
              <w:rPr>
                <w:rFonts w:ascii="Calibri" w:hAnsi="Calibri"/>
                <w:b w:val="0"/>
                <w:i w:val="0"/>
                <w:color w:val="212121"/>
                <w:sz w:val="19"/>
              </w:rPr>
              <w:t>≥ 25 (overweight); ≥ 30 (obesity)</w:t>
            </w:r>
          </w:p>
        </w:tc>
        <w:tc>
          <w:tcPr>
            <w:tcW w:type="dxa" w:w="1468"/>
            <w:vAlign w:val="top"/>
          </w:tcPr>
          <w:p>
            <w:pPr>
              <w:spacing w:after="60" w:line="259" w:lineRule="auto"/>
            </w:pPr>
            <w:r>
              <w:rPr>
                <w:rFonts w:ascii="Calibri" w:hAnsi="Calibri"/>
                <w:b w:val="0"/>
                <w:i w:val="0"/>
                <w:color w:val="212121"/>
                <w:sz w:val="19"/>
              </w:rPr>
              <w:t>Obesity raises risk of episodic-to-chronic migraine progression</w:t>
            </w:r>
          </w:p>
          <w:p>
            <w:pPr>
              <w:spacing w:after="40" w:line="252" w:lineRule="auto"/>
            </w:pPr>
            <w:hyperlink r:id="rId17">
              <w:r>
                <w:rPr>
                  <w:rFonts w:ascii="Calibri" w:hAnsi="Calibri" w:cs="Calibri"/>
                  <w:sz w:val="18"/>
                  <w:color w:val="1155CC"/>
                  <w:u w:val="single"/>
                </w:rPr>
                <w:t xml:space="preserve">https://americanmigrainefoundation.org/resource-library/migraine-obesity/</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Neuroimaging</w:t>
            </w:r>
          </w:p>
        </w:tc>
        <w:tc>
          <w:tcPr>
            <w:tcW w:type="dxa" w:w="1036"/>
            <w:vAlign w:val="top"/>
          </w:tcPr>
          <w:p>
            <w:pPr>
              <w:spacing w:after="40" w:before="0" w:line="259" w:lineRule="auto"/>
            </w:pPr>
            <w:r>
              <w:rPr>
                <w:rFonts w:ascii="Calibri" w:hAnsi="Calibri"/>
                <w:b w:val="0"/>
                <w:i w:val="0"/>
                <w:color w:val="212121"/>
                <w:sz w:val="16"/>
              </w:rPr>
              <w:t>Structural brain imaging</w:t>
            </w:r>
          </w:p>
        </w:tc>
        <w:tc>
          <w:tcPr>
            <w:tcW w:type="dxa" w:w="892"/>
            <w:vAlign w:val="top"/>
          </w:tcPr>
          <w:p>
            <w:pPr>
              <w:spacing w:after="40" w:before="0" w:line="259" w:lineRule="auto"/>
            </w:pPr>
            <w:r>
              <w:rPr>
                <w:rFonts w:ascii="Calibri" w:hAnsi="Calibri"/>
                <w:b w:val="0"/>
                <w:i w:val="0"/>
                <w:color w:val="212121"/>
                <w:sz w:val="16"/>
              </w:rPr>
              <w:t>MRI Brain (with/without contrast)</w:t>
            </w:r>
          </w:p>
        </w:tc>
        <w:tc>
          <w:tcPr>
            <w:tcW w:type="dxa" w:w="950"/>
            <w:vAlign w:val="top"/>
          </w:tcPr>
          <w:p>
            <w:pPr>
              <w:spacing w:after="40" w:before="0" w:line="259" w:lineRule="auto"/>
            </w:pPr>
            <w:r>
              <w:rPr>
                <w:rFonts w:ascii="Calibri" w:hAnsi="Calibri"/>
                <w:b w:val="0"/>
                <w:i w:val="0"/>
                <w:color w:val="212121"/>
                <w:sz w:val="16"/>
              </w:rPr>
              <w:t>No structural lesion</w:t>
            </w:r>
          </w:p>
        </w:tc>
        <w:tc>
          <w:tcPr>
            <w:tcW w:type="dxa" w:w="950"/>
            <w:vAlign w:val="top"/>
          </w:tcPr>
          <w:p>
            <w:pPr>
              <w:spacing w:after="40" w:before="0" w:line="259" w:lineRule="auto"/>
            </w:pPr>
            <w:r>
              <w:rPr>
                <w:rFonts w:ascii="Calibri" w:hAnsi="Calibri"/>
                <w:b w:val="0"/>
                <w:i w:val="0"/>
                <w:color w:val="212121"/>
                <w:sz w:val="16"/>
              </w:rPr>
              <w:t>Tumour, AVM, hydrocephalus, demyelination, venous thrombosis</w:t>
            </w:r>
          </w:p>
        </w:tc>
        <w:tc>
          <w:tcPr>
            <w:tcW w:type="dxa" w:w="1036"/>
            <w:vAlign w:val="top"/>
          </w:tcPr>
          <w:p>
            <w:pPr>
              <w:spacing w:after="40" w:before="0" w:line="259" w:lineRule="auto"/>
            </w:pPr>
            <w:r>
              <w:rPr>
                <w:rFonts w:ascii="Calibri" w:hAnsi="Calibri"/>
                <w:b w:val="0"/>
                <w:i w:val="0"/>
                <w:color w:val="212121"/>
                <w:sz w:val="16"/>
              </w:rPr>
              <w:t>Normal in primary migraine; used to exclude secondary causes</w:t>
            </w:r>
          </w:p>
        </w:tc>
        <w:tc>
          <w:tcPr>
            <w:tcW w:type="dxa" w:w="1036"/>
            <w:vAlign w:val="top"/>
          </w:tcPr>
          <w:p>
            <w:pPr>
              <w:spacing w:after="40" w:before="0" w:line="259" w:lineRule="auto"/>
            </w:pPr>
            <w:r>
              <w:rPr>
                <w:rFonts w:ascii="Calibri" w:hAnsi="Calibri"/>
                <w:b w:val="0"/>
                <w:i w:val="0"/>
                <w:color w:val="212121"/>
                <w:sz w:val="16"/>
              </w:rPr>
              <w:t>Atypical features, abnormal exam, aura always same side, refractory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Rule-out secondary</w:t>
            </w:r>
          </w:p>
        </w:tc>
        <w:tc>
          <w:tcPr>
            <w:tcW w:type="dxa" w:w="720"/>
            <w:vAlign w:val="top"/>
          </w:tcPr>
          <w:p>
            <w:pPr>
              <w:spacing w:after="40" w:before="0" w:line="259" w:lineRule="auto"/>
            </w:pPr>
            <w:r>
              <w:rPr>
                <w:rFonts w:ascii="Calibri" w:hAnsi="Calibri"/>
                <w:b w:val="0"/>
                <w:i w:val="0"/>
                <w:color w:val="212121"/>
                <w:sz w:val="16"/>
              </w:rPr>
              <w:t>Not required for typical migraine with normal exam</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Neuroimaging</w:t>
            </w:r>
          </w:p>
        </w:tc>
        <w:tc>
          <w:tcPr>
            <w:tcW w:type="dxa" w:w="1036"/>
            <w:vAlign w:val="top"/>
          </w:tcPr>
          <w:p>
            <w:pPr>
              <w:spacing w:after="40" w:before="0" w:line="259" w:lineRule="auto"/>
            </w:pPr>
            <w:r>
              <w:rPr>
                <w:rFonts w:ascii="Calibri" w:hAnsi="Calibri"/>
                <w:b w:val="0"/>
                <w:i w:val="0"/>
                <w:color w:val="212121"/>
                <w:sz w:val="16"/>
              </w:rPr>
              <w:t>Acute intracranial pathology</w:t>
            </w:r>
          </w:p>
        </w:tc>
        <w:tc>
          <w:tcPr>
            <w:tcW w:type="dxa" w:w="892"/>
            <w:vAlign w:val="top"/>
          </w:tcPr>
          <w:p>
            <w:pPr>
              <w:spacing w:after="40" w:before="0" w:line="259" w:lineRule="auto"/>
            </w:pPr>
            <w:r>
              <w:rPr>
                <w:rFonts w:ascii="Calibri" w:hAnsi="Calibri"/>
                <w:b w:val="0"/>
                <w:i w:val="0"/>
                <w:color w:val="212121"/>
                <w:sz w:val="16"/>
              </w:rPr>
              <w:t>CT Head (non-contrast)</w:t>
            </w:r>
          </w:p>
        </w:tc>
        <w:tc>
          <w:tcPr>
            <w:tcW w:type="dxa" w:w="950"/>
            <w:vAlign w:val="top"/>
          </w:tcPr>
          <w:p>
            <w:pPr>
              <w:spacing w:after="40" w:before="0" w:line="259" w:lineRule="auto"/>
            </w:pPr>
            <w:r>
              <w:rPr>
                <w:rFonts w:ascii="Calibri" w:hAnsi="Calibri"/>
                <w:b w:val="0"/>
                <w:i w:val="0"/>
                <w:color w:val="212121"/>
                <w:sz w:val="16"/>
              </w:rPr>
              <w:t>No haemorrhage or mass</w:t>
            </w:r>
          </w:p>
        </w:tc>
        <w:tc>
          <w:tcPr>
            <w:tcW w:type="dxa" w:w="950"/>
            <w:vAlign w:val="top"/>
          </w:tcPr>
          <w:p>
            <w:pPr>
              <w:spacing w:after="40" w:before="0" w:line="259" w:lineRule="auto"/>
            </w:pPr>
            <w:r>
              <w:rPr>
                <w:rFonts w:ascii="Calibri" w:hAnsi="Calibri"/>
                <w:b w:val="0"/>
                <w:i w:val="0"/>
                <w:color w:val="212121"/>
                <w:sz w:val="16"/>
              </w:rPr>
              <w:t>Subarachnoid/intracerebral haemorrhage, mass, hydrocephalus</w:t>
            </w:r>
          </w:p>
        </w:tc>
        <w:tc>
          <w:tcPr>
            <w:tcW w:type="dxa" w:w="1036"/>
            <w:vAlign w:val="top"/>
          </w:tcPr>
          <w:p>
            <w:pPr>
              <w:spacing w:after="40" w:before="0" w:line="259" w:lineRule="auto"/>
            </w:pPr>
            <w:r>
              <w:rPr>
                <w:rFonts w:ascii="Calibri" w:hAnsi="Calibri"/>
                <w:b w:val="0"/>
                <w:i w:val="0"/>
                <w:color w:val="212121"/>
                <w:sz w:val="16"/>
              </w:rPr>
              <w:t>First-line for thunderclap or acute severe headache</w:t>
            </w:r>
          </w:p>
        </w:tc>
        <w:tc>
          <w:tcPr>
            <w:tcW w:type="dxa" w:w="1036"/>
            <w:vAlign w:val="top"/>
          </w:tcPr>
          <w:p>
            <w:pPr>
              <w:spacing w:after="40" w:before="0" w:line="259" w:lineRule="auto"/>
            </w:pPr>
            <w:r>
              <w:rPr>
                <w:rFonts w:ascii="Calibri" w:hAnsi="Calibri"/>
                <w:b w:val="0"/>
                <w:i w:val="0"/>
                <w:color w:val="212121"/>
                <w:sz w:val="16"/>
              </w:rPr>
              <w:t>Thunderclap onset, head trauma, sudden worst-ever headache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Emergent</w:t>
            </w:r>
          </w:p>
        </w:tc>
        <w:tc>
          <w:tcPr>
            <w:tcW w:type="dxa" w:w="720"/>
            <w:vAlign w:val="top"/>
          </w:tcPr>
          <w:p>
            <w:pPr>
              <w:spacing w:after="40" w:before="0" w:line="259" w:lineRule="auto"/>
            </w:pPr>
            <w:r>
              <w:rPr>
                <w:rFonts w:ascii="Calibri" w:hAnsi="Calibri"/>
                <w:b w:val="0"/>
                <w:i w:val="0"/>
                <w:color w:val="212121"/>
                <w:sz w:val="16"/>
              </w:rPr>
              <w:t>Thunderclap headache carries &gt;40% risk of serious pathology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ESR / CRP</w:t>
            </w:r>
          </w:p>
        </w:tc>
        <w:tc>
          <w:tcPr>
            <w:tcW w:type="dxa" w:w="892"/>
            <w:vAlign w:val="top"/>
          </w:tcPr>
          <w:p>
            <w:pPr>
              <w:spacing w:after="40" w:before="0" w:line="259" w:lineRule="auto"/>
            </w:pPr>
            <w:r>
              <w:rPr>
                <w:rFonts w:ascii="Calibri" w:hAnsi="Calibri"/>
                <w:b w:val="0"/>
                <w:i w:val="0"/>
                <w:color w:val="212121"/>
                <w:sz w:val="16"/>
              </w:rPr>
              <w:t>Inflammatory markers</w:t>
            </w:r>
          </w:p>
        </w:tc>
        <w:tc>
          <w:tcPr>
            <w:tcW w:type="dxa" w:w="950"/>
            <w:vAlign w:val="top"/>
          </w:tcPr>
          <w:p>
            <w:pPr>
              <w:spacing w:after="40" w:before="0" w:line="259" w:lineRule="auto"/>
            </w:pPr>
            <w:r>
              <w:rPr>
                <w:rFonts w:ascii="Calibri" w:hAnsi="Calibri"/>
                <w:b w:val="0"/>
                <w:i w:val="0"/>
                <w:color w:val="212121"/>
                <w:sz w:val="16"/>
              </w:rPr>
              <w:t>ESR within age-adjusted range; CRP normal</w:t>
            </w:r>
          </w:p>
        </w:tc>
        <w:tc>
          <w:tcPr>
            <w:tcW w:type="dxa" w:w="950"/>
            <w:vAlign w:val="top"/>
          </w:tcPr>
          <w:p>
            <w:pPr>
              <w:spacing w:after="40" w:before="0" w:line="259" w:lineRule="auto"/>
            </w:pPr>
            <w:r>
              <w:rPr>
                <w:rFonts w:ascii="Calibri" w:hAnsi="Calibri"/>
                <w:b w:val="0"/>
                <w:i w:val="0"/>
                <w:color w:val="212121"/>
                <w:sz w:val="16"/>
              </w:rPr>
              <w:t>ESR often &gt; 50 mm/h; raised CRP</w:t>
            </w:r>
          </w:p>
        </w:tc>
        <w:tc>
          <w:tcPr>
            <w:tcW w:type="dxa" w:w="1036"/>
            <w:vAlign w:val="top"/>
          </w:tcPr>
          <w:p>
            <w:pPr>
              <w:spacing w:after="40" w:before="0" w:line="259" w:lineRule="auto"/>
            </w:pPr>
            <w:r>
              <w:rPr>
                <w:rFonts w:ascii="Calibri" w:hAnsi="Calibri"/>
                <w:b w:val="0"/>
                <w:i w:val="0"/>
                <w:color w:val="212121"/>
                <w:sz w:val="16"/>
              </w:rPr>
              <w:t>Screens for giant cell arteritis in new headache of the elderly</w:t>
            </w:r>
          </w:p>
        </w:tc>
        <w:tc>
          <w:tcPr>
            <w:tcW w:type="dxa" w:w="1036"/>
            <w:vAlign w:val="top"/>
          </w:tcPr>
          <w:p>
            <w:pPr>
              <w:spacing w:after="40" w:before="0" w:line="259" w:lineRule="auto"/>
            </w:pPr>
            <w:r>
              <w:rPr>
                <w:rFonts w:ascii="Calibri" w:hAnsi="Calibri"/>
                <w:b w:val="0"/>
                <w:i w:val="0"/>
                <w:color w:val="212121"/>
                <w:sz w:val="16"/>
              </w:rPr>
              <w:t>New-onset headache age &gt; 50, scalp tenderness, jaw claudication</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Rule-out secondary</w:t>
            </w:r>
          </w:p>
        </w:tc>
        <w:tc>
          <w:tcPr>
            <w:tcW w:type="dxa" w:w="720"/>
            <w:vAlign w:val="top"/>
          </w:tcPr>
          <w:p>
            <w:pPr>
              <w:spacing w:after="40" w:before="0" w:line="259" w:lineRule="auto"/>
            </w:pPr>
            <w:r>
              <w:rPr>
                <w:rFonts w:ascii="Calibri" w:hAnsi="Calibri"/>
                <w:b w:val="0"/>
                <w:i w:val="0"/>
                <w:color w:val="212121"/>
                <w:sz w:val="16"/>
              </w:rPr>
              <w:t>Urgent if giant cell arteritis suspected to prevent blindness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CBC, glucose, electrolytes, TSH</w:t>
            </w:r>
          </w:p>
        </w:tc>
        <w:tc>
          <w:tcPr>
            <w:tcW w:type="dxa" w:w="892"/>
            <w:vAlign w:val="top"/>
          </w:tcPr>
          <w:p>
            <w:pPr>
              <w:spacing w:after="40" w:before="0" w:line="259" w:lineRule="auto"/>
            </w:pPr>
            <w:r>
              <w:rPr>
                <w:rFonts w:ascii="Calibri" w:hAnsi="Calibri"/>
                <w:b w:val="0"/>
                <w:i w:val="0"/>
                <w:color w:val="212121"/>
                <w:sz w:val="16"/>
              </w:rPr>
              <w:t>Basic metabolic screen</w:t>
            </w:r>
          </w:p>
        </w:tc>
        <w:tc>
          <w:tcPr>
            <w:tcW w:type="dxa" w:w="950"/>
            <w:vAlign w:val="top"/>
          </w:tcPr>
          <w:p>
            <w:pPr>
              <w:spacing w:after="40" w:before="0" w:line="259" w:lineRule="auto"/>
            </w:pPr>
            <w:r>
              <w:rPr>
                <w:rFonts w:ascii="Calibri" w:hAnsi="Calibri"/>
                <w:b w:val="0"/>
                <w:i w:val="0"/>
                <w:color w:val="212121"/>
                <w:sz w:val="16"/>
              </w:rPr>
              <w:t>Within reference ranges</w:t>
            </w:r>
          </w:p>
        </w:tc>
        <w:tc>
          <w:tcPr>
            <w:tcW w:type="dxa" w:w="950"/>
            <w:vAlign w:val="top"/>
          </w:tcPr>
          <w:p>
            <w:pPr>
              <w:spacing w:after="40" w:before="0" w:line="259" w:lineRule="auto"/>
            </w:pPr>
            <w:r>
              <w:rPr>
                <w:rFonts w:ascii="Calibri" w:hAnsi="Calibri"/>
                <w:b w:val="0"/>
                <w:i w:val="0"/>
                <w:color w:val="212121"/>
                <w:sz w:val="16"/>
              </w:rPr>
              <w:t>Anaemia, dysglycaemia, electrolyte disturbance, thyroid dysfunction</w:t>
            </w:r>
          </w:p>
        </w:tc>
        <w:tc>
          <w:tcPr>
            <w:tcW w:type="dxa" w:w="1036"/>
            <w:vAlign w:val="top"/>
          </w:tcPr>
          <w:p>
            <w:pPr>
              <w:spacing w:after="40" w:before="0" w:line="259" w:lineRule="auto"/>
            </w:pPr>
            <w:r>
              <w:rPr>
                <w:rFonts w:ascii="Calibri" w:hAnsi="Calibri"/>
                <w:b w:val="0"/>
                <w:i w:val="0"/>
                <w:color w:val="212121"/>
                <w:sz w:val="16"/>
              </w:rPr>
              <w:t>Identifies systemic/metabolic contributors and hypothyroid headache</w:t>
            </w:r>
          </w:p>
        </w:tc>
        <w:tc>
          <w:tcPr>
            <w:tcW w:type="dxa" w:w="1036"/>
            <w:vAlign w:val="top"/>
          </w:tcPr>
          <w:p>
            <w:pPr>
              <w:spacing w:after="40" w:before="0" w:line="259" w:lineRule="auto"/>
            </w:pPr>
            <w:r>
              <w:rPr>
                <w:rFonts w:ascii="Calibri" w:hAnsi="Calibri"/>
                <w:b w:val="0"/>
                <w:i w:val="0"/>
                <w:color w:val="212121"/>
                <w:sz w:val="16"/>
              </w:rPr>
              <w:t>Atypical, refractory or systemically unwell patients</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Corrects reversible aggravating factors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CSF analysis</w:t>
            </w:r>
          </w:p>
        </w:tc>
        <w:tc>
          <w:tcPr>
            <w:tcW w:type="dxa" w:w="1036"/>
            <w:vAlign w:val="top"/>
          </w:tcPr>
          <w:p>
            <w:pPr>
              <w:spacing w:after="40" w:before="0" w:line="259" w:lineRule="auto"/>
            </w:pPr>
            <w:r>
              <w:rPr>
                <w:rFonts w:ascii="Calibri" w:hAnsi="Calibri"/>
                <w:b w:val="0"/>
                <w:i w:val="0"/>
                <w:color w:val="212121"/>
                <w:sz w:val="16"/>
              </w:rPr>
              <w:t>Opening pressure, cells, xanthochromia</w:t>
            </w:r>
          </w:p>
        </w:tc>
        <w:tc>
          <w:tcPr>
            <w:tcW w:type="dxa" w:w="892"/>
            <w:vAlign w:val="top"/>
          </w:tcPr>
          <w:p>
            <w:pPr>
              <w:spacing w:after="40" w:before="0" w:line="259" w:lineRule="auto"/>
            </w:pPr>
            <w:r>
              <w:rPr>
                <w:rFonts w:ascii="Calibri" w:hAnsi="Calibri"/>
                <w:b w:val="0"/>
                <w:i w:val="0"/>
                <w:color w:val="212121"/>
                <w:sz w:val="16"/>
              </w:rPr>
              <w:t>Lumbar puncture</w:t>
            </w:r>
          </w:p>
        </w:tc>
        <w:tc>
          <w:tcPr>
            <w:tcW w:type="dxa" w:w="950"/>
            <w:vAlign w:val="top"/>
          </w:tcPr>
          <w:p>
            <w:pPr>
              <w:spacing w:after="40" w:before="0" w:line="259" w:lineRule="auto"/>
            </w:pPr>
            <w:r>
              <w:rPr>
                <w:rFonts w:ascii="Calibri" w:hAnsi="Calibri"/>
                <w:b w:val="0"/>
                <w:i w:val="0"/>
                <w:color w:val="212121"/>
                <w:sz w:val="16"/>
              </w:rPr>
              <w:t>Normal pressure and cytology</w:t>
            </w:r>
          </w:p>
        </w:tc>
        <w:tc>
          <w:tcPr>
            <w:tcW w:type="dxa" w:w="950"/>
            <w:vAlign w:val="top"/>
          </w:tcPr>
          <w:p>
            <w:pPr>
              <w:spacing w:after="40" w:before="0" w:line="259" w:lineRule="auto"/>
            </w:pPr>
            <w:r>
              <w:rPr>
                <w:rFonts w:ascii="Calibri" w:hAnsi="Calibri"/>
                <w:b w:val="0"/>
                <w:i w:val="0"/>
                <w:color w:val="212121"/>
                <w:sz w:val="16"/>
              </w:rPr>
              <w:t>Xanthochromia (SAH), pleocytosis (meningitis), raised pressure (IIH)</w:t>
            </w:r>
          </w:p>
        </w:tc>
        <w:tc>
          <w:tcPr>
            <w:tcW w:type="dxa" w:w="1036"/>
            <w:vAlign w:val="top"/>
          </w:tcPr>
          <w:p>
            <w:pPr>
              <w:spacing w:after="40" w:before="0" w:line="259" w:lineRule="auto"/>
            </w:pPr>
            <w:r>
              <w:rPr>
                <w:rFonts w:ascii="Calibri" w:hAnsi="Calibri"/>
                <w:b w:val="0"/>
                <w:i w:val="0"/>
                <w:color w:val="212121"/>
                <w:sz w:val="16"/>
              </w:rPr>
              <w:t>Performed when CT is normal but SAH, infection or raised ICP is suspected</w:t>
            </w:r>
          </w:p>
        </w:tc>
        <w:tc>
          <w:tcPr>
            <w:tcW w:type="dxa" w:w="1036"/>
            <w:vAlign w:val="top"/>
          </w:tcPr>
          <w:p>
            <w:pPr>
              <w:spacing w:after="40" w:before="0" w:line="259" w:lineRule="auto"/>
            </w:pPr>
            <w:r>
              <w:rPr>
                <w:rFonts w:ascii="Calibri" w:hAnsi="Calibri"/>
                <w:b w:val="0"/>
                <w:i w:val="0"/>
                <w:color w:val="212121"/>
                <w:sz w:val="16"/>
              </w:rPr>
              <w:t>Thunderclap with normal CT, fever+meningism, papilledema</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Rule-out secondary</w:t>
            </w:r>
          </w:p>
        </w:tc>
        <w:tc>
          <w:tcPr>
            <w:tcW w:type="dxa" w:w="720"/>
            <w:vAlign w:val="top"/>
          </w:tcPr>
          <w:p>
            <w:pPr>
              <w:spacing w:after="40" w:before="0" w:line="259" w:lineRule="auto"/>
            </w:pPr>
            <w:r>
              <w:rPr>
                <w:rFonts w:ascii="Calibri" w:hAnsi="Calibri"/>
                <w:b w:val="0"/>
                <w:i w:val="0"/>
                <w:color w:val="212121"/>
                <w:sz w:val="16"/>
              </w:rPr>
              <w:t>Check opening pressure; exclude mass before LP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Vascular imaging</w:t>
            </w:r>
          </w:p>
        </w:tc>
        <w:tc>
          <w:tcPr>
            <w:tcW w:type="dxa" w:w="1036"/>
            <w:vAlign w:val="top"/>
          </w:tcPr>
          <w:p>
            <w:pPr>
              <w:spacing w:after="40" w:before="0" w:line="259" w:lineRule="auto"/>
            </w:pPr>
            <w:r>
              <w:rPr>
                <w:rFonts w:ascii="Calibri" w:hAnsi="Calibri"/>
                <w:b w:val="0"/>
                <w:i w:val="0"/>
                <w:color w:val="212121"/>
                <w:sz w:val="16"/>
              </w:rPr>
              <w:t>Cerebral venous patency</w:t>
            </w:r>
          </w:p>
        </w:tc>
        <w:tc>
          <w:tcPr>
            <w:tcW w:type="dxa" w:w="892"/>
            <w:vAlign w:val="top"/>
          </w:tcPr>
          <w:p>
            <w:pPr>
              <w:spacing w:after="40" w:before="0" w:line="259" w:lineRule="auto"/>
            </w:pPr>
            <w:r>
              <w:rPr>
                <w:rFonts w:ascii="Calibri" w:hAnsi="Calibri"/>
                <w:b w:val="0"/>
                <w:i w:val="0"/>
                <w:color w:val="212121"/>
                <w:sz w:val="16"/>
              </w:rPr>
              <w:t>MR / CT venography</w:t>
            </w:r>
          </w:p>
        </w:tc>
        <w:tc>
          <w:tcPr>
            <w:tcW w:type="dxa" w:w="950"/>
            <w:vAlign w:val="top"/>
          </w:tcPr>
          <w:p>
            <w:pPr>
              <w:spacing w:after="40" w:before="0" w:line="259" w:lineRule="auto"/>
            </w:pPr>
            <w:r>
              <w:rPr>
                <w:rFonts w:ascii="Calibri" w:hAnsi="Calibri"/>
                <w:b w:val="0"/>
                <w:i w:val="0"/>
                <w:color w:val="212121"/>
                <w:sz w:val="16"/>
              </w:rPr>
              <w:t>Patent dural venous sinuses</w:t>
            </w:r>
          </w:p>
        </w:tc>
        <w:tc>
          <w:tcPr>
            <w:tcW w:type="dxa" w:w="950"/>
            <w:vAlign w:val="top"/>
          </w:tcPr>
          <w:p>
            <w:pPr>
              <w:spacing w:after="40" w:before="0" w:line="259" w:lineRule="auto"/>
            </w:pPr>
            <w:r>
              <w:rPr>
                <w:rFonts w:ascii="Calibri" w:hAnsi="Calibri"/>
                <w:b w:val="0"/>
                <w:i w:val="0"/>
                <w:color w:val="212121"/>
                <w:sz w:val="16"/>
              </w:rPr>
              <w:t>Cerebral venous sinus thrombosis</w:t>
            </w:r>
          </w:p>
        </w:tc>
        <w:tc>
          <w:tcPr>
            <w:tcW w:type="dxa" w:w="1036"/>
            <w:vAlign w:val="top"/>
          </w:tcPr>
          <w:p>
            <w:pPr>
              <w:spacing w:after="40" w:before="0" w:line="259" w:lineRule="auto"/>
            </w:pPr>
            <w:r>
              <w:rPr>
                <w:rFonts w:ascii="Calibri" w:hAnsi="Calibri"/>
                <w:b w:val="0"/>
                <w:i w:val="0"/>
                <w:color w:val="212121"/>
                <w:sz w:val="16"/>
              </w:rPr>
              <w:t>Excludes CVST in high-risk presentations</w:t>
            </w:r>
          </w:p>
        </w:tc>
        <w:tc>
          <w:tcPr>
            <w:tcW w:type="dxa" w:w="1036"/>
            <w:vAlign w:val="top"/>
          </w:tcPr>
          <w:p>
            <w:pPr>
              <w:spacing w:after="40" w:before="0" w:line="259" w:lineRule="auto"/>
            </w:pPr>
            <w:r>
              <w:rPr>
                <w:rFonts w:ascii="Calibri" w:hAnsi="Calibri"/>
                <w:b w:val="0"/>
                <w:i w:val="0"/>
                <w:color w:val="212121"/>
                <w:sz w:val="16"/>
              </w:rPr>
              <w:t>Postpartum/pregnant, thunderclap, papilledema, prothrombotic</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Rule-out secondary</w:t>
            </w:r>
          </w:p>
        </w:tc>
        <w:tc>
          <w:tcPr>
            <w:tcW w:type="dxa" w:w="720"/>
            <w:vAlign w:val="top"/>
          </w:tcPr>
          <w:p>
            <w:pPr>
              <w:spacing w:after="40" w:before="0" w:line="259" w:lineRule="auto"/>
            </w:pPr>
            <w:r>
              <w:rPr>
                <w:rFonts w:ascii="Calibri" w:hAnsi="Calibri"/>
                <w:b w:val="0"/>
                <w:i w:val="0"/>
                <w:color w:val="212121"/>
                <w:sz w:val="16"/>
              </w:rPr>
              <w:t>Consider in peripartum women with new headache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Clinical measurement</w:t>
            </w:r>
          </w:p>
        </w:tc>
        <w:tc>
          <w:tcPr>
            <w:tcW w:type="dxa" w:w="1036"/>
            <w:vAlign w:val="top"/>
          </w:tcPr>
          <w:p>
            <w:pPr>
              <w:spacing w:after="40" w:before="0" w:line="259" w:lineRule="auto"/>
            </w:pPr>
            <w:r>
              <w:rPr>
                <w:rFonts w:ascii="Calibri" w:hAnsi="Calibri"/>
                <w:b w:val="0"/>
                <w:i w:val="0"/>
                <w:color w:val="212121"/>
                <w:sz w:val="16"/>
              </w:rPr>
              <w:t>Blood pressure</w:t>
            </w:r>
          </w:p>
        </w:tc>
        <w:tc>
          <w:tcPr>
            <w:tcW w:type="dxa" w:w="892"/>
            <w:vAlign w:val="top"/>
          </w:tcPr>
          <w:p>
            <w:pPr>
              <w:spacing w:after="40" w:before="0" w:line="259" w:lineRule="auto"/>
            </w:pPr>
            <w:r>
              <w:rPr>
                <w:rFonts w:ascii="Calibri" w:hAnsi="Calibri"/>
                <w:b w:val="0"/>
                <w:i w:val="0"/>
                <w:color w:val="212121"/>
                <w:sz w:val="16"/>
              </w:rPr>
              <w:t>BP measurement</w:t>
            </w:r>
          </w:p>
        </w:tc>
        <w:tc>
          <w:tcPr>
            <w:tcW w:type="dxa" w:w="950"/>
            <w:vAlign w:val="top"/>
          </w:tcPr>
          <w:p>
            <w:pPr>
              <w:spacing w:after="40" w:before="0" w:line="259" w:lineRule="auto"/>
            </w:pPr>
            <w:r>
              <w:rPr>
                <w:rFonts w:ascii="Calibri" w:hAnsi="Calibri"/>
                <w:b w:val="0"/>
                <w:i w:val="0"/>
                <w:color w:val="212121"/>
                <w:sz w:val="16"/>
              </w:rPr>
              <w:t>&lt; 120/80 mmHg</w:t>
            </w:r>
          </w:p>
        </w:tc>
        <w:tc>
          <w:tcPr>
            <w:tcW w:type="dxa" w:w="950"/>
            <w:vAlign w:val="top"/>
          </w:tcPr>
          <w:p>
            <w:pPr>
              <w:spacing w:after="40" w:before="0" w:line="259" w:lineRule="auto"/>
            </w:pPr>
            <w:r>
              <w:rPr>
                <w:rFonts w:ascii="Calibri" w:hAnsi="Calibri"/>
                <w:b w:val="0"/>
                <w:i w:val="0"/>
                <w:color w:val="212121"/>
                <w:sz w:val="16"/>
              </w:rPr>
              <w:t>Severe hypertension / hypertensive urgency</w:t>
            </w:r>
          </w:p>
        </w:tc>
        <w:tc>
          <w:tcPr>
            <w:tcW w:type="dxa" w:w="1036"/>
            <w:vAlign w:val="top"/>
          </w:tcPr>
          <w:p>
            <w:pPr>
              <w:spacing w:after="40" w:before="0" w:line="259" w:lineRule="auto"/>
            </w:pPr>
            <w:r>
              <w:rPr>
                <w:rFonts w:ascii="Calibri" w:hAnsi="Calibri"/>
                <w:b w:val="0"/>
                <w:i w:val="0"/>
                <w:color w:val="212121"/>
                <w:sz w:val="16"/>
              </w:rPr>
              <w:t>Excludes hypertensive and secondary causes of headache</w:t>
            </w:r>
          </w:p>
        </w:tc>
        <w:tc>
          <w:tcPr>
            <w:tcW w:type="dxa" w:w="1036"/>
            <w:vAlign w:val="top"/>
          </w:tcPr>
          <w:p>
            <w:pPr>
              <w:spacing w:after="40" w:before="0" w:line="259" w:lineRule="auto"/>
            </w:pPr>
            <w:r>
              <w:rPr>
                <w:rFonts w:ascii="Calibri" w:hAnsi="Calibri"/>
                <w:b w:val="0"/>
                <w:i w:val="0"/>
                <w:color w:val="212121"/>
                <w:sz w:val="16"/>
              </w:rPr>
              <w:t>All patients, especially older or with visual symptoms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Very high BP with headache may indicate PRES/hypertensive crisis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Unilateral pulsating headache, 4–72 h, nausea, photophobia/phonophobia</w:t>
            </w:r>
          </w:p>
        </w:tc>
        <w:tc>
          <w:tcPr>
            <w:tcW w:type="dxa" w:w="950"/>
            <w:vAlign w:val="top"/>
          </w:tcPr>
          <w:p>
            <w:pPr>
              <w:spacing w:after="40" w:before="0" w:line="259" w:lineRule="auto"/>
            </w:pPr>
            <w:r>
              <w:rPr>
                <w:rFonts w:ascii="Calibri" w:hAnsi="Calibri"/>
                <w:b w:val="0"/>
                <w:i w:val="0"/>
                <w:color w:val="212121"/>
                <w:sz w:val="16"/>
              </w:rPr>
              <w:t>No recurrent disabling headache</w:t>
            </w:r>
          </w:p>
        </w:tc>
        <w:tc>
          <w:tcPr>
            <w:tcW w:type="dxa" w:w="950"/>
            <w:vAlign w:val="top"/>
          </w:tcPr>
          <w:p>
            <w:pPr>
              <w:spacing w:after="40" w:before="0" w:line="259" w:lineRule="auto"/>
            </w:pPr>
            <w:r>
              <w:rPr>
                <w:rFonts w:ascii="Calibri" w:hAnsi="Calibri"/>
                <w:b w:val="0"/>
                <w:i w:val="0"/>
                <w:color w:val="212121"/>
                <w:sz w:val="16"/>
              </w:rPr>
              <w:t>≥ 5 attacks meeting ICHD-3 criteria</w:t>
            </w:r>
          </w:p>
        </w:tc>
        <w:tc>
          <w:tcPr>
            <w:tcW w:type="dxa" w:w="1036"/>
            <w:vAlign w:val="top"/>
          </w:tcPr>
          <w:p>
            <w:pPr>
              <w:spacing w:after="40" w:before="0" w:line="259" w:lineRule="auto"/>
            </w:pPr>
            <w:r>
              <w:rPr>
                <w:rFonts w:ascii="Calibri" w:hAnsi="Calibri"/>
                <w:b w:val="0"/>
                <w:i w:val="0"/>
                <w:color w:val="212121"/>
                <w:sz w:val="16"/>
              </w:rPr>
              <w:t>Core clinical diagnosis of migraine without aura</w:t>
            </w:r>
          </w:p>
        </w:tc>
        <w:tc>
          <w:tcPr>
            <w:tcW w:type="dxa" w:w="1036"/>
            <w:vAlign w:val="top"/>
          </w:tcPr>
          <w:p>
            <w:pPr>
              <w:spacing w:after="40" w:before="0" w:line="259" w:lineRule="auto"/>
            </w:pPr>
            <w:r>
              <w:rPr>
                <w:rFonts w:ascii="Calibri" w:hAnsi="Calibri"/>
                <w:b w:val="0"/>
                <w:i w:val="0"/>
                <w:color w:val="212121"/>
                <w:sz w:val="16"/>
              </w:rPr>
              <w:t>Adults, women of reproductive age, students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Migraine is a clinical diagnosis by ICHD-3</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Aura history</w:t>
            </w:r>
          </w:p>
        </w:tc>
        <w:tc>
          <w:tcPr>
            <w:tcW w:type="dxa" w:w="979"/>
            <w:vAlign w:val="top"/>
          </w:tcPr>
          <w:p>
            <w:pPr>
              <w:spacing w:after="40" w:before="0" w:line="259" w:lineRule="auto"/>
            </w:pPr>
            <w:r>
              <w:rPr>
                <w:rFonts w:ascii="Calibri" w:hAnsi="Calibri"/>
                <w:b w:val="0"/>
                <w:i w:val="0"/>
                <w:color w:val="212121"/>
                <w:sz w:val="16"/>
              </w:rPr>
              <w:t>Reversible visual/sensory/speech symptoms</w:t>
            </w:r>
          </w:p>
        </w:tc>
        <w:tc>
          <w:tcPr>
            <w:tcW w:type="dxa" w:w="950"/>
            <w:vAlign w:val="top"/>
          </w:tcPr>
          <w:p>
            <w:pPr>
              <w:spacing w:after="40" w:before="0" w:line="259" w:lineRule="auto"/>
            </w:pPr>
            <w:r>
              <w:rPr>
                <w:rFonts w:ascii="Calibri" w:hAnsi="Calibri"/>
                <w:b w:val="0"/>
                <w:i w:val="0"/>
                <w:color w:val="212121"/>
                <w:sz w:val="16"/>
              </w:rPr>
              <w:t>No aura</w:t>
            </w:r>
          </w:p>
        </w:tc>
        <w:tc>
          <w:tcPr>
            <w:tcW w:type="dxa" w:w="950"/>
            <w:vAlign w:val="top"/>
          </w:tcPr>
          <w:p>
            <w:pPr>
              <w:spacing w:after="40" w:before="0" w:line="259" w:lineRule="auto"/>
            </w:pPr>
            <w:r>
              <w:rPr>
                <w:rFonts w:ascii="Calibri" w:hAnsi="Calibri"/>
                <w:b w:val="0"/>
                <w:i w:val="0"/>
                <w:color w:val="212121"/>
                <w:sz w:val="16"/>
              </w:rPr>
              <w:t>Fully reversible aura developing ≥5 min, lasting 5–60 min</w:t>
            </w:r>
          </w:p>
        </w:tc>
        <w:tc>
          <w:tcPr>
            <w:tcW w:type="dxa" w:w="1036"/>
            <w:vAlign w:val="top"/>
          </w:tcPr>
          <w:p>
            <w:pPr>
              <w:spacing w:after="40" w:before="0" w:line="259" w:lineRule="auto"/>
            </w:pPr>
            <w:r>
              <w:rPr>
                <w:rFonts w:ascii="Calibri" w:hAnsi="Calibri"/>
                <w:b w:val="0"/>
                <w:i w:val="0"/>
                <w:color w:val="212121"/>
                <w:sz w:val="16"/>
              </w:rPr>
              <w:t>Defines migraine with aura and flags stroke risk</w:t>
            </w:r>
          </w:p>
        </w:tc>
        <w:tc>
          <w:tcPr>
            <w:tcW w:type="dxa" w:w="1036"/>
            <w:vAlign w:val="top"/>
          </w:tcPr>
          <w:p>
            <w:pPr>
              <w:spacing w:after="40" w:before="0" w:line="259" w:lineRule="auto"/>
            </w:pPr>
            <w:r>
              <w:rPr>
                <w:rFonts w:ascii="Calibri" w:hAnsi="Calibri"/>
                <w:b w:val="0"/>
                <w:i w:val="0"/>
                <w:color w:val="212121"/>
                <w:sz w:val="16"/>
              </w:rPr>
              <w:t>Patients describing visual zigzags/scotoma, pins-and-needles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Sudden or persistent ‘aura’ or motor weakness needs urgent imaging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Trigger &amp; headache diary</w:t>
            </w:r>
          </w:p>
        </w:tc>
        <w:tc>
          <w:tcPr>
            <w:tcW w:type="dxa" w:w="979"/>
            <w:vAlign w:val="top"/>
          </w:tcPr>
          <w:p>
            <w:pPr>
              <w:spacing w:after="40" w:before="0" w:line="259" w:lineRule="auto"/>
            </w:pPr>
            <w:r>
              <w:rPr>
                <w:rFonts w:ascii="Calibri" w:hAnsi="Calibri"/>
                <w:b w:val="0"/>
                <w:i w:val="0"/>
                <w:color w:val="212121"/>
                <w:sz w:val="16"/>
              </w:rPr>
              <w:t>Stress, sleep, meals, menses, screen, weather</w:t>
            </w:r>
          </w:p>
        </w:tc>
        <w:tc>
          <w:tcPr>
            <w:tcW w:type="dxa" w:w="950"/>
            <w:vAlign w:val="top"/>
          </w:tcPr>
          <w:p>
            <w:pPr>
              <w:spacing w:after="40" w:before="0" w:line="259" w:lineRule="auto"/>
            </w:pPr>
            <w:r>
              <w:rPr>
                <w:rFonts w:ascii="Calibri" w:hAnsi="Calibri"/>
                <w:b w:val="0"/>
                <w:i w:val="0"/>
                <w:color w:val="212121"/>
                <w:sz w:val="16"/>
              </w:rPr>
              <w:t>No identifiable pattern</w:t>
            </w:r>
          </w:p>
        </w:tc>
        <w:tc>
          <w:tcPr>
            <w:tcW w:type="dxa" w:w="950"/>
            <w:vAlign w:val="top"/>
          </w:tcPr>
          <w:p>
            <w:pPr>
              <w:spacing w:after="40" w:before="0" w:line="259" w:lineRule="auto"/>
            </w:pPr>
            <w:r>
              <w:rPr>
                <w:rFonts w:ascii="Calibri" w:hAnsi="Calibri"/>
                <w:b w:val="0"/>
                <w:i w:val="0"/>
                <w:color w:val="212121"/>
                <w:sz w:val="16"/>
              </w:rPr>
              <w:t>Reproducible triggers and attack pattern</w:t>
            </w:r>
          </w:p>
        </w:tc>
        <w:tc>
          <w:tcPr>
            <w:tcW w:type="dxa" w:w="1036"/>
            <w:vAlign w:val="top"/>
          </w:tcPr>
          <w:p>
            <w:pPr>
              <w:spacing w:after="40" w:before="0" w:line="259" w:lineRule="auto"/>
            </w:pPr>
            <w:r>
              <w:rPr>
                <w:rFonts w:ascii="Calibri" w:hAnsi="Calibri"/>
                <w:b w:val="0"/>
                <w:i w:val="0"/>
                <w:color w:val="212121"/>
                <w:sz w:val="16"/>
              </w:rPr>
              <w:t>Guides individualised trigger avoidance and lifestyle therapy</w:t>
            </w:r>
          </w:p>
        </w:tc>
        <w:tc>
          <w:tcPr>
            <w:tcW w:type="dxa" w:w="1036"/>
            <w:vAlign w:val="top"/>
          </w:tcPr>
          <w:p>
            <w:pPr>
              <w:spacing w:after="40" w:before="0" w:line="259" w:lineRule="auto"/>
            </w:pPr>
            <w:r>
              <w:rPr>
                <w:rFonts w:ascii="Calibri" w:hAnsi="Calibri"/>
                <w:b w:val="0"/>
                <w:i w:val="0"/>
                <w:color w:val="212121"/>
                <w:sz w:val="16"/>
              </w:rPr>
              <w:t>All migraineurs, especially frequent attacks</w:t>
            </w:r>
          </w:p>
        </w:tc>
        <w:tc>
          <w:tcPr>
            <w:tcW w:type="dxa" w:w="720"/>
            <w:vAlign w:val="top"/>
          </w:tcPr>
          <w:p>
            <w:pPr>
              <w:spacing w:after="40" w:before="0" w:line="259" w:lineRule="auto"/>
            </w:pPr>
            <w:r>
              <w:rPr>
                <w:rFonts w:ascii="Calibri" w:hAnsi="Calibri"/>
                <w:b w:val="0"/>
                <w:i w:val="0"/>
                <w:color w:val="212121"/>
                <w:sz w:val="16"/>
              </w:rPr>
              <w:t>Sleep; Food; Mental health</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Diary also tracks days/month and medication use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Red-flag screen (SNNOOP10)</w:t>
            </w:r>
          </w:p>
        </w:tc>
        <w:tc>
          <w:tcPr>
            <w:tcW w:type="dxa" w:w="979"/>
            <w:vAlign w:val="top"/>
          </w:tcPr>
          <w:p>
            <w:pPr>
              <w:spacing w:after="40" w:before="0" w:line="259" w:lineRule="auto"/>
            </w:pPr>
            <w:r>
              <w:rPr>
                <w:rFonts w:ascii="Calibri" w:hAnsi="Calibri"/>
                <w:b w:val="0"/>
                <w:i w:val="0"/>
                <w:color w:val="212121"/>
                <w:sz w:val="16"/>
              </w:rPr>
              <w:t>Thunderclap, focal deficit, fever, age&gt;50, progressive, positional, Valsalva, pregnancy</w:t>
            </w:r>
          </w:p>
        </w:tc>
        <w:tc>
          <w:tcPr>
            <w:tcW w:type="dxa" w:w="950"/>
            <w:vAlign w:val="top"/>
          </w:tcPr>
          <w:p>
            <w:pPr>
              <w:spacing w:after="40" w:before="0" w:line="259" w:lineRule="auto"/>
            </w:pPr>
            <w:r>
              <w:rPr>
                <w:rFonts w:ascii="Calibri" w:hAnsi="Calibri"/>
                <w:b w:val="0"/>
                <w:i w:val="0"/>
                <w:color w:val="212121"/>
                <w:sz w:val="16"/>
              </w:rPr>
              <w:t>No red flags</w:t>
            </w:r>
          </w:p>
        </w:tc>
        <w:tc>
          <w:tcPr>
            <w:tcW w:type="dxa" w:w="950"/>
            <w:vAlign w:val="top"/>
          </w:tcPr>
          <w:p>
            <w:pPr>
              <w:spacing w:after="40" w:before="0" w:line="259" w:lineRule="auto"/>
            </w:pPr>
            <w:r>
              <w:rPr>
                <w:rFonts w:ascii="Calibri" w:hAnsi="Calibri"/>
                <w:b w:val="0"/>
                <w:i w:val="0"/>
                <w:color w:val="212121"/>
                <w:sz w:val="16"/>
              </w:rPr>
              <w:t>Any red flag present</w:t>
            </w:r>
          </w:p>
        </w:tc>
        <w:tc>
          <w:tcPr>
            <w:tcW w:type="dxa" w:w="1036"/>
            <w:vAlign w:val="top"/>
          </w:tcPr>
          <w:p>
            <w:pPr>
              <w:spacing w:after="40" w:before="0" w:line="259" w:lineRule="auto"/>
            </w:pPr>
            <w:r>
              <w:rPr>
                <w:rFonts w:ascii="Calibri" w:hAnsi="Calibri"/>
                <w:b w:val="0"/>
                <w:i w:val="0"/>
                <w:color w:val="212121"/>
                <w:sz w:val="16"/>
              </w:rPr>
              <w:t>Distinguishes primary migraine from dangerous secondary headache</w:t>
            </w:r>
          </w:p>
        </w:tc>
        <w:tc>
          <w:tcPr>
            <w:tcW w:type="dxa" w:w="1036"/>
            <w:vAlign w:val="top"/>
          </w:tcPr>
          <w:p>
            <w:pPr>
              <w:spacing w:after="40" w:before="0" w:line="259" w:lineRule="auto"/>
            </w:pPr>
            <w:r>
              <w:rPr>
                <w:rFonts w:ascii="Calibri" w:hAnsi="Calibri"/>
                <w:b w:val="0"/>
                <w:i w:val="0"/>
                <w:color w:val="212121"/>
                <w:sz w:val="16"/>
              </w:rPr>
              <w:t>Any patient with new, changed or alarming headache</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Red flags mandate urgent referral/imaging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Acute-medication use</w:t>
            </w:r>
          </w:p>
        </w:tc>
        <w:tc>
          <w:tcPr>
            <w:tcW w:type="dxa" w:w="979"/>
            <w:vAlign w:val="top"/>
          </w:tcPr>
          <w:p>
            <w:pPr>
              <w:spacing w:after="40" w:before="0" w:line="259" w:lineRule="auto"/>
            </w:pPr>
            <w:r>
              <w:rPr>
                <w:rFonts w:ascii="Calibri" w:hAnsi="Calibri"/>
                <w:b w:val="0"/>
                <w:i w:val="0"/>
                <w:color w:val="212121"/>
                <w:sz w:val="16"/>
              </w:rPr>
              <w:t>Days/month of analgesic or triptan use</w:t>
            </w:r>
          </w:p>
        </w:tc>
        <w:tc>
          <w:tcPr>
            <w:tcW w:type="dxa" w:w="950"/>
            <w:vAlign w:val="top"/>
          </w:tcPr>
          <w:p>
            <w:pPr>
              <w:spacing w:after="40" w:before="0" w:line="259" w:lineRule="auto"/>
            </w:pPr>
            <w:r>
              <w:rPr>
                <w:rFonts w:ascii="Calibri" w:hAnsi="Calibri"/>
                <w:b w:val="0"/>
                <w:i w:val="0"/>
                <w:color w:val="212121"/>
                <w:sz w:val="16"/>
              </w:rPr>
              <w:t>&lt; 10 days/month</w:t>
            </w:r>
          </w:p>
        </w:tc>
        <w:tc>
          <w:tcPr>
            <w:tcW w:type="dxa" w:w="950"/>
            <w:vAlign w:val="top"/>
          </w:tcPr>
          <w:p>
            <w:pPr>
              <w:spacing w:after="40" w:before="0" w:line="259" w:lineRule="auto"/>
            </w:pPr>
            <w:r>
              <w:rPr>
                <w:rFonts w:ascii="Calibri" w:hAnsi="Calibri"/>
                <w:b w:val="0"/>
                <w:i w:val="0"/>
                <w:color w:val="212121"/>
                <w:sz w:val="16"/>
              </w:rPr>
              <w:t>≥ 10–15 days/month (overuse)</w:t>
            </w:r>
          </w:p>
        </w:tc>
        <w:tc>
          <w:tcPr>
            <w:tcW w:type="dxa" w:w="1036"/>
            <w:vAlign w:val="top"/>
          </w:tcPr>
          <w:p>
            <w:pPr>
              <w:spacing w:after="40" w:before="0" w:line="259" w:lineRule="auto"/>
            </w:pPr>
            <w:r>
              <w:rPr>
                <w:rFonts w:ascii="Calibri" w:hAnsi="Calibri"/>
                <w:b w:val="0"/>
                <w:i w:val="0"/>
                <w:color w:val="212121"/>
                <w:sz w:val="16"/>
              </w:rPr>
              <w:t>Identifies medication-overuse headache driving chronification</w:t>
            </w:r>
          </w:p>
        </w:tc>
        <w:tc>
          <w:tcPr>
            <w:tcW w:type="dxa" w:w="1036"/>
            <w:vAlign w:val="top"/>
          </w:tcPr>
          <w:p>
            <w:pPr>
              <w:spacing w:after="40" w:before="0" w:line="259" w:lineRule="auto"/>
            </w:pPr>
            <w:r>
              <w:rPr>
                <w:rFonts w:ascii="Calibri" w:hAnsi="Calibri"/>
                <w:b w:val="0"/>
                <w:i w:val="0"/>
                <w:color w:val="212121"/>
                <w:sz w:val="16"/>
              </w:rPr>
              <w:t>Frequent/chronic migraine, self-medicating adults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Overuse must be addressed for prevention to work</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Menstrual/hormonal history</w:t>
            </w:r>
          </w:p>
        </w:tc>
        <w:tc>
          <w:tcPr>
            <w:tcW w:type="dxa" w:w="979"/>
            <w:vAlign w:val="top"/>
          </w:tcPr>
          <w:p>
            <w:pPr>
              <w:spacing w:after="40" w:before="0" w:line="259" w:lineRule="auto"/>
            </w:pPr>
            <w:r>
              <w:rPr>
                <w:rFonts w:ascii="Calibri" w:hAnsi="Calibri"/>
                <w:b w:val="0"/>
                <w:i w:val="0"/>
                <w:color w:val="212121"/>
                <w:sz w:val="16"/>
              </w:rPr>
              <w:t>Relation to menses, contraception, pregnancy</w:t>
            </w:r>
          </w:p>
        </w:tc>
        <w:tc>
          <w:tcPr>
            <w:tcW w:type="dxa" w:w="950"/>
            <w:vAlign w:val="top"/>
          </w:tcPr>
          <w:p>
            <w:pPr>
              <w:spacing w:after="40" w:before="0" w:line="259" w:lineRule="auto"/>
            </w:pPr>
            <w:r>
              <w:rPr>
                <w:rFonts w:ascii="Calibri" w:hAnsi="Calibri"/>
                <w:b w:val="0"/>
                <w:i w:val="0"/>
                <w:color w:val="212121"/>
                <w:sz w:val="16"/>
              </w:rPr>
              <w:t>No cyclical pattern</w:t>
            </w:r>
          </w:p>
        </w:tc>
        <w:tc>
          <w:tcPr>
            <w:tcW w:type="dxa" w:w="950"/>
            <w:vAlign w:val="top"/>
          </w:tcPr>
          <w:p>
            <w:pPr>
              <w:spacing w:after="40" w:before="0" w:line="259" w:lineRule="auto"/>
            </w:pPr>
            <w:r>
              <w:rPr>
                <w:rFonts w:ascii="Calibri" w:hAnsi="Calibri"/>
                <w:b w:val="0"/>
                <w:i w:val="0"/>
                <w:color w:val="212121"/>
                <w:sz w:val="16"/>
              </w:rPr>
              <w:t>Perimenstrual clustering of attacks</w:t>
            </w:r>
          </w:p>
        </w:tc>
        <w:tc>
          <w:tcPr>
            <w:tcW w:type="dxa" w:w="1036"/>
            <w:vAlign w:val="top"/>
          </w:tcPr>
          <w:p>
            <w:pPr>
              <w:spacing w:after="40" w:before="0" w:line="259" w:lineRule="auto"/>
            </w:pPr>
            <w:r>
              <w:rPr>
                <w:rFonts w:ascii="Calibri" w:hAnsi="Calibri"/>
                <w:b w:val="0"/>
                <w:i w:val="0"/>
                <w:color w:val="212121"/>
                <w:sz w:val="16"/>
              </w:rPr>
              <w:t>Identifies menstrual migraine and guides timing of therapy</w:t>
            </w:r>
          </w:p>
        </w:tc>
        <w:tc>
          <w:tcPr>
            <w:tcW w:type="dxa" w:w="1036"/>
            <w:vAlign w:val="top"/>
          </w:tcPr>
          <w:p>
            <w:pPr>
              <w:spacing w:after="40" w:before="0" w:line="259" w:lineRule="auto"/>
            </w:pPr>
            <w:r>
              <w:rPr>
                <w:rFonts w:ascii="Calibri" w:hAnsi="Calibri"/>
                <w:b w:val="0"/>
                <w:i w:val="0"/>
                <w:color w:val="212121"/>
                <w:sz w:val="16"/>
              </w:rPr>
              <w:t>Women of reproductive age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Aura + combined oral contraceptives raises stroke risk</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Neurological exam &amp; fundoscopy</w:t>
            </w:r>
          </w:p>
        </w:tc>
        <w:tc>
          <w:tcPr>
            <w:tcW w:type="dxa" w:w="979"/>
            <w:vAlign w:val="top"/>
          </w:tcPr>
          <w:p>
            <w:pPr>
              <w:spacing w:after="40" w:before="0" w:line="259" w:lineRule="auto"/>
            </w:pPr>
            <w:r>
              <w:rPr>
                <w:rFonts w:ascii="Calibri" w:hAnsi="Calibri"/>
                <w:b w:val="0"/>
                <w:i w:val="0"/>
                <w:color w:val="212121"/>
                <w:sz w:val="16"/>
              </w:rPr>
              <w:t>Focal deficits, papilledema, visual fields</w:t>
            </w:r>
          </w:p>
        </w:tc>
        <w:tc>
          <w:tcPr>
            <w:tcW w:type="dxa" w:w="950"/>
            <w:vAlign w:val="top"/>
          </w:tcPr>
          <w:p>
            <w:pPr>
              <w:spacing w:after="40" w:before="0" w:line="259" w:lineRule="auto"/>
            </w:pPr>
            <w:r>
              <w:rPr>
                <w:rFonts w:ascii="Calibri" w:hAnsi="Calibri"/>
                <w:b w:val="0"/>
                <w:i w:val="0"/>
                <w:color w:val="212121"/>
                <w:sz w:val="16"/>
              </w:rPr>
              <w:t>Normal exam between attacks; no papilledema</w:t>
            </w:r>
          </w:p>
        </w:tc>
        <w:tc>
          <w:tcPr>
            <w:tcW w:type="dxa" w:w="950"/>
            <w:vAlign w:val="top"/>
          </w:tcPr>
          <w:p>
            <w:pPr>
              <w:spacing w:after="40" w:before="0" w:line="259" w:lineRule="auto"/>
            </w:pPr>
            <w:r>
              <w:rPr>
                <w:rFonts w:ascii="Calibri" w:hAnsi="Calibri"/>
                <w:b w:val="0"/>
                <w:i w:val="0"/>
                <w:color w:val="212121"/>
                <w:sz w:val="16"/>
              </w:rPr>
              <w:t>Focal deficit or papilledema</w:t>
            </w:r>
          </w:p>
        </w:tc>
        <w:tc>
          <w:tcPr>
            <w:tcW w:type="dxa" w:w="1036"/>
            <w:vAlign w:val="top"/>
          </w:tcPr>
          <w:p>
            <w:pPr>
              <w:spacing w:after="40" w:before="0" w:line="259" w:lineRule="auto"/>
            </w:pPr>
            <w:r>
              <w:rPr>
                <w:rFonts w:ascii="Calibri" w:hAnsi="Calibri"/>
                <w:b w:val="0"/>
                <w:i w:val="0"/>
                <w:color w:val="212121"/>
                <w:sz w:val="16"/>
              </w:rPr>
              <w:t>Normal interictal exam supports migraine; abnormality suggests secondary cause</w:t>
            </w:r>
          </w:p>
        </w:tc>
        <w:tc>
          <w:tcPr>
            <w:tcW w:type="dxa" w:w="1036"/>
            <w:vAlign w:val="top"/>
          </w:tcPr>
          <w:p>
            <w:pPr>
              <w:spacing w:after="40" w:before="0" w:line="259" w:lineRule="auto"/>
            </w:pPr>
            <w:r>
              <w:rPr>
                <w:rFonts w:ascii="Calibri" w:hAnsi="Calibri"/>
                <w:b w:val="0"/>
                <w:i w:val="0"/>
                <w:color w:val="212121"/>
                <w:sz w:val="16"/>
              </w:rPr>
              <w:t>All patients at first assessment and on change of pattern</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Abnormal signs are a key red flag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Disability &amp; neck assessment</w:t>
            </w:r>
          </w:p>
        </w:tc>
        <w:tc>
          <w:tcPr>
            <w:tcW w:type="dxa" w:w="979"/>
            <w:vAlign w:val="top"/>
          </w:tcPr>
          <w:p>
            <w:pPr>
              <w:spacing w:after="40" w:before="0" w:line="259" w:lineRule="auto"/>
            </w:pPr>
            <w:r>
              <w:rPr>
                <w:rFonts w:ascii="Calibri" w:hAnsi="Calibri"/>
                <w:b w:val="0"/>
                <w:i w:val="0"/>
                <w:color w:val="212121"/>
                <w:sz w:val="16"/>
              </w:rPr>
              <w:t>MIDAS/HIT-6 score; pericranial/neck tenderness</w:t>
            </w:r>
          </w:p>
        </w:tc>
        <w:tc>
          <w:tcPr>
            <w:tcW w:type="dxa" w:w="950"/>
            <w:vAlign w:val="top"/>
          </w:tcPr>
          <w:p>
            <w:pPr>
              <w:spacing w:after="40" w:before="0" w:line="259" w:lineRule="auto"/>
            </w:pPr>
            <w:r>
              <w:rPr>
                <w:rFonts w:ascii="Calibri" w:hAnsi="Calibri"/>
                <w:b w:val="0"/>
                <w:i w:val="0"/>
                <w:color w:val="212121"/>
                <w:sz w:val="16"/>
              </w:rPr>
              <w:t>Low disability score; no significant tenderness</w:t>
            </w:r>
          </w:p>
        </w:tc>
        <w:tc>
          <w:tcPr>
            <w:tcW w:type="dxa" w:w="950"/>
            <w:vAlign w:val="top"/>
          </w:tcPr>
          <w:p>
            <w:pPr>
              <w:spacing w:after="40" w:before="0" w:line="259" w:lineRule="auto"/>
            </w:pPr>
            <w:r>
              <w:rPr>
                <w:rFonts w:ascii="Calibri" w:hAnsi="Calibri"/>
                <w:b w:val="0"/>
                <w:i w:val="0"/>
                <w:color w:val="212121"/>
                <w:sz w:val="16"/>
              </w:rPr>
              <w:t>High MIDAS/HIT-6; marked pericranial/neck tenderness</w:t>
            </w:r>
          </w:p>
        </w:tc>
        <w:tc>
          <w:tcPr>
            <w:tcW w:type="dxa" w:w="1036"/>
            <w:vAlign w:val="top"/>
          </w:tcPr>
          <w:p>
            <w:pPr>
              <w:spacing w:after="40" w:before="0" w:line="259" w:lineRule="auto"/>
            </w:pPr>
            <w:r>
              <w:rPr>
                <w:rFonts w:ascii="Calibri" w:hAnsi="Calibri"/>
                <w:b w:val="0"/>
                <w:i w:val="0"/>
                <w:color w:val="212121"/>
                <w:sz w:val="16"/>
              </w:rPr>
              <w:t>Quantifies burden and identifies posture/neck contributors</w:t>
            </w:r>
          </w:p>
        </w:tc>
        <w:tc>
          <w:tcPr>
            <w:tcW w:type="dxa" w:w="1036"/>
            <w:vAlign w:val="top"/>
          </w:tcPr>
          <w:p>
            <w:pPr>
              <w:spacing w:after="40" w:before="0" w:line="259" w:lineRule="auto"/>
            </w:pPr>
            <w:r>
              <w:rPr>
                <w:rFonts w:ascii="Calibri" w:hAnsi="Calibri"/>
                <w:b w:val="0"/>
                <w:i w:val="0"/>
                <w:color w:val="212121"/>
                <w:sz w:val="16"/>
              </w:rPr>
              <w:t>Frequent attacks, desk/IT workers, students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MIDAS ≥21 indicates severe disability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Unilateral, pulsating/throbbing headache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Classic migraine pain; may be bilateral, especially in children and chronic migraine.</w:t>
            </w:r>
          </w:p>
        </w:tc>
      </w:tr>
      <w:tr>
        <w:trPr>
          <w:cantSplit/>
        </w:trPr>
        <w:tc>
          <w:tcPr>
            <w:tcW w:type="dxa" w:w="2304"/>
            <w:vAlign w:val="top"/>
          </w:tcPr>
          <w:p>
            <w:pPr>
              <w:spacing w:after="40" w:before="0" w:line="259" w:lineRule="auto"/>
            </w:pPr>
            <w:r>
              <w:rPr>
                <w:rFonts w:ascii="Calibri" w:hAnsi="Calibri"/>
                <w:b/>
                <w:i w:val="0"/>
                <w:color w:val="212121"/>
                <w:sz w:val="19"/>
              </w:rPr>
              <w:t>Moderate-to-severe pain worsened by activity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Routine movement, bending or climbing stairs aggravates pain, leading to avoidance.</w:t>
            </w:r>
          </w:p>
        </w:tc>
      </w:tr>
      <w:tr>
        <w:trPr>
          <w:cantSplit/>
        </w:trPr>
        <w:tc>
          <w:tcPr>
            <w:tcW w:type="dxa" w:w="2304"/>
            <w:vAlign w:val="top"/>
          </w:tcPr>
          <w:p>
            <w:pPr>
              <w:spacing w:after="40" w:before="0" w:line="259" w:lineRule="auto"/>
            </w:pPr>
            <w:r>
              <w:rPr>
                <w:rFonts w:ascii="Calibri" w:hAnsi="Calibri"/>
                <w:b/>
                <w:i w:val="0"/>
                <w:color w:val="212121"/>
                <w:sz w:val="19"/>
              </w:rPr>
              <w:t>Nausea and/or vomiting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Prominent gastrointestinal accompaniment; can limit oral medication absorption.</w:t>
            </w:r>
          </w:p>
        </w:tc>
      </w:tr>
      <w:tr>
        <w:trPr>
          <w:cantSplit/>
        </w:trPr>
        <w:tc>
          <w:tcPr>
            <w:tcW w:type="dxa" w:w="2304"/>
            <w:vAlign w:val="top"/>
          </w:tcPr>
          <w:p>
            <w:pPr>
              <w:spacing w:after="40" w:before="0" w:line="259" w:lineRule="auto"/>
            </w:pPr>
            <w:r>
              <w:rPr>
                <w:rFonts w:ascii="Calibri" w:hAnsi="Calibri"/>
                <w:b/>
                <w:i w:val="0"/>
                <w:color w:val="212121"/>
                <w:sz w:val="19"/>
              </w:rPr>
              <w:t>Photophobia (light sensitivity)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Patients seek a dark room; one of the diagnostic associated features.</w:t>
            </w:r>
          </w:p>
        </w:tc>
      </w:tr>
      <w:tr>
        <w:trPr>
          <w:cantSplit/>
        </w:trPr>
        <w:tc>
          <w:tcPr>
            <w:tcW w:type="dxa" w:w="2304"/>
            <w:vAlign w:val="top"/>
          </w:tcPr>
          <w:p>
            <w:pPr>
              <w:spacing w:after="40" w:before="0" w:line="259" w:lineRule="auto"/>
            </w:pPr>
            <w:r>
              <w:rPr>
                <w:rFonts w:ascii="Calibri" w:hAnsi="Calibri"/>
                <w:b/>
                <w:i w:val="0"/>
                <w:color w:val="212121"/>
                <w:sz w:val="19"/>
              </w:rPr>
              <w:t>Phonophobia (sound sensitivity)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Sensitivity to noise; often paired with photophobia during attacks.</w:t>
            </w:r>
          </w:p>
        </w:tc>
      </w:tr>
      <w:tr>
        <w:trPr>
          <w:cantSplit/>
        </w:trPr>
        <w:tc>
          <w:tcPr>
            <w:tcW w:type="dxa" w:w="2304"/>
            <w:vAlign w:val="top"/>
          </w:tcPr>
          <w:p>
            <w:pPr>
              <w:spacing w:after="40" w:before="0" w:line="259" w:lineRule="auto"/>
            </w:pPr>
            <w:r>
              <w:rPr>
                <w:rFonts w:ascii="Calibri" w:hAnsi="Calibri"/>
                <w:b/>
                <w:i w:val="0"/>
                <w:color w:val="212121"/>
                <w:sz w:val="19"/>
              </w:rPr>
              <w:t>Prodrome (yawning, mood change, food cravings, neck stiffness)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Premonitory symptoms up to 24–48 h before the headache; yawning reported by ~34%.</w:t>
            </w:r>
          </w:p>
        </w:tc>
      </w:tr>
      <w:tr>
        <w:trPr>
          <w:cantSplit/>
        </w:trPr>
        <w:tc>
          <w:tcPr>
            <w:tcW w:type="dxa" w:w="2304"/>
            <w:vAlign w:val="top"/>
          </w:tcPr>
          <w:p>
            <w:pPr>
              <w:spacing w:after="40" w:before="0" w:line="259" w:lineRule="auto"/>
            </w:pPr>
            <w:r>
              <w:rPr>
                <w:rFonts w:ascii="Calibri" w:hAnsi="Calibri"/>
                <w:b/>
                <w:i w:val="0"/>
                <w:color w:val="212121"/>
                <w:sz w:val="19"/>
              </w:rPr>
              <w:t>Postdrome (fatigue, poor concentration, ‘hangover’)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Exhaustion and cognitive slowing after the pain resolves.</w:t>
            </w:r>
          </w:p>
        </w:tc>
      </w:tr>
      <w:tr>
        <w:trPr>
          <w:cantSplit/>
        </w:trPr>
        <w:tc>
          <w:tcPr>
            <w:tcW w:type="dxa" w:w="2304"/>
            <w:vAlign w:val="top"/>
          </w:tcPr>
          <w:p>
            <w:pPr>
              <w:spacing w:after="40" w:before="0" w:line="259" w:lineRule="auto"/>
            </w:pPr>
            <w:r>
              <w:rPr>
                <w:rFonts w:ascii="Calibri" w:hAnsi="Calibri"/>
                <w:b/>
                <w:i w:val="0"/>
                <w:color w:val="212121"/>
                <w:sz w:val="19"/>
              </w:rPr>
              <w:t>Visual aura (scintillating scotoma, zigzag lines)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Fully reversible, spreading over ≥5 min and lasting up to 60 min; occurs in ~25% of patients.</w:t>
            </w:r>
          </w:p>
        </w:tc>
      </w:tr>
      <w:tr>
        <w:trPr>
          <w:cantSplit/>
        </w:trPr>
        <w:tc>
          <w:tcPr>
            <w:tcW w:type="dxa" w:w="2304"/>
            <w:vAlign w:val="top"/>
          </w:tcPr>
          <w:p>
            <w:pPr>
              <w:spacing w:after="40" w:before="0" w:line="259" w:lineRule="auto"/>
            </w:pPr>
            <w:r>
              <w:rPr>
                <w:rFonts w:ascii="Calibri" w:hAnsi="Calibri"/>
                <w:b/>
                <w:i w:val="0"/>
                <w:color w:val="212121"/>
                <w:sz w:val="19"/>
              </w:rPr>
              <w:t>Sensory aura (pins-and-needles, numbness)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Paraesthesiae spreading slowly over one side of the body, often after visual aura.</w:t>
            </w:r>
          </w:p>
        </w:tc>
      </w:tr>
      <w:tr>
        <w:trPr>
          <w:cantSplit/>
        </w:trPr>
        <w:tc>
          <w:tcPr>
            <w:tcW w:type="dxa" w:w="2304"/>
            <w:vAlign w:val="top"/>
          </w:tcPr>
          <w:p>
            <w:pPr>
              <w:spacing w:after="40" w:before="0" w:line="259" w:lineRule="auto"/>
            </w:pPr>
            <w:r>
              <w:rPr>
                <w:rFonts w:ascii="Calibri" w:hAnsi="Calibri"/>
                <w:b/>
                <w:i w:val="0"/>
                <w:color w:val="212121"/>
                <w:sz w:val="19"/>
              </w:rPr>
              <w:t>Osmophobia (smell sensitivity)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Aversion to odours during attacks; fairly specific for migraine.</w:t>
            </w:r>
          </w:p>
        </w:tc>
      </w:tr>
      <w:tr>
        <w:trPr>
          <w:cantSplit/>
        </w:trPr>
        <w:tc>
          <w:tcPr>
            <w:tcW w:type="dxa" w:w="2304"/>
            <w:vAlign w:val="top"/>
          </w:tcPr>
          <w:p>
            <w:pPr>
              <w:spacing w:after="40" w:before="0" w:line="259" w:lineRule="auto"/>
            </w:pPr>
            <w:r>
              <w:rPr>
                <w:rFonts w:ascii="Calibri" w:hAnsi="Calibri"/>
                <w:b/>
                <w:i w:val="0"/>
                <w:color w:val="212121"/>
                <w:sz w:val="19"/>
              </w:rPr>
              <w:t>Cutaneous allodynia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Pain from normally non-painful stimuli (brushing hair, spectacles); marks central sensitisation.</w:t>
            </w:r>
          </w:p>
        </w:tc>
      </w:tr>
      <w:tr>
        <w:trPr>
          <w:cantSplit/>
        </w:trPr>
        <w:tc>
          <w:tcPr>
            <w:tcW w:type="dxa" w:w="2304"/>
            <w:vAlign w:val="top"/>
          </w:tcPr>
          <w:p>
            <w:pPr>
              <w:spacing w:after="40" w:before="0" w:line="259" w:lineRule="auto"/>
            </w:pPr>
            <w:r>
              <w:rPr>
                <w:rFonts w:ascii="Calibri" w:hAnsi="Calibri"/>
                <w:b/>
                <w:i w:val="0"/>
                <w:color w:val="212121"/>
                <w:sz w:val="19"/>
              </w:rPr>
              <w:t>Dizziness / vertigo</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Prominent in vestibular migraine; may occur with or without headache.</w:t>
            </w:r>
          </w:p>
        </w:tc>
      </w:tr>
      <w:tr>
        <w:trPr>
          <w:cantSplit/>
        </w:trPr>
        <w:tc>
          <w:tcPr>
            <w:tcW w:type="dxa" w:w="2304"/>
            <w:vAlign w:val="top"/>
          </w:tcPr>
          <w:p>
            <w:pPr>
              <w:spacing w:after="40" w:before="0" w:line="259" w:lineRule="auto"/>
            </w:pPr>
            <w:r>
              <w:rPr>
                <w:rFonts w:ascii="Calibri" w:hAnsi="Calibri"/>
                <w:b/>
                <w:i w:val="0"/>
                <w:color w:val="212121"/>
                <w:sz w:val="19"/>
              </w:rPr>
              <w:t>Speech/language disturbance (aphasic aura)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Transient word-finding difficulty as an aura symptom.</w:t>
            </w:r>
          </w:p>
        </w:tc>
      </w:tr>
      <w:tr>
        <w:trPr>
          <w:cantSplit/>
        </w:trPr>
        <w:tc>
          <w:tcPr>
            <w:tcW w:type="dxa" w:w="2304"/>
            <w:vAlign w:val="top"/>
          </w:tcPr>
          <w:p>
            <w:pPr>
              <w:spacing w:after="40" w:before="0" w:line="259" w:lineRule="auto"/>
            </w:pPr>
            <w:r>
              <w:rPr>
                <w:rFonts w:ascii="Calibri" w:hAnsi="Calibri"/>
                <w:b/>
                <w:i w:val="0"/>
                <w:color w:val="212121"/>
                <w:sz w:val="19"/>
              </w:rPr>
              <w:t>Motor weakness (hemiplegic migraine)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Reversible unilateral weakness; requires exclusion of stroke and specialist assessment.</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Normal neurological examination between attacks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Hallmark of primary migraine; any persistent abnormal sign points to a secondary cause.</w:t>
            </w:r>
          </w:p>
        </w:tc>
      </w:tr>
      <w:tr>
        <w:trPr>
          <w:cantSplit/>
        </w:trPr>
        <w:tc>
          <w:tcPr>
            <w:tcW w:type="dxa" w:w="3456"/>
            <w:vAlign w:val="top"/>
          </w:tcPr>
          <w:p>
            <w:pPr>
              <w:spacing w:after="40" w:before="0" w:line="259" w:lineRule="auto"/>
            </w:pPr>
            <w:r>
              <w:rPr>
                <w:rFonts w:ascii="Calibri" w:hAnsi="Calibri"/>
                <w:b/>
                <w:i w:val="0"/>
                <w:color w:val="212121"/>
                <w:sz w:val="19"/>
              </w:rPr>
              <w:t>Photophobic/phonophobic behaviour (seeks dark, quiet room)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Observed during an attack; patient avoids light and noise.</w:t>
            </w:r>
          </w:p>
        </w:tc>
      </w:tr>
      <w:tr>
        <w:trPr>
          <w:cantSplit/>
        </w:trPr>
        <w:tc>
          <w:tcPr>
            <w:tcW w:type="dxa" w:w="3456"/>
            <w:vAlign w:val="top"/>
          </w:tcPr>
          <w:p>
            <w:pPr>
              <w:spacing w:after="40" w:before="0" w:line="259" w:lineRule="auto"/>
            </w:pPr>
            <w:r>
              <w:rPr>
                <w:rFonts w:ascii="Calibri" w:hAnsi="Calibri"/>
                <w:b/>
                <w:i w:val="0"/>
                <w:color w:val="212121"/>
                <w:sz w:val="19"/>
              </w:rPr>
              <w:t>Pericranial / scalp muscle 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Tenderness of temporalis and neck muscles, especially in frequent or chronic migraine.</w:t>
            </w:r>
          </w:p>
        </w:tc>
      </w:tr>
      <w:tr>
        <w:trPr>
          <w:cantSplit/>
        </w:trPr>
        <w:tc>
          <w:tcPr>
            <w:tcW w:type="dxa" w:w="3456"/>
            <w:vAlign w:val="top"/>
          </w:tcPr>
          <w:p>
            <w:pPr>
              <w:spacing w:after="40" w:before="0" w:line="259" w:lineRule="auto"/>
            </w:pPr>
            <w:r>
              <w:rPr>
                <w:rFonts w:ascii="Calibri" w:hAnsi="Calibri"/>
                <w:b/>
                <w:i w:val="0"/>
                <w:color w:val="212121"/>
                <w:sz w:val="19"/>
              </w:rPr>
              <w:t>Absence of papilledema on fundoscopy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Reassuring; papilledema would indicate raised intracranial pressure and a secondary cause.</w:t>
            </w:r>
          </w:p>
        </w:tc>
      </w:tr>
      <w:tr>
        <w:trPr>
          <w:cantSplit/>
        </w:trPr>
        <w:tc>
          <w:tcPr>
            <w:tcW w:type="dxa" w:w="3456"/>
            <w:vAlign w:val="top"/>
          </w:tcPr>
          <w:p>
            <w:pPr>
              <w:spacing w:after="40" w:before="0" w:line="259" w:lineRule="auto"/>
            </w:pPr>
            <w:r>
              <w:rPr>
                <w:rFonts w:ascii="Calibri" w:hAnsi="Calibri"/>
                <w:b/>
                <w:i w:val="0"/>
                <w:color w:val="212121"/>
                <w:sz w:val="19"/>
              </w:rPr>
              <w:t>Nausea/retching or vomiting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Autonomic accompaniment observable during severe attacks.</w:t>
            </w:r>
          </w:p>
        </w:tc>
      </w:tr>
      <w:tr>
        <w:trPr>
          <w:cantSplit/>
        </w:trPr>
        <w:tc>
          <w:tcPr>
            <w:tcW w:type="dxa" w:w="3456"/>
            <w:vAlign w:val="top"/>
          </w:tcPr>
          <w:p>
            <w:pPr>
              <w:spacing w:after="40" w:before="0" w:line="259" w:lineRule="auto"/>
            </w:pPr>
            <w:r>
              <w:rPr>
                <w:rFonts w:ascii="Calibri" w:hAnsi="Calibri"/>
                <w:b/>
                <w:i w:val="0"/>
                <w:color w:val="212121"/>
                <w:sz w:val="19"/>
              </w:rPr>
              <w:t>Cutaneous allodynia on examination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Tenderness of scalp/face to light touch during attacks; sign of central sensitisation.</w:t>
            </w:r>
          </w:p>
        </w:tc>
      </w:tr>
      <w:tr>
        <w:trPr>
          <w:cantSplit/>
        </w:trPr>
        <w:tc>
          <w:tcPr>
            <w:tcW w:type="dxa" w:w="3456"/>
            <w:vAlign w:val="top"/>
          </w:tcPr>
          <w:p>
            <w:pPr>
              <w:spacing w:after="40" w:before="0" w:line="259" w:lineRule="auto"/>
            </w:pPr>
            <w:r>
              <w:rPr>
                <w:rFonts w:ascii="Calibri" w:hAnsi="Calibri"/>
                <w:b/>
                <w:i w:val="0"/>
                <w:color w:val="212121"/>
                <w:sz w:val="19"/>
              </w:rPr>
              <w:t>Pallor, cool extremities, autonomic changes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Non-specific autonomic features accompanying severe attacks.</w:t>
            </w:r>
          </w:p>
        </w:tc>
      </w:tr>
      <w:tr>
        <w:trPr>
          <w:cantSplit/>
        </w:trPr>
        <w:tc>
          <w:tcPr>
            <w:tcW w:type="dxa" w:w="3456"/>
            <w:vAlign w:val="top"/>
          </w:tcPr>
          <w:p>
            <w:pPr>
              <w:spacing w:after="40" w:before="0" w:line="259" w:lineRule="auto"/>
            </w:pPr>
            <w:r>
              <w:rPr>
                <w:rFonts w:ascii="Calibri" w:hAnsi="Calibri"/>
                <w:b/>
                <w:i w:val="0"/>
                <w:color w:val="212121"/>
                <w:sz w:val="19"/>
              </w:rPr>
              <w:t>Transient visual field or hemisensory signs during aura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Objective but fully reversible deficits time-locked to the aura.</w:t>
            </w:r>
          </w:p>
        </w:tc>
      </w:tr>
      <w:tr>
        <w:trPr>
          <w:cantSplit/>
        </w:trPr>
        <w:tc>
          <w:tcPr>
            <w:tcW w:type="dxa" w:w="3456"/>
            <w:vAlign w:val="top"/>
          </w:tcPr>
          <w:p>
            <w:pPr>
              <w:spacing w:after="40" w:before="0" w:line="259" w:lineRule="auto"/>
            </w:pPr>
            <w:r>
              <w:rPr>
                <w:rFonts w:ascii="Calibri" w:hAnsi="Calibri"/>
                <w:b/>
                <w:i w:val="0"/>
                <w:color w:val="212121"/>
                <w:sz w:val="19"/>
              </w:rPr>
              <w:t>Cranial autonomic features (lacrimation, conjunctival injection)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Mild ipsilateral autonomic signs may occur; prominent features suggest trigeminal autonomic cephalalgia.</w:t>
            </w:r>
          </w:p>
        </w:tc>
      </w:tr>
      <w:tr>
        <w:trPr>
          <w:cantSplit/>
        </w:trPr>
        <w:tc>
          <w:tcPr>
            <w:tcW w:type="dxa" w:w="3456"/>
            <w:vAlign w:val="top"/>
          </w:tcPr>
          <w:p>
            <w:pPr>
              <w:spacing w:after="40" w:before="0" w:line="259" w:lineRule="auto"/>
            </w:pPr>
            <w:r>
              <w:rPr>
                <w:rFonts w:ascii="Calibri" w:hAnsi="Calibri"/>
                <w:b/>
                <w:i w:val="0"/>
                <w:color w:val="212121"/>
                <w:sz w:val="19"/>
              </w:rPr>
              <w:t>Persistent focal deficit (weakness, aphasia)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Seen in hemiplegic migraine; a red flag requiring exclusion of stroke by imaging.</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Status migrainosus (debilitating attack lasting &gt; 72 hours)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dehydration and electrolyte disturbance from persistent vomiting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functional incapacity / bed rest during attacks</w:t>
            </w:r>
          </w:p>
        </w:tc>
        <w:tc>
          <w:tcPr>
            <w:tcW w:type="dxa" w:w="2980"/>
            <w:vAlign w:val="top"/>
          </w:tcPr>
          <w:p>
            <w:pPr>
              <w:spacing w:after="40" w:before="0" w:line="259" w:lineRule="auto"/>
            </w:pPr>
            <w:r>
              <w:rPr>
                <w:rFonts w:ascii="Calibri" w:hAnsi="Calibri"/>
                <w:b w:val="0"/>
                <w:i w:val="0"/>
                <w:color w:val="212121"/>
                <w:sz w:val="19"/>
              </w:rPr>
              <w:t>Direct consequences of a severe or prolonged acute attack</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from episodic to chronic migraine (≥15 headache days/month)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Medication-overuse headache from frequent acute analgesic/triptan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Comorbid depression and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Insomnia and other sleep disorders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aura without infarction (&gt;1 week)</w:t>
            </w:r>
          </w:p>
        </w:tc>
        <w:tc>
          <w:tcPr>
            <w:tcW w:type="dxa" w:w="2980"/>
            <w:vAlign w:val="top"/>
          </w:tcPr>
          <w:p>
            <w:pPr>
              <w:spacing w:after="40" w:before="0" w:line="259" w:lineRule="auto"/>
            </w:pPr>
            <w:r>
              <w:rPr>
                <w:rFonts w:ascii="Calibri" w:hAnsi="Calibri"/>
                <w:b w:val="0"/>
                <w:i w:val="0"/>
                <w:color w:val="212121"/>
                <w:sz w:val="19"/>
              </w:rPr>
              <w:t>Result from recurrent attacks, central sensitisation, medication overuse and comorbidity</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Migrainous infarction (ischaemic stroke, particularly in migraine with aura)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Migraine aura-triggered seizure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White-matter hyperintensities on MRI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Substantial occupational and economic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quality of life and long-term psychiatric morbidity</w:t>
            </w:r>
          </w:p>
        </w:tc>
        <w:tc>
          <w:tcPr>
            <w:tcW w:type="dxa" w:w="2980"/>
            <w:vAlign w:val="top"/>
          </w:tcPr>
          <w:p>
            <w:pPr>
              <w:spacing w:after="40" w:before="0" w:line="259" w:lineRule="auto"/>
            </w:pPr>
            <w:r>
              <w:rPr>
                <w:rFonts w:ascii="Calibri" w:hAnsi="Calibri"/>
                <w:b w:val="0"/>
                <w:i w:val="0"/>
                <w:color w:val="212121"/>
                <w:sz w:val="19"/>
              </w:rPr>
              <w:t>Irreversible or long-term outcomes of severe, chronic or aura-predominant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Anxiety disorders</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Bidirectional link; anxiety worsens attack frequency and chronification.</w:t>
            </w:r>
          </w:p>
          <w:p>
            <w:pPr>
              <w:spacing w:after="40" w:before="0" w:line="259" w:lineRule="auto"/>
            </w:pPr>
            <w:r>
              <w:rPr>
                <w:rFonts w:ascii="Calibri" w:hAnsi="Calibri"/>
                <w:b/>
                <w:i w:val="0"/>
                <w:color w:val="212121"/>
                <w:sz w:val="19"/>
              </w:rPr>
              <w:t>~20% episodic, 30–50% chronic</w:t>
            </w:r>
          </w:p>
        </w:tc>
      </w:tr>
      <w:tr>
        <w:trPr>
          <w:cantSplit/>
        </w:trPr>
        <w:tc>
          <w:tcPr>
            <w:tcW w:type="dxa" w:w="2232"/>
            <w:vAlign w:val="top"/>
          </w:tcPr>
          <w:p>
            <w:pPr>
              <w:spacing w:after="40" w:before="0" w:line="259" w:lineRule="auto"/>
            </w:pPr>
            <w:r>
              <w:rPr>
                <w:rFonts w:ascii="Calibri" w:hAnsi="Calibri"/>
                <w:b/>
                <w:i w:val="0"/>
                <w:color w:val="212121"/>
                <w:sz w:val="19"/>
              </w:rPr>
              <w:t>Depression</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Shared biology; migraineurs are about 5× more likely to develop depression.</w:t>
            </w:r>
          </w:p>
          <w:p>
            <w:pPr>
              <w:spacing w:after="40" w:before="0" w:line="259" w:lineRule="auto"/>
            </w:pPr>
            <w:r>
              <w:rPr>
                <w:rFonts w:ascii="Calibri" w:hAnsi="Calibri"/>
                <w:b/>
                <w:i w:val="0"/>
                <w:color w:val="212121"/>
                <w:sz w:val="19"/>
              </w:rPr>
              <w:t>~20% (episodic)</w:t>
            </w:r>
          </w:p>
        </w:tc>
      </w:tr>
      <w:tr>
        <w:trPr>
          <w:cantSplit/>
        </w:trPr>
        <w:tc>
          <w:tcPr>
            <w:tcW w:type="dxa" w:w="2232"/>
            <w:vAlign w:val="top"/>
          </w:tcPr>
          <w:p>
            <w:pPr>
              <w:spacing w:after="40" w:before="0" w:line="259" w:lineRule="auto"/>
            </w:pPr>
            <w:r>
              <w:rPr>
                <w:rFonts w:ascii="Calibri" w:hAnsi="Calibri"/>
                <w:b/>
                <w:i w:val="0"/>
                <w:color w:val="212121"/>
                <w:sz w:val="19"/>
              </w:rPr>
              <w:t>Tension-type headache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Frequently coexists with migraine and complicates diagnosis.</w:t>
            </w:r>
          </w:p>
          <w:p>
            <w:pPr>
              <w:spacing w:after="40" w:before="0" w:line="259" w:lineRule="auto"/>
            </w:pPr>
            <w:r>
              <w:rPr>
                <w:rFonts w:ascii="Calibri" w:hAnsi="Calibri"/>
                <w:b/>
                <w:i w:val="0"/>
                <w:color w:val="212121"/>
                <w:sz w:val="19"/>
              </w:rPr>
              <w:t>Up to ~34% (community)</w:t>
            </w:r>
          </w:p>
        </w:tc>
      </w:tr>
      <w:tr>
        <w:trPr>
          <w:cantSplit/>
        </w:trPr>
        <w:tc>
          <w:tcPr>
            <w:tcW w:type="dxa" w:w="2232"/>
            <w:vAlign w:val="top"/>
          </w:tcPr>
          <w:p>
            <w:pPr>
              <w:spacing w:after="40" w:before="0" w:line="259" w:lineRule="auto"/>
            </w:pPr>
            <w:r>
              <w:rPr>
                <w:rFonts w:ascii="Calibri" w:hAnsi="Calibri"/>
                <w:b/>
                <w:i w:val="0"/>
                <w:color w:val="212121"/>
                <w:sz w:val="19"/>
              </w:rPr>
              <w:t>Medication-overuse headache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Overuse of acute drugs converts episodic to chronic daily headache.</w:t>
            </w:r>
          </w:p>
          <w:p>
            <w:pPr>
              <w:spacing w:after="40" w:before="0" w:line="259" w:lineRule="auto"/>
            </w:pPr>
            <w:r>
              <w:rPr>
                <w:rFonts w:ascii="Calibri" w:hAnsi="Calibri"/>
                <w:b/>
                <w:i w:val="0"/>
                <w:color w:val="212121"/>
                <w:sz w:val="19"/>
              </w:rPr>
              <w:t>~1.2–3.0% (community)</w:t>
            </w:r>
          </w:p>
        </w:tc>
      </w:tr>
      <w:tr>
        <w:trPr>
          <w:cantSplit/>
        </w:trPr>
        <w:tc>
          <w:tcPr>
            <w:tcW w:type="dxa" w:w="2232"/>
            <w:vAlign w:val="top"/>
          </w:tcPr>
          <w:p>
            <w:pPr>
              <w:spacing w:after="40" w:before="0" w:line="259" w:lineRule="auto"/>
            </w:pPr>
            <w:r>
              <w:rPr>
                <w:rFonts w:ascii="Calibri" w:hAnsi="Calibri"/>
                <w:b/>
                <w:i w:val="0"/>
                <w:color w:val="212121"/>
                <w:sz w:val="19"/>
              </w:rPr>
              <w:t>Insomnia / sleep disorders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Bidirectional; poor sleep both triggers and results from migraine.</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Modifiable risk factor for progression to chronic migraine.</w:t>
            </w:r>
          </w:p>
          <w:p>
            <w:pPr>
              <w:spacing w:after="40" w:before="0" w:line="259" w:lineRule="auto"/>
            </w:pPr>
            <w:r>
              <w:rPr>
                <w:rFonts w:ascii="Calibri" w:hAnsi="Calibri"/>
                <w:b/>
                <w:i w:val="0"/>
                <w:color w:val="212121"/>
                <w:sz w:val="19"/>
              </w:rPr>
              <w:t>~5× chronic-headache risk if obese</w:t>
            </w:r>
          </w:p>
        </w:tc>
      </w:tr>
      <w:tr>
        <w:trPr>
          <w:cantSplit/>
        </w:trPr>
        <w:tc>
          <w:tcPr>
            <w:tcW w:type="dxa" w:w="2232"/>
            <w:vAlign w:val="top"/>
          </w:tcPr>
          <w:p>
            <w:pPr>
              <w:spacing w:after="40" w:before="0" w:line="259" w:lineRule="auto"/>
            </w:pPr>
            <w:r>
              <w:rPr>
                <w:rFonts w:ascii="Calibri" w:hAnsi="Calibri"/>
                <w:b/>
                <w:i w:val="0"/>
                <w:color w:val="212121"/>
                <w:sz w:val="19"/>
              </w:rPr>
              <w:t>Ischaemic stroke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Increased risk, especially migraine with aura and in young women on oestrogen contraception.</w:t>
            </w:r>
          </w:p>
          <w:p>
            <w:pPr>
              <w:spacing w:after="40" w:before="0" w:line="259" w:lineRule="auto"/>
            </w:pPr>
            <w:r>
              <w:rPr>
                <w:rFonts w:ascii="Calibri" w:hAnsi="Calibri"/>
                <w:b/>
                <w:i w:val="0"/>
                <w:color w:val="212121"/>
                <w:sz w:val="19"/>
              </w:rPr>
              <w:t>Pooled RR ~1.64 (ischaemic stroke)</w:t>
            </w:r>
          </w:p>
        </w:tc>
      </w:tr>
      <w:tr>
        <w:trPr>
          <w:cantSplit/>
        </w:trPr>
        <w:tc>
          <w:tcPr>
            <w:tcW w:type="dxa" w:w="2232"/>
            <w:vAlign w:val="top"/>
          </w:tcPr>
          <w:p>
            <w:pPr>
              <w:spacing w:after="40" w:before="0" w:line="259" w:lineRule="auto"/>
            </w:pPr>
            <w:r>
              <w:rPr>
                <w:rFonts w:ascii="Calibri" w:hAnsi="Calibri"/>
                <w:b/>
                <w:i w:val="0"/>
                <w:color w:val="212121"/>
                <w:sz w:val="19"/>
              </w:rPr>
              <w:t>Patent foramen ovale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Associated with migraine with aura, though closure is not routinely indicated.</w:t>
            </w:r>
          </w:p>
          <w:p>
            <w:pPr>
              <w:spacing w:after="40" w:before="0" w:line="259" w:lineRule="auto"/>
            </w:pPr>
            <w:r>
              <w:rPr>
                <w:rFonts w:ascii="Calibri" w:hAnsi="Calibri"/>
                <w:b/>
                <w:i w:val="0"/>
                <w:color w:val="212121"/>
                <w:sz w:val="19"/>
              </w:rPr>
              <w:t>Up to ~40–50% in migraine with aura</w:t>
            </w:r>
          </w:p>
        </w:tc>
      </w:tr>
      <w:tr>
        <w:trPr>
          <w:cantSplit/>
        </w:trPr>
        <w:tc>
          <w:tcPr>
            <w:tcW w:type="dxa" w:w="2232"/>
            <w:vAlign w:val="top"/>
          </w:tcPr>
          <w:p>
            <w:pPr>
              <w:spacing w:after="40" w:before="0" w:line="259" w:lineRule="auto"/>
            </w:pPr>
            <w:r>
              <w:rPr>
                <w:rFonts w:ascii="Calibri" w:hAnsi="Calibri"/>
                <w:b/>
                <w:i w:val="0"/>
                <w:color w:val="212121"/>
                <w:sz w:val="19"/>
              </w:rPr>
              <w:t>Menstrual/hormonal disorders</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Oestrogen withdrawal drives perimenstrual attacks.</w:t>
            </w:r>
          </w:p>
          <w:p>
            <w:pPr>
              <w:spacing w:after="40" w:before="0" w:line="259" w:lineRule="auto"/>
            </w:pPr>
            <w:r>
              <w:rPr>
                <w:rFonts w:ascii="Calibri" w:hAnsi="Calibri"/>
                <w:b/>
                <w:i w:val="0"/>
                <w:color w:val="212121"/>
                <w:sz w:val="19"/>
              </w:rPr>
              <w:t>~6% of reproductive-age women</w:t>
            </w:r>
          </w:p>
        </w:tc>
      </w:tr>
      <w:tr>
        <w:trPr>
          <w:cantSplit/>
        </w:trPr>
        <w:tc>
          <w:tcPr>
            <w:tcW w:type="dxa" w:w="2232"/>
            <w:vAlign w:val="top"/>
          </w:tcPr>
          <w:p>
            <w:pPr>
              <w:spacing w:after="40" w:before="0" w:line="259" w:lineRule="auto"/>
            </w:pPr>
            <w:r>
              <w:rPr>
                <w:rFonts w:ascii="Calibri" w:hAnsi="Calibri"/>
                <w:b/>
                <w:i w:val="0"/>
                <w:color w:val="212121"/>
                <w:sz w:val="19"/>
              </w:rPr>
              <w:t>Epilepsy</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Shares neuronal hyperexcitability; the two conditions are comorbid.</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migraine is a genuine neurological disorder and largely self-manageable with lifestyle measures, trigger control and appropriate acute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headache and trigger diary to identify personal triggers (stress, sleep, meals, screen time, menstrual cycle, weather) and track headache days per month.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red flags that need urgent medical care: sudden ‘thunderclap’ (worst-ever) headache, headache with fever and stiff neck, new focal weakness/numbness/speech or vision loss, new headache after age 50, or headache worsening with cough/straining or posture.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overusing painkillers or triptans (limit to fewer than 10–15 days/month) to prevent medication-overuse (rebound) headache.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stress, skipped meals, poor sleep, dehydration and excess/withdrawal of caffeine are the commonest precipitants and are modifiable.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 with migraine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of reproductive 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 &amp; IT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 self-medicators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Engage in regular moderate aerobic exercise (brisk walking, cycling, swimming) for ≥150 minutes/week, which reduces attack frequency.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Introduce exercise gradually and stay hydrated to avoid exertion- or dehydration-triggered attacks.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posture breaks and neck/shoulder stretches during prolonged desk or screen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gradual weight reduction in overweight/obese individuals to lower the risk of progression to chronic migraine.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&amp; desk/IT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migraineurs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Frequent-attack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regular, balanced meals and avoid skipping meals or prolonged fasting, which is a very common trigger.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particularly in hot weather and with physical exertion.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Identify and moderate individual dietary triggers (aged cheese, chocolate, MSG/processed foods, fermented foods, red wine) using a diary rather than blanket elimination.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caffeine intake modest and consistent (≤200 mg/day) and avoid abrupt withdrawal.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Meal-skippers &amp; those who fast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 caffeine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 &amp; shift workers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regular sleep schedule with 7–9 hours per night, including on weekends and holidays.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both sleep deprivation and oversleeping, and ‘sleeping in’ late, which can trigger attacks.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good sleep hygiene: fixed bed/wake times, limit screens and caffeine before bed, and a dark, quiet bedroom.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insomnia and, where suspected, obstructive sleep apnoea, given the bidirectional link with migraine.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&amp; night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insomnia</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stress-management techniques — relaxation training, mindfulness, biofeedback and cognitive behavioural therapy — which have evidence for reducing migraine.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Anticipate the post-stress ‘let-down’ pattern and keep routines (sleep, meals, hydration) stable during and after high-stress periods.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comorbid depression and anxiety, which worsen frequency and drive chronification.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professional help for persistent low mood or anxiety, since these are common and treatable in migraine.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High-stress workers &amp;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migraine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Migraineurs with depression/anxiety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and avoid second-hand smoke and strong odours, which can precipitate attacks.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Smoking cessation is especially important in migraine with aura, which already carries increased vascular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Migraine with aura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exposed to smoke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or avoid alcohol, particularly red wine, which is a recognised trigger.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hydration when consuming alcohol, and note personal thresholds using a diary.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Alcohol/red-wine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Frequent-attack patients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springer.com/article/10.1186/s10194-025-02112-1" TargetMode="External"/><Relationship Id="rId10" Type="http://schemas.openxmlformats.org/officeDocument/2006/relationships/hyperlink" Target="https://www.ncbi.nlm.nih.gov/books/NBK560787/" TargetMode="External"/><Relationship Id="rId11" Type="http://schemas.openxmlformats.org/officeDocument/2006/relationships/hyperlink" Target="https://link.springer.com/article/10.1186/s10194-015-0549-x" TargetMode="External"/><Relationship Id="rId12" Type="http://schemas.openxmlformats.org/officeDocument/2006/relationships/hyperlink" Target="https://pubmed.ncbi.nlm.nih.gov/38943062/" TargetMode="External"/><Relationship Id="rId13" Type="http://schemas.openxmlformats.org/officeDocument/2006/relationships/hyperlink" Target="https://imsear.searo.who.int/items/d15516a7-a01f-4eab-91fe-20cbad52a3fb/full" TargetMode="External"/><Relationship Id="rId14" Type="http://schemas.openxmlformats.org/officeDocument/2006/relationships/hyperlink" Target="https://journals.sagepub.com/doi/10.1111/j.1468-2982.2007.01303.x" TargetMode="External"/><Relationship Id="rId15" Type="http://schemas.openxmlformats.org/officeDocument/2006/relationships/hyperlink" Target="https://www.mdpi.com/2072-6643/12/8/2259" TargetMode="External"/><Relationship Id="rId16" Type="http://schemas.openxmlformats.org/officeDocument/2006/relationships/hyperlink" Target="https://americanmigrainefoundation.org/resource-library/link-between-migraine-depression-anxiety/" TargetMode="External"/><Relationship Id="rId17" Type="http://schemas.openxmlformats.org/officeDocument/2006/relationships/hyperlink" Target="https://americanmigrainefoundation.org/resource-library/migraine-obesity/" TargetMode="External"/><Relationship Id="rId18" Type="http://schemas.openxmlformats.org/officeDocument/2006/relationships/hyperlink" Target="https://link.springer.com/article/10.1186/s10194-023-01664-4" TargetMode="External"/><Relationship Id="rId19" Type="http://schemas.openxmlformats.org/officeDocument/2006/relationships/hyperlink" Target="https://ichd-3.org/1-migraine/1-3-chronic-migraine/" TargetMode="External"/><Relationship Id="rId20" Type="http://schemas.openxmlformats.org/officeDocument/2006/relationships/hyperlink" Target="https://www.merckmanuals.com/professional/neurologic-disorders/headache/migra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