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Epilepsy</w:t>
      </w:r>
    </w:p>
    <w:p>
      <w:pPr>
        <w:spacing w:before="0" w:after="160"/>
      </w:pPr>
      <w:r>
        <w:rPr>
          <w:rFonts w:ascii="Calibri" w:hAnsi="Calibri"/>
          <w:b/>
          <w:i w:val="0"/>
          <w:color w:val="212121"/>
          <w:sz w:val="22"/>
        </w:rPr>
        <w:t xml:space="preserve">AKA </w:t>
      </w:r>
      <w:r>
        <w:rPr>
          <w:rFonts w:ascii="Calibri" w:hAnsi="Calibri"/>
          <w:b w:val="0"/>
          <w:i w:val="0"/>
          <w:color w:val="212121"/>
          <w:sz w:val="22"/>
        </w:rPr>
        <w:t>i.e., Seizure disorder, Recurrent/unprovoked seizures, Fits, Convulsive disorder; lay terms “Mirgi” / “Apasmara”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Epilepsy is a chronic non-communicable disorder of the brain characterised by an enduring predisposition to generate recurrent, unprovoked epileptic seizures caused by abnormal, excessive or hypersynchronous neuronal discharge in the cerebral cortex. Operationally (ILAE) it is diagnosed after at least two unprovoked seizures more than 24 hours apart, or one unprovoked seizure with a high (≥ 60%) recurrence risk, or the diagnosis of an epilepsy syndrome. It affects all ages and, if untreated, causes injury, cognitive and psychosocial disability, stigma and premature death — yet up to 70% of patients can become seizure-free with appropriate antiseizure medication.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Community studies across India report an epilepsy prevalence of roughly 2.5–11.9 per 1,000 population, with active epilepsy commonly around 1 per 1,000; an estimated 10–12 million Indians live with epilepsy — close to one-sixth of the global burden of ~50 million. The treatment gap is very wide, ranging from about 22% in urban middle-income areas to as high as 90% in rural villages, even though most patients could achieve good seizure control.</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Epilepsy is a clinical diagnosis built on a detailed eyewitness account of the events, supported by electroencephalography and neuroimaging. The ILAE operational criteria and supporting work-up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two unprovoked (or reflex) seizures occurring more than 24 hours apart;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One unprovoked seizure with a probability of further seizures (≥ 60% over the next 10 years) comparable to the recurrence risk after two unprovoked seizures — e.g., with a remote structural lesion or clearly epileptiform EEG;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Diagnosis of a defined epilepsy syndrome (e.g., juvenile myoclonic epilepsy);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Electroencephalography (EEG): interictal epileptiform discharges (spikes, sharp waves, spike-and-wave) support the diagnosis and help classify focal vs generalised — a normal routine EEG does NOT exclude epilepsy, and sleep-deprived or prolonged/video-EEG improves yield;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Neuroimaging: MRI brain (epilepsy protocol, preferred over CT) to detect structural causes — hippocampal sclerosis, neurocysticercosis, tumour, cortical malformation, gliosis; CT is useful to demonstrate calcified neurocysticercosis where MRI is unavailable;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acute symptomatic / provoked seizures (hypoglycaemia, hyponatraemia, hypocalcaemia, alcohol withdrawal, fever, eclampsia, uraemia) and of non-epileptic mimics (syncope, psychogenic non-epileptic seizures).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ILAE 2017 framework classifies epilepsy at three levels — seizure type, epilepsy type and epilepsy syndrome — together with aetiology and comorbidities:</w:t>
      </w:r>
    </w:p>
    <w:p>
      <w:pPr>
        <w:spacing w:before="0" w:after="80"/>
      </w:pPr>
      <w:r>
        <w:rPr>
          <w:rFonts w:ascii="Calibri" w:hAnsi="Calibri"/>
          <w:b w:val="0"/>
          <w:i w:val="0"/>
          <w:color w:val="212121"/>
          <w:sz w:val="21"/>
        </w:rPr>
        <w:t>(1) By seizure onset: Focal onset (arising in networks of one hemisphere), further specified by awareness (focal aware vs focal impaired-awareness) and by motor vs non-motor features, including focal-to-bilateral tonic-clonic; Generalised onset (engaging bilateral networks from the start) — motor types such as tonic-clonic, myoclonic, tonic, atonic, and non-motor absence seizures; and Unknown onset.</w:t>
      </w:r>
    </w:p>
    <w:p>
      <w:pPr>
        <w:spacing w:before="0" w:after="80"/>
      </w:pPr>
      <w:r>
        <w:rPr>
          <w:rFonts w:ascii="Calibri" w:hAnsi="Calibri"/>
          <w:b w:val="0"/>
          <w:i w:val="0"/>
          <w:color w:val="212121"/>
          <w:sz w:val="21"/>
        </w:rPr>
        <w:t>(2) By epilepsy type: Focal epilepsy, Generalised epilepsy, Combined generalised and focal epilepsy, and Unknown.</w:t>
      </w:r>
    </w:p>
    <w:p>
      <w:pPr>
        <w:spacing w:before="0" w:after="80"/>
      </w:pPr>
      <w:r>
        <w:rPr>
          <w:rFonts w:ascii="Calibri" w:hAnsi="Calibri"/>
          <w:b w:val="0"/>
          <w:i w:val="0"/>
          <w:color w:val="212121"/>
          <w:sz w:val="21"/>
        </w:rPr>
        <w:t>(3) By aetiology (categories may coexist): Structural (hippocampal sclerosis, stroke, trauma, tumour, cortical dysplasia), Infectious (neurocysticercosis, tuberculoma, meningoencephalitis — the commonest identifiable cause in India), Genetic (e.g., juvenile myoclonic epilepsy, GEFS+), Metabolic, Immune, and Unknown (about half of all cases).</w:t>
      </w:r>
    </w:p>
    <w:p>
      <w:pPr>
        <w:spacing w:before="0" w:after="80"/>
      </w:pPr>
      <w:r>
        <w:rPr>
          <w:rFonts w:ascii="Calibri" w:hAnsi="Calibri"/>
          <w:b w:val="0"/>
          <w:i w:val="0"/>
          <w:color w:val="212121"/>
          <w:sz w:val="21"/>
        </w:rPr>
        <w:t>(4) Epilepsy syndromes: age-related clusters with characteristic EEG and prognosis — childhood absence epilepsy, juvenile myoclonic epilepsy, self-limited epilepsy with centrotemporal spikes (benign rolandic), West syndrome (infantile spasms), Lennox-Gastaut syndrome, and mesial temporal lobe epilepsy with hippocampal sclerosis.</w:t>
      </w:r>
    </w:p>
    <w:p>
      <w:pPr>
        <w:spacing w:before="0" w:after="80"/>
      </w:pPr>
      <w:r>
        <w:rPr>
          <w:rFonts w:ascii="Calibri" w:hAnsi="Calibri"/>
          <w:b w:val="0"/>
          <w:i w:val="0"/>
          <w:color w:val="212121"/>
          <w:sz w:val="21"/>
        </w:rPr>
        <w:t>Special designations that change management: status epilepticus (a seizure ≥ 5 minutes or recurrent seizures without inter-ictal recovery — a medical emergency) and drug-resistant epilepsy (failure of two appropriately chosen, tolerated antiseizure medications).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Infectious / neurocysticercosis (India-predominant): Neurocysticercosis from Taenia solium is the single most important identifiable cause of acquired epilepsy in India and the leading cause worldwide; tuberculoma, bacterial/viral meningoencephalitis and cerebral malaria also contribute.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Structural brain lesions: Hippocampal (mesial temporal) sclerosis, cortical dysplasia, tumours, cavernomas and post-stroke gliosis form epileptogenic foci; stroke is the leading cause of new-onset epilepsy in the elderly.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Perinatal and developmental insults: Birth asphyxia / hypoxic-ischaemic encephalopathy, neonatal hypoglycaemia, intracranial haemorrhage and congenital malformations are major causes of childhood epilepsy, especially where perinatal care is limited.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Traumatic brain injury: Moderate-to-severe head injury (road-traffic and fall-related) markedly raises the risk of post-traumatic epilepsy.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Many generalised epilepsies (e.g., juvenile myoclonic epilepsy) and ion-channel/receptor mutations are heritable; a positive family history and consanguinity increase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Metabolic, toxic and febrile: Electrolyte disturbance, uraemia, hepatic failure, alcohol, and complex/prolonged febrile seizures in early childhood.</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Idiopathic / unknown: In roughly half of patients no cause is found despite full investigation.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Idiopathic/genetic generalised epilepsies (e.g., juvenile myoclonic epilepsy, childhood/juvenile absence epilepsy) characteristically begin in adolescence and early adulthood, while trauma and neurocysticercosis add an acquired burden in this active age group.</w:t>
            </w:r>
          </w:p>
          <w:p>
            <w:pPr>
              <w:spacing w:after="40" w:before="60" w:line="259" w:lineRule="auto"/>
            </w:pPr>
            <w:r>
              <w:rPr>
                <w:rFonts w:ascii="Calibri" w:hAnsi="Calibri"/>
                <w:b w:val="0"/>
                <w:i w:val="0"/>
                <w:color w:val="212121"/>
                <w:sz w:val="19"/>
              </w:rPr>
              <w:t>Epilepsy has a bimodal incidence with an early peak; genetic generalised epilepsies typically present between about 5 and 25 years of age.</w:t>
            </w:r>
          </w:p>
          <w:p>
            <w:pPr>
              <w:spacing w:before="60" w:after="40"/>
            </w:pPr>
            <w:r>
              <w:rPr>
                <w:rFonts w:ascii="Calibri" w:hAnsi="Calibri"/>
                <w:b w:val="0"/>
                <w:i w:val="0"/>
                <w:color w:val="5A5A5A"/>
                <w:sz w:val="18"/>
              </w:rPr>
              <w:t>#JME  #generalisedepilepsy  #youngadults  #geneticepilepsy  #absence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Incidence rises again in later life because cerebrovascular disease (stroke), neurodegeneration, tumours and metabolic insults accumulate; stroke is the leading cause of new-onset epilepsy in the elderly.</w:t>
            </w:r>
          </w:p>
          <w:p>
            <w:pPr>
              <w:spacing w:after="40" w:before="60" w:line="259" w:lineRule="auto"/>
            </w:pPr>
            <w:r>
              <w:rPr>
                <w:rFonts w:ascii="Calibri" w:hAnsi="Calibri"/>
                <w:b w:val="0"/>
                <w:i w:val="0"/>
                <w:color w:val="212121"/>
                <w:sz w:val="19"/>
              </w:rPr>
              <w:t>Cerebrovascular disease/stroke is the most common identifiable cause of newly diagnosed epilepsy in older adults.</w:t>
            </w:r>
          </w:p>
          <w:p>
            <w:pPr>
              <w:spacing w:after="40" w:line="252" w:lineRule="auto"/>
            </w:pPr>
            <w:hyperlink r:id="rId9">
              <w:r>
                <w:rPr>
                  <w:rFonts w:ascii="Calibri" w:hAnsi="Calibri" w:cs="Calibri"/>
                  <w:sz w:val="18"/>
                  <w:color w:val="1155CC"/>
                  <w:u w:val="single"/>
                </w:rPr>
                <w:t xml:space="preserve">cdc.gov — about epilepsy (causes: stroke, tumour, TBI)</w:t>
              </w:r>
            </w:hyperlink>
          </w:p>
          <w:p>
            <w:pPr>
              <w:spacing w:before="60" w:after="40"/>
            </w:pPr>
            <w:r>
              <w:rPr>
                <w:rFonts w:ascii="Calibri" w:hAnsi="Calibri"/>
                <w:b w:val="0"/>
                <w:i w:val="0"/>
                <w:color w:val="5A5A5A"/>
                <w:sz w:val="18"/>
              </w:rPr>
              <w:t>#elderly  #poststroke  #lateonset  #neurodegeneration  #vascular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The immature brain is highly susceptible; perinatal asphyxia, congenital malformations, CNS infection, metabolic disorders and epileptic encephalopathies (e.g., West syndrome) drive a high incidence in the first years of life.</w:t>
            </w:r>
          </w:p>
          <w:p>
            <w:pPr>
              <w:spacing w:after="40" w:before="60" w:line="259" w:lineRule="auto"/>
            </w:pPr>
            <w:r>
              <w:rPr>
                <w:rFonts w:ascii="Calibri" w:hAnsi="Calibri"/>
                <w:b w:val="0"/>
                <w:i w:val="0"/>
                <w:color w:val="212121"/>
                <w:sz w:val="19"/>
              </w:rPr>
              <w:t>Incidence of epilepsy is highest in the first year of life and in the elderly.</w:t>
            </w:r>
          </w:p>
          <w:p>
            <w:pPr>
              <w:spacing w:before="60" w:after="40"/>
            </w:pPr>
            <w:r>
              <w:rPr>
                <w:rFonts w:ascii="Calibri" w:hAnsi="Calibri"/>
                <w:b w:val="0"/>
                <w:i w:val="0"/>
                <w:color w:val="5A5A5A"/>
                <w:sz w:val="18"/>
              </w:rPr>
              <w:t>#perinatal  #Westsyndrome  #childhoodepilepsy  #birthasphyxia  #encephalopathy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A modest male predominance is reported in Indian community studies, partly from greater exposure to head trauma and neurocysticercosis and partly from under-ascertainment of women, who often conceal seizures because of marriage-related stigma.</w:t>
            </w:r>
          </w:p>
          <w:p>
            <w:pPr>
              <w:spacing w:after="40" w:before="60" w:line="259" w:lineRule="auto"/>
            </w:pPr>
            <w:r>
              <w:rPr>
                <w:rFonts w:ascii="Calibri" w:hAnsi="Calibri"/>
                <w:b w:val="0"/>
                <w:i w:val="0"/>
                <w:color w:val="212121"/>
                <w:sz w:val="19"/>
              </w:rPr>
              <w:t>In a large north-western India community survey, 67.9% of people with epilepsy were men and 32.1% women.</w:t>
            </w:r>
          </w:p>
          <w:p>
            <w:pPr>
              <w:spacing w:after="40" w:line="252" w:lineRule="auto"/>
            </w:pPr>
            <w:hyperlink r:id="rId10">
              <w:r>
                <w:rPr>
                  <w:rFonts w:ascii="Calibri" w:hAnsi="Calibri" w:cs="Calibri"/>
                  <w:sz w:val="18"/>
                  <w:color w:val="1155CC"/>
                  <w:u w:val="single"/>
                </w:rPr>
                <w:t xml:space="preserve">karger.com (Ann Neurosci) — NW India community study</w:t>
              </w:r>
            </w:hyperlink>
          </w:p>
          <w:p>
            <w:pPr>
              <w:spacing w:before="60" w:after="40"/>
            </w:pPr>
            <w:r>
              <w:rPr>
                <w:rFonts w:ascii="Calibri" w:hAnsi="Calibri"/>
                <w:b w:val="0"/>
                <w:i w:val="0"/>
                <w:color w:val="5A5A5A"/>
                <w:sz w:val="18"/>
              </w:rPr>
              <w:t>#malepredominance  #stigma  #underreporting  #trauma  #gender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socioeconomic groups</w:t>
            </w:r>
          </w:p>
        </w:tc>
        <w:tc>
          <w:tcPr>
            <w:tcW w:type="dxa" w:w="4276"/>
            <w:vAlign w:val="top"/>
          </w:tcPr>
          <w:p>
            <w:pPr>
              <w:spacing w:after="60" w:line="259" w:lineRule="auto"/>
            </w:pPr>
            <w:r>
              <w:rPr>
                <w:rFonts w:ascii="Calibri" w:hAnsi="Calibri"/>
                <w:b w:val="0"/>
                <w:i w:val="0"/>
                <w:color w:val="212121"/>
                <w:sz w:val="19"/>
              </w:rPr>
              <w:t>Poverty clusters risk — poorer perinatal care, higher exposure to Taenia solium and CNS infection, greater head-injury risk, and the widest treatment gap due to cost and access barriers.</w:t>
            </w:r>
          </w:p>
          <w:p>
            <w:pPr>
              <w:spacing w:after="40" w:before="60" w:line="259" w:lineRule="auto"/>
            </w:pPr>
            <w:r>
              <w:rPr>
                <w:rFonts w:ascii="Calibri" w:hAnsi="Calibri"/>
                <w:b w:val="0"/>
                <w:i w:val="0"/>
                <w:color w:val="212121"/>
                <w:sz w:val="19"/>
              </w:rPr>
              <w:t>About 71% of people with epilepsy in a north-western India community study belonged to low socioeconomic classes.</w:t>
            </w:r>
          </w:p>
          <w:p>
            <w:pPr>
              <w:spacing w:after="40" w:line="252" w:lineRule="auto"/>
            </w:pPr>
            <w:hyperlink r:id="rId10">
              <w:r>
                <w:rPr>
                  <w:rFonts w:ascii="Calibri" w:hAnsi="Calibri" w:cs="Calibri"/>
                  <w:sz w:val="18"/>
                  <w:color w:val="1155CC"/>
                  <w:u w:val="single"/>
                </w:rPr>
                <w:t xml:space="preserve">karger.com (Ann Neurosci) — NW India community study</w:t>
              </w:r>
            </w:hyperlink>
          </w:p>
          <w:p>
            <w:pPr>
              <w:spacing w:before="60" w:after="40"/>
            </w:pPr>
            <w:r>
              <w:rPr>
                <w:rFonts w:ascii="Calibri" w:hAnsi="Calibri"/>
                <w:b w:val="0"/>
                <w:i w:val="0"/>
                <w:color w:val="5A5A5A"/>
                <w:sz w:val="18"/>
              </w:rPr>
              <w:t>#poverty  #treatmentgap  #access  #socialdeterminants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sanitation</w:t>
            </w:r>
          </w:p>
        </w:tc>
        <w:tc>
          <w:tcPr>
            <w:tcW w:type="dxa" w:w="2160"/>
            <w:vAlign w:val="top"/>
          </w:tcPr>
          <w:p>
            <w:pPr>
              <w:spacing w:after="40" w:before="0" w:line="259" w:lineRule="auto"/>
            </w:pPr>
            <w:r>
              <w:rPr>
                <w:rFonts w:ascii="Calibri" w:hAnsi="Calibri"/>
                <w:b w:val="0"/>
                <w:i w:val="0"/>
                <w:color w:val="212121"/>
                <w:sz w:val="19"/>
              </w:rPr>
              <w:t>Rural &amp; Taenia-endemic communities</w:t>
            </w:r>
          </w:p>
        </w:tc>
        <w:tc>
          <w:tcPr>
            <w:tcW w:type="dxa" w:w="4276"/>
            <w:vAlign w:val="top"/>
          </w:tcPr>
          <w:p>
            <w:pPr>
              <w:spacing w:after="60" w:line="259" w:lineRule="auto"/>
            </w:pPr>
            <w:r>
              <w:rPr>
                <w:rFonts w:ascii="Calibri" w:hAnsi="Calibri"/>
                <w:b w:val="0"/>
                <w:i w:val="0"/>
                <w:color w:val="212121"/>
                <w:sz w:val="19"/>
              </w:rPr>
              <w:t>Open defecation, poor sanitation and consumption of undercooked pork sustain faeco-oral transmission of Taenia solium, making neurocysticercosis — the leading cause of acquired epilepsy — far more common in rural and endemic pockets of India.</w:t>
            </w:r>
          </w:p>
          <w:p>
            <w:pPr>
              <w:spacing w:after="40" w:before="60" w:line="259" w:lineRule="auto"/>
            </w:pPr>
            <w:r>
              <w:rPr>
                <w:rFonts w:ascii="Calibri" w:hAnsi="Calibri"/>
                <w:b w:val="0"/>
                <w:i w:val="0"/>
                <w:color w:val="212121"/>
                <w:sz w:val="19"/>
              </w:rPr>
              <w:t>Cysticercosis is described as the leading cause of epilepsy worldwide and is strongly concentrated in endemic, low-sanitation communities.</w:t>
            </w:r>
          </w:p>
          <w:p>
            <w:pPr>
              <w:spacing w:after="40" w:line="252" w:lineRule="auto"/>
            </w:pPr>
            <w:hyperlink r:id="rId9">
              <w:r>
                <w:rPr>
                  <w:rFonts w:ascii="Calibri" w:hAnsi="Calibri" w:cs="Calibri"/>
                  <w:sz w:val="18"/>
                  <w:color w:val="1155CC"/>
                  <w:u w:val="single"/>
                </w:rPr>
                <w:t xml:space="preserve">cdc.gov — about epilepsy (cysticercosis leading cause)</w:t>
              </w:r>
            </w:hyperlink>
          </w:p>
          <w:p>
            <w:pPr>
              <w:spacing w:before="60" w:after="40"/>
            </w:pPr>
            <w:r>
              <w:rPr>
                <w:rFonts w:ascii="Calibri" w:hAnsi="Calibri"/>
                <w:b w:val="0"/>
                <w:i w:val="0"/>
                <w:color w:val="5A5A5A"/>
                <w:sz w:val="18"/>
              </w:rPr>
              <w:t>#neurocysticercosis  #sanitation  #Taeniasolium  #ruralIndia  #faecooral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Access to care</w:t>
            </w:r>
          </w:p>
        </w:tc>
        <w:tc>
          <w:tcPr>
            <w:tcW w:type="dxa" w:w="2160"/>
            <w:vAlign w:val="top"/>
          </w:tcPr>
          <w:p>
            <w:pPr>
              <w:spacing w:after="40" w:before="0" w:line="259" w:lineRule="auto"/>
            </w:pPr>
            <w:r>
              <w:rPr>
                <w:rFonts w:ascii="Calibri" w:hAnsi="Calibri"/>
                <w:b w:val="0"/>
                <w:i w:val="0"/>
                <w:color w:val="212121"/>
                <w:sz w:val="19"/>
              </w:rPr>
              <w:t>Remote/rural residents</w:t>
            </w:r>
          </w:p>
        </w:tc>
        <w:tc>
          <w:tcPr>
            <w:tcW w:type="dxa" w:w="4276"/>
            <w:vAlign w:val="top"/>
          </w:tcPr>
          <w:p>
            <w:pPr>
              <w:spacing w:after="60" w:line="259" w:lineRule="auto"/>
            </w:pPr>
            <w:r>
              <w:rPr>
                <w:rFonts w:ascii="Calibri" w:hAnsi="Calibri"/>
                <w:b w:val="0"/>
                <w:i w:val="0"/>
                <w:color w:val="212121"/>
                <w:sz w:val="19"/>
              </w:rPr>
              <w:t>Scarcity of neurologists, EEG and MRI and reliance on traditional/faith healers leave most rural patients untreated, allowing recurrent seizures, injury and progression.</w:t>
            </w:r>
          </w:p>
          <w:p>
            <w:pPr>
              <w:spacing w:after="40" w:before="60" w:line="259" w:lineRule="auto"/>
            </w:pPr>
            <w:r>
              <w:rPr>
                <w:rFonts w:ascii="Calibri" w:hAnsi="Calibri"/>
                <w:b w:val="0"/>
                <w:i w:val="0"/>
                <w:color w:val="212121"/>
                <w:sz w:val="19"/>
              </w:rPr>
              <w:t>The epilepsy treatment gap in India ranges from ~22% in urban middle-income settings to as high as 90% in villages.</w:t>
            </w:r>
          </w:p>
          <w:p>
            <w:pPr>
              <w:spacing w:after="40" w:line="252" w:lineRule="auto"/>
            </w:pPr>
            <w:hyperlink r:id="rId11">
              <w:r>
                <w:rPr>
                  <w:rFonts w:ascii="Calibri" w:hAnsi="Calibri" w:cs="Calibri"/>
                  <w:sz w:val="18"/>
                  <w:color w:val="1155CC"/>
                  <w:u w:val="single"/>
                </w:rPr>
                <w:t xml:space="preserve">PMC3548390 — epidemiology &amp; treatment gap of epilepsy in India</w:t>
              </w:r>
            </w:hyperlink>
          </w:p>
          <w:p>
            <w:pPr>
              <w:spacing w:before="60" w:after="40"/>
            </w:pPr>
            <w:r>
              <w:rPr>
                <w:rFonts w:ascii="Calibri" w:hAnsi="Calibri"/>
                <w:b w:val="0"/>
                <w:i w:val="0"/>
                <w:color w:val="5A5A5A"/>
                <w:sz w:val="18"/>
              </w:rPr>
              <w:t>#treatmentgap  #ruralhealth  #access  #faithhealers  #underserved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Sleep-deprived (students, shift workers)</w:t>
            </w:r>
          </w:p>
        </w:tc>
        <w:tc>
          <w:tcPr>
            <w:tcW w:type="dxa" w:w="4276"/>
            <w:vAlign w:val="top"/>
          </w:tcPr>
          <w:p>
            <w:pPr>
              <w:spacing w:after="60" w:line="259" w:lineRule="auto"/>
            </w:pPr>
            <w:r>
              <w:rPr>
                <w:rFonts w:ascii="Calibri" w:hAnsi="Calibri"/>
                <w:b w:val="0"/>
                <w:i w:val="0"/>
                <w:color w:val="212121"/>
                <w:sz w:val="19"/>
              </w:rPr>
              <w:t>Sleep deprivation and irregular sleep-wake cycles lower the seizure threshold and are among the most consistent precipitants, especially in generalised epilepsies.</w:t>
            </w:r>
          </w:p>
          <w:p>
            <w:pPr>
              <w:spacing w:after="40" w:before="60" w:line="259" w:lineRule="auto"/>
            </w:pPr>
            <w:r>
              <w:rPr>
                <w:rFonts w:ascii="Calibri" w:hAnsi="Calibri"/>
                <w:b w:val="0"/>
                <w:i w:val="0"/>
                <w:color w:val="212121"/>
                <w:sz w:val="19"/>
              </w:rPr>
              <w:t>Sleep deprivation was reported as a seizure precipitant in ~28% of patients with idiopathic generalised epilepsy and ~27% with temporal lobe epilepsy.</w:t>
            </w:r>
          </w:p>
          <w:p>
            <w:pPr>
              <w:spacing w:after="40" w:line="252" w:lineRule="auto"/>
            </w:pPr>
            <w:hyperlink r:id="rId12">
              <w:r>
                <w:rPr>
                  <w:rFonts w:ascii="Calibri" w:hAnsi="Calibri" w:cs="Calibri"/>
                  <w:sz w:val="18"/>
                  <w:color w:val="1155CC"/>
                  <w:u w:val="single"/>
                </w:rPr>
                <w:t xml:space="preserve">Malow, Epilepsy Currents 2004 — sleep deprivation &amp; epilepsy</w:t>
              </w:r>
            </w:hyperlink>
          </w:p>
          <w:p>
            <w:pPr>
              <w:spacing w:before="60" w:after="40"/>
            </w:pPr>
            <w:r>
              <w:rPr>
                <w:rFonts w:ascii="Calibri" w:hAnsi="Calibri"/>
                <w:b w:val="0"/>
                <w:i w:val="0"/>
                <w:color w:val="5A5A5A"/>
                <w:sz w:val="18"/>
              </w:rPr>
              <w:t>#sleepdeprivation  #trigger  #shiftwork  #examstress  #seizurethreshold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Alcohol — particularly binge intake and the withdrawal state — lowers the seizure threshold, precipitates seizures, disturbs sleep and interacts with antiseizure medication.</w:t>
            </w:r>
          </w:p>
          <w:p>
            <w:pPr>
              <w:spacing w:after="40" w:before="60" w:line="259" w:lineRule="auto"/>
            </w:pPr>
            <w:r>
              <w:rPr>
                <w:rFonts w:ascii="Calibri" w:hAnsi="Calibri"/>
                <w:b w:val="0"/>
                <w:i w:val="0"/>
                <w:color w:val="212121"/>
                <w:sz w:val="19"/>
              </w:rPr>
              <w:t>Both acute intoxication and the alcohol-withdrawal state are well-recognised seizure precipitants and can trigger status epilepticus.</w:t>
            </w:r>
          </w:p>
          <w:p>
            <w:pPr>
              <w:spacing w:before="60" w:after="40"/>
            </w:pPr>
            <w:r>
              <w:rPr>
                <w:rFonts w:ascii="Calibri" w:hAnsi="Calibri"/>
                <w:b w:val="0"/>
                <w:i w:val="0"/>
                <w:color w:val="5A5A5A"/>
                <w:sz w:val="18"/>
              </w:rPr>
              <w:t>#alcohol  #withdrawal  #bingedrinking  #trigger  #threshold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Medication non-adherence</w:t>
            </w:r>
          </w:p>
        </w:tc>
        <w:tc>
          <w:tcPr>
            <w:tcW w:type="dxa" w:w="2160"/>
            <w:vAlign w:val="top"/>
          </w:tcPr>
          <w:p>
            <w:pPr>
              <w:spacing w:after="40" w:before="0" w:line="259" w:lineRule="auto"/>
            </w:pPr>
            <w:r>
              <w:rPr>
                <w:rFonts w:ascii="Calibri" w:hAnsi="Calibri"/>
                <w:b w:val="0"/>
                <w:i w:val="0"/>
                <w:color w:val="212121"/>
                <w:sz w:val="19"/>
              </w:rPr>
              <w:t>Patients who miss antiseizure doses</w:t>
            </w:r>
          </w:p>
        </w:tc>
        <w:tc>
          <w:tcPr>
            <w:tcW w:type="dxa" w:w="4276"/>
            <w:vAlign w:val="top"/>
          </w:tcPr>
          <w:p>
            <w:pPr>
              <w:spacing w:after="60" w:line="259" w:lineRule="auto"/>
            </w:pPr>
            <w:r>
              <w:rPr>
                <w:rFonts w:ascii="Calibri" w:hAnsi="Calibri"/>
                <w:b w:val="0"/>
                <w:i w:val="0"/>
                <w:color w:val="212121"/>
                <w:sz w:val="19"/>
              </w:rPr>
              <w:t>Missed or irregular antiseizure medication is a leading cause of breakthrough seizures and status epilepticus; adherence is undermined by cost, stigma and polytherapy.</w:t>
            </w:r>
          </w:p>
          <w:p>
            <w:pPr>
              <w:spacing w:after="40" w:before="60" w:line="259" w:lineRule="auto"/>
            </w:pPr>
            <w:r>
              <w:rPr>
                <w:rFonts w:ascii="Calibri" w:hAnsi="Calibri"/>
                <w:b w:val="0"/>
                <w:i w:val="0"/>
                <w:color w:val="212121"/>
                <w:sz w:val="19"/>
              </w:rPr>
              <w:t>About 38% of patients in a north-western India community cohort were non-compliant with treatment, with poorer compliance on polytherapy.</w:t>
            </w:r>
          </w:p>
          <w:p>
            <w:pPr>
              <w:spacing w:after="40" w:line="252" w:lineRule="auto"/>
            </w:pPr>
            <w:hyperlink r:id="rId10">
              <w:r>
                <w:rPr>
                  <w:rFonts w:ascii="Calibri" w:hAnsi="Calibri" w:cs="Calibri"/>
                  <w:sz w:val="18"/>
                  <w:color w:val="1155CC"/>
                  <w:u w:val="single"/>
                </w:rPr>
                <w:t xml:space="preserve">karger.com (Ann Neurosci) — NW India community study</w:t>
              </w:r>
            </w:hyperlink>
          </w:p>
          <w:p>
            <w:pPr>
              <w:spacing w:before="60" w:after="40"/>
            </w:pPr>
            <w:r>
              <w:rPr>
                <w:rFonts w:ascii="Calibri" w:hAnsi="Calibri"/>
                <w:b w:val="0"/>
                <w:i w:val="0"/>
                <w:color w:val="5A5A5A"/>
                <w:sz w:val="18"/>
              </w:rPr>
              <w:t>#adherence  #breakthroughseizure  #polytherapy  #statusepilepticus  #compliance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Contaminated food / pork</w:t>
            </w:r>
          </w:p>
        </w:tc>
        <w:tc>
          <w:tcPr>
            <w:tcW w:type="dxa" w:w="2160"/>
            <w:vAlign w:val="top"/>
          </w:tcPr>
          <w:p>
            <w:pPr>
              <w:spacing w:after="40" w:before="0" w:line="259" w:lineRule="auto"/>
            </w:pPr>
            <w:r>
              <w:rPr>
                <w:rFonts w:ascii="Calibri" w:hAnsi="Calibri"/>
                <w:b w:val="0"/>
                <w:i w:val="0"/>
                <w:color w:val="212121"/>
                <w:sz w:val="19"/>
              </w:rPr>
              <w:t>Consumers of undercooked pork &amp; unwashed produce</w:t>
            </w:r>
          </w:p>
        </w:tc>
        <w:tc>
          <w:tcPr>
            <w:tcW w:type="dxa" w:w="4276"/>
            <w:vAlign w:val="top"/>
          </w:tcPr>
          <w:p>
            <w:pPr>
              <w:spacing w:after="60" w:line="259" w:lineRule="auto"/>
            </w:pPr>
            <w:r>
              <w:rPr>
                <w:rFonts w:ascii="Calibri" w:hAnsi="Calibri"/>
                <w:b w:val="0"/>
                <w:i w:val="0"/>
                <w:color w:val="212121"/>
                <w:sz w:val="19"/>
              </w:rPr>
              <w:t>Ingesting Taenia solium eggs via faecally contaminated food, water or unwashed vegetables — or larvae in undercooked pork — leads to neurocysticercosis, the commonest identifiable structural cause of epilepsy in India.</w:t>
            </w:r>
          </w:p>
          <w:p>
            <w:pPr>
              <w:spacing w:after="40" w:before="60" w:line="259" w:lineRule="auto"/>
            </w:pPr>
            <w:r>
              <w:rPr>
                <w:rFonts w:ascii="Calibri" w:hAnsi="Calibri"/>
                <w:b w:val="0"/>
                <w:i w:val="0"/>
                <w:color w:val="212121"/>
                <w:sz w:val="19"/>
              </w:rPr>
              <w:t>In an Assam active-epilepsy series, 42.2% of cases met definitive or probable criteria for neurocysticercosis.</w:t>
            </w:r>
          </w:p>
          <w:p>
            <w:pPr>
              <w:spacing w:after="40" w:line="252" w:lineRule="auto"/>
            </w:pPr>
            <w:hyperlink r:id="rId13">
              <w:r>
                <w:rPr>
                  <w:rFonts w:ascii="Calibri" w:hAnsi="Calibri" w:cs="Calibri"/>
                  <w:sz w:val="18"/>
                  <w:color w:val="1155CC"/>
                  <w:u w:val="single"/>
                </w:rPr>
                <w:t xml:space="preserve">Nature Sci Rep 2021 — NCC in active epilepsy, Assam</w:t>
              </w:r>
            </w:hyperlink>
          </w:p>
          <w:p>
            <w:pPr>
              <w:spacing w:before="60" w:after="40"/>
            </w:pPr>
            <w:r>
              <w:rPr>
                <w:rFonts w:ascii="Calibri" w:hAnsi="Calibri"/>
                <w:b w:val="0"/>
                <w:i w:val="0"/>
                <w:color w:val="5A5A5A"/>
                <w:sz w:val="18"/>
              </w:rPr>
              <w:t>#neurocysticercosis  #foodhygiene  #pork  #Taenia  #waterborne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Meal pattern</w:t>
            </w:r>
          </w:p>
        </w:tc>
        <w:tc>
          <w:tcPr>
            <w:tcW w:type="dxa" w:w="2160"/>
            <w:vAlign w:val="top"/>
          </w:tcPr>
          <w:p>
            <w:pPr>
              <w:spacing w:after="40" w:before="0" w:line="259" w:lineRule="auto"/>
            </w:pPr>
            <w:r>
              <w:rPr>
                <w:rFonts w:ascii="Calibri" w:hAnsi="Calibri"/>
                <w:b w:val="0"/>
                <w:i w:val="0"/>
                <w:color w:val="212121"/>
                <w:sz w:val="19"/>
              </w:rPr>
              <w:t>Prolonged fasting / skipped meals</w:t>
            </w:r>
          </w:p>
        </w:tc>
        <w:tc>
          <w:tcPr>
            <w:tcW w:type="dxa" w:w="4276"/>
            <w:vAlign w:val="top"/>
          </w:tcPr>
          <w:p>
            <w:pPr>
              <w:spacing w:after="60" w:line="259" w:lineRule="auto"/>
            </w:pPr>
            <w:r>
              <w:rPr>
                <w:rFonts w:ascii="Calibri" w:hAnsi="Calibri"/>
                <w:b w:val="0"/>
                <w:i w:val="0"/>
                <w:color w:val="212121"/>
                <w:sz w:val="19"/>
              </w:rPr>
              <w:t>Skipping meals and prolonged fasting can provoke hypoglycaemia and metabolic stress that lower the seizure threshold in susceptible individuals; conversely, supervised ketogenic diets are therapeutic in drug-resistant epilepsy.</w:t>
            </w:r>
          </w:p>
          <w:p>
            <w:pPr>
              <w:spacing w:after="40" w:before="60" w:line="259" w:lineRule="auto"/>
            </w:pPr>
            <w:r>
              <w:rPr>
                <w:rFonts w:ascii="Calibri" w:hAnsi="Calibri"/>
                <w:b w:val="0"/>
                <w:i w:val="0"/>
                <w:color w:val="212121"/>
                <w:sz w:val="19"/>
              </w:rPr>
              <w:t>Irregular meals and fasting-related hypoglycaemia are recognised precipitants of breakthrough seizures.</w:t>
            </w:r>
          </w:p>
          <w:p>
            <w:pPr>
              <w:spacing w:before="60" w:after="40"/>
            </w:pPr>
            <w:r>
              <w:rPr>
                <w:rFonts w:ascii="Calibri" w:hAnsi="Calibri"/>
                <w:b w:val="0"/>
                <w:i w:val="0"/>
                <w:color w:val="5A5A5A"/>
                <w:sz w:val="18"/>
              </w:rPr>
              <w:t>#hypoglycaemia  #mealtiming  #ketogenicdiet  #fasting  #metabolic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epilepsy</w:t>
            </w:r>
          </w:p>
        </w:tc>
        <w:tc>
          <w:tcPr>
            <w:tcW w:type="dxa" w:w="4276"/>
            <w:vAlign w:val="top"/>
          </w:tcPr>
          <w:p>
            <w:pPr>
              <w:spacing w:after="60" w:line="259" w:lineRule="auto"/>
            </w:pPr>
            <w:r>
              <w:rPr>
                <w:rFonts w:ascii="Calibri" w:hAnsi="Calibri"/>
                <w:b w:val="0"/>
                <w:i w:val="0"/>
                <w:color w:val="212121"/>
                <w:sz w:val="19"/>
              </w:rPr>
              <w:t>Inherited susceptibility is strong for generalised epilepsies and channelopathies; the risk in relatives is higher than in the general population, particularly for idiopathic generalised syndromes.</w:t>
            </w:r>
          </w:p>
          <w:p>
            <w:pPr>
              <w:spacing w:after="40" w:before="60" w:line="259" w:lineRule="auto"/>
            </w:pPr>
            <w:r>
              <w:rPr>
                <w:rFonts w:ascii="Calibri" w:hAnsi="Calibri"/>
                <w:b w:val="0"/>
                <w:i w:val="0"/>
                <w:color w:val="212121"/>
                <w:sz w:val="19"/>
              </w:rPr>
              <w:t>A positive family history of epilepsy was documented in about 4.7% of cases in a north-western India community study, and is substantially higher in idiopathic generalised epilepsy.</w:t>
            </w:r>
          </w:p>
          <w:p>
            <w:pPr>
              <w:spacing w:after="40" w:line="252" w:lineRule="auto"/>
            </w:pPr>
            <w:hyperlink r:id="rId10">
              <w:r>
                <w:rPr>
                  <w:rFonts w:ascii="Calibri" w:hAnsi="Calibri" w:cs="Calibri"/>
                  <w:sz w:val="18"/>
                  <w:color w:val="1155CC"/>
                  <w:u w:val="single"/>
                </w:rPr>
                <w:t xml:space="preserve">karger.com (Ann Neurosci) — NW India community study</w:t>
              </w:r>
            </w:hyperlink>
          </w:p>
          <w:p>
            <w:pPr>
              <w:spacing w:before="60" w:after="40"/>
            </w:pPr>
            <w:r>
              <w:rPr>
                <w:rFonts w:ascii="Calibri" w:hAnsi="Calibri"/>
                <w:b w:val="0"/>
                <w:i w:val="0"/>
                <w:color w:val="5A5A5A"/>
                <w:sz w:val="18"/>
              </w:rPr>
              <w:t>#familyhistory  #geneticepilepsy  #channelopathy  #heritability  #IGE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Children of consanguineous unions</w:t>
            </w:r>
          </w:p>
        </w:tc>
        <w:tc>
          <w:tcPr>
            <w:tcW w:type="dxa" w:w="4276"/>
            <w:vAlign w:val="top"/>
          </w:tcPr>
          <w:p>
            <w:pPr>
              <w:spacing w:after="60" w:line="259" w:lineRule="auto"/>
            </w:pPr>
            <w:r>
              <w:rPr>
                <w:rFonts w:ascii="Calibri" w:hAnsi="Calibri"/>
                <w:b w:val="0"/>
                <w:i w:val="0"/>
                <w:color w:val="212121"/>
                <w:sz w:val="19"/>
              </w:rPr>
              <w:t>Consanguineous marriage, common in parts of India, increases the risk of autosomal-recessive epileptic encephalopathies and metabolic epilepsies in offspring.</w:t>
            </w:r>
          </w:p>
          <w:p>
            <w:pPr>
              <w:spacing w:after="40" w:before="60" w:line="259" w:lineRule="auto"/>
            </w:pPr>
            <w:r>
              <w:rPr>
                <w:rFonts w:ascii="Calibri" w:hAnsi="Calibri"/>
                <w:b w:val="0"/>
                <w:i w:val="0"/>
                <w:color w:val="212121"/>
                <w:sz w:val="19"/>
              </w:rPr>
              <w:t>Consanguinity raises the likelihood of recessively inherited epilepsy syndromes and developmental/epileptic encephalopathies.</w:t>
            </w:r>
          </w:p>
          <w:p>
            <w:pPr>
              <w:spacing w:before="60" w:after="40"/>
            </w:pPr>
            <w:r>
              <w:rPr>
                <w:rFonts w:ascii="Calibri" w:hAnsi="Calibri"/>
                <w:b w:val="0"/>
                <w:i w:val="0"/>
                <w:color w:val="5A5A5A"/>
                <w:sz w:val="18"/>
              </w:rPr>
              <w:t>#consanguinity  #recessive  #encephalopathy  #inbornerrors  #paediatric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Stroke</w:t>
            </w:r>
          </w:p>
        </w:tc>
        <w:tc>
          <w:tcPr>
            <w:tcW w:type="dxa" w:w="2160"/>
            <w:vAlign w:val="top"/>
          </w:tcPr>
          <w:p>
            <w:pPr>
              <w:spacing w:after="40" w:before="0" w:line="259" w:lineRule="auto"/>
            </w:pPr>
            <w:r>
              <w:rPr>
                <w:rFonts w:ascii="Calibri" w:hAnsi="Calibri"/>
                <w:b w:val="0"/>
                <w:i w:val="0"/>
                <w:color w:val="212121"/>
                <w:sz w:val="19"/>
              </w:rPr>
              <w:t>Post-stroke patients</w:t>
            </w:r>
          </w:p>
        </w:tc>
        <w:tc>
          <w:tcPr>
            <w:tcW w:type="dxa" w:w="4276"/>
            <w:vAlign w:val="top"/>
          </w:tcPr>
          <w:p>
            <w:pPr>
              <w:spacing w:after="60" w:line="259" w:lineRule="auto"/>
            </w:pPr>
            <w:r>
              <w:rPr>
                <w:rFonts w:ascii="Calibri" w:hAnsi="Calibri"/>
                <w:b w:val="0"/>
                <w:i w:val="0"/>
                <w:color w:val="212121"/>
                <w:sz w:val="19"/>
              </w:rPr>
              <w:t>Cortical infarcts and haemorrhages leave epileptogenic gliotic scars; stroke is the commonest cause of new-onset epilepsy in older adults and a growing contributor as vascular disease rises in India.</w:t>
            </w:r>
          </w:p>
          <w:p>
            <w:pPr>
              <w:spacing w:after="40" w:before="60" w:line="259" w:lineRule="auto"/>
            </w:pPr>
            <w:r>
              <w:rPr>
                <w:rFonts w:ascii="Calibri" w:hAnsi="Calibri"/>
                <w:b w:val="0"/>
                <w:i w:val="0"/>
                <w:color w:val="212121"/>
                <w:sz w:val="19"/>
              </w:rPr>
              <w:t>Stroke/cerebrovascular disease is listed among the leading structural causes of epilepsy, especially late-onset epilepsy.</w:t>
            </w:r>
          </w:p>
          <w:p>
            <w:pPr>
              <w:spacing w:after="40" w:line="252" w:lineRule="auto"/>
            </w:pPr>
            <w:hyperlink r:id="rId9">
              <w:r>
                <w:rPr>
                  <w:rFonts w:ascii="Calibri" w:hAnsi="Calibri" w:cs="Calibri"/>
                  <w:sz w:val="18"/>
                  <w:color w:val="1155CC"/>
                  <w:u w:val="single"/>
                </w:rPr>
                <w:t xml:space="preserve">cdc.gov — about epilepsy (stroke as cause)</w:t>
              </w:r>
            </w:hyperlink>
          </w:p>
          <w:p>
            <w:pPr>
              <w:spacing w:before="60" w:after="40"/>
            </w:pPr>
            <w:r>
              <w:rPr>
                <w:rFonts w:ascii="Calibri" w:hAnsi="Calibri"/>
                <w:b w:val="0"/>
                <w:i w:val="0"/>
                <w:color w:val="5A5A5A"/>
                <w:sz w:val="18"/>
              </w:rPr>
              <w:t>#poststrokeepilepsy  #gliosis  #lateonset  #vascular  #elderly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Neurocysticercosis</w:t>
            </w:r>
          </w:p>
        </w:tc>
        <w:tc>
          <w:tcPr>
            <w:tcW w:type="dxa" w:w="2160"/>
            <w:vAlign w:val="top"/>
          </w:tcPr>
          <w:p>
            <w:pPr>
              <w:spacing w:after="40" w:before="0" w:line="259" w:lineRule="auto"/>
            </w:pPr>
            <w:r>
              <w:rPr>
                <w:rFonts w:ascii="Calibri" w:hAnsi="Calibri"/>
                <w:b w:val="0"/>
                <w:i w:val="0"/>
                <w:color w:val="212121"/>
                <w:sz w:val="19"/>
              </w:rPr>
              <w:t>Patients with intracranial cysticerci</w:t>
            </w:r>
          </w:p>
        </w:tc>
        <w:tc>
          <w:tcPr>
            <w:tcW w:type="dxa" w:w="4276"/>
            <w:vAlign w:val="top"/>
          </w:tcPr>
          <w:p>
            <w:pPr>
              <w:spacing w:after="60" w:line="259" w:lineRule="auto"/>
            </w:pPr>
            <w:r>
              <w:rPr>
                <w:rFonts w:ascii="Calibri" w:hAnsi="Calibri"/>
                <w:b w:val="0"/>
                <w:i w:val="0"/>
                <w:color w:val="212121"/>
                <w:sz w:val="19"/>
              </w:rPr>
              <w:t>Cysticercus cysts and their calcified/degenerating remnants act as seizure foci; single or multiple lesions are the classic imaging finding in Indian epilepsy clinics.</w:t>
            </w:r>
          </w:p>
          <w:p>
            <w:pPr>
              <w:spacing w:after="40" w:before="60" w:line="259" w:lineRule="auto"/>
            </w:pPr>
            <w:r>
              <w:rPr>
                <w:rFonts w:ascii="Calibri" w:hAnsi="Calibri"/>
                <w:b w:val="0"/>
                <w:i w:val="0"/>
                <w:color w:val="212121"/>
                <w:sz w:val="19"/>
              </w:rPr>
              <w:t>Up to ~42% of active-epilepsy cases in endemic Indian series are attributable to neurocysticercosis.</w:t>
            </w:r>
          </w:p>
          <w:p>
            <w:pPr>
              <w:spacing w:after="40" w:line="252" w:lineRule="auto"/>
            </w:pPr>
            <w:hyperlink r:id="rId13">
              <w:r>
                <w:rPr>
                  <w:rFonts w:ascii="Calibri" w:hAnsi="Calibri" w:cs="Calibri"/>
                  <w:sz w:val="18"/>
                  <w:color w:val="1155CC"/>
                  <w:u w:val="single"/>
                </w:rPr>
                <w:t xml:space="preserve">Nature Sci Rep 2021 — NCC in active epilepsy, Assam</w:t>
              </w:r>
            </w:hyperlink>
          </w:p>
          <w:p>
            <w:pPr>
              <w:spacing w:before="60" w:after="40"/>
            </w:pPr>
            <w:r>
              <w:rPr>
                <w:rFonts w:ascii="Calibri" w:hAnsi="Calibri"/>
                <w:b w:val="0"/>
                <w:i w:val="0"/>
                <w:color w:val="5A5A5A"/>
                <w:sz w:val="18"/>
              </w:rPr>
              <w:t>#neurocysticercosis  #calcifiedcyst  #seizurefocus  #tropicalepilepsy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Traumatic brain injury</w:t>
            </w:r>
          </w:p>
        </w:tc>
        <w:tc>
          <w:tcPr>
            <w:tcW w:type="dxa" w:w="2160"/>
            <w:vAlign w:val="top"/>
          </w:tcPr>
          <w:p>
            <w:pPr>
              <w:spacing w:after="40" w:before="0" w:line="259" w:lineRule="auto"/>
            </w:pPr>
            <w:r>
              <w:rPr>
                <w:rFonts w:ascii="Calibri" w:hAnsi="Calibri"/>
                <w:b w:val="0"/>
                <w:i w:val="0"/>
                <w:color w:val="212121"/>
                <w:sz w:val="19"/>
              </w:rPr>
              <w:t>Survivors of moderate–severe head injury</w:t>
            </w:r>
          </w:p>
        </w:tc>
        <w:tc>
          <w:tcPr>
            <w:tcW w:type="dxa" w:w="4276"/>
            <w:vAlign w:val="top"/>
          </w:tcPr>
          <w:p>
            <w:pPr>
              <w:spacing w:after="60" w:line="259" w:lineRule="auto"/>
            </w:pPr>
            <w:r>
              <w:rPr>
                <w:rFonts w:ascii="Calibri" w:hAnsi="Calibri"/>
                <w:b w:val="0"/>
                <w:i w:val="0"/>
                <w:color w:val="212121"/>
                <w:sz w:val="19"/>
              </w:rPr>
              <w:t>Cortical contusion, haemorrhage and penetrating injury generate epileptogenic scars; risk of post-traumatic epilepsy rises with injury severity and is highest in the first year.</w:t>
            </w:r>
          </w:p>
          <w:p>
            <w:pPr>
              <w:spacing w:after="40" w:before="60" w:line="259" w:lineRule="auto"/>
            </w:pPr>
            <w:r>
              <w:rPr>
                <w:rFonts w:ascii="Calibri" w:hAnsi="Calibri"/>
                <w:b w:val="0"/>
                <w:i w:val="0"/>
                <w:color w:val="212121"/>
                <w:sz w:val="19"/>
              </w:rPr>
              <w:t>About 1 in 50 people who sustain a traumatic brain injury go on to develop post-traumatic epilepsy, and ~10% have an early seizure after TBI.</w:t>
            </w:r>
          </w:p>
          <w:p>
            <w:pPr>
              <w:spacing w:after="40" w:line="252" w:lineRule="auto"/>
            </w:pPr>
            <w:hyperlink r:id="rId14">
              <w:r>
                <w:rPr>
                  <w:rFonts w:ascii="Calibri" w:hAnsi="Calibri" w:cs="Calibri"/>
                  <w:sz w:val="18"/>
                  <w:color w:val="1155CC"/>
                  <w:u w:val="single"/>
                </w:rPr>
                <w:t xml:space="preserve">epilepsy.com — traumatic brain injury &amp; epilepsy</w:t>
              </w:r>
            </w:hyperlink>
          </w:p>
          <w:p>
            <w:pPr>
              <w:spacing w:before="60" w:after="40"/>
            </w:pPr>
            <w:r>
              <w:rPr>
                <w:rFonts w:ascii="Calibri" w:hAnsi="Calibri"/>
                <w:b w:val="0"/>
                <w:i w:val="0"/>
                <w:color w:val="5A5A5A"/>
                <w:sz w:val="18"/>
              </w:rPr>
              <w:t>#posttraumaticepilepsy  #TBI  #roadtrafficinjury  #corticalscar  #contusion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Perinatal brain injury</w:t>
            </w:r>
          </w:p>
        </w:tc>
        <w:tc>
          <w:tcPr>
            <w:tcW w:type="dxa" w:w="2160"/>
            <w:vAlign w:val="top"/>
          </w:tcPr>
          <w:p>
            <w:pPr>
              <w:spacing w:after="40" w:before="0" w:line="259" w:lineRule="auto"/>
            </w:pPr>
            <w:r>
              <w:rPr>
                <w:rFonts w:ascii="Calibri" w:hAnsi="Calibri"/>
                <w:b w:val="0"/>
                <w:i w:val="0"/>
                <w:color w:val="212121"/>
                <w:sz w:val="19"/>
              </w:rPr>
              <w:t>Children with cerebral palsy / developmental delay</w:t>
            </w:r>
          </w:p>
        </w:tc>
        <w:tc>
          <w:tcPr>
            <w:tcW w:type="dxa" w:w="4276"/>
            <w:vAlign w:val="top"/>
          </w:tcPr>
          <w:p>
            <w:pPr>
              <w:spacing w:after="60" w:line="259" w:lineRule="auto"/>
            </w:pPr>
            <w:r>
              <w:rPr>
                <w:rFonts w:ascii="Calibri" w:hAnsi="Calibri"/>
                <w:b w:val="0"/>
                <w:i w:val="0"/>
                <w:color w:val="212121"/>
                <w:sz w:val="19"/>
              </w:rPr>
              <w:t>Perinatal hypoxic-ischaemic injury and congenital brain malformation that cause cerebral palsy and intellectual disability frequently coexist with epilepsy, which is often early-onset and harder to control.</w:t>
            </w:r>
          </w:p>
          <w:p>
            <w:pPr>
              <w:spacing w:after="40" w:before="60" w:line="259" w:lineRule="auto"/>
            </w:pPr>
            <w:r>
              <w:rPr>
                <w:rFonts w:ascii="Calibri" w:hAnsi="Calibri"/>
                <w:b w:val="0"/>
                <w:i w:val="0"/>
                <w:color w:val="212121"/>
                <w:sz w:val="19"/>
              </w:rPr>
              <w:t>Epilepsy is markedly more common in children with cerebral palsy and developmental delay than in the general paediatric population.</w:t>
            </w:r>
          </w:p>
          <w:p>
            <w:pPr>
              <w:spacing w:before="60" w:after="40"/>
            </w:pPr>
            <w:r>
              <w:rPr>
                <w:rFonts w:ascii="Calibri" w:hAnsi="Calibri"/>
                <w:b w:val="0"/>
                <w:i w:val="0"/>
                <w:color w:val="5A5A5A"/>
                <w:sz w:val="18"/>
              </w:rPr>
              <w:t>#cerebralpalsy  #perinatal  #developmentaldelay  #comorbidepilepsy  #paediatric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exercise is safe for most people with epilepsy and can improve mood, fitness and possibly seizure control; sedentary behaviour and deconditioning are common because of overprotection and stigma. Only rare reflex/exertional forms are provoked by exertion.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Faeco-oral transmission of Taenia solium via contaminated food/water and undercooked pork causes neurocysticercosis, the leading identifiable cause of epilepsy in India; supervised ketogenic/modified-Atkins diets reduce seizures in drug-resistant epilepsy, and skipped meals/hypoglycaemia can precipitate seizures.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deprivation is one of the most consistent seizure precipitants — reported by ~27–28% of patients and used as a routine EEG activation method; irregular sleep-wake cycles and untreated sleep apnoea worsen control.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 major direct seizure trigger but worsens cerebrovascular risk (stroke) that can cause epilepsy; heavy nicotine use has been linked to a slightly higher seizure risk in some cohorts.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 particularly binge drinking and the withdrawal state — lowers the seizure threshold, is a common precipitant of seizures and status epilepticus, and interacts pharmacokinetically with antiseizure medication.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(~23%) and anxiety (~20%) are the commonest comorbidities, share a bidirectional relationship with epilepsy, reduce quality of life and adherence, and raise suicide risk; stress is a frequent seizure precipitant.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Marked overhydration causing hyponatraemia can provoke seizures, and some antiseizure drugs (carbamazepine, oxcarbazepine) themselves cause hyponatraemia; otherwise routine hydration has little direct effect on seizures.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Very high caffeine intake may modestly lower the seizure threshold and disturb sleep, indirectly worsening control; moderate intake is generally tolerated and the evidence is limited and inconsistent.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sanitation, open defecation and faeco-oral spread of Taenia solium eggs drive neurocysticercosis; hand-washing, food/water hygiene and improved sanitation are key preventable determinants of epilepsy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Photic stimulation (flickering lights, screens, video games), fever, sleep loss, missed medication, alcohol and acute stress precipitate seizures in susceptible individuals — photosensitivity affects a minority of patients, chiefly generalised epilepsies.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Adolescents &amp; adults with epilepsy</w:t>
            </w:r>
          </w:p>
        </w:tc>
        <w:tc>
          <w:tcPr>
            <w:tcW w:type="dxa" w:w="1512"/>
            <w:vAlign w:val="top"/>
          </w:tcPr>
          <w:p>
            <w:pPr>
              <w:spacing w:after="40" w:before="0" w:line="259" w:lineRule="auto"/>
            </w:pPr>
            <w:r>
              <w:rPr>
                <w:rFonts w:ascii="Calibri" w:hAnsi="Calibri"/>
                <w:b w:val="0"/>
                <w:i w:val="0"/>
                <w:color w:val="212121"/>
                <w:sz w:val="19"/>
              </w:rPr>
              <w:t>7–9 hours/night, regular schedule</w:t>
            </w:r>
          </w:p>
        </w:tc>
        <w:tc>
          <w:tcPr>
            <w:tcW w:type="dxa" w:w="1512"/>
            <w:vAlign w:val="top"/>
          </w:tcPr>
          <w:p>
            <w:pPr>
              <w:spacing w:after="40" w:before="0" w:line="259" w:lineRule="auto"/>
            </w:pPr>
            <w:r>
              <w:rPr>
                <w:rFonts w:ascii="Calibri" w:hAnsi="Calibri"/>
                <w:b w:val="0"/>
                <w:i w:val="0"/>
                <w:color w:val="212121"/>
                <w:sz w:val="19"/>
              </w:rPr>
              <w:t>&lt; 6 h or markedly irregular sleep</w:t>
            </w:r>
          </w:p>
        </w:tc>
        <w:tc>
          <w:tcPr>
            <w:tcW w:type="dxa" w:w="1468"/>
            <w:vAlign w:val="top"/>
          </w:tcPr>
          <w:p>
            <w:pPr>
              <w:spacing w:after="60" w:line="259" w:lineRule="auto"/>
            </w:pPr>
            <w:r>
              <w:rPr>
                <w:rFonts w:ascii="Calibri" w:hAnsi="Calibri"/>
                <w:b w:val="0"/>
                <w:i w:val="0"/>
                <w:color w:val="212121"/>
                <w:sz w:val="19"/>
              </w:rPr>
              <w:t>Sleep deprivation is a leading, modifiable seizure precipitant</w:t>
            </w:r>
          </w:p>
          <w:p>
            <w:pPr>
              <w:spacing w:after="40" w:line="252" w:lineRule="auto"/>
            </w:pPr>
            <w:hyperlink r:id="rId12">
              <w:r>
                <w:rPr>
                  <w:rFonts w:ascii="Calibri" w:hAnsi="Calibri" w:cs="Calibri"/>
                  <w:sz w:val="18"/>
                  <w:color w:val="1155CC"/>
                  <w:u w:val="single"/>
                </w:rPr>
                <w:t xml:space="preserve">https://journals.sagepub.com/doi/pdf/10.1111/j.1535-7597.2004.04509.x</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Moderate-intensity activity (min/week)</w:t>
            </w:r>
          </w:p>
        </w:tc>
        <w:tc>
          <w:tcPr>
            <w:tcW w:type="dxa" w:w="1655"/>
            <w:vAlign w:val="top"/>
          </w:tcPr>
          <w:p>
            <w:pPr>
              <w:spacing w:after="40" w:before="0" w:line="259" w:lineRule="auto"/>
            </w:pPr>
            <w:r>
              <w:rPr>
                <w:rFonts w:ascii="Calibri" w:hAnsi="Calibri"/>
                <w:b w:val="0"/>
                <w:i w:val="0"/>
                <w:color w:val="212121"/>
                <w:sz w:val="19"/>
              </w:rPr>
              <w:t>Patients with controlled seizures</w:t>
            </w:r>
          </w:p>
        </w:tc>
        <w:tc>
          <w:tcPr>
            <w:tcW w:type="dxa" w:w="1512"/>
            <w:vAlign w:val="top"/>
          </w:tcPr>
          <w:p>
            <w:pPr>
              <w:spacing w:after="40" w:before="0" w:line="259" w:lineRule="auto"/>
            </w:pPr>
            <w:r>
              <w:rPr>
                <w:rFonts w:ascii="Calibri" w:hAnsi="Calibri"/>
                <w:b w:val="0"/>
                <w:i w:val="0"/>
                <w:color w:val="212121"/>
                <w:sz w:val="19"/>
              </w:rPr>
              <w:t>≥ 150 min/week moderate activity</w:t>
            </w:r>
          </w:p>
        </w:tc>
        <w:tc>
          <w:tcPr>
            <w:tcW w:type="dxa" w:w="1512"/>
            <w:vAlign w:val="top"/>
          </w:tcPr>
          <w:p>
            <w:pPr>
              <w:spacing w:after="40" w:before="0" w:line="259" w:lineRule="auto"/>
            </w:pPr>
            <w:r>
              <w:rPr>
                <w:rFonts w:ascii="Calibri" w:hAnsi="Calibri"/>
                <w:b w:val="0"/>
                <w:i w:val="0"/>
                <w:color w:val="212121"/>
                <w:sz w:val="19"/>
              </w:rPr>
              <w:t>Sedentary; or unsupervised swimming/height</w:t>
            </w:r>
          </w:p>
        </w:tc>
        <w:tc>
          <w:tcPr>
            <w:tcW w:type="dxa" w:w="1468"/>
            <w:vAlign w:val="top"/>
          </w:tcPr>
          <w:p>
            <w:pPr>
              <w:spacing w:after="40" w:before="0" w:line="259" w:lineRule="auto"/>
            </w:pPr>
            <w:r>
              <w:rPr>
                <w:rFonts w:ascii="Calibri" w:hAnsi="Calibri"/>
                <w:b w:val="0"/>
                <w:i w:val="0"/>
                <w:color w:val="212121"/>
                <w:sz w:val="19"/>
              </w:rPr>
              <w:t>Exercise is generally safe and beneficial; use buddy system and avoid solo water/heights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epilepsy</w:t>
            </w:r>
          </w:p>
        </w:tc>
        <w:tc>
          <w:tcPr>
            <w:tcW w:type="dxa" w:w="1512"/>
            <w:vAlign w:val="top"/>
          </w:tcPr>
          <w:p>
            <w:pPr>
              <w:spacing w:after="40" w:before="0" w:line="259" w:lineRule="auto"/>
            </w:pPr>
            <w:r>
              <w:rPr>
                <w:rFonts w:ascii="Calibri" w:hAnsi="Calibri"/>
                <w:b w:val="0"/>
                <w:i w:val="0"/>
                <w:color w:val="212121"/>
                <w:sz w:val="19"/>
              </w:rPr>
              <w:t>Nil or minimal</w:t>
            </w:r>
          </w:p>
        </w:tc>
        <w:tc>
          <w:tcPr>
            <w:tcW w:type="dxa" w:w="1512"/>
            <w:vAlign w:val="top"/>
          </w:tcPr>
          <w:p>
            <w:pPr>
              <w:spacing w:after="40" w:before="0" w:line="259" w:lineRule="auto"/>
            </w:pPr>
            <w:r>
              <w:rPr>
                <w:rFonts w:ascii="Calibri" w:hAnsi="Calibri"/>
                <w:b w:val="0"/>
                <w:i w:val="0"/>
                <w:color w:val="212121"/>
                <w:sz w:val="19"/>
              </w:rPr>
              <w:t>Binge (≥ 5 drinks/occasion) or withdrawal</w:t>
            </w:r>
          </w:p>
        </w:tc>
        <w:tc>
          <w:tcPr>
            <w:tcW w:type="dxa" w:w="1468"/>
            <w:vAlign w:val="top"/>
          </w:tcPr>
          <w:p>
            <w:pPr>
              <w:spacing w:after="40" w:before="0" w:line="259" w:lineRule="auto"/>
            </w:pPr>
            <w:r>
              <w:rPr>
                <w:rFonts w:ascii="Calibri" w:hAnsi="Calibri"/>
                <w:b w:val="0"/>
                <w:i w:val="0"/>
                <w:color w:val="212121"/>
                <w:sz w:val="19"/>
              </w:rPr>
              <w:t>Alcohol and withdrawal lower seizure threshold and interact with ASMs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 anxiety screen (PHQ-9 / GAD-7)</w:t>
            </w:r>
          </w:p>
        </w:tc>
        <w:tc>
          <w:tcPr>
            <w:tcW w:type="dxa" w:w="1655"/>
            <w:vAlign w:val="top"/>
          </w:tcPr>
          <w:p>
            <w:pPr>
              <w:spacing w:after="40" w:before="0" w:line="259" w:lineRule="auto"/>
            </w:pPr>
            <w:r>
              <w:rPr>
                <w:rFonts w:ascii="Calibri" w:hAnsi="Calibri"/>
                <w:b w:val="0"/>
                <w:i w:val="0"/>
                <w:color w:val="212121"/>
                <w:sz w:val="19"/>
              </w:rPr>
              <w:t>All people with epilepsy</w:t>
            </w:r>
          </w:p>
        </w:tc>
        <w:tc>
          <w:tcPr>
            <w:tcW w:type="dxa" w:w="1512"/>
            <w:vAlign w:val="top"/>
          </w:tcPr>
          <w:p>
            <w:pPr>
              <w:spacing w:after="40" w:before="0" w:line="259" w:lineRule="auto"/>
            </w:pPr>
            <w:r>
              <w:rPr>
                <w:rFonts w:ascii="Calibri" w:hAnsi="Calibri"/>
                <w:b w:val="0"/>
                <w:i w:val="0"/>
                <w:color w:val="212121"/>
                <w:sz w:val="19"/>
              </w:rPr>
              <w:t>PHQ-9 &lt; 5 and GAD-7 &lt; 5</w:t>
            </w:r>
          </w:p>
        </w:tc>
        <w:tc>
          <w:tcPr>
            <w:tcW w:type="dxa" w:w="1512"/>
            <w:vAlign w:val="top"/>
          </w:tcPr>
          <w:p>
            <w:pPr>
              <w:spacing w:after="40" w:before="0" w:line="259" w:lineRule="auto"/>
            </w:pPr>
            <w:r>
              <w:rPr>
                <w:rFonts w:ascii="Calibri" w:hAnsi="Calibri"/>
                <w:b w:val="0"/>
                <w:i w:val="0"/>
                <w:color w:val="212121"/>
                <w:sz w:val="19"/>
              </w:rPr>
              <w:t>PHQ-9 ≥ 10 or GAD-7 ≥ 10</w:t>
            </w:r>
          </w:p>
        </w:tc>
        <w:tc>
          <w:tcPr>
            <w:tcW w:type="dxa" w:w="1468"/>
            <w:vAlign w:val="top"/>
          </w:tcPr>
          <w:p>
            <w:pPr>
              <w:spacing w:after="60" w:line="259" w:lineRule="auto"/>
            </w:pPr>
            <w:r>
              <w:rPr>
                <w:rFonts w:ascii="Calibri" w:hAnsi="Calibri"/>
                <w:b w:val="0"/>
                <w:i w:val="0"/>
                <w:color w:val="212121"/>
                <w:sz w:val="19"/>
              </w:rPr>
              <w:t>Screen routinely; depression/anxiety are the commonest comorbidities and affect adherence</w:t>
            </w:r>
          </w:p>
          <w:p>
            <w:pPr>
              <w:spacing w:after="40" w:line="252" w:lineRule="auto"/>
            </w:pPr>
            <w:hyperlink r:id="rId15">
              <w:r>
                <w:rPr>
                  <w:rFonts w:ascii="Calibri" w:hAnsi="Calibri" w:cs="Calibri"/>
                  <w:sz w:val="18"/>
                  <w:color w:val="1155CC"/>
                  <w:u w:val="single"/>
                </w:rPr>
                <w:t xml:space="preserve">https://www.frontiersin.org/articles/10.3389/fneur.2021.761239/full</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Seizure frequency (seizures/month diary)</w:t>
            </w:r>
          </w:p>
        </w:tc>
        <w:tc>
          <w:tcPr>
            <w:tcW w:type="dxa" w:w="1655"/>
            <w:vAlign w:val="top"/>
          </w:tcPr>
          <w:p>
            <w:pPr>
              <w:spacing w:after="40" w:before="0" w:line="259" w:lineRule="auto"/>
            </w:pPr>
            <w:r>
              <w:rPr>
                <w:rFonts w:ascii="Calibri" w:hAnsi="Calibri"/>
                <w:b w:val="0"/>
                <w:i w:val="0"/>
                <w:color w:val="212121"/>
                <w:sz w:val="19"/>
              </w:rPr>
              <w:t>All people with epilepsy</w:t>
            </w:r>
          </w:p>
        </w:tc>
        <w:tc>
          <w:tcPr>
            <w:tcW w:type="dxa" w:w="1512"/>
            <w:vAlign w:val="top"/>
          </w:tcPr>
          <w:p>
            <w:pPr>
              <w:spacing w:after="40" w:before="0" w:line="259" w:lineRule="auto"/>
            </w:pPr>
            <w:r>
              <w:rPr>
                <w:rFonts w:ascii="Calibri" w:hAnsi="Calibri"/>
                <w:b w:val="0"/>
                <w:i w:val="0"/>
                <w:color w:val="212121"/>
                <w:sz w:val="19"/>
              </w:rPr>
              <w:t>0 (seizure-free)</w:t>
            </w:r>
          </w:p>
        </w:tc>
        <w:tc>
          <w:tcPr>
            <w:tcW w:type="dxa" w:w="1512"/>
            <w:vAlign w:val="top"/>
          </w:tcPr>
          <w:p>
            <w:pPr>
              <w:spacing w:after="40" w:before="0" w:line="259" w:lineRule="auto"/>
            </w:pPr>
            <w:r>
              <w:rPr>
                <w:rFonts w:ascii="Calibri" w:hAnsi="Calibri"/>
                <w:b w:val="0"/>
                <w:i w:val="0"/>
                <w:color w:val="212121"/>
                <w:sz w:val="19"/>
              </w:rPr>
              <w:t>≥ 1 seizure despite therapy</w:t>
            </w:r>
          </w:p>
        </w:tc>
        <w:tc>
          <w:tcPr>
            <w:tcW w:type="dxa" w:w="1468"/>
            <w:vAlign w:val="top"/>
          </w:tcPr>
          <w:p>
            <w:pPr>
              <w:spacing w:after="40" w:before="0" w:line="259" w:lineRule="auto"/>
            </w:pPr>
            <w:r>
              <w:rPr>
                <w:rFonts w:ascii="Calibri" w:hAnsi="Calibri"/>
                <w:b w:val="0"/>
                <w:i w:val="0"/>
                <w:color w:val="212121"/>
                <w:sz w:val="19"/>
              </w:rPr>
              <w:t>Failure of two appropriate ASMs defines drug-resistant epilepsy — refer to specialist</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Fasting/random blood glucose</w:t>
            </w:r>
          </w:p>
        </w:tc>
        <w:tc>
          <w:tcPr>
            <w:tcW w:type="dxa" w:w="1655"/>
            <w:vAlign w:val="top"/>
          </w:tcPr>
          <w:p>
            <w:pPr>
              <w:spacing w:after="40" w:before="0" w:line="259" w:lineRule="auto"/>
            </w:pPr>
            <w:r>
              <w:rPr>
                <w:rFonts w:ascii="Calibri" w:hAnsi="Calibri"/>
                <w:b w:val="0"/>
                <w:i w:val="0"/>
                <w:color w:val="212121"/>
                <w:sz w:val="19"/>
              </w:rPr>
              <w:t>Patients with breakthrough seizures</w:t>
            </w:r>
          </w:p>
        </w:tc>
        <w:tc>
          <w:tcPr>
            <w:tcW w:type="dxa" w:w="1512"/>
            <w:vAlign w:val="top"/>
          </w:tcPr>
          <w:p>
            <w:pPr>
              <w:spacing w:after="40" w:before="0" w:line="259" w:lineRule="auto"/>
            </w:pPr>
            <w:r>
              <w:rPr>
                <w:rFonts w:ascii="Calibri" w:hAnsi="Calibri"/>
                <w:b w:val="0"/>
                <w:i w:val="0"/>
                <w:color w:val="212121"/>
                <w:sz w:val="19"/>
              </w:rPr>
              <w:t>70–140 mg/dL</w:t>
            </w:r>
          </w:p>
        </w:tc>
        <w:tc>
          <w:tcPr>
            <w:tcW w:type="dxa" w:w="1512"/>
            <w:vAlign w:val="top"/>
          </w:tcPr>
          <w:p>
            <w:pPr>
              <w:spacing w:after="40" w:before="0" w:line="259" w:lineRule="auto"/>
            </w:pPr>
            <w:r>
              <w:rPr>
                <w:rFonts w:ascii="Calibri" w:hAnsi="Calibri"/>
                <w:b w:val="0"/>
                <w:i w:val="0"/>
                <w:color w:val="212121"/>
                <w:sz w:val="19"/>
              </w:rPr>
              <w:t>&lt; 60 mg/dL (hypoglycaemia)</w:t>
            </w:r>
          </w:p>
        </w:tc>
        <w:tc>
          <w:tcPr>
            <w:tcW w:type="dxa" w:w="1468"/>
            <w:vAlign w:val="top"/>
          </w:tcPr>
          <w:p>
            <w:pPr>
              <w:spacing w:after="40" w:before="0" w:line="259" w:lineRule="auto"/>
            </w:pPr>
            <w:r>
              <w:rPr>
                <w:rFonts w:ascii="Calibri" w:hAnsi="Calibri"/>
                <w:b w:val="0"/>
                <w:i w:val="0"/>
                <w:color w:val="212121"/>
                <w:sz w:val="19"/>
              </w:rPr>
              <w:t>Exclude hypoglycaemia as a provoked/acute symptomatic cause of seizures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sodium</w:t>
            </w:r>
          </w:p>
        </w:tc>
        <w:tc>
          <w:tcPr>
            <w:tcW w:type="dxa" w:w="1655"/>
            <w:vAlign w:val="top"/>
          </w:tcPr>
          <w:p>
            <w:pPr>
              <w:spacing w:after="40" w:before="0" w:line="259" w:lineRule="auto"/>
            </w:pPr>
            <w:r>
              <w:rPr>
                <w:rFonts w:ascii="Calibri" w:hAnsi="Calibri"/>
                <w:b w:val="0"/>
                <w:i w:val="0"/>
                <w:color w:val="212121"/>
                <w:sz w:val="19"/>
              </w:rPr>
              <w:t>Patients on carbamazepine/oxcarbazepine</w:t>
            </w:r>
          </w:p>
        </w:tc>
        <w:tc>
          <w:tcPr>
            <w:tcW w:type="dxa" w:w="1512"/>
            <w:vAlign w:val="top"/>
          </w:tcPr>
          <w:p>
            <w:pPr>
              <w:spacing w:after="40" w:before="0" w:line="259" w:lineRule="auto"/>
            </w:pPr>
            <w:r>
              <w:rPr>
                <w:rFonts w:ascii="Calibri" w:hAnsi="Calibri"/>
                <w:b w:val="0"/>
                <w:i w:val="0"/>
                <w:color w:val="212121"/>
                <w:sz w:val="19"/>
              </w:rPr>
              <w:t>135–145 mmol/L</w:t>
            </w:r>
          </w:p>
        </w:tc>
        <w:tc>
          <w:tcPr>
            <w:tcW w:type="dxa" w:w="1512"/>
            <w:vAlign w:val="top"/>
          </w:tcPr>
          <w:p>
            <w:pPr>
              <w:spacing w:after="40" w:before="0" w:line="259" w:lineRule="auto"/>
            </w:pPr>
            <w:r>
              <w:rPr>
                <w:rFonts w:ascii="Calibri" w:hAnsi="Calibri"/>
                <w:b w:val="0"/>
                <w:i w:val="0"/>
                <w:color w:val="212121"/>
                <w:sz w:val="19"/>
              </w:rPr>
              <w:t>&lt; 130 mmol/L (hyponatraemia)</w:t>
            </w:r>
          </w:p>
        </w:tc>
        <w:tc>
          <w:tcPr>
            <w:tcW w:type="dxa" w:w="1468"/>
            <w:vAlign w:val="top"/>
          </w:tcPr>
          <w:p>
            <w:pPr>
              <w:spacing w:after="40" w:before="0" w:line="259" w:lineRule="auto"/>
            </w:pPr>
            <w:r>
              <w:rPr>
                <w:rFonts w:ascii="Calibri" w:hAnsi="Calibri"/>
                <w:b w:val="0"/>
                <w:i w:val="0"/>
                <w:color w:val="212121"/>
                <w:sz w:val="19"/>
              </w:rPr>
              <w:t>Hyponatraemia — spontaneous or drug-induced — can provoke seizures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Antiseizure drug serum level / adherence</w:t>
            </w:r>
          </w:p>
        </w:tc>
        <w:tc>
          <w:tcPr>
            <w:tcW w:type="dxa" w:w="1655"/>
            <w:vAlign w:val="top"/>
          </w:tcPr>
          <w:p>
            <w:pPr>
              <w:spacing w:after="40" w:before="0" w:line="259" w:lineRule="auto"/>
            </w:pPr>
            <w:r>
              <w:rPr>
                <w:rFonts w:ascii="Calibri" w:hAnsi="Calibri"/>
                <w:b w:val="0"/>
                <w:i w:val="0"/>
                <w:color w:val="212121"/>
                <w:sz w:val="19"/>
              </w:rPr>
              <w:t>Patients on phenytoin, valproate, carbamazepine</w:t>
            </w:r>
          </w:p>
        </w:tc>
        <w:tc>
          <w:tcPr>
            <w:tcW w:type="dxa" w:w="1512"/>
            <w:vAlign w:val="top"/>
          </w:tcPr>
          <w:p>
            <w:pPr>
              <w:spacing w:after="40" w:before="0" w:line="259" w:lineRule="auto"/>
            </w:pPr>
            <w:r>
              <w:rPr>
                <w:rFonts w:ascii="Calibri" w:hAnsi="Calibri"/>
                <w:b w:val="0"/>
                <w:i w:val="0"/>
                <w:color w:val="212121"/>
                <w:sz w:val="19"/>
              </w:rPr>
              <w:t>Within therapeutic range; ≥ 95% doses taken</w:t>
            </w:r>
          </w:p>
        </w:tc>
        <w:tc>
          <w:tcPr>
            <w:tcW w:type="dxa" w:w="1512"/>
            <w:vAlign w:val="top"/>
          </w:tcPr>
          <w:p>
            <w:pPr>
              <w:spacing w:after="40" w:before="0" w:line="259" w:lineRule="auto"/>
            </w:pPr>
            <w:r>
              <w:rPr>
                <w:rFonts w:ascii="Calibri" w:hAnsi="Calibri"/>
                <w:b w:val="0"/>
                <w:i w:val="0"/>
                <w:color w:val="212121"/>
                <w:sz w:val="19"/>
              </w:rPr>
              <w:t>Sub-therapeutic level or missed doses</w:t>
            </w:r>
          </w:p>
        </w:tc>
        <w:tc>
          <w:tcPr>
            <w:tcW w:type="dxa" w:w="1468"/>
            <w:vAlign w:val="top"/>
          </w:tcPr>
          <w:p>
            <w:pPr>
              <w:spacing w:after="40" w:before="0" w:line="259" w:lineRule="auto"/>
            </w:pPr>
            <w:r>
              <w:rPr>
                <w:rFonts w:ascii="Calibri" w:hAnsi="Calibri"/>
                <w:b w:val="0"/>
                <w:i w:val="0"/>
                <w:color w:val="212121"/>
                <w:sz w:val="19"/>
              </w:rPr>
              <w:t>Non-adherence is a leading cause of breakthrough seizures and status epilepticus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with epilepsy</w:t>
            </w:r>
          </w:p>
        </w:tc>
        <w:tc>
          <w:tcPr>
            <w:tcW w:type="dxa" w:w="1512"/>
            <w:vAlign w:val="top"/>
          </w:tcPr>
          <w:p>
            <w:pPr>
              <w:spacing w:after="40" w:before="0" w:line="259" w:lineRule="auto"/>
            </w:pPr>
            <w:r>
              <w:rPr>
                <w:rFonts w:ascii="Calibri" w:hAnsi="Calibri"/>
                <w:b w:val="0"/>
                <w:i w:val="0"/>
                <w:color w:val="212121"/>
                <w:sz w:val="19"/>
              </w:rPr>
              <w:t>&lt; 400 mg/day</w:t>
            </w:r>
          </w:p>
        </w:tc>
        <w:tc>
          <w:tcPr>
            <w:tcW w:type="dxa" w:w="1512"/>
            <w:vAlign w:val="top"/>
          </w:tcPr>
          <w:p>
            <w:pPr>
              <w:spacing w:after="40" w:before="0" w:line="259" w:lineRule="auto"/>
            </w:pPr>
            <w:r>
              <w:rPr>
                <w:rFonts w:ascii="Calibri" w:hAnsi="Calibri"/>
                <w:b w:val="0"/>
                <w:i w:val="0"/>
                <w:color w:val="212121"/>
                <w:sz w:val="19"/>
              </w:rPr>
              <w:t>High intake disturbing sleep</w:t>
            </w:r>
          </w:p>
        </w:tc>
        <w:tc>
          <w:tcPr>
            <w:tcW w:type="dxa" w:w="1468"/>
            <w:vAlign w:val="top"/>
          </w:tcPr>
          <w:p>
            <w:pPr>
              <w:spacing w:after="40" w:before="0" w:line="259" w:lineRule="auto"/>
            </w:pPr>
            <w:r>
              <w:rPr>
                <w:rFonts w:ascii="Calibri" w:hAnsi="Calibri"/>
                <w:b w:val="0"/>
                <w:i w:val="0"/>
                <w:color w:val="212121"/>
                <w:sz w:val="19"/>
              </w:rPr>
              <w:t>Excess caffeine may lower threshold indirectly via sleep disruption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temperature (children)</w:t>
            </w:r>
          </w:p>
        </w:tc>
        <w:tc>
          <w:tcPr>
            <w:tcW w:type="dxa" w:w="1655"/>
            <w:vAlign w:val="top"/>
          </w:tcPr>
          <w:p>
            <w:pPr>
              <w:spacing w:after="40" w:before="0" w:line="259" w:lineRule="auto"/>
            </w:pPr>
            <w:r>
              <w:rPr>
                <w:rFonts w:ascii="Calibri" w:hAnsi="Calibri"/>
                <w:b w:val="0"/>
                <w:i w:val="0"/>
                <w:color w:val="212121"/>
                <w:sz w:val="19"/>
              </w:rPr>
              <w:t>Young children with febrile-triggered seizures</w:t>
            </w:r>
          </w:p>
        </w:tc>
        <w:tc>
          <w:tcPr>
            <w:tcW w:type="dxa" w:w="1512"/>
            <w:vAlign w:val="top"/>
          </w:tcPr>
          <w:p>
            <w:pPr>
              <w:spacing w:after="40" w:before="0" w:line="259" w:lineRule="auto"/>
            </w:pPr>
            <w:r>
              <w:rPr>
                <w:rFonts w:ascii="Calibri" w:hAnsi="Calibri"/>
                <w:b w:val="0"/>
                <w:i w:val="0"/>
                <w:color w:val="212121"/>
                <w:sz w:val="19"/>
              </w:rPr>
              <w:t>&lt; 38°C</w:t>
            </w:r>
          </w:p>
        </w:tc>
        <w:tc>
          <w:tcPr>
            <w:tcW w:type="dxa" w:w="1512"/>
            <w:vAlign w:val="top"/>
          </w:tcPr>
          <w:p>
            <w:pPr>
              <w:spacing w:after="40" w:before="0" w:line="259" w:lineRule="auto"/>
            </w:pPr>
            <w:r>
              <w:rPr>
                <w:rFonts w:ascii="Calibri" w:hAnsi="Calibri"/>
                <w:b w:val="0"/>
                <w:i w:val="0"/>
                <w:color w:val="212121"/>
                <w:sz w:val="19"/>
              </w:rPr>
              <w:t>≥ 38°C fever in a predisposed child</w:t>
            </w:r>
          </w:p>
        </w:tc>
        <w:tc>
          <w:tcPr>
            <w:tcW w:type="dxa" w:w="1468"/>
            <w:vAlign w:val="top"/>
          </w:tcPr>
          <w:p>
            <w:pPr>
              <w:spacing w:after="40" w:before="0" w:line="259" w:lineRule="auto"/>
            </w:pPr>
            <w:r>
              <w:rPr>
                <w:rFonts w:ascii="Calibri" w:hAnsi="Calibri"/>
                <w:b w:val="0"/>
                <w:i w:val="0"/>
                <w:color w:val="212121"/>
                <w:sz w:val="19"/>
              </w:rPr>
              <w:t>Fever precipitates seizures in susceptible children; treat fever promptly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Interictal epileptiform discharges</w:t>
            </w:r>
          </w:p>
        </w:tc>
        <w:tc>
          <w:tcPr>
            <w:tcW w:type="dxa" w:w="892"/>
            <w:vAlign w:val="top"/>
          </w:tcPr>
          <w:p>
            <w:pPr>
              <w:spacing w:after="40" w:before="0" w:line="259" w:lineRule="auto"/>
            </w:pPr>
            <w:r>
              <w:rPr>
                <w:rFonts w:ascii="Calibri" w:hAnsi="Calibri"/>
                <w:b w:val="0"/>
                <w:i w:val="0"/>
                <w:color w:val="212121"/>
                <w:sz w:val="16"/>
              </w:rPr>
              <w:t>Electroencephalography (EEG)</w:t>
            </w:r>
          </w:p>
        </w:tc>
        <w:tc>
          <w:tcPr>
            <w:tcW w:type="dxa" w:w="950"/>
            <w:vAlign w:val="top"/>
          </w:tcPr>
          <w:p>
            <w:pPr>
              <w:spacing w:after="40" w:before="0" w:line="259" w:lineRule="auto"/>
            </w:pPr>
            <w:r>
              <w:rPr>
                <w:rFonts w:ascii="Calibri" w:hAnsi="Calibri"/>
                <w:b w:val="0"/>
                <w:i w:val="0"/>
                <w:color w:val="212121"/>
                <w:sz w:val="16"/>
              </w:rPr>
              <w:t>No epileptiform activity</w:t>
            </w:r>
          </w:p>
        </w:tc>
        <w:tc>
          <w:tcPr>
            <w:tcW w:type="dxa" w:w="950"/>
            <w:vAlign w:val="top"/>
          </w:tcPr>
          <w:p>
            <w:pPr>
              <w:spacing w:after="40" w:before="0" w:line="259" w:lineRule="auto"/>
            </w:pPr>
            <w:r>
              <w:rPr>
                <w:rFonts w:ascii="Calibri" w:hAnsi="Calibri"/>
                <w:b w:val="0"/>
                <w:i w:val="0"/>
                <w:color w:val="212121"/>
                <w:sz w:val="16"/>
              </w:rPr>
              <w:t>Spikes, sharp waves, spike-and-wave complexes</w:t>
            </w:r>
          </w:p>
        </w:tc>
        <w:tc>
          <w:tcPr>
            <w:tcW w:type="dxa" w:w="1036"/>
            <w:vAlign w:val="top"/>
          </w:tcPr>
          <w:p>
            <w:pPr>
              <w:spacing w:after="40" w:before="0" w:line="259" w:lineRule="auto"/>
            </w:pPr>
            <w:r>
              <w:rPr>
                <w:rFonts w:ascii="Calibri" w:hAnsi="Calibri"/>
                <w:b w:val="0"/>
                <w:i w:val="0"/>
                <w:color w:val="212121"/>
                <w:sz w:val="16"/>
              </w:rPr>
              <w:t>Supports diagnosis and classifies focal vs generalised; a normal EEG does not exclude epilepsy</w:t>
            </w:r>
          </w:p>
        </w:tc>
        <w:tc>
          <w:tcPr>
            <w:tcW w:type="dxa" w:w="1036"/>
            <w:vAlign w:val="top"/>
          </w:tcPr>
          <w:p>
            <w:pPr>
              <w:spacing w:after="40" w:before="0" w:line="259" w:lineRule="auto"/>
            </w:pPr>
            <w:r>
              <w:rPr>
                <w:rFonts w:ascii="Calibri" w:hAnsi="Calibri"/>
                <w:b w:val="0"/>
                <w:i w:val="0"/>
                <w:color w:val="212121"/>
                <w:sz w:val="16"/>
              </w:rPr>
              <w:t>All patients with suspected epilepsy, new-onset seizures</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Gold standard for classification</w:t>
            </w:r>
          </w:p>
        </w:tc>
        <w:tc>
          <w:tcPr>
            <w:tcW w:type="dxa" w:w="720"/>
            <w:vAlign w:val="top"/>
          </w:tcPr>
          <w:p>
            <w:pPr>
              <w:spacing w:after="40" w:before="0" w:line="259" w:lineRule="auto"/>
            </w:pPr>
            <w:r>
              <w:rPr>
                <w:rFonts w:ascii="Calibri" w:hAnsi="Calibri"/>
                <w:b w:val="0"/>
                <w:i w:val="0"/>
                <w:color w:val="212121"/>
                <w:sz w:val="16"/>
              </w:rPr>
              <w:t>Yield increased by sleep-deprived, prolonged or video-EEG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Ictal / prolonged recording</w:t>
            </w:r>
          </w:p>
        </w:tc>
        <w:tc>
          <w:tcPr>
            <w:tcW w:type="dxa" w:w="892"/>
            <w:vAlign w:val="top"/>
          </w:tcPr>
          <w:p>
            <w:pPr>
              <w:spacing w:after="40" w:before="0" w:line="259" w:lineRule="auto"/>
            </w:pPr>
            <w:r>
              <w:rPr>
                <w:rFonts w:ascii="Calibri" w:hAnsi="Calibri"/>
                <w:b w:val="0"/>
                <w:i w:val="0"/>
                <w:color w:val="212121"/>
                <w:sz w:val="16"/>
              </w:rPr>
              <w:t>Video-EEG monitoring</w:t>
            </w:r>
          </w:p>
        </w:tc>
        <w:tc>
          <w:tcPr>
            <w:tcW w:type="dxa" w:w="950"/>
            <w:vAlign w:val="top"/>
          </w:tcPr>
          <w:p>
            <w:pPr>
              <w:spacing w:after="40" w:before="0" w:line="259" w:lineRule="auto"/>
            </w:pPr>
            <w:r>
              <w:rPr>
                <w:rFonts w:ascii="Calibri" w:hAnsi="Calibri"/>
                <w:b w:val="0"/>
                <w:i w:val="0"/>
                <w:color w:val="212121"/>
                <w:sz w:val="16"/>
              </w:rPr>
              <w:t>No ictal correlate; events non-epileptic</w:t>
            </w:r>
          </w:p>
        </w:tc>
        <w:tc>
          <w:tcPr>
            <w:tcW w:type="dxa" w:w="950"/>
            <w:vAlign w:val="top"/>
          </w:tcPr>
          <w:p>
            <w:pPr>
              <w:spacing w:after="40" w:before="0" w:line="259" w:lineRule="auto"/>
            </w:pPr>
            <w:r>
              <w:rPr>
                <w:rFonts w:ascii="Calibri" w:hAnsi="Calibri"/>
                <w:b w:val="0"/>
                <w:i w:val="0"/>
                <w:color w:val="212121"/>
                <w:sz w:val="16"/>
              </w:rPr>
              <w:t>Electroclinical seizure captured with EEG correlate</w:t>
            </w:r>
          </w:p>
        </w:tc>
        <w:tc>
          <w:tcPr>
            <w:tcW w:type="dxa" w:w="1036"/>
            <w:vAlign w:val="top"/>
          </w:tcPr>
          <w:p>
            <w:pPr>
              <w:spacing w:after="40" w:before="0" w:line="259" w:lineRule="auto"/>
            </w:pPr>
            <w:r>
              <w:rPr>
                <w:rFonts w:ascii="Calibri" w:hAnsi="Calibri"/>
                <w:b w:val="0"/>
                <w:i w:val="0"/>
                <w:color w:val="212121"/>
                <w:sz w:val="16"/>
              </w:rPr>
              <w:t>Confirms and localises seizures; distinguishes epileptic from psychogenic non-epileptic seizures</w:t>
            </w:r>
          </w:p>
        </w:tc>
        <w:tc>
          <w:tcPr>
            <w:tcW w:type="dxa" w:w="1036"/>
            <w:vAlign w:val="top"/>
          </w:tcPr>
          <w:p>
            <w:pPr>
              <w:spacing w:after="40" w:before="0" w:line="259" w:lineRule="auto"/>
            </w:pPr>
            <w:r>
              <w:rPr>
                <w:rFonts w:ascii="Calibri" w:hAnsi="Calibri"/>
                <w:b w:val="0"/>
                <w:i w:val="0"/>
                <w:color w:val="212121"/>
                <w:sz w:val="16"/>
              </w:rPr>
              <w:t>Drug-resistant epilepsy, diagnostic doubt, pre-surgical work-up</w:t>
            </w:r>
          </w:p>
        </w:tc>
        <w:tc>
          <w:tcPr>
            <w:tcW w:type="dxa" w:w="720"/>
            <w:vAlign w:val="top"/>
          </w:tcPr>
          <w:p>
            <w:pPr>
              <w:spacing w:after="40" w:before="0" w:line="259" w:lineRule="auto"/>
            </w:pPr>
            <w:r>
              <w:rPr>
                <w:rFonts w:ascii="Calibri" w:hAnsi="Calibri"/>
                <w:b w:val="0"/>
                <w:i w:val="0"/>
                <w:color w:val="212121"/>
                <w:sz w:val="16"/>
              </w:rPr>
              <w:t>Provoking factors; Sleep</w:t>
            </w:r>
          </w:p>
        </w:tc>
        <w:tc>
          <w:tcPr>
            <w:tcW w:type="dxa" w:w="720"/>
            <w:vAlign w:val="top"/>
          </w:tcPr>
          <w:p>
            <w:pPr>
              <w:spacing w:after="40" w:before="0" w:line="259" w:lineRule="auto"/>
            </w:pPr>
            <w:r>
              <w:rPr>
                <w:rFonts w:ascii="Calibri" w:hAnsi="Calibri"/>
                <w:b w:val="0"/>
                <w:i w:val="0"/>
                <w:color w:val="212121"/>
                <w:sz w:val="16"/>
              </w:rPr>
              <w:t>Confirmatory / localising</w:t>
            </w:r>
          </w:p>
        </w:tc>
        <w:tc>
          <w:tcPr>
            <w:tcW w:type="dxa" w:w="720"/>
            <w:vAlign w:val="top"/>
          </w:tcPr>
          <w:p>
            <w:pPr>
              <w:spacing w:after="40" w:before="0" w:line="259" w:lineRule="auto"/>
            </w:pPr>
            <w:r>
              <w:rPr>
                <w:rFonts w:ascii="Calibri" w:hAnsi="Calibri"/>
                <w:b w:val="0"/>
                <w:i w:val="0"/>
                <w:color w:val="212121"/>
                <w:sz w:val="16"/>
              </w:rPr>
              <w:t>Essential before epilepsy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Structural brain lesion</w:t>
            </w:r>
          </w:p>
        </w:tc>
        <w:tc>
          <w:tcPr>
            <w:tcW w:type="dxa" w:w="892"/>
            <w:vAlign w:val="top"/>
          </w:tcPr>
          <w:p>
            <w:pPr>
              <w:spacing w:after="40" w:before="0" w:line="259" w:lineRule="auto"/>
            </w:pPr>
            <w:r>
              <w:rPr>
                <w:rFonts w:ascii="Calibri" w:hAnsi="Calibri"/>
                <w:b w:val="0"/>
                <w:i w:val="0"/>
                <w:color w:val="212121"/>
                <w:sz w:val="16"/>
              </w:rPr>
              <w:t>MRI brain (epilepsy protocol)</w:t>
            </w:r>
          </w:p>
        </w:tc>
        <w:tc>
          <w:tcPr>
            <w:tcW w:type="dxa" w:w="950"/>
            <w:vAlign w:val="top"/>
          </w:tcPr>
          <w:p>
            <w:pPr>
              <w:spacing w:after="40" w:before="0" w:line="259" w:lineRule="auto"/>
            </w:pPr>
            <w:r>
              <w:rPr>
                <w:rFonts w:ascii="Calibri" w:hAnsi="Calibri"/>
                <w:b w:val="0"/>
                <w:i w:val="0"/>
                <w:color w:val="212121"/>
                <w:sz w:val="16"/>
              </w:rPr>
              <w:t>No epileptogenic lesion</w:t>
            </w:r>
          </w:p>
        </w:tc>
        <w:tc>
          <w:tcPr>
            <w:tcW w:type="dxa" w:w="950"/>
            <w:vAlign w:val="top"/>
          </w:tcPr>
          <w:p>
            <w:pPr>
              <w:spacing w:after="40" w:before="0" w:line="259" w:lineRule="auto"/>
            </w:pPr>
            <w:r>
              <w:rPr>
                <w:rFonts w:ascii="Calibri" w:hAnsi="Calibri"/>
                <w:b w:val="0"/>
                <w:i w:val="0"/>
                <w:color w:val="212121"/>
                <w:sz w:val="16"/>
              </w:rPr>
              <w:t>Hippocampal sclerosis, NCC, tumour, cortical dysplasia, gliosis</w:t>
            </w:r>
          </w:p>
        </w:tc>
        <w:tc>
          <w:tcPr>
            <w:tcW w:type="dxa" w:w="1036"/>
            <w:vAlign w:val="top"/>
          </w:tcPr>
          <w:p>
            <w:pPr>
              <w:spacing w:after="40" w:before="0" w:line="259" w:lineRule="auto"/>
            </w:pPr>
            <w:r>
              <w:rPr>
                <w:rFonts w:ascii="Calibri" w:hAnsi="Calibri"/>
                <w:b w:val="0"/>
                <w:i w:val="0"/>
                <w:color w:val="212121"/>
                <w:sz w:val="16"/>
              </w:rPr>
              <w:t>Identifies structural cause; guides prognosis and surgical candidacy</w:t>
            </w:r>
          </w:p>
        </w:tc>
        <w:tc>
          <w:tcPr>
            <w:tcW w:type="dxa" w:w="1036"/>
            <w:vAlign w:val="top"/>
          </w:tcPr>
          <w:p>
            <w:pPr>
              <w:spacing w:after="40" w:before="0" w:line="259" w:lineRule="auto"/>
            </w:pPr>
            <w:r>
              <w:rPr>
                <w:rFonts w:ascii="Calibri" w:hAnsi="Calibri"/>
                <w:b w:val="0"/>
                <w:i w:val="0"/>
                <w:color w:val="212121"/>
                <w:sz w:val="16"/>
              </w:rPr>
              <w:t>Focal epilepsy, adult-onset, refractory or focal-deficit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for structural cause</w:t>
            </w:r>
          </w:p>
        </w:tc>
        <w:tc>
          <w:tcPr>
            <w:tcW w:type="dxa" w:w="720"/>
            <w:vAlign w:val="top"/>
          </w:tcPr>
          <w:p>
            <w:pPr>
              <w:spacing w:after="40" w:before="0" w:line="259" w:lineRule="auto"/>
            </w:pPr>
            <w:r>
              <w:rPr>
                <w:rFonts w:ascii="Calibri" w:hAnsi="Calibri"/>
                <w:b w:val="0"/>
                <w:i w:val="0"/>
                <w:color w:val="212121"/>
                <w:sz w:val="16"/>
              </w:rPr>
              <w:t>Preferred over CT; may be normal in genetic generalised epilepsy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Calcified / cystic lesion</w:t>
            </w:r>
          </w:p>
        </w:tc>
        <w:tc>
          <w:tcPr>
            <w:tcW w:type="dxa" w:w="892"/>
            <w:vAlign w:val="top"/>
          </w:tcPr>
          <w:p>
            <w:pPr>
              <w:spacing w:after="40" w:before="0" w:line="259" w:lineRule="auto"/>
            </w:pPr>
            <w:r>
              <w:rPr>
                <w:rFonts w:ascii="Calibri" w:hAnsi="Calibri"/>
                <w:b w:val="0"/>
                <w:i w:val="0"/>
                <w:color w:val="212121"/>
                <w:sz w:val="16"/>
              </w:rPr>
              <w:t>CT brain</w:t>
            </w:r>
          </w:p>
        </w:tc>
        <w:tc>
          <w:tcPr>
            <w:tcW w:type="dxa" w:w="950"/>
            <w:vAlign w:val="top"/>
          </w:tcPr>
          <w:p>
            <w:pPr>
              <w:spacing w:after="40" w:before="0" w:line="259" w:lineRule="auto"/>
            </w:pPr>
            <w:r>
              <w:rPr>
                <w:rFonts w:ascii="Calibri" w:hAnsi="Calibri"/>
                <w:b w:val="0"/>
                <w:i w:val="0"/>
                <w:color w:val="212121"/>
                <w:sz w:val="16"/>
              </w:rPr>
              <w:t>No calcification or mass</w:t>
            </w:r>
          </w:p>
        </w:tc>
        <w:tc>
          <w:tcPr>
            <w:tcW w:type="dxa" w:w="950"/>
            <w:vAlign w:val="top"/>
          </w:tcPr>
          <w:p>
            <w:pPr>
              <w:spacing w:after="40" w:before="0" w:line="259" w:lineRule="auto"/>
            </w:pPr>
            <w:r>
              <w:rPr>
                <w:rFonts w:ascii="Calibri" w:hAnsi="Calibri"/>
                <w:b w:val="0"/>
                <w:i w:val="0"/>
                <w:color w:val="212121"/>
                <w:sz w:val="16"/>
              </w:rPr>
              <w:t>Calcified or ring-enhancing lesion (neurocysticercosis), haemorrhage</w:t>
            </w:r>
          </w:p>
        </w:tc>
        <w:tc>
          <w:tcPr>
            <w:tcW w:type="dxa" w:w="1036"/>
            <w:vAlign w:val="top"/>
          </w:tcPr>
          <w:p>
            <w:pPr>
              <w:spacing w:after="40" w:before="0" w:line="259" w:lineRule="auto"/>
            </w:pPr>
            <w:r>
              <w:rPr>
                <w:rFonts w:ascii="Calibri" w:hAnsi="Calibri"/>
                <w:b w:val="0"/>
                <w:i w:val="0"/>
                <w:color w:val="212121"/>
                <w:sz w:val="16"/>
              </w:rPr>
              <w:t>Detects calcified neurocysticercosis and gross lesions where MRI is unavailable</w:t>
            </w:r>
          </w:p>
        </w:tc>
        <w:tc>
          <w:tcPr>
            <w:tcW w:type="dxa" w:w="1036"/>
            <w:vAlign w:val="top"/>
          </w:tcPr>
          <w:p>
            <w:pPr>
              <w:spacing w:after="40" w:before="0" w:line="259" w:lineRule="auto"/>
            </w:pPr>
            <w:r>
              <w:rPr>
                <w:rFonts w:ascii="Calibri" w:hAnsi="Calibri"/>
                <w:b w:val="0"/>
                <w:i w:val="0"/>
                <w:color w:val="212121"/>
                <w:sz w:val="16"/>
              </w:rPr>
              <w:t>Endemic-area patients, acute presentation, resource-limited settings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High (India-relevant)</w:t>
            </w:r>
          </w:p>
        </w:tc>
        <w:tc>
          <w:tcPr>
            <w:tcW w:type="dxa" w:w="720"/>
            <w:vAlign w:val="top"/>
          </w:tcPr>
          <w:p>
            <w:pPr>
              <w:spacing w:after="40" w:before="0" w:line="259" w:lineRule="auto"/>
            </w:pPr>
            <w:r>
              <w:rPr>
                <w:rFonts w:ascii="Calibri" w:hAnsi="Calibri"/>
                <w:b w:val="0"/>
                <w:i w:val="0"/>
                <w:color w:val="212121"/>
                <w:sz w:val="16"/>
              </w:rPr>
              <w:t>CT is superior to MRI for detecting calcification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Glucose, sodium, calcium, magnesium, urea</w:t>
            </w:r>
          </w:p>
        </w:tc>
        <w:tc>
          <w:tcPr>
            <w:tcW w:type="dxa" w:w="892"/>
            <w:vAlign w:val="top"/>
          </w:tcPr>
          <w:p>
            <w:pPr>
              <w:spacing w:after="40" w:before="0" w:line="259" w:lineRule="auto"/>
            </w:pPr>
            <w:r>
              <w:rPr>
                <w:rFonts w:ascii="Calibri" w:hAnsi="Calibri"/>
                <w:b w:val="0"/>
                <w:i w:val="0"/>
                <w:color w:val="212121"/>
                <w:sz w:val="16"/>
              </w:rPr>
              <w:t>Serum electrolytes &amp; metabolic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Hypoglycaemia, hyponatraemia, hypocalcaemia, uraemia</w:t>
            </w:r>
          </w:p>
        </w:tc>
        <w:tc>
          <w:tcPr>
            <w:tcW w:type="dxa" w:w="1036"/>
            <w:vAlign w:val="top"/>
          </w:tcPr>
          <w:p>
            <w:pPr>
              <w:spacing w:after="40" w:before="0" w:line="259" w:lineRule="auto"/>
            </w:pPr>
            <w:r>
              <w:rPr>
                <w:rFonts w:ascii="Calibri" w:hAnsi="Calibri"/>
                <w:b w:val="0"/>
                <w:i w:val="0"/>
                <w:color w:val="212121"/>
                <w:sz w:val="16"/>
              </w:rPr>
              <w:t>Excludes acute symptomatic (provoked) seizures that mimic epilepsy</w:t>
            </w:r>
          </w:p>
        </w:tc>
        <w:tc>
          <w:tcPr>
            <w:tcW w:type="dxa" w:w="1036"/>
            <w:vAlign w:val="top"/>
          </w:tcPr>
          <w:p>
            <w:pPr>
              <w:spacing w:after="40" w:before="0" w:line="259" w:lineRule="auto"/>
            </w:pPr>
            <w:r>
              <w:rPr>
                <w:rFonts w:ascii="Calibri" w:hAnsi="Calibri"/>
                <w:b w:val="0"/>
                <w:i w:val="0"/>
                <w:color w:val="212121"/>
                <w:sz w:val="16"/>
              </w:rPr>
              <w:t>First seizure, acute/status presentations, elderly</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 / exclusion</w:t>
            </w:r>
          </w:p>
        </w:tc>
        <w:tc>
          <w:tcPr>
            <w:tcW w:type="dxa" w:w="720"/>
            <w:vAlign w:val="top"/>
          </w:tcPr>
          <w:p>
            <w:pPr>
              <w:spacing w:after="40" w:before="0" w:line="259" w:lineRule="auto"/>
            </w:pPr>
            <w:r>
              <w:rPr>
                <w:rFonts w:ascii="Calibri" w:hAnsi="Calibri"/>
                <w:b w:val="0"/>
                <w:i w:val="0"/>
                <w:color w:val="212121"/>
                <w:sz w:val="16"/>
              </w:rPr>
              <w:t>Correct reversible metabolic causes before labelling epilepsy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Anti-cysticercal antibody / stool for Taenia</w:t>
            </w:r>
          </w:p>
        </w:tc>
        <w:tc>
          <w:tcPr>
            <w:tcW w:type="dxa" w:w="892"/>
            <w:vAlign w:val="top"/>
          </w:tcPr>
          <w:p>
            <w:pPr>
              <w:spacing w:after="40" w:before="0" w:line="259" w:lineRule="auto"/>
            </w:pPr>
            <w:r>
              <w:rPr>
                <w:rFonts w:ascii="Calibri" w:hAnsi="Calibri"/>
                <w:b w:val="0"/>
                <w:i w:val="0"/>
                <w:color w:val="212121"/>
                <w:sz w:val="16"/>
              </w:rPr>
              <w:t>NCC serology (EITB/ELISA), stool microscopy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serology / Taenia ova</w:t>
            </w:r>
          </w:p>
        </w:tc>
        <w:tc>
          <w:tcPr>
            <w:tcW w:type="dxa" w:w="1036"/>
            <w:vAlign w:val="top"/>
          </w:tcPr>
          <w:p>
            <w:pPr>
              <w:spacing w:after="40" w:before="0" w:line="259" w:lineRule="auto"/>
            </w:pPr>
            <w:r>
              <w:rPr>
                <w:rFonts w:ascii="Calibri" w:hAnsi="Calibri"/>
                <w:b w:val="0"/>
                <w:i w:val="0"/>
                <w:color w:val="212121"/>
                <w:sz w:val="16"/>
              </w:rPr>
              <w:t>Supports neurocysticercosis in the correct clinical-radiological context</w:t>
            </w:r>
          </w:p>
        </w:tc>
        <w:tc>
          <w:tcPr>
            <w:tcW w:type="dxa" w:w="1036"/>
            <w:vAlign w:val="top"/>
          </w:tcPr>
          <w:p>
            <w:pPr>
              <w:spacing w:after="40" w:before="0" w:line="259" w:lineRule="auto"/>
            </w:pPr>
            <w:r>
              <w:rPr>
                <w:rFonts w:ascii="Calibri" w:hAnsi="Calibri"/>
                <w:b w:val="0"/>
                <w:i w:val="0"/>
                <w:color w:val="212121"/>
                <w:sz w:val="16"/>
              </w:rPr>
              <w:t>Patients with cystic/calcified lesions, endemic exposure</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imaging; serology can be negative with single calcified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CBC, LFT, RFT</w:t>
            </w:r>
          </w:p>
        </w:tc>
        <w:tc>
          <w:tcPr>
            <w:tcW w:type="dxa" w:w="892"/>
            <w:vAlign w:val="top"/>
          </w:tcPr>
          <w:p>
            <w:pPr>
              <w:spacing w:after="40" w:before="0" w:line="259" w:lineRule="auto"/>
            </w:pPr>
            <w:r>
              <w:rPr>
                <w:rFonts w:ascii="Calibri" w:hAnsi="Calibri"/>
                <w:b w:val="0"/>
                <w:i w:val="0"/>
                <w:color w:val="212121"/>
                <w:sz w:val="16"/>
              </w:rPr>
              <w:t>Baseline &amp; monitoring bloods</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Cytopenia, transaminitis, deranged renal function</w:t>
            </w:r>
          </w:p>
        </w:tc>
        <w:tc>
          <w:tcPr>
            <w:tcW w:type="dxa" w:w="1036"/>
            <w:vAlign w:val="top"/>
          </w:tcPr>
          <w:p>
            <w:pPr>
              <w:spacing w:after="40" w:before="0" w:line="259" w:lineRule="auto"/>
            </w:pPr>
            <w:r>
              <w:rPr>
                <w:rFonts w:ascii="Calibri" w:hAnsi="Calibri"/>
                <w:b w:val="0"/>
                <w:i w:val="0"/>
                <w:color w:val="212121"/>
                <w:sz w:val="16"/>
              </w:rPr>
              <w:t>Baseline before antiseizure drugs and monitoring for toxicity (e.g., valproate hepatotoxicity)</w:t>
            </w:r>
          </w:p>
        </w:tc>
        <w:tc>
          <w:tcPr>
            <w:tcW w:type="dxa" w:w="1036"/>
            <w:vAlign w:val="top"/>
          </w:tcPr>
          <w:p>
            <w:pPr>
              <w:spacing w:after="40" w:before="0" w:line="259" w:lineRule="auto"/>
            </w:pPr>
            <w:r>
              <w:rPr>
                <w:rFonts w:ascii="Calibri" w:hAnsi="Calibri"/>
                <w:b w:val="0"/>
                <w:i w:val="0"/>
                <w:color w:val="212121"/>
                <w:sz w:val="16"/>
              </w:rPr>
              <w:t>All patients starting/continuing ASMs, women of childbearing age</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Guides drug choice; valproate avoided where possible in women of childbearing potential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Seizure semiology (eyewitness account)</w:t>
            </w:r>
          </w:p>
        </w:tc>
        <w:tc>
          <w:tcPr>
            <w:tcW w:type="dxa" w:w="979"/>
            <w:vAlign w:val="top"/>
          </w:tcPr>
          <w:p>
            <w:pPr>
              <w:spacing w:after="40" w:before="0" w:line="259" w:lineRule="auto"/>
            </w:pPr>
            <w:r>
              <w:rPr>
                <w:rFonts w:ascii="Calibri" w:hAnsi="Calibri"/>
                <w:b w:val="0"/>
                <w:i w:val="0"/>
                <w:color w:val="212121"/>
                <w:sz w:val="16"/>
              </w:rPr>
              <w:t>Aura, ictal features, duration, postictal state</w:t>
            </w:r>
          </w:p>
        </w:tc>
        <w:tc>
          <w:tcPr>
            <w:tcW w:type="dxa" w:w="950"/>
            <w:vAlign w:val="top"/>
          </w:tcPr>
          <w:p>
            <w:pPr>
              <w:spacing w:after="40" w:before="0" w:line="259" w:lineRule="auto"/>
            </w:pPr>
            <w:r>
              <w:rPr>
                <w:rFonts w:ascii="Calibri" w:hAnsi="Calibri"/>
                <w:b w:val="0"/>
                <w:i w:val="0"/>
                <w:color w:val="212121"/>
                <w:sz w:val="16"/>
              </w:rPr>
              <w:t>No stereotyped events</w:t>
            </w:r>
          </w:p>
        </w:tc>
        <w:tc>
          <w:tcPr>
            <w:tcW w:type="dxa" w:w="950"/>
            <w:vAlign w:val="top"/>
          </w:tcPr>
          <w:p>
            <w:pPr>
              <w:spacing w:after="40" w:before="0" w:line="259" w:lineRule="auto"/>
            </w:pPr>
            <w:r>
              <w:rPr>
                <w:rFonts w:ascii="Calibri" w:hAnsi="Calibri"/>
                <w:b w:val="0"/>
                <w:i w:val="0"/>
                <w:color w:val="212121"/>
                <w:sz w:val="16"/>
              </w:rPr>
              <w:t>Stereotyped aura, convulsion, automatisms, postictal confusion</w:t>
            </w:r>
          </w:p>
        </w:tc>
        <w:tc>
          <w:tcPr>
            <w:tcW w:type="dxa" w:w="1036"/>
            <w:vAlign w:val="top"/>
          </w:tcPr>
          <w:p>
            <w:pPr>
              <w:spacing w:after="40" w:before="0" w:line="259" w:lineRule="auto"/>
            </w:pPr>
            <w:r>
              <w:rPr>
                <w:rFonts w:ascii="Calibri" w:hAnsi="Calibri"/>
                <w:b w:val="0"/>
                <w:i w:val="0"/>
                <w:color w:val="212121"/>
                <w:sz w:val="16"/>
              </w:rPr>
              <w:t>Cornerstone of diagnosis and seizure classification</w:t>
            </w:r>
          </w:p>
        </w:tc>
        <w:tc>
          <w:tcPr>
            <w:tcW w:type="dxa" w:w="1036"/>
            <w:vAlign w:val="top"/>
          </w:tcPr>
          <w:p>
            <w:pPr>
              <w:spacing w:after="40" w:before="0" w:line="259" w:lineRule="auto"/>
            </w:pPr>
            <w:r>
              <w:rPr>
                <w:rFonts w:ascii="Calibri" w:hAnsi="Calibri"/>
                <w:b w:val="0"/>
                <w:i w:val="0"/>
                <w:color w:val="212121"/>
                <w:sz w:val="16"/>
              </w:rPr>
              <w:t>All patients; obtain a witness / bystander video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Primary diagnostic</w:t>
            </w:r>
          </w:p>
        </w:tc>
        <w:tc>
          <w:tcPr>
            <w:tcW w:type="dxa" w:w="720"/>
            <w:vAlign w:val="top"/>
          </w:tcPr>
          <w:p>
            <w:pPr>
              <w:spacing w:after="40" w:before="0" w:line="259" w:lineRule="auto"/>
            </w:pPr>
            <w:r>
              <w:rPr>
                <w:rFonts w:ascii="Calibri" w:hAnsi="Calibri"/>
                <w:b w:val="0"/>
                <w:i w:val="0"/>
                <w:color w:val="212121"/>
                <w:sz w:val="16"/>
              </w:rPr>
              <w:t>Smartphone video of events is highly valuable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Precipitating factors</w:t>
            </w:r>
          </w:p>
        </w:tc>
        <w:tc>
          <w:tcPr>
            <w:tcW w:type="dxa" w:w="979"/>
            <w:vAlign w:val="top"/>
          </w:tcPr>
          <w:p>
            <w:pPr>
              <w:spacing w:after="40" w:before="0" w:line="259" w:lineRule="auto"/>
            </w:pPr>
            <w:r>
              <w:rPr>
                <w:rFonts w:ascii="Calibri" w:hAnsi="Calibri"/>
                <w:b w:val="0"/>
                <w:i w:val="0"/>
                <w:color w:val="212121"/>
                <w:sz w:val="16"/>
              </w:rPr>
              <w:t>Sleep loss, missed medication, alcohol, fever, flashing lights</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One or more reproducible triggers</w:t>
            </w:r>
          </w:p>
        </w:tc>
        <w:tc>
          <w:tcPr>
            <w:tcW w:type="dxa" w:w="1036"/>
            <w:vAlign w:val="top"/>
          </w:tcPr>
          <w:p>
            <w:pPr>
              <w:spacing w:after="40" w:before="0" w:line="259" w:lineRule="auto"/>
            </w:pPr>
            <w:r>
              <w:rPr>
                <w:rFonts w:ascii="Calibri" w:hAnsi="Calibri"/>
                <w:b w:val="0"/>
                <w:i w:val="0"/>
                <w:color w:val="212121"/>
                <w:sz w:val="16"/>
              </w:rPr>
              <w:t>Identifies modifiable precipitants to target</w:t>
            </w:r>
          </w:p>
        </w:tc>
        <w:tc>
          <w:tcPr>
            <w:tcW w:type="dxa" w:w="1036"/>
            <w:vAlign w:val="top"/>
          </w:tcPr>
          <w:p>
            <w:pPr>
              <w:spacing w:after="40" w:before="0" w:line="259" w:lineRule="auto"/>
            </w:pPr>
            <w:r>
              <w:rPr>
                <w:rFonts w:ascii="Calibri" w:hAnsi="Calibri"/>
                <w:b w:val="0"/>
                <w:i w:val="0"/>
                <w:color w:val="212121"/>
                <w:sz w:val="16"/>
              </w:rPr>
              <w:t>Students, shift workers, drinkers, non-adherent patients</w:t>
            </w:r>
          </w:p>
        </w:tc>
        <w:tc>
          <w:tcPr>
            <w:tcW w:type="dxa" w:w="720"/>
            <w:vAlign w:val="top"/>
          </w:tcPr>
          <w:p>
            <w:pPr>
              <w:spacing w:after="40" w:before="0" w:line="259" w:lineRule="auto"/>
            </w:pPr>
            <w:r>
              <w:rPr>
                <w:rFonts w:ascii="Calibri" w:hAnsi="Calibri"/>
                <w:b w:val="0"/>
                <w:i w:val="0"/>
                <w:color w:val="212121"/>
                <w:sz w:val="16"/>
              </w:rPr>
              <w:t>Sleep; Alcohol; Provoking factors</w:t>
            </w:r>
          </w:p>
        </w:tc>
        <w:tc>
          <w:tcPr>
            <w:tcW w:type="dxa" w:w="720"/>
            <w:vAlign w:val="top"/>
          </w:tcPr>
          <w:p>
            <w:pPr>
              <w:spacing w:after="40" w:before="0" w:line="259" w:lineRule="auto"/>
            </w:pPr>
            <w:r>
              <w:rPr>
                <w:rFonts w:ascii="Calibri" w:hAnsi="Calibri"/>
                <w:b w:val="0"/>
                <w:i w:val="0"/>
                <w:color w:val="212121"/>
                <w:sz w:val="16"/>
              </w:rPr>
              <w:t>Management-directing</w:t>
            </w:r>
          </w:p>
        </w:tc>
        <w:tc>
          <w:tcPr>
            <w:tcW w:type="dxa" w:w="720"/>
            <w:vAlign w:val="top"/>
          </w:tcPr>
          <w:p>
            <w:pPr>
              <w:spacing w:after="40" w:before="0" w:line="259" w:lineRule="auto"/>
            </w:pPr>
            <w:r>
              <w:rPr>
                <w:rFonts w:ascii="Calibri" w:hAnsi="Calibri"/>
                <w:b w:val="0"/>
                <w:i w:val="0"/>
                <w:color w:val="212121"/>
                <w:sz w:val="16"/>
              </w:rPr>
              <w:t>Basis of trigger-avoidance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Birth, developmental &amp; febrile-seizure history</w:t>
            </w:r>
          </w:p>
        </w:tc>
        <w:tc>
          <w:tcPr>
            <w:tcW w:type="dxa" w:w="979"/>
            <w:vAlign w:val="top"/>
          </w:tcPr>
          <w:p>
            <w:pPr>
              <w:spacing w:after="40" w:before="0" w:line="259" w:lineRule="auto"/>
            </w:pPr>
            <w:r>
              <w:rPr>
                <w:rFonts w:ascii="Calibri" w:hAnsi="Calibri"/>
                <w:b w:val="0"/>
                <w:i w:val="0"/>
                <w:color w:val="212121"/>
                <w:sz w:val="16"/>
              </w:rPr>
              <w:t>Perinatal insult, milestones, childhood febrile seizures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Birth asphyxia, developmental delay, complex febrile seizures</w:t>
            </w:r>
          </w:p>
        </w:tc>
        <w:tc>
          <w:tcPr>
            <w:tcW w:type="dxa" w:w="1036"/>
            <w:vAlign w:val="top"/>
          </w:tcPr>
          <w:p>
            <w:pPr>
              <w:spacing w:after="40" w:before="0" w:line="259" w:lineRule="auto"/>
            </w:pPr>
            <w:r>
              <w:rPr>
                <w:rFonts w:ascii="Calibri" w:hAnsi="Calibri"/>
                <w:b w:val="0"/>
                <w:i w:val="0"/>
                <w:color w:val="212121"/>
                <w:sz w:val="16"/>
              </w:rPr>
              <w:t>Points to aetiology and prognosis, especially in children</w:t>
            </w:r>
          </w:p>
        </w:tc>
        <w:tc>
          <w:tcPr>
            <w:tcW w:type="dxa" w:w="1036"/>
            <w:vAlign w:val="top"/>
          </w:tcPr>
          <w:p>
            <w:pPr>
              <w:spacing w:after="40" w:before="0" w:line="259" w:lineRule="auto"/>
            </w:pPr>
            <w:r>
              <w:rPr>
                <w:rFonts w:ascii="Calibri" w:hAnsi="Calibri"/>
                <w:b w:val="0"/>
                <w:i w:val="0"/>
                <w:color w:val="212121"/>
                <w:sz w:val="16"/>
              </w:rPr>
              <w:t>Paediatric patients, cerebral palsy, developmental delay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syndrome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consanguinity</w:t>
            </w:r>
          </w:p>
        </w:tc>
        <w:tc>
          <w:tcPr>
            <w:tcW w:type="dxa" w:w="979"/>
            <w:vAlign w:val="top"/>
          </w:tcPr>
          <w:p>
            <w:pPr>
              <w:spacing w:after="40" w:before="0" w:line="259" w:lineRule="auto"/>
            </w:pPr>
            <w:r>
              <w:rPr>
                <w:rFonts w:ascii="Calibri" w:hAnsi="Calibri"/>
                <w:b w:val="0"/>
                <w:i w:val="0"/>
                <w:color w:val="212121"/>
                <w:sz w:val="16"/>
              </w:rPr>
              <w:t>Epilepsy in first-degree relatives, consanguineous parentage</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relative / consanguinity</w:t>
            </w:r>
          </w:p>
        </w:tc>
        <w:tc>
          <w:tcPr>
            <w:tcW w:type="dxa" w:w="1036"/>
            <w:vAlign w:val="top"/>
          </w:tcPr>
          <w:p>
            <w:pPr>
              <w:spacing w:after="40" w:before="0" w:line="259" w:lineRule="auto"/>
            </w:pPr>
            <w:r>
              <w:rPr>
                <w:rFonts w:ascii="Calibri" w:hAnsi="Calibri"/>
                <w:b w:val="0"/>
                <w:i w:val="0"/>
                <w:color w:val="212121"/>
                <w:sz w:val="16"/>
              </w:rPr>
              <w:t>Suggests genetic epilepsy syndromes</w:t>
            </w:r>
          </w:p>
        </w:tc>
        <w:tc>
          <w:tcPr>
            <w:tcW w:type="dxa" w:w="1036"/>
            <w:vAlign w:val="top"/>
          </w:tcPr>
          <w:p>
            <w:pPr>
              <w:spacing w:after="40" w:before="0" w:line="259" w:lineRule="auto"/>
            </w:pPr>
            <w:r>
              <w:rPr>
                <w:rFonts w:ascii="Calibri" w:hAnsi="Calibri"/>
                <w:b w:val="0"/>
                <w:i w:val="0"/>
                <w:color w:val="212121"/>
                <w:sz w:val="16"/>
              </w:rPr>
              <w:t>Idiopathic generalised epilepsy, paediatric encephalopathies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Note age at onset and syndrome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Focal deficits, tone, reflexes, cognition</w:t>
            </w:r>
          </w:p>
        </w:tc>
        <w:tc>
          <w:tcPr>
            <w:tcW w:type="dxa" w:w="950"/>
            <w:vAlign w:val="top"/>
          </w:tcPr>
          <w:p>
            <w:pPr>
              <w:spacing w:after="40" w:before="0" w:line="259" w:lineRule="auto"/>
            </w:pPr>
            <w:r>
              <w:rPr>
                <w:rFonts w:ascii="Calibri" w:hAnsi="Calibri"/>
                <w:b w:val="0"/>
                <w:i w:val="0"/>
                <w:color w:val="212121"/>
                <w:sz w:val="16"/>
              </w:rPr>
              <w:t>Normal interictal exam</w:t>
            </w:r>
          </w:p>
        </w:tc>
        <w:tc>
          <w:tcPr>
            <w:tcW w:type="dxa" w:w="950"/>
            <w:vAlign w:val="top"/>
          </w:tcPr>
          <w:p>
            <w:pPr>
              <w:spacing w:after="40" w:before="0" w:line="259" w:lineRule="auto"/>
            </w:pPr>
            <w:r>
              <w:rPr>
                <w:rFonts w:ascii="Calibri" w:hAnsi="Calibri"/>
                <w:b w:val="0"/>
                <w:i w:val="0"/>
                <w:color w:val="212121"/>
                <w:sz w:val="16"/>
              </w:rPr>
              <w:t>Focal deficit, hemiparesis, cognitive impairment</w:t>
            </w:r>
          </w:p>
        </w:tc>
        <w:tc>
          <w:tcPr>
            <w:tcW w:type="dxa" w:w="1036"/>
            <w:vAlign w:val="top"/>
          </w:tcPr>
          <w:p>
            <w:pPr>
              <w:spacing w:after="40" w:before="0" w:line="259" w:lineRule="auto"/>
            </w:pPr>
            <w:r>
              <w:rPr>
                <w:rFonts w:ascii="Calibri" w:hAnsi="Calibri"/>
                <w:b w:val="0"/>
                <w:i w:val="0"/>
                <w:color w:val="212121"/>
                <w:sz w:val="16"/>
              </w:rPr>
              <w:t>Focal signs suggest a structural cause and guide imaging</w:t>
            </w:r>
          </w:p>
        </w:tc>
        <w:tc>
          <w:tcPr>
            <w:tcW w:type="dxa" w:w="1036"/>
            <w:vAlign w:val="top"/>
          </w:tcPr>
          <w:p>
            <w:pPr>
              <w:spacing w:after="40" w:before="0" w:line="259" w:lineRule="auto"/>
            </w:pPr>
            <w:r>
              <w:rPr>
                <w:rFonts w:ascii="Calibri" w:hAnsi="Calibri"/>
                <w:b w:val="0"/>
                <w:i w:val="0"/>
                <w:color w:val="212121"/>
                <w:sz w:val="16"/>
              </w:rPr>
              <w:t>Adult-onset, refractory, post-stroke, post-TBI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Localising</w:t>
            </w:r>
          </w:p>
        </w:tc>
        <w:tc>
          <w:tcPr>
            <w:tcW w:type="dxa" w:w="720"/>
            <w:vAlign w:val="top"/>
          </w:tcPr>
          <w:p>
            <w:pPr>
              <w:spacing w:after="40" w:before="0" w:line="259" w:lineRule="auto"/>
            </w:pPr>
            <w:r>
              <w:rPr>
                <w:rFonts w:ascii="Calibri" w:hAnsi="Calibri"/>
                <w:b w:val="0"/>
                <w:i w:val="0"/>
                <w:color w:val="212121"/>
                <w:sz w:val="16"/>
              </w:rPr>
              <w:t>Often normal in genetic generalised epilepsy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Skin &amp; neurocutaneous survey</w:t>
            </w:r>
          </w:p>
        </w:tc>
        <w:tc>
          <w:tcPr>
            <w:tcW w:type="dxa" w:w="979"/>
            <w:vAlign w:val="top"/>
          </w:tcPr>
          <w:p>
            <w:pPr>
              <w:spacing w:after="40" w:before="0" w:line="259" w:lineRule="auto"/>
            </w:pPr>
            <w:r>
              <w:rPr>
                <w:rFonts w:ascii="Calibri" w:hAnsi="Calibri"/>
                <w:b w:val="0"/>
                <w:i w:val="0"/>
                <w:color w:val="212121"/>
                <w:sz w:val="16"/>
              </w:rPr>
              <w:t>Ash-leaf macules, café-au-lait spots, facial angiofibromas, port-wine stain</w:t>
            </w:r>
          </w:p>
        </w:tc>
        <w:tc>
          <w:tcPr>
            <w:tcW w:type="dxa" w:w="950"/>
            <w:vAlign w:val="top"/>
          </w:tcPr>
          <w:p>
            <w:pPr>
              <w:spacing w:after="40" w:before="0" w:line="259" w:lineRule="auto"/>
            </w:pPr>
            <w:r>
              <w:rPr>
                <w:rFonts w:ascii="Calibri" w:hAnsi="Calibri"/>
                <w:b w:val="0"/>
                <w:i w:val="0"/>
                <w:color w:val="212121"/>
                <w:sz w:val="16"/>
              </w:rPr>
              <w:t>No neurocutaneous stigmata</w:t>
            </w:r>
          </w:p>
        </w:tc>
        <w:tc>
          <w:tcPr>
            <w:tcW w:type="dxa" w:w="950"/>
            <w:vAlign w:val="top"/>
          </w:tcPr>
          <w:p>
            <w:pPr>
              <w:spacing w:after="40" w:before="0" w:line="259" w:lineRule="auto"/>
            </w:pPr>
            <w:r>
              <w:rPr>
                <w:rFonts w:ascii="Calibri" w:hAnsi="Calibri"/>
                <w:b w:val="0"/>
                <w:i w:val="0"/>
                <w:color w:val="212121"/>
                <w:sz w:val="16"/>
              </w:rPr>
              <w:t>Stigmata of tuberous sclerosis, NF1, Sturge-Weber</w:t>
            </w:r>
          </w:p>
        </w:tc>
        <w:tc>
          <w:tcPr>
            <w:tcW w:type="dxa" w:w="1036"/>
            <w:vAlign w:val="top"/>
          </w:tcPr>
          <w:p>
            <w:pPr>
              <w:spacing w:after="40" w:before="0" w:line="259" w:lineRule="auto"/>
            </w:pPr>
            <w:r>
              <w:rPr>
                <w:rFonts w:ascii="Calibri" w:hAnsi="Calibri"/>
                <w:b w:val="0"/>
                <w:i w:val="0"/>
                <w:color w:val="212121"/>
                <w:sz w:val="16"/>
              </w:rPr>
              <w:t>Identifies neurocutaneous syndromes underlying epilepsy</w:t>
            </w:r>
          </w:p>
        </w:tc>
        <w:tc>
          <w:tcPr>
            <w:tcW w:type="dxa" w:w="1036"/>
            <w:vAlign w:val="top"/>
          </w:tcPr>
          <w:p>
            <w:pPr>
              <w:spacing w:after="40" w:before="0" w:line="259" w:lineRule="auto"/>
            </w:pPr>
            <w:r>
              <w:rPr>
                <w:rFonts w:ascii="Calibri" w:hAnsi="Calibri"/>
                <w:b w:val="0"/>
                <w:i w:val="0"/>
                <w:color w:val="212121"/>
                <w:sz w:val="16"/>
              </w:rPr>
              <w:t>Children with epilepsy, developmental delay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Examine under good/Wood's light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Signs supporting a true seizure</w:t>
            </w:r>
          </w:p>
        </w:tc>
        <w:tc>
          <w:tcPr>
            <w:tcW w:type="dxa" w:w="979"/>
            <w:vAlign w:val="top"/>
          </w:tcPr>
          <w:p>
            <w:pPr>
              <w:spacing w:after="40" w:before="0" w:line="259" w:lineRule="auto"/>
            </w:pPr>
            <w:r>
              <w:rPr>
                <w:rFonts w:ascii="Calibri" w:hAnsi="Calibri"/>
                <w:b w:val="0"/>
                <w:i w:val="0"/>
                <w:color w:val="212121"/>
                <w:sz w:val="16"/>
              </w:rPr>
              <w:t>Lateral tongue-bite, incontinence, injury, postictal drowsiness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Lateral tongue-bite, urinary incontinence, injuries, prolonged postictal state</w:t>
            </w:r>
          </w:p>
        </w:tc>
        <w:tc>
          <w:tcPr>
            <w:tcW w:type="dxa" w:w="1036"/>
            <w:vAlign w:val="top"/>
          </w:tcPr>
          <w:p>
            <w:pPr>
              <w:spacing w:after="40" w:before="0" w:line="259" w:lineRule="auto"/>
            </w:pPr>
            <w:r>
              <w:rPr>
                <w:rFonts w:ascii="Calibri" w:hAnsi="Calibri"/>
                <w:b w:val="0"/>
                <w:i w:val="0"/>
                <w:color w:val="212121"/>
                <w:sz w:val="16"/>
              </w:rPr>
              <w:t>Helps distinguish epileptic seizure from syncope or psychogenic events</w:t>
            </w:r>
          </w:p>
        </w:tc>
        <w:tc>
          <w:tcPr>
            <w:tcW w:type="dxa" w:w="1036"/>
            <w:vAlign w:val="top"/>
          </w:tcPr>
          <w:p>
            <w:pPr>
              <w:spacing w:after="40" w:before="0" w:line="259" w:lineRule="auto"/>
            </w:pPr>
            <w:r>
              <w:rPr>
                <w:rFonts w:ascii="Calibri" w:hAnsi="Calibri"/>
                <w:b w:val="0"/>
                <w:i w:val="0"/>
                <w:color w:val="212121"/>
                <w:sz w:val="16"/>
              </w:rPr>
              <w:t>First-seizure, diagnostic-doubt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Discriminating</w:t>
            </w:r>
          </w:p>
        </w:tc>
        <w:tc>
          <w:tcPr>
            <w:tcW w:type="dxa" w:w="720"/>
            <w:vAlign w:val="top"/>
          </w:tcPr>
          <w:p>
            <w:pPr>
              <w:spacing w:after="40" w:before="0" w:line="259" w:lineRule="auto"/>
            </w:pPr>
            <w:r>
              <w:rPr>
                <w:rFonts w:ascii="Calibri" w:hAnsi="Calibri"/>
                <w:b w:val="0"/>
                <w:i w:val="0"/>
                <w:color w:val="212121"/>
                <w:sz w:val="16"/>
              </w:rPr>
              <w:t>Lateral tongue-bite is fairly specific for generalised tonic-clonic seizures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Generalised tonic-clonic convulsion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loss of consciousness with body stiffening (tonic) then rhythmic jerking (clonic); classic “grand mal” seizure.</w:t>
            </w:r>
          </w:p>
        </w:tc>
      </w:tr>
      <w:tr>
        <w:trPr>
          <w:cantSplit/>
        </w:trPr>
        <w:tc>
          <w:tcPr>
            <w:tcW w:type="dxa" w:w="2304"/>
            <w:vAlign w:val="top"/>
          </w:tcPr>
          <w:p>
            <w:pPr>
              <w:spacing w:after="40" w:before="0" w:line="259" w:lineRule="auto"/>
            </w:pPr>
            <w:r>
              <w:rPr>
                <w:rFonts w:ascii="Calibri" w:hAnsi="Calibri"/>
                <w:b/>
                <w:i w:val="0"/>
                <w:color w:val="212121"/>
                <w:sz w:val="19"/>
              </w:rPr>
              <w:t>Loss of consciousness / awareness during episode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or absent awareness is the hallmark of generalised and focal impaired-awareness seizures.</w:t>
            </w:r>
          </w:p>
        </w:tc>
      </w:tr>
      <w:tr>
        <w:trPr>
          <w:cantSplit/>
        </w:trPr>
        <w:tc>
          <w:tcPr>
            <w:tcW w:type="dxa" w:w="2304"/>
            <w:vAlign w:val="top"/>
          </w:tcPr>
          <w:p>
            <w:pPr>
              <w:spacing w:after="40" w:before="0" w:line="259" w:lineRule="auto"/>
            </w:pPr>
            <w:r>
              <w:rPr>
                <w:rFonts w:ascii="Calibri" w:hAnsi="Calibri"/>
                <w:b/>
                <w:i w:val="0"/>
                <w:color w:val="212121"/>
                <w:sz w:val="19"/>
              </w:rPr>
              <w:t>Focal aware seizure (aura)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Warning symptoms such as déjà vu, a rising epigastric sensation, unusual smell/taste or fear, with awareness preserved.</w:t>
            </w:r>
          </w:p>
        </w:tc>
      </w:tr>
      <w:tr>
        <w:trPr>
          <w:cantSplit/>
        </w:trPr>
        <w:tc>
          <w:tcPr>
            <w:tcW w:type="dxa" w:w="2304"/>
            <w:vAlign w:val="top"/>
          </w:tcPr>
          <w:p>
            <w:pPr>
              <w:spacing w:after="40" w:before="0" w:line="259" w:lineRule="auto"/>
            </w:pPr>
            <w:r>
              <w:rPr>
                <w:rFonts w:ascii="Calibri" w:hAnsi="Calibri"/>
                <w:b/>
                <w:i w:val="0"/>
                <w:color w:val="212121"/>
                <w:sz w:val="19"/>
              </w:rPr>
              <w:t>Focal impaired-awareness seizure with automatisms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Blank staring with lip-smacking, chewing, fumbling or wandering; patient unresponsive and later amnesic.</w:t>
            </w:r>
          </w:p>
        </w:tc>
      </w:tr>
      <w:tr>
        <w:trPr>
          <w:cantSplit/>
        </w:trPr>
        <w:tc>
          <w:tcPr>
            <w:tcW w:type="dxa" w:w="2304"/>
            <w:vAlign w:val="top"/>
          </w:tcPr>
          <w:p>
            <w:pPr>
              <w:spacing w:after="40" w:before="0" w:line="259" w:lineRule="auto"/>
            </w:pPr>
            <w:r>
              <w:rPr>
                <w:rFonts w:ascii="Calibri" w:hAnsi="Calibri"/>
                <w:b/>
                <w:i w:val="0"/>
                <w:color w:val="212121"/>
                <w:sz w:val="19"/>
              </w:rPr>
              <w:t>Postictal confusion, drowsiness and 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Gradual recovery over minutes to hours after a seizure, often with headache and muscle soreness.</w:t>
            </w:r>
          </w:p>
        </w:tc>
      </w:tr>
      <w:tr>
        <w:trPr>
          <w:cantSplit/>
        </w:trPr>
        <w:tc>
          <w:tcPr>
            <w:tcW w:type="dxa" w:w="2304"/>
            <w:vAlign w:val="top"/>
          </w:tcPr>
          <w:p>
            <w:pPr>
              <w:spacing w:after="40" w:before="0" w:line="259" w:lineRule="auto"/>
            </w:pPr>
            <w:r>
              <w:rPr>
                <w:rFonts w:ascii="Calibri" w:hAnsi="Calibri"/>
                <w:b/>
                <w:i w:val="0"/>
                <w:color w:val="212121"/>
                <w:sz w:val="19"/>
              </w:rPr>
              <w:t>Tongue biting and urinary incontinence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Lateral tongue-bite and incontinence during a convulsion help distinguish it from syncope.</w:t>
            </w:r>
          </w:p>
        </w:tc>
      </w:tr>
      <w:tr>
        <w:trPr>
          <w:cantSplit/>
        </w:trPr>
        <w:tc>
          <w:tcPr>
            <w:tcW w:type="dxa" w:w="2304"/>
            <w:vAlign w:val="top"/>
          </w:tcPr>
          <w:p>
            <w:pPr>
              <w:spacing w:after="40" w:before="0" w:line="259" w:lineRule="auto"/>
            </w:pPr>
            <w:r>
              <w:rPr>
                <w:rFonts w:ascii="Calibri" w:hAnsi="Calibri"/>
                <w:b/>
                <w:i w:val="0"/>
                <w:color w:val="212121"/>
                <w:sz w:val="19"/>
              </w:rPr>
              <w:t>Absence spells (brief staring)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brief lapses of awareness with staring and eyelid flutter, common in childhood absence epilepsy.</w:t>
            </w:r>
          </w:p>
        </w:tc>
      </w:tr>
      <w:tr>
        <w:trPr>
          <w:cantSplit/>
        </w:trPr>
        <w:tc>
          <w:tcPr>
            <w:tcW w:type="dxa" w:w="2304"/>
            <w:vAlign w:val="top"/>
          </w:tcPr>
          <w:p>
            <w:pPr>
              <w:spacing w:after="40" w:before="0" w:line="259" w:lineRule="auto"/>
            </w:pPr>
            <w:r>
              <w:rPr>
                <w:rFonts w:ascii="Calibri" w:hAnsi="Calibri"/>
                <w:b/>
                <w:i w:val="0"/>
                <w:color w:val="212121"/>
                <w:sz w:val="19"/>
              </w:rPr>
              <w:t>Myoclonic jerks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shock-like jerks of the limbs, often on waking — a hallmark of juvenile myoclonic epilepsy.</w:t>
            </w:r>
          </w:p>
        </w:tc>
      </w:tr>
      <w:tr>
        <w:trPr>
          <w:cantSplit/>
        </w:trPr>
        <w:tc>
          <w:tcPr>
            <w:tcW w:type="dxa" w:w="2304"/>
            <w:vAlign w:val="top"/>
          </w:tcPr>
          <w:p>
            <w:pPr>
              <w:spacing w:after="40" w:before="0" w:line="259" w:lineRule="auto"/>
            </w:pPr>
            <w:r>
              <w:rPr>
                <w:rFonts w:ascii="Calibri" w:hAnsi="Calibri"/>
                <w:b/>
                <w:i w:val="0"/>
                <w:color w:val="212121"/>
                <w:sz w:val="19"/>
              </w:rPr>
              <w:t>Todd's paresis (transient post-ictal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Temporary focal weakness after a focal seizure, resolving over minutes to hours.</w:t>
            </w:r>
          </w:p>
        </w:tc>
      </w:tr>
      <w:tr>
        <w:trPr>
          <w:cantSplit/>
        </w:trPr>
        <w:tc>
          <w:tcPr>
            <w:tcW w:type="dxa" w:w="2304"/>
            <w:vAlign w:val="top"/>
          </w:tcPr>
          <w:p>
            <w:pPr>
              <w:spacing w:after="40" w:before="0" w:line="259" w:lineRule="auto"/>
            </w:pPr>
            <w:r>
              <w:rPr>
                <w:rFonts w:ascii="Calibri" w:hAnsi="Calibri"/>
                <w:b/>
                <w:i w:val="0"/>
                <w:color w:val="212121"/>
                <w:sz w:val="19"/>
              </w:rPr>
              <w:t>Autonomic / psychic aura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Palpitations, flushing, epigastric rising sensation, intense fear or déjà vu preceding a focal seizure.</w:t>
            </w:r>
          </w:p>
        </w:tc>
      </w:tr>
      <w:tr>
        <w:trPr>
          <w:cantSplit/>
        </w:trPr>
        <w:tc>
          <w:tcPr>
            <w:tcW w:type="dxa" w:w="2304"/>
            <w:vAlign w:val="top"/>
          </w:tcPr>
          <w:p>
            <w:pPr>
              <w:spacing w:after="40" w:before="0" w:line="259" w:lineRule="auto"/>
            </w:pPr>
            <w:r>
              <w:rPr>
                <w:rFonts w:ascii="Calibri" w:hAnsi="Calibri"/>
                <w:b/>
                <w:i w:val="0"/>
                <w:color w:val="212121"/>
                <w:sz w:val="19"/>
              </w:rPr>
              <w:t>Atonic / tonic drop attacks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loss (atonic) or increase (tonic) of tone causing falls, typical of Lennox-Gastaut syndrome.</w:t>
            </w:r>
          </w:p>
        </w:tc>
      </w:tr>
      <w:tr>
        <w:trPr>
          <w:cantSplit/>
        </w:trPr>
        <w:tc>
          <w:tcPr>
            <w:tcW w:type="dxa" w:w="2304"/>
            <w:vAlign w:val="top"/>
          </w:tcPr>
          <w:p>
            <w:pPr>
              <w:spacing w:after="40" w:before="0" w:line="259" w:lineRule="auto"/>
            </w:pPr>
            <w:r>
              <w:rPr>
                <w:rFonts w:ascii="Calibri" w:hAnsi="Calibri"/>
                <w:b/>
                <w:i w:val="0"/>
                <w:color w:val="212121"/>
                <w:sz w:val="19"/>
              </w:rPr>
              <w:t>Status epilepticus (prolonged / repeated 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seizure ≥ 5 minutes or recurrent seizures without recovery — a life-threatening emergency.</w:t>
            </w:r>
          </w:p>
        </w:tc>
      </w:tr>
      <w:tr>
        <w:trPr>
          <w:cantSplit/>
        </w:trPr>
        <w:tc>
          <w:tcPr>
            <w:tcW w:type="dxa" w:w="2304"/>
            <w:vAlign w:val="top"/>
          </w:tcPr>
          <w:p>
            <w:pPr>
              <w:spacing w:after="40" w:before="0" w:line="259" w:lineRule="auto"/>
            </w:pPr>
            <w:r>
              <w:rPr>
                <w:rFonts w:ascii="Calibri" w:hAnsi="Calibri"/>
                <w:b/>
                <w:i w:val="0"/>
                <w:color w:val="212121"/>
                <w:sz w:val="19"/>
              </w:rPr>
              <w:t>Gelastic seizures (laughing spells)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Stereotyped, mirthless laughing episodes classically associated with hypothalamic hamartoma.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Witnessed tonic-clonic activity with cyanosis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Stiffening then jerking with peri-oral/peripheral cyanosis observed during a generalised convulsion.</w:t>
            </w:r>
          </w:p>
        </w:tc>
      </w:tr>
      <w:tr>
        <w:trPr>
          <w:cantSplit/>
        </w:trPr>
        <w:tc>
          <w:tcPr>
            <w:tcW w:type="dxa" w:w="3456"/>
            <w:vAlign w:val="top"/>
          </w:tcPr>
          <w:p>
            <w:pPr>
              <w:spacing w:after="40" w:before="0" w:line="259" w:lineRule="auto"/>
            </w:pPr>
            <w:r>
              <w:rPr>
                <w:rFonts w:ascii="Calibri" w:hAnsi="Calibri"/>
                <w:b/>
                <w:i w:val="0"/>
                <w:color w:val="212121"/>
                <w:sz w:val="19"/>
              </w:rPr>
              <w:t>Postictal drowsiness and confusion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Depressed consciousness and disorientation immediately after a seizure.</w:t>
            </w:r>
          </w:p>
        </w:tc>
      </w:tr>
      <w:tr>
        <w:trPr>
          <w:cantSplit/>
        </w:trPr>
        <w:tc>
          <w:tcPr>
            <w:tcW w:type="dxa" w:w="3456"/>
            <w:vAlign w:val="top"/>
          </w:tcPr>
          <w:p>
            <w:pPr>
              <w:spacing w:after="40" w:before="0" w:line="259" w:lineRule="auto"/>
            </w:pPr>
            <w:r>
              <w:rPr>
                <w:rFonts w:ascii="Calibri" w:hAnsi="Calibri"/>
                <w:b/>
                <w:i w:val="0"/>
                <w:color w:val="212121"/>
                <w:sz w:val="19"/>
              </w:rPr>
              <w:t>Lateral tongue-bite mark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Bite injury to the side of the tongue is fairly specific for a generalised tonic-clonic seizure versus syncope.</w:t>
            </w:r>
          </w:p>
        </w:tc>
      </w:tr>
      <w:tr>
        <w:trPr>
          <w:cantSplit/>
        </w:trPr>
        <w:tc>
          <w:tcPr>
            <w:tcW w:type="dxa" w:w="3456"/>
            <w:vAlign w:val="top"/>
          </w:tcPr>
          <w:p>
            <w:pPr>
              <w:spacing w:after="40" w:before="0" w:line="259" w:lineRule="auto"/>
            </w:pPr>
            <w:r>
              <w:rPr>
                <w:rFonts w:ascii="Calibri" w:hAnsi="Calibri"/>
                <w:b/>
                <w:i w:val="0"/>
                <w:color w:val="212121"/>
                <w:sz w:val="19"/>
              </w:rPr>
              <w:t>Urinary (or faecal) incontinence during the event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sphincter control during a convulsion supports a genuine seizure.</w:t>
            </w:r>
          </w:p>
        </w:tc>
      </w:tr>
      <w:tr>
        <w:trPr>
          <w:cantSplit/>
        </w:trPr>
        <w:tc>
          <w:tcPr>
            <w:tcW w:type="dxa" w:w="3456"/>
            <w:vAlign w:val="top"/>
          </w:tcPr>
          <w:p>
            <w:pPr>
              <w:spacing w:after="40" w:before="0" w:line="259" w:lineRule="auto"/>
            </w:pPr>
            <w:r>
              <w:rPr>
                <w:rFonts w:ascii="Calibri" w:hAnsi="Calibri"/>
                <w:b/>
                <w:i w:val="0"/>
                <w:color w:val="212121"/>
                <w:sz w:val="19"/>
              </w:rPr>
              <w:t>Automatisms on observation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Lip-smacking, chewing, fumbling or picking movements seen in focal impaired-awareness seizures.</w:t>
            </w:r>
          </w:p>
        </w:tc>
      </w:tr>
      <w:tr>
        <w:trPr>
          <w:cantSplit/>
        </w:trPr>
        <w:tc>
          <w:tcPr>
            <w:tcW w:type="dxa" w:w="3456"/>
            <w:vAlign w:val="top"/>
          </w:tcPr>
          <w:p>
            <w:pPr>
              <w:spacing w:after="40" w:before="0" w:line="259" w:lineRule="auto"/>
            </w:pPr>
            <w:r>
              <w:rPr>
                <w:rFonts w:ascii="Calibri" w:hAnsi="Calibri"/>
                <w:b/>
                <w:i w:val="0"/>
                <w:color w:val="212121"/>
                <w:sz w:val="19"/>
              </w:rPr>
              <w:t>Eyes open / upward gaze during the event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Eyes are typically open in epileptic seizures, helping distinguish them from psychogenic events (eyes often closed).</w:t>
            </w:r>
          </w:p>
        </w:tc>
      </w:tr>
      <w:tr>
        <w:trPr>
          <w:cantSplit/>
        </w:trPr>
        <w:tc>
          <w:tcPr>
            <w:tcW w:type="dxa" w:w="3456"/>
            <w:vAlign w:val="top"/>
          </w:tcPr>
          <w:p>
            <w:pPr>
              <w:spacing w:after="40" w:before="0" w:line="259" w:lineRule="auto"/>
            </w:pPr>
            <w:r>
              <w:rPr>
                <w:rFonts w:ascii="Calibri" w:hAnsi="Calibri"/>
                <w:b/>
                <w:i w:val="0"/>
                <w:color w:val="212121"/>
                <w:sz w:val="19"/>
              </w:rPr>
              <w:t>Todd's paralysis (transient hemiparesis)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Post-ictal focal weakness suggesting a focal cortical origin.</w:t>
            </w:r>
          </w:p>
        </w:tc>
      </w:tr>
      <w:tr>
        <w:trPr>
          <w:cantSplit/>
        </w:trPr>
        <w:tc>
          <w:tcPr>
            <w:tcW w:type="dxa" w:w="3456"/>
            <w:vAlign w:val="top"/>
          </w:tcPr>
          <w:p>
            <w:pPr>
              <w:spacing w:after="40" w:before="0" w:line="259" w:lineRule="auto"/>
            </w:pPr>
            <w:r>
              <w:rPr>
                <w:rFonts w:ascii="Calibri" w:hAnsi="Calibri"/>
                <w:b/>
                <w:i w:val="0"/>
                <w:color w:val="212121"/>
                <w:sz w:val="19"/>
              </w:rPr>
              <w:t>Focal neurological deficit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Persistent weakness, sensory or visual-field loss pointing to an underlying structural lesion.</w:t>
            </w:r>
          </w:p>
        </w:tc>
      </w:tr>
      <w:tr>
        <w:trPr>
          <w:cantSplit/>
        </w:trPr>
        <w:tc>
          <w:tcPr>
            <w:tcW w:type="dxa" w:w="3456"/>
            <w:vAlign w:val="top"/>
          </w:tcPr>
          <w:p>
            <w:pPr>
              <w:spacing w:after="40" w:before="0" w:line="259" w:lineRule="auto"/>
            </w:pPr>
            <w:r>
              <w:rPr>
                <w:rFonts w:ascii="Calibri" w:hAnsi="Calibri"/>
                <w:b/>
                <w:i w:val="0"/>
                <w:color w:val="212121"/>
                <w:sz w:val="19"/>
              </w:rPr>
              <w:t>Neurocutaneous stigmata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Ash-leaf macules, café-au-lait spots, facial angiofibromas or port-wine stain indicating a neurocutaneous syndrome.</w:t>
            </w:r>
          </w:p>
        </w:tc>
      </w:tr>
      <w:tr>
        <w:trPr>
          <w:cantSplit/>
        </w:trPr>
        <w:tc>
          <w:tcPr>
            <w:tcW w:type="dxa" w:w="3456"/>
            <w:vAlign w:val="top"/>
          </w:tcPr>
          <w:p>
            <w:pPr>
              <w:spacing w:after="40" w:before="0" w:line="259" w:lineRule="auto"/>
            </w:pPr>
            <w:r>
              <w:rPr>
                <w:rFonts w:ascii="Calibri" w:hAnsi="Calibri"/>
                <w:b/>
                <w:i w:val="0"/>
                <w:color w:val="212121"/>
                <w:sz w:val="19"/>
              </w:rPr>
              <w:t>Injuries from falls / burns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Fractures, head injury, dental trauma or burns sustained during seizures, common where cooking is at floor level.</w:t>
            </w:r>
          </w:p>
        </w:tc>
      </w:tr>
      <w:tr>
        <w:trPr>
          <w:cantSplit/>
        </w:trPr>
        <w:tc>
          <w:tcPr>
            <w:tcW w:type="dxa" w:w="3456"/>
            <w:vAlign w:val="top"/>
          </w:tcPr>
          <w:p>
            <w:pPr>
              <w:spacing w:after="40" w:before="0" w:line="259" w:lineRule="auto"/>
            </w:pPr>
            <w:r>
              <w:rPr>
                <w:rFonts w:ascii="Calibri" w:hAnsi="Calibri"/>
                <w:b/>
                <w:i w:val="0"/>
                <w:color w:val="212121"/>
                <w:sz w:val="19"/>
              </w:rPr>
              <w:t>Gingival hypertrophy / hirsutism / gum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phenytoin therapy sign; drug-related rather than disease-related.</w:t>
            </w:r>
          </w:p>
        </w:tc>
      </w:tr>
      <w:tr>
        <w:trPr>
          <w:cantSplit/>
        </w:trPr>
        <w:tc>
          <w:tcPr>
            <w:tcW w:type="dxa" w:w="3456"/>
            <w:vAlign w:val="top"/>
          </w:tcPr>
          <w:p>
            <w:pPr>
              <w:spacing w:after="40" w:before="0" w:line="259" w:lineRule="auto"/>
            </w:pPr>
            <w:r>
              <w:rPr>
                <w:rFonts w:ascii="Calibri" w:hAnsi="Calibri"/>
                <w:b/>
                <w:i w:val="0"/>
                <w:color w:val="212121"/>
                <w:sz w:val="19"/>
              </w:rPr>
              <w:t>Developmental delay / cognitive impairment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with epileptic encephalopathies and symptomatic epilepsies, especially in children.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Status epilepticus (seizure ≥ 5 min or recurrent without recovery) — a medical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Seizure-related injuries: burns, drowning, fractures, head injury, road-traffic accidents, dental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and transient hypoxia during convulsions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Postictal states: prolonged confusion, Todd's paresis, postictal psychosis</w:t>
            </w:r>
          </w:p>
        </w:tc>
        <w:tc>
          <w:tcPr>
            <w:tcW w:type="dxa" w:w="2980"/>
            <w:vAlign w:val="top"/>
          </w:tcPr>
          <w:p>
            <w:pPr>
              <w:spacing w:after="40" w:before="0" w:line="259" w:lineRule="auto"/>
            </w:pPr>
            <w:r>
              <w:rPr>
                <w:rFonts w:ascii="Calibri" w:hAnsi="Calibri"/>
                <w:b w:val="0"/>
                <w:i w:val="0"/>
                <w:color w:val="212121"/>
                <w:sz w:val="19"/>
              </w:rPr>
              <w:t>Direct, acute consequences of the seizures themselves and of loss of awareness/control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Drug-resistant epilepsy (failure of two appropriate antiseizure medications)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and memory decline; academic and occupational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Psychiatric comorbidity: depression, anxiety, interictal/postictal psychosis, suicidality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Antiseizure-drug adverse effects: hepatotoxicity, hyponatraemia, osteoporosis/osteomalacia, teratogenicity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Fetal anticonvulsant syndrome and obstetric risk in pregnancy (especially valproate)</w:t>
            </w:r>
          </w:p>
        </w:tc>
        <w:tc>
          <w:tcPr>
            <w:tcW w:type="dxa" w:w="2980"/>
            <w:vAlign w:val="top"/>
          </w:tcPr>
          <w:p>
            <w:pPr>
              <w:spacing w:after="40" w:before="0" w:line="259" w:lineRule="auto"/>
            </w:pPr>
            <w:r>
              <w:rPr>
                <w:rFonts w:ascii="Calibri" w:hAnsi="Calibri"/>
                <w:b w:val="0"/>
                <w:i w:val="0"/>
                <w:color w:val="212121"/>
                <w:sz w:val="19"/>
              </w:rPr>
              <w:t>Chronic consequences of recurrent seizures, of the disorder's neuropsychiatric burden, and of long-term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SUDEP — sudden unexpected death in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 up to ~3× that of the 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from recurrent injuries or refractory epileptic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Profound psychosocial disability: unemployment, denied schooling and marriage, social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and institutionalisation in severe, poorly controlled disease</w:t>
            </w:r>
          </w:p>
        </w:tc>
        <w:tc>
          <w:tcPr>
            <w:tcW w:type="dxa" w:w="2980"/>
            <w:vAlign w:val="top"/>
          </w:tcPr>
          <w:p>
            <w:pPr>
              <w:spacing w:after="40" w:before="0" w:line="259" w:lineRule="auto"/>
            </w:pPr>
            <w:r>
              <w:rPr>
                <w:rFonts w:ascii="Calibri" w:hAnsi="Calibri"/>
                <w:b w:val="0"/>
                <w:i w:val="0"/>
                <w:color w:val="212121"/>
                <w:sz w:val="19"/>
              </w:rPr>
              <w:t>Irreversible, disabling and fatal outcomes of longstanding, uncontrolled epilepsy and its stigma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psychiatric comorbidity; bidirectionally linked with epilepsy, it lowers quality of life, worsens adherence and seizure control and raises suicide risk.</w:t>
            </w:r>
          </w:p>
          <w:p>
            <w:pPr>
              <w:spacing w:after="40" w:before="0" w:line="259" w:lineRule="auto"/>
            </w:pPr>
            <w:r>
              <w:rPr>
                <w:rFonts w:ascii="Calibri" w:hAnsi="Calibri"/>
                <w:b/>
                <w:i w:val="0"/>
                <w:color w:val="212121"/>
                <w:sz w:val="19"/>
              </w:rPr>
              <w:t>~22.9%</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 with depression; anticipatory anxiety about seizures and stigma perpetuates the burden and can precipitate events.</w:t>
            </w:r>
          </w:p>
          <w:p>
            <w:pPr>
              <w:spacing w:after="40" w:before="0" w:line="259" w:lineRule="auto"/>
            </w:pPr>
            <w:r>
              <w:rPr>
                <w:rFonts w:ascii="Calibri" w:hAnsi="Calibri"/>
                <w:b/>
                <w:i w:val="0"/>
                <w:color w:val="212121"/>
                <w:sz w:val="19"/>
              </w:rPr>
              <w:t>~20.2%</w:t>
            </w:r>
          </w:p>
        </w:tc>
      </w:tr>
      <w:tr>
        <w:trPr>
          <w:cantSplit/>
        </w:trPr>
        <w:tc>
          <w:tcPr>
            <w:tcW w:type="dxa" w:w="2232"/>
            <w:vAlign w:val="top"/>
          </w:tcPr>
          <w:p>
            <w:pPr>
              <w:spacing w:after="40" w:before="0" w:line="259" w:lineRule="auto"/>
            </w:pPr>
            <w:r>
              <w:rPr>
                <w:rFonts w:ascii="Calibri" w:hAnsi="Calibri"/>
                <w:b/>
                <w:i w:val="0"/>
                <w:color w:val="212121"/>
                <w:sz w:val="19"/>
              </w:rPr>
              <w:t>Psychosis (interictal / postictal)</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Recurrent seizures and shared limbic pathology predispose to psychotic symptoms, particularly in chronic temporal lobe epilepsy.</w:t>
            </w:r>
          </w:p>
        </w:tc>
      </w:tr>
      <w:tr>
        <w:trPr>
          <w:cantSplit/>
        </w:trPr>
        <w:tc>
          <w:tcPr>
            <w:tcW w:type="dxa" w:w="2232"/>
            <w:vAlign w:val="top"/>
          </w:tcPr>
          <w:p>
            <w:pPr>
              <w:spacing w:after="40" w:before="0" w:line="259" w:lineRule="auto"/>
            </w:pPr>
            <w:r>
              <w:rPr>
                <w:rFonts w:ascii="Calibri" w:hAnsi="Calibri"/>
                <w:b/>
                <w:i w:val="0"/>
                <w:color w:val="212121"/>
                <w:sz w:val="19"/>
              </w:rPr>
              <w:t>Neurocysticercosis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identifiable cause of acquired epilepsy in India; cystic/calcified lesions act as seizure foci and alter imaging and drug decisions.</w:t>
            </w:r>
          </w:p>
          <w:p>
            <w:pPr>
              <w:spacing w:after="40" w:before="0" w:line="259" w:lineRule="auto"/>
            </w:pPr>
            <w:r>
              <w:rPr>
                <w:rFonts w:ascii="Calibri" w:hAnsi="Calibri"/>
                <w:b/>
                <w:i w:val="0"/>
                <w:color w:val="212121"/>
                <w:sz w:val="19"/>
              </w:rPr>
              <w:t>Up to ~42% (endemic Indian series)</w:t>
            </w:r>
          </w:p>
        </w:tc>
      </w:tr>
      <w:tr>
        <w:trPr>
          <w:cantSplit/>
        </w:trPr>
        <w:tc>
          <w:tcPr>
            <w:tcW w:type="dxa" w:w="2232"/>
            <w:vAlign w:val="top"/>
          </w:tcPr>
          <w:p>
            <w:pPr>
              <w:spacing w:after="40" w:before="0" w:line="259" w:lineRule="auto"/>
            </w:pPr>
            <w:r>
              <w:rPr>
                <w:rFonts w:ascii="Calibri" w:hAnsi="Calibri"/>
                <w:b/>
                <w:i w:val="0"/>
                <w:color w:val="212121"/>
                <w:sz w:val="19"/>
              </w:rPr>
              <w:t>Stroke / cerebrovascular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Cortical infarcts and haemorrhages are the commonest cause of new-onset epilepsy in the elderly; seizures also complicate acute stroke.</w:t>
            </w:r>
          </w:p>
        </w:tc>
      </w:tr>
      <w:tr>
        <w:trPr>
          <w:cantSplit/>
        </w:trPr>
        <w:tc>
          <w:tcPr>
            <w:tcW w:type="dxa" w:w="2232"/>
            <w:vAlign w:val="top"/>
          </w:tcPr>
          <w:p>
            <w:pPr>
              <w:spacing w:after="40" w:before="0" w:line="259" w:lineRule="auto"/>
            </w:pPr>
            <w:r>
              <w:rPr>
                <w:rFonts w:ascii="Calibri" w:hAnsi="Calibri"/>
                <w:b/>
                <w:i w:val="0"/>
                <w:color w:val="212121"/>
                <w:sz w:val="19"/>
              </w:rPr>
              <w:t>Traumatic brain injury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Moderate-to-severe head injury creates epileptogenic scars, raising post-traumatic epilepsy risk that peaks in the first year.</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Epilepsy and migraine share cortical hyperexcitability and channel dysfunction and co-occur more often than expected by chance.</w:t>
            </w:r>
          </w:p>
        </w:tc>
      </w:tr>
      <w:tr>
        <w:trPr>
          <w:cantSplit/>
        </w:trPr>
        <w:tc>
          <w:tcPr>
            <w:tcW w:type="dxa" w:w="2232"/>
            <w:vAlign w:val="top"/>
          </w:tcPr>
          <w:p>
            <w:pPr>
              <w:spacing w:after="40" w:before="0" w:line="259" w:lineRule="auto"/>
            </w:pPr>
            <w:r>
              <w:rPr>
                <w:rFonts w:ascii="Calibri" w:hAnsi="Calibri"/>
                <w:b/>
                <w:i w:val="0"/>
                <w:color w:val="212121"/>
                <w:sz w:val="19"/>
              </w:rPr>
              <w:t>Cognitive impairment / intellectual disability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brain pathology and seizure/medication burden impair cognition; severe cases carry high epilepsy rates.</w:t>
            </w:r>
          </w:p>
        </w:tc>
      </w:tr>
      <w:tr>
        <w:trPr>
          <w:cantSplit/>
        </w:trPr>
        <w:tc>
          <w:tcPr>
            <w:tcW w:type="dxa" w:w="2232"/>
            <w:vAlign w:val="top"/>
          </w:tcPr>
          <w:p>
            <w:pPr>
              <w:spacing w:after="40" w:before="0" w:line="259" w:lineRule="auto"/>
            </w:pPr>
            <w:r>
              <w:rPr>
                <w:rFonts w:ascii="Calibri" w:hAnsi="Calibri"/>
                <w:b/>
                <w:i w:val="0"/>
                <w:color w:val="212121"/>
                <w:sz w:val="19"/>
              </w:rPr>
              <w:t>Osteoporosis / osteomalacia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Enzyme-inducing antiseizure drugs (phenytoin, carbamazepine, phenobarbitone) accelerate vitamin D and bone loss over years.</w:t>
            </w:r>
          </w:p>
        </w:tc>
      </w:tr>
      <w:tr>
        <w:trPr>
          <w:cantSplit/>
        </w:trPr>
        <w:tc>
          <w:tcPr>
            <w:tcW w:type="dxa" w:w="2232"/>
            <w:vAlign w:val="top"/>
          </w:tcPr>
          <w:p>
            <w:pPr>
              <w:spacing w:after="40" w:before="0" w:line="259" w:lineRule="auto"/>
            </w:pPr>
            <w:r>
              <w:rPr>
                <w:rFonts w:ascii="Calibri" w:hAnsi="Calibri"/>
                <w:b/>
                <w:i w:val="0"/>
                <w:color w:val="212121"/>
                <w:sz w:val="19"/>
              </w:rPr>
              <w:t>Attention-deficit/hyperactivity disorder (ADHD)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children with epilepsy through shared neurodevelopmental substrate; affects schooling and treatment choices.</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Fragmented sleep and intermittent hypoxia lower the seizure threshold; treating apnoea can improve seizure control.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epilepsy as a treatable brain disorder — it is not contagious, not a curse, possession or the result of past sins.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seizure first aid: protect from injury, cushion the head, turn the person on their side (recovery position), do NOT put anything in the mouth or restrain them, and time the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Call for emergency help if a seizure lasts ≥ 5 minutes, repeats without recovery, or is a first-ever seizure or causes injury/drowning.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antiseizure medication exactly as prescribed, never stop abruptly, and keep a seizure and medication diary.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neurocysticercosis: use toilets, wash hands, drink safe water, wash vegetables well and cook pork thoroughly.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medical-alert identification and make a seizure action plan with family, school and employer.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avoid personal triggers — sleep loss, missed doses, alcohol, flashing lights and fever.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Teachers and employers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exercise (walking, cycling, yoga) — it is safe for most people with epilepsy and improves mood and fitness.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buddy system for swimming and avoid unsupervised water activity, climbing at height and solo heat exposure until seizures are controlled.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appropriate protective gear (helmet for cycling) and choose lower-risk sports.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 150 minutes/week of moderate activity while avoiding extreme exhaustion and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Counter deconditioning caused by overprotection and stigma with a graded, individualised plan.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controlled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and avoid skipping meals or prolonged fasting that can provoke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strict food and water hygiene; eat thoroughly cooked pork and washed vegetables to prevent neurocysticercosis.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as several antiseizure drugs impair bone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excessive caffeine and avoid grapefruit or other agents that alter drug metabolism without medical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supervised ketogenic or modified-Atkins diet, guided by a specialist and dietitian, for drug-resistant epilepsy — especially in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drug-resistant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Rural/endemic communities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schedule with 7–9 hours per night — sleep deprivation is a major, avoidable seizure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all-night studying and, where possible, disruptive night-shift patterns.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good sleep hygiene: consistent bedtime, and limit screens and caffeine before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worsens seizure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epilepsy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all tobacco to reduce stroke and vascular risk that can cause or worsen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during pregnancy, which harms fetal and maternal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if dependent.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epilepsy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 alcohol and, especially, the withdrawal state lower the seizure threshold.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at all, keep to minimal amounts and never around medication times.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alcohol interacts with antiseizure drugs, causing sedation and altered drug levels.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care for alcohol-withdrawal seizures, which can progress to status epilepticus.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epilepsy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Alcohol-dependent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 the commonest comorbidities (~23% and ~20%) — and treat them actively.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peer support to reduce stigma and improve medication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suicidal ideation and ensure prompt psychiatric referral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(yoga, mindfulness, breathing) as stress is a frequent precipitant.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education, employment and marriage rights to counter the psychosocial burden of stigma.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mood or anxiety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Drug-resistant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epilepsy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epilepsy/about/index.html" TargetMode="External"/><Relationship Id="rId10" Type="http://schemas.openxmlformats.org/officeDocument/2006/relationships/hyperlink" Target="https://karger.com/aon/article/25/4/177/43293/Prevalence-Demographic-Profile-and-Psychological" TargetMode="External"/><Relationship Id="rId11" Type="http://schemas.openxmlformats.org/officeDocument/2006/relationships/hyperlink" Target="https://pmc.ncbi.nlm.nih.gov/articles/PMC3548390/" TargetMode="External"/><Relationship Id="rId12" Type="http://schemas.openxmlformats.org/officeDocument/2006/relationships/hyperlink" Target="https://journals.sagepub.com/doi/pdf/10.1111/j.1535-7597.2004.04509.x" TargetMode="External"/><Relationship Id="rId13" Type="http://schemas.openxmlformats.org/officeDocument/2006/relationships/hyperlink" Target="https://www.nature.com/articles/s41598-021-86823-w" TargetMode="External"/><Relationship Id="rId14" Type="http://schemas.openxmlformats.org/officeDocument/2006/relationships/hyperlink" Target="https://www.epilepsy.com/causes/structural/traumatic-brain-injury-epilepsy" TargetMode="External"/><Relationship Id="rId15" Type="http://schemas.openxmlformats.org/officeDocument/2006/relationships/hyperlink" Target="https://www.frontiersin.org/articles/10.3389/fneur.2021.761239/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