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Febrile Seizures (pediatric)</w:t>
      </w:r>
    </w:p>
    <w:p>
      <w:pPr>
        <w:spacing w:before="0" w:after="160"/>
      </w:pPr>
      <w:r>
        <w:rPr>
          <w:rFonts w:ascii="Calibri" w:hAnsi="Calibri"/>
          <w:b/>
          <w:i w:val="0"/>
          <w:color w:val="212121"/>
          <w:sz w:val="22"/>
        </w:rPr>
        <w:t xml:space="preserve">AKA </w:t>
      </w:r>
      <w:r>
        <w:rPr>
          <w:rFonts w:ascii="Calibri" w:hAnsi="Calibri"/>
          <w:b w:val="0"/>
          <w:i w:val="0"/>
          <w:color w:val="212121"/>
          <w:sz w:val="22"/>
        </w:rPr>
        <w:t>i.e., Febrile convulsions, Febrile fits, Fever fits, Fever seizures; classified as Simple febrile seizure / Complex febrile seizure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 febrile seizure is a convulsion occurring in a child aged 6 months to 5 years that is triggered by fever (usually ≥ 38 °C) arising from an infection outside the central nervous system, in the absence of intracranial infection, acute metabolic disturbance, or a prior history of afebrile (unprovoked) seizures. It is the most common seizure disorder of childhood and is, in the great majority of children, a benign and self-limiting event. Febrile seizures are classified as simple (brief, generalized, single within 24 hours) or complex (prolonged, focal, or recurring within 24 hours), a distinction that governs both prognosis and the extent of investigation.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Febrile seizures affect an estimated 3–5% of children under five years of age, making them the commonest convulsive event of childhood; the peak age of onset is 12–18 months. Indian hospital data are consistent with this — a North Indian teaching-hospital series recorded febrile seizures in about 3.1% of admitted children — and community data from a south Indian (Kerala) district confirm they are common in Indian children. The high background burden of febrile illnesses and of childhood iron-deficiency anaemia (about 67% of under-fives are anaemic on NFHS-5) makes this a frequent and clinically important presentation in India.</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Febrile seizures are a clinical diagnosis based on the age, the relationship of the convulsion to fever, and the exclusion of central nervous system infection or another acute neurological cause. Diagnosis rests on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age 6 months to 5 years (peak 12–18 months) at the time of the seizure;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generalized or focal convulsion in association with fever (temperature ≥ 38 °C / 100.4 °F), typically arising early in a febrile illness;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fever from an extracranial source (e.g., viral upper-respiratory infection, otitis media, roseola/HHV-6, gastroenteritis) with no clinical or laboratory evidence of meningitis or encephalitis;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absence of prior afebrile (unprovoked) seizures and of acute metabolic derangement (hypoglycaemia, hyponatraemia, hypocalcaemia) or a known structural/neurological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lumbar puncture and CSF analysis considered when CNS infection is suspected — meningeal signs, prolonged post-ictal depression, a toxic child, incomplete Hib/pneumococcal immunisation, or pre-treatment with antibiotics;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neuroimaging and EEG are NOT routinely required for a simple febrile seizure and are reserved for complex, focal, or prolonged (febrile status epilepticus) presentations or abnormal neurology.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Febrile seizures are classified by their clinical features, which determine prognosis and the extent of evaluation:</w:t>
      </w:r>
    </w:p>
    <w:p>
      <w:pPr>
        <w:spacing w:before="0" w:after="80"/>
      </w:pPr>
      <w:r>
        <w:rPr>
          <w:rFonts w:ascii="Calibri" w:hAnsi="Calibri"/>
          <w:b w:val="0"/>
          <w:i w:val="0"/>
          <w:color w:val="212121"/>
          <w:sz w:val="21"/>
        </w:rPr>
        <w:t>(1) Simple febrile seizure — the commonest form (≈ 65–90% of cases): a generalized (usually tonic-clonic) seizure lasting less than 15 minutes, occurring only once in a 24-hour period, in a neurologically normal child; associated with an excellent prognosis and a very low (≈ 2%) risk of later epilepsy.</w:t>
      </w:r>
    </w:p>
    <w:p>
      <w:pPr>
        <w:spacing w:before="0" w:after="80"/>
      </w:pPr>
      <w:r>
        <w:rPr>
          <w:rFonts w:ascii="Calibri" w:hAnsi="Calibri"/>
          <w:b w:val="0"/>
          <w:i w:val="0"/>
          <w:color w:val="212121"/>
          <w:sz w:val="21"/>
        </w:rPr>
        <w:t>(2) Complex (complicated) febrile seizure — (≈ 30–35% of cases): a seizure that is prolonged (&gt; 15 minutes), focal (partial) in onset or semiology, or that recurs within 24 hours or the same febrile illness; it may be followed by transient Todd's paresis and carries a modestly higher risk of recurrence and of later epilepsy.</w:t>
      </w:r>
    </w:p>
    <w:p>
      <w:pPr>
        <w:spacing w:before="0" w:after="80"/>
      </w:pPr>
      <w:r>
        <w:rPr>
          <w:rFonts w:ascii="Calibri" w:hAnsi="Calibri"/>
          <w:b w:val="0"/>
          <w:i w:val="0"/>
          <w:color w:val="212121"/>
          <w:sz w:val="21"/>
        </w:rPr>
        <w:t>(3) Febrile status epilepticus — a febrile seizure (or a series without recovery between events) lasting ≥ 30 minutes; a subset of complex febrile seizures associated with acute hippocampal injury and later mesial temporal sclerosis (FEBSTAT study).</w:t>
      </w:r>
    </w:p>
    <w:p>
      <w:pPr>
        <w:spacing w:before="0" w:after="80"/>
      </w:pPr>
      <w:r>
        <w:rPr>
          <w:rFonts w:ascii="Calibri" w:hAnsi="Calibri"/>
          <w:b w:val="0"/>
          <w:i w:val="0"/>
          <w:color w:val="212121"/>
          <w:sz w:val="21"/>
        </w:rPr>
        <w:t>(4) Genetic (familial) febrile-seizure spectrum — including 'genetic epilepsy with febrile seizures plus' (GEFS+) and Dravet syndrome (SCN1A-related), in which febrile seizures are prominent, persist beyond age 6, or coexist with afebrile seizures; suspected with a strong family history or an atypical, treatment-refractory course.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Fever from an extracranial infection: The proximate trigger — most often a viral illness (upper/lower respiratory infection, roseola/HHV-6, influenza, gastroenteritis) or otitis media; both the height of the fever and the rate of temperature rise contribute.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Immature, fever-sensitive developing brain: The developing brain between 6 months and 5 years is intrinsically vulnerable to hyperthermia-induced hyperexcitability, and the seizure threshold falls as core temperature rises.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Pro-inflammatory cytokines: Fever-associated interleukin-1β (IL-1β) and related cytokines enhance neuronal excitability and lower the seizure threshold, providing a mechanistic link between infection/fever and convulsion.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predisposition: Strong familial clustering and high twin concordance; polygenic susceptibility and specific genes (notably SCN1A and other GEFS+ loci) render some children prone to fever-triggered seizures.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Micronutrient deficiency: Iron-deficiency anaemia and low serum zinc (and, in several studies, vitamin D insufficiency) are associated with increased susceptibility — highly relevant given the nutritional profile of Indian children.</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Vaccination-associated fever: Whole-cell pertussis (DTwP) and measles-containing (MMR) vaccines transiently raise febrile-seizure risk through the fever they induce — not through any direct neurotoxic effect.</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Infants &amp; toddlers (6 months–3 years)</w:t>
            </w:r>
          </w:p>
        </w:tc>
        <w:tc>
          <w:tcPr>
            <w:tcW w:type="dxa" w:w="4276"/>
            <w:vAlign w:val="top"/>
          </w:tcPr>
          <w:p>
            <w:pPr>
              <w:spacing w:after="60" w:line="259" w:lineRule="auto"/>
            </w:pPr>
            <w:r>
              <w:rPr>
                <w:rFonts w:ascii="Calibri" w:hAnsi="Calibri"/>
                <w:b w:val="0"/>
                <w:i w:val="0"/>
                <w:color w:val="212121"/>
                <w:sz w:val="19"/>
              </w:rPr>
              <w:t>The developing brain in this window is maximally susceptible to fever-induced hyperexcitability, so risk peaks in infancy and early toddlerhood. Onset below 12–15 months also predicts a higher chance of recurrence.</w:t>
            </w:r>
          </w:p>
          <w:p>
            <w:pPr>
              <w:spacing w:after="40" w:before="60" w:line="259" w:lineRule="auto"/>
            </w:pPr>
            <w:r>
              <w:rPr>
                <w:rFonts w:ascii="Calibri" w:hAnsi="Calibri"/>
                <w:b w:val="0"/>
                <w:i w:val="0"/>
                <w:color w:val="212121"/>
                <w:sz w:val="19"/>
              </w:rPr>
              <w:t>Peak incidence is at 12–18 months; in an Indian series the mean age of children with febrile seizures was about 34 months.</w:t>
            </w:r>
          </w:p>
          <w:p>
            <w:pPr>
              <w:spacing w:after="40" w:line="252" w:lineRule="auto"/>
            </w:pPr>
            <w:hyperlink r:id="rId9">
              <w:r>
                <w:rPr>
                  <w:rFonts w:ascii="Calibri" w:hAnsi="Calibri" w:cs="Calibri"/>
                  <w:sz w:val="18"/>
                  <w:color w:val="1155CC"/>
                  <w:u w:val="single"/>
                </w:rPr>
                <w:t xml:space="preserve">teachmepaediatrics.com — febrile seizures (peak age)</w:t>
              </w:r>
            </w:hyperlink>
          </w:p>
          <w:p>
            <w:pPr>
              <w:spacing w:before="60" w:after="40"/>
            </w:pPr>
            <w:r>
              <w:rPr>
                <w:rFonts w:ascii="Calibri" w:hAnsi="Calibri"/>
                <w:b w:val="0"/>
                <w:i w:val="0"/>
                <w:color w:val="5A5A5A"/>
                <w:sz w:val="18"/>
              </w:rPr>
              <w:t>#febrileseizure  #toddlers  #immaturebrain  #peakage  #pediatricneurology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preschool children (3–5 years)</w:t>
            </w:r>
          </w:p>
        </w:tc>
        <w:tc>
          <w:tcPr>
            <w:tcW w:type="dxa" w:w="4276"/>
            <w:vAlign w:val="top"/>
          </w:tcPr>
          <w:p>
            <w:pPr>
              <w:spacing w:after="60" w:line="259" w:lineRule="auto"/>
            </w:pPr>
            <w:r>
              <w:rPr>
                <w:rFonts w:ascii="Calibri" w:hAnsi="Calibri"/>
                <w:b w:val="0"/>
                <w:i w:val="0"/>
                <w:color w:val="212121"/>
                <w:sz w:val="19"/>
              </w:rPr>
              <w:t>Susceptibility declines through the preschool years as the brain matures, and the great majority of children stop having febrile seizures after age 5–6 years. New-onset febrile seizures outside the 6-month–5-year window are atypical.</w:t>
            </w:r>
          </w:p>
          <w:p>
            <w:pPr>
              <w:spacing w:after="40" w:before="60" w:line="259" w:lineRule="auto"/>
            </w:pPr>
            <w:r>
              <w:rPr>
                <w:rFonts w:ascii="Calibri" w:hAnsi="Calibri"/>
                <w:b w:val="0"/>
                <w:i w:val="0"/>
                <w:color w:val="212121"/>
                <w:sz w:val="19"/>
              </w:rPr>
              <w:t>Febrile seizures occur in about 2–5% of children aged 6 months to 5 years and largely resolve by school age.</w:t>
            </w:r>
          </w:p>
          <w:p>
            <w:pPr>
              <w:spacing w:after="40" w:line="252" w:lineRule="auto"/>
            </w:pPr>
            <w:hyperlink r:id="rId10">
              <w:r>
                <w:rPr>
                  <w:rFonts w:ascii="Calibri" w:hAnsi="Calibri" w:cs="Calibri"/>
                  <w:sz w:val="18"/>
                  <w:color w:val="1155CC"/>
                  <w:u w:val="single"/>
                </w:rPr>
                <w:t xml:space="preserve">aafp.org — febrile seizures (age range)</w:t>
              </w:r>
            </w:hyperlink>
          </w:p>
          <w:p>
            <w:pPr>
              <w:spacing w:before="60" w:after="40"/>
            </w:pPr>
            <w:r>
              <w:rPr>
                <w:rFonts w:ascii="Calibri" w:hAnsi="Calibri"/>
                <w:b w:val="0"/>
                <w:i w:val="0"/>
                <w:color w:val="5A5A5A"/>
                <w:sz w:val="18"/>
              </w:rPr>
              <w:t>#preschool  #outgrow  #benignprognosis  #agewindow</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children (slight predominance)</w:t>
            </w:r>
          </w:p>
        </w:tc>
        <w:tc>
          <w:tcPr>
            <w:tcW w:type="dxa" w:w="4276"/>
            <w:vAlign w:val="top"/>
          </w:tcPr>
          <w:p>
            <w:pPr>
              <w:spacing w:after="60" w:line="259" w:lineRule="auto"/>
            </w:pPr>
            <w:r>
              <w:rPr>
                <w:rFonts w:ascii="Calibri" w:hAnsi="Calibri"/>
                <w:b w:val="0"/>
                <w:i w:val="0"/>
                <w:color w:val="212121"/>
                <w:sz w:val="19"/>
              </w:rPr>
              <w:t>Many series report a slight male preponderance, attributed partly to a marginally higher febrile-illness burden; Indian data, however, show near parity between the sexes.</w:t>
            </w:r>
          </w:p>
          <w:p>
            <w:pPr>
              <w:spacing w:after="40" w:before="60" w:line="259" w:lineRule="auto"/>
            </w:pPr>
            <w:r>
              <w:rPr>
                <w:rFonts w:ascii="Calibri" w:hAnsi="Calibri"/>
                <w:b w:val="0"/>
                <w:i w:val="0"/>
                <w:color w:val="212121"/>
                <w:sz w:val="19"/>
              </w:rPr>
              <w:t>In an Indian hospital study the male-to-female ratio among children with febrile seizures was approximately 1:1 (48% male, 52% female).</w:t>
            </w:r>
          </w:p>
          <w:p>
            <w:pPr>
              <w:spacing w:after="40" w:line="252" w:lineRule="auto"/>
            </w:pPr>
            <w:hyperlink r:id="rId11">
              <w:r>
                <w:rPr>
                  <w:rFonts w:ascii="Calibri" w:hAnsi="Calibri" w:cs="Calibri"/>
                  <w:sz w:val="18"/>
                  <w:color w:val="1155CC"/>
                  <w:u w:val="single"/>
                </w:rPr>
                <w:t xml:space="preserve">medpulse.in — prevalence of febrile seizures (India)</w:t>
              </w:r>
            </w:hyperlink>
          </w:p>
          <w:p>
            <w:pPr>
              <w:spacing w:before="60" w:after="40"/>
            </w:pPr>
            <w:r>
              <w:rPr>
                <w:rFonts w:ascii="Calibri" w:hAnsi="Calibri"/>
                <w:b w:val="0"/>
                <w:i w:val="0"/>
                <w:color w:val="5A5A5A"/>
                <w:sz w:val="18"/>
              </w:rPr>
              <w:t>#sexratio  #malepredominance  #indiandata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Children in low-income / undernourished households</w:t>
            </w:r>
          </w:p>
        </w:tc>
        <w:tc>
          <w:tcPr>
            <w:tcW w:type="dxa" w:w="4276"/>
            <w:vAlign w:val="top"/>
          </w:tcPr>
          <w:p>
            <w:pPr>
              <w:spacing w:after="60" w:line="259" w:lineRule="auto"/>
            </w:pPr>
            <w:r>
              <w:rPr>
                <w:rFonts w:ascii="Calibri" w:hAnsi="Calibri"/>
                <w:b w:val="0"/>
                <w:i w:val="0"/>
                <w:color w:val="212121"/>
                <w:sz w:val="19"/>
              </w:rPr>
              <w:t>Crowding, recurrent infections, and a high prevalence of iron and other micronutrient deficiencies increase both the frequency of febrile illnesses and the individual seizure susceptibility in disadvantaged Indian children.</w:t>
            </w:r>
          </w:p>
          <w:p>
            <w:pPr>
              <w:spacing w:after="40" w:before="60" w:line="259" w:lineRule="auto"/>
            </w:pPr>
            <w:r>
              <w:rPr>
                <w:rFonts w:ascii="Calibri" w:hAnsi="Calibri"/>
                <w:b w:val="0"/>
                <w:i w:val="0"/>
                <w:color w:val="212121"/>
                <w:sz w:val="19"/>
              </w:rPr>
              <w:t>About 67% of Indian children under five are anaemic (NFHS-5), a modifiable factor closely linked to febrile-seizure risk.</w:t>
            </w:r>
          </w:p>
          <w:p>
            <w:pPr>
              <w:spacing w:after="40" w:line="252" w:lineRule="auto"/>
            </w:pPr>
            <w:hyperlink r:id="rId12">
              <w:r>
                <w:rPr>
                  <w:rFonts w:ascii="Calibri" w:hAnsi="Calibri" w:cs="Calibri"/>
                  <w:sz w:val="18"/>
                  <w:color w:val="1155CC"/>
                  <w:u w:val="single"/>
                </w:rPr>
                <w:t xml:space="preserve">factly.in — NFHS-5 childhood anaemia</w:t>
              </w:r>
            </w:hyperlink>
          </w:p>
          <w:p>
            <w:pPr>
              <w:spacing w:before="60" w:after="40"/>
            </w:pPr>
            <w:r>
              <w:rPr>
                <w:rFonts w:ascii="Calibri" w:hAnsi="Calibri"/>
                <w:b w:val="0"/>
                <w:i w:val="0"/>
                <w:color w:val="5A5A5A"/>
                <w:sz w:val="18"/>
              </w:rPr>
              <w:t>#socioeconomic  #undernutrition  #anaemia  #nfhs5  #crowding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South Indian (Kerala) &amp; other Indian children</w:t>
            </w:r>
          </w:p>
        </w:tc>
        <w:tc>
          <w:tcPr>
            <w:tcW w:type="dxa" w:w="4276"/>
            <w:vAlign w:val="top"/>
          </w:tcPr>
          <w:p>
            <w:pPr>
              <w:spacing w:after="60" w:line="259" w:lineRule="auto"/>
            </w:pPr>
            <w:r>
              <w:rPr>
                <w:rFonts w:ascii="Calibri" w:hAnsi="Calibri"/>
                <w:b w:val="0"/>
                <w:i w:val="0"/>
                <w:color w:val="212121"/>
                <w:sz w:val="19"/>
              </w:rPr>
              <w:t>Community data from a south Indian (Kerala) district confirm febrile seizures are common, with recurrent febrile seizures independently associated with perinatal adversity, indices of infective illness, and lower maternal education.</w:t>
            </w:r>
          </w:p>
          <w:p>
            <w:pPr>
              <w:spacing w:after="40" w:before="60" w:line="259" w:lineRule="auto"/>
            </w:pPr>
            <w:r>
              <w:rPr>
                <w:rFonts w:ascii="Calibri" w:hAnsi="Calibri"/>
                <w:b w:val="0"/>
                <w:i w:val="0"/>
                <w:color w:val="212121"/>
                <w:sz w:val="19"/>
              </w:rPr>
              <w:t>In that south Indian district cohort, about 2.7% of children with febrile seizures went on to develop epilepsy.</w:t>
            </w:r>
          </w:p>
          <w:p>
            <w:pPr>
              <w:spacing w:after="40" w:line="252" w:lineRule="auto"/>
            </w:pPr>
            <w:hyperlink r:id="rId13">
              <w:r>
                <w:rPr>
                  <w:rFonts w:ascii="Calibri" w:hAnsi="Calibri" w:cs="Calibri"/>
                  <w:sz w:val="18"/>
                  <w:color w:val="1155CC"/>
                  <w:u w:val="single"/>
                </w:rPr>
                <w:t xml:space="preserve">pubmed — febrile seizures in a south Indian district</w:t>
              </w:r>
            </w:hyperlink>
          </w:p>
          <w:p>
            <w:pPr>
              <w:spacing w:before="60" w:after="40"/>
            </w:pPr>
            <w:r>
              <w:rPr>
                <w:rFonts w:ascii="Calibri" w:hAnsi="Calibri"/>
                <w:b w:val="0"/>
                <w:i w:val="0"/>
                <w:color w:val="5A5A5A"/>
                <w:sz w:val="18"/>
              </w:rPr>
              <w:t>#kerala  #southindia  #perinatal  #maternaleducation  #communitystudy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Infection burden</w:t>
            </w:r>
          </w:p>
        </w:tc>
        <w:tc>
          <w:tcPr>
            <w:tcW w:type="dxa" w:w="2160"/>
            <w:vAlign w:val="top"/>
          </w:tcPr>
          <w:p>
            <w:pPr>
              <w:spacing w:after="40" w:before="0" w:line="259" w:lineRule="auto"/>
            </w:pPr>
            <w:r>
              <w:rPr>
                <w:rFonts w:ascii="Calibri" w:hAnsi="Calibri"/>
                <w:b w:val="0"/>
                <w:i w:val="0"/>
                <w:color w:val="212121"/>
                <w:sz w:val="19"/>
              </w:rPr>
              <w:t>Children in tropical / high-infection-burden settings</w:t>
            </w:r>
          </w:p>
        </w:tc>
        <w:tc>
          <w:tcPr>
            <w:tcW w:type="dxa" w:w="4276"/>
            <w:vAlign w:val="top"/>
          </w:tcPr>
          <w:p>
            <w:pPr>
              <w:spacing w:after="60" w:line="259" w:lineRule="auto"/>
            </w:pPr>
            <w:r>
              <w:rPr>
                <w:rFonts w:ascii="Calibri" w:hAnsi="Calibri"/>
                <w:b w:val="0"/>
                <w:i w:val="0"/>
                <w:color w:val="212121"/>
                <w:sz w:val="19"/>
              </w:rPr>
              <w:t>A dense burden of childhood febrile illnesses — viral respiratory infections, gastroenteritis, otitis media, and, in endemic zones, malaria — multiplies exposure to the fevers that provoke seizures.</w:t>
            </w:r>
          </w:p>
          <w:p>
            <w:pPr>
              <w:spacing w:after="40" w:before="60" w:line="259" w:lineRule="auto"/>
            </w:pPr>
            <w:r>
              <w:rPr>
                <w:rFonts w:ascii="Calibri" w:hAnsi="Calibri"/>
                <w:b w:val="0"/>
                <w:i w:val="0"/>
                <w:color w:val="212121"/>
                <w:sz w:val="19"/>
              </w:rPr>
              <w:t>Viral infections account for roughly 80% of the febrile illnesses that trigger febrile seizures.</w:t>
            </w:r>
          </w:p>
          <w:p>
            <w:pPr>
              <w:spacing w:after="40" w:line="252" w:lineRule="auto"/>
            </w:pPr>
            <w:hyperlink r:id="rId9">
              <w:r>
                <w:rPr>
                  <w:rFonts w:ascii="Calibri" w:hAnsi="Calibri" w:cs="Calibri"/>
                  <w:sz w:val="18"/>
                  <w:color w:val="1155CC"/>
                  <w:u w:val="single"/>
                </w:rPr>
                <w:t xml:space="preserve">teachmepaediatrics.com — triggering infections</w:t>
              </w:r>
            </w:hyperlink>
          </w:p>
          <w:p>
            <w:pPr>
              <w:spacing w:before="60" w:after="40"/>
            </w:pPr>
            <w:r>
              <w:rPr>
                <w:rFonts w:ascii="Calibri" w:hAnsi="Calibri"/>
                <w:b w:val="0"/>
                <w:i w:val="0"/>
                <w:color w:val="5A5A5A"/>
                <w:sz w:val="18"/>
              </w:rPr>
              <w:t>#tropical  #viraltriggers  #malaria  #infectionburden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Daycare / crèche attendance</w:t>
            </w:r>
          </w:p>
        </w:tc>
        <w:tc>
          <w:tcPr>
            <w:tcW w:type="dxa" w:w="2160"/>
            <w:vAlign w:val="top"/>
          </w:tcPr>
          <w:p>
            <w:pPr>
              <w:spacing w:after="40" w:before="0" w:line="259" w:lineRule="auto"/>
            </w:pPr>
            <w:r>
              <w:rPr>
                <w:rFonts w:ascii="Calibri" w:hAnsi="Calibri"/>
                <w:b w:val="0"/>
                <w:i w:val="0"/>
                <w:color w:val="212121"/>
                <w:sz w:val="19"/>
              </w:rPr>
              <w:t>Children in daycare, nursery or crèche</w:t>
            </w:r>
          </w:p>
        </w:tc>
        <w:tc>
          <w:tcPr>
            <w:tcW w:type="dxa" w:w="4276"/>
            <w:vAlign w:val="top"/>
          </w:tcPr>
          <w:p>
            <w:pPr>
              <w:spacing w:after="60" w:line="259" w:lineRule="auto"/>
            </w:pPr>
            <w:r>
              <w:rPr>
                <w:rFonts w:ascii="Calibri" w:hAnsi="Calibri"/>
                <w:b w:val="0"/>
                <w:i w:val="0"/>
                <w:color w:val="212121"/>
                <w:sz w:val="19"/>
              </w:rPr>
              <w:t>Group childcare markedly increases exposure to circulating respiratory and gastrointestinal pathogens, raising the number of febrile episodes and hence the opportunities for a febrile seizure.</w:t>
            </w:r>
          </w:p>
          <w:p>
            <w:pPr>
              <w:spacing w:after="40" w:before="60" w:line="259" w:lineRule="auto"/>
            </w:pPr>
            <w:r>
              <w:rPr>
                <w:rFonts w:ascii="Calibri" w:hAnsi="Calibri"/>
                <w:b w:val="0"/>
                <w:i w:val="0"/>
                <w:color w:val="212121"/>
                <w:sz w:val="19"/>
              </w:rPr>
              <w:t>Daycare attendance was associated with an 18.4-fold higher odds of febrile seizure in an Indian case-control study.</w:t>
            </w:r>
          </w:p>
          <w:p>
            <w:pPr>
              <w:spacing w:after="40" w:line="252" w:lineRule="auto"/>
            </w:pPr>
            <w:hyperlink r:id="rId11">
              <w:r>
                <w:rPr>
                  <w:rFonts w:ascii="Calibri" w:hAnsi="Calibri" w:cs="Calibri"/>
                  <w:sz w:val="18"/>
                  <w:color w:val="1155CC"/>
                  <w:u w:val="single"/>
                </w:rPr>
                <w:t xml:space="preserve">medpulse.in — febrile seizure risk factors (India)</w:t>
              </w:r>
            </w:hyperlink>
          </w:p>
          <w:p>
            <w:pPr>
              <w:spacing w:before="60" w:after="40"/>
            </w:pPr>
            <w:r>
              <w:rPr>
                <w:rFonts w:ascii="Calibri" w:hAnsi="Calibri"/>
                <w:b w:val="0"/>
                <w:i w:val="0"/>
                <w:color w:val="5A5A5A"/>
                <w:sz w:val="18"/>
              </w:rPr>
              <w:t>#daycare  #creche  #crossinfection  #febrileepisodes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Environmental exposure</w:t>
            </w:r>
          </w:p>
        </w:tc>
        <w:tc>
          <w:tcPr>
            <w:tcW w:type="dxa" w:w="2160"/>
            <w:vAlign w:val="top"/>
          </w:tcPr>
          <w:p>
            <w:pPr>
              <w:spacing w:after="40" w:before="0" w:line="259" w:lineRule="auto"/>
            </w:pPr>
            <w:r>
              <w:rPr>
                <w:rFonts w:ascii="Calibri" w:hAnsi="Calibri"/>
                <w:b w:val="0"/>
                <w:i w:val="0"/>
                <w:color w:val="212121"/>
                <w:sz w:val="19"/>
              </w:rPr>
              <w:t>Children in crowded homes / exposed to indoor smoke</w:t>
            </w:r>
          </w:p>
        </w:tc>
        <w:tc>
          <w:tcPr>
            <w:tcW w:type="dxa" w:w="4276"/>
            <w:vAlign w:val="top"/>
          </w:tcPr>
          <w:p>
            <w:pPr>
              <w:spacing w:after="60" w:line="259" w:lineRule="auto"/>
            </w:pPr>
            <w:r>
              <w:rPr>
                <w:rFonts w:ascii="Calibri" w:hAnsi="Calibri"/>
                <w:b w:val="0"/>
                <w:i w:val="0"/>
                <w:color w:val="212121"/>
                <w:sz w:val="19"/>
              </w:rPr>
              <w:t>Overcrowding and exposure to second-hand tobacco smoke or indoor biomass cooking smoke increase the frequency of respiratory infections, the leading source of the fevers that precipitate seizures.</w:t>
            </w:r>
          </w:p>
          <w:p>
            <w:pPr>
              <w:spacing w:after="40" w:before="60" w:line="259" w:lineRule="auto"/>
            </w:pPr>
            <w:r>
              <w:rPr>
                <w:rFonts w:ascii="Calibri" w:hAnsi="Calibri"/>
                <w:b w:val="0"/>
                <w:i w:val="0"/>
                <w:color w:val="212121"/>
                <w:sz w:val="19"/>
              </w:rPr>
              <w:t>Repeated respiratory infections raise the number of febrile episodes; reducing smoke exposure is a modifiable protective measure.</w:t>
            </w:r>
          </w:p>
          <w:p>
            <w:pPr>
              <w:spacing w:before="60" w:after="40"/>
            </w:pPr>
            <w:r>
              <w:rPr>
                <w:rFonts w:ascii="Calibri" w:hAnsi="Calibri"/>
                <w:b w:val="0"/>
                <w:i w:val="0"/>
                <w:color w:val="5A5A5A"/>
                <w:sz w:val="18"/>
              </w:rPr>
              <w:t>#passivesmoke  #biomass  #crowding  #respiratoryinfection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Iron status</w:t>
            </w:r>
          </w:p>
        </w:tc>
        <w:tc>
          <w:tcPr>
            <w:tcW w:type="dxa" w:w="2160"/>
            <w:vAlign w:val="top"/>
          </w:tcPr>
          <w:p>
            <w:pPr>
              <w:spacing w:after="40" w:before="0" w:line="259" w:lineRule="auto"/>
            </w:pPr>
            <w:r>
              <w:rPr>
                <w:rFonts w:ascii="Calibri" w:hAnsi="Calibri"/>
                <w:b w:val="0"/>
                <w:i w:val="0"/>
                <w:color w:val="212121"/>
                <w:sz w:val="19"/>
              </w:rPr>
              <w:t>Iron-deficient / anaemic infants &amp; toddlers</w:t>
            </w:r>
          </w:p>
        </w:tc>
        <w:tc>
          <w:tcPr>
            <w:tcW w:type="dxa" w:w="4276"/>
            <w:vAlign w:val="top"/>
          </w:tcPr>
          <w:p>
            <w:pPr>
              <w:spacing w:after="60" w:line="259" w:lineRule="auto"/>
            </w:pPr>
            <w:r>
              <w:rPr>
                <w:rFonts w:ascii="Calibri" w:hAnsi="Calibri"/>
                <w:b w:val="0"/>
                <w:i w:val="0"/>
                <w:color w:val="212121"/>
                <w:sz w:val="19"/>
              </w:rPr>
              <w:t>Iron is a cofactor for monoamine metabolism and GABAergic neurotransmission; deficiency lowers the seizure threshold, and iron-deficiency anaemia is one of the strongest modifiable risk factors in the Indian nutritional context.</w:t>
            </w:r>
          </w:p>
          <w:p>
            <w:pPr>
              <w:spacing w:after="40" w:before="60" w:line="259" w:lineRule="auto"/>
            </w:pPr>
            <w:r>
              <w:rPr>
                <w:rFonts w:ascii="Calibri" w:hAnsi="Calibri"/>
                <w:b w:val="0"/>
                <w:i w:val="0"/>
                <w:color w:val="212121"/>
                <w:sz w:val="19"/>
              </w:rPr>
              <w:t>Iron deficiency carried an adjusted odds ratio of about 4.5 (crude OR 5.34) for simple febrile seizures in an Indian case-control study.</w:t>
            </w:r>
          </w:p>
          <w:p>
            <w:pPr>
              <w:spacing w:after="40" w:line="252" w:lineRule="auto"/>
            </w:pPr>
            <w:hyperlink r:id="rId14">
              <w:r>
                <w:rPr>
                  <w:rFonts w:ascii="Calibri" w:hAnsi="Calibri" w:cs="Calibri"/>
                  <w:sz w:val="18"/>
                  <w:color w:val="1155CC"/>
                  <w:u w:val="single"/>
                </w:rPr>
                <w:t xml:space="preserve">Indian Pediatrics — iron deficiency &amp; simple febrile seizures</w:t>
              </w:r>
            </w:hyperlink>
          </w:p>
          <w:p>
            <w:pPr>
              <w:spacing w:before="60" w:after="40"/>
            </w:pPr>
            <w:r>
              <w:rPr>
                <w:rFonts w:ascii="Calibri" w:hAnsi="Calibri"/>
                <w:b w:val="0"/>
                <w:i w:val="0"/>
                <w:color w:val="5A5A5A"/>
                <w:sz w:val="18"/>
              </w:rPr>
              <w:t>#irondeficiency  #anaemia  #seizurethreshold  #modifiable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Zinc status</w:t>
            </w:r>
          </w:p>
        </w:tc>
        <w:tc>
          <w:tcPr>
            <w:tcW w:type="dxa" w:w="2160"/>
            <w:vAlign w:val="top"/>
          </w:tcPr>
          <w:p>
            <w:pPr>
              <w:spacing w:after="40" w:before="0" w:line="259" w:lineRule="auto"/>
            </w:pPr>
            <w:r>
              <w:rPr>
                <w:rFonts w:ascii="Calibri" w:hAnsi="Calibri"/>
                <w:b w:val="0"/>
                <w:i w:val="0"/>
                <w:color w:val="212121"/>
                <w:sz w:val="19"/>
              </w:rPr>
              <w:t>Zinc-deficient children</w:t>
            </w:r>
          </w:p>
        </w:tc>
        <w:tc>
          <w:tcPr>
            <w:tcW w:type="dxa" w:w="4276"/>
            <w:vAlign w:val="top"/>
          </w:tcPr>
          <w:p>
            <w:pPr>
              <w:spacing w:after="60" w:line="259" w:lineRule="auto"/>
            </w:pPr>
            <w:r>
              <w:rPr>
                <w:rFonts w:ascii="Calibri" w:hAnsi="Calibri"/>
                <w:b w:val="0"/>
                <w:i w:val="0"/>
                <w:color w:val="212121"/>
                <w:sz w:val="19"/>
              </w:rPr>
              <w:t>Zinc modulates NMDA-receptor and GABAergic signalling; low serum zinc removes this inhibitory brake and is significantly more frequent in children with febrile seizures than in febrile controls.</w:t>
            </w:r>
          </w:p>
          <w:p>
            <w:pPr>
              <w:spacing w:after="40" w:before="60" w:line="259" w:lineRule="auto"/>
            </w:pPr>
            <w:r>
              <w:rPr>
                <w:rFonts w:ascii="Calibri" w:hAnsi="Calibri"/>
                <w:b w:val="0"/>
                <w:i w:val="0"/>
                <w:color w:val="212121"/>
                <w:sz w:val="19"/>
              </w:rPr>
              <w:t>Mean serum zinc was 81.1 µg/dL in cases versus 142 µg/dL in controls; hypozincaemia was present in 48% of cases vs 6% of controls (p &lt; 0.01).</w:t>
            </w:r>
          </w:p>
          <w:p>
            <w:pPr>
              <w:spacing w:after="40" w:line="252" w:lineRule="auto"/>
            </w:pPr>
            <w:hyperlink r:id="rId15">
              <w:r>
                <w:rPr>
                  <w:rFonts w:ascii="Calibri" w:hAnsi="Calibri" w:cs="Calibri"/>
                  <w:sz w:val="18"/>
                  <w:color w:val="1155CC"/>
                  <w:u w:val="single"/>
                </w:rPr>
                <w:t xml:space="preserve">Int J Contemp Pediatr — serum zinc &amp; febrile seizures</w:t>
              </w:r>
            </w:hyperlink>
          </w:p>
          <w:p>
            <w:pPr>
              <w:spacing w:before="60" w:after="40"/>
            </w:pPr>
            <w:r>
              <w:rPr>
                <w:rFonts w:ascii="Calibri" w:hAnsi="Calibri"/>
                <w:b w:val="0"/>
                <w:i w:val="0"/>
                <w:color w:val="5A5A5A"/>
                <w:sz w:val="18"/>
              </w:rPr>
              <w:t>#zinc  #hypozincaemia  #NMDA  #GABA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Vitamin D status</w:t>
            </w:r>
          </w:p>
        </w:tc>
        <w:tc>
          <w:tcPr>
            <w:tcW w:type="dxa" w:w="2160"/>
            <w:vAlign w:val="top"/>
          </w:tcPr>
          <w:p>
            <w:pPr>
              <w:spacing w:after="40" w:before="0" w:line="259" w:lineRule="auto"/>
            </w:pPr>
            <w:r>
              <w:rPr>
                <w:rFonts w:ascii="Calibri" w:hAnsi="Calibri"/>
                <w:b w:val="0"/>
                <w:i w:val="0"/>
                <w:color w:val="212121"/>
                <w:sz w:val="19"/>
              </w:rPr>
              <w:t>Vitamin D-insufficient children</w:t>
            </w:r>
          </w:p>
        </w:tc>
        <w:tc>
          <w:tcPr>
            <w:tcW w:type="dxa" w:w="4276"/>
            <w:vAlign w:val="top"/>
          </w:tcPr>
          <w:p>
            <w:pPr>
              <w:spacing w:after="60" w:line="259" w:lineRule="auto"/>
            </w:pPr>
            <w:r>
              <w:rPr>
                <w:rFonts w:ascii="Calibri" w:hAnsi="Calibri"/>
                <w:b w:val="0"/>
                <w:i w:val="0"/>
                <w:color w:val="212121"/>
                <w:sz w:val="19"/>
              </w:rPr>
              <w:t>Vitamin D influences neuronal calcium handling and excitability; insufficiency — very common in Indian children — is significantly associated with simple febrile seizures and, in some studies, with recurrence.</w:t>
            </w:r>
          </w:p>
          <w:p>
            <w:pPr>
              <w:spacing w:after="40" w:before="60" w:line="259" w:lineRule="auto"/>
            </w:pPr>
            <w:r>
              <w:rPr>
                <w:rFonts w:ascii="Calibri" w:hAnsi="Calibri"/>
                <w:b w:val="0"/>
                <w:i w:val="0"/>
                <w:color w:val="212121"/>
                <w:sz w:val="19"/>
              </w:rPr>
              <w:t>A significant association between vitamin D insufficiency and simple febrile seizures was reported (p &lt; 0.01) in an Indian case-control study.</w:t>
            </w:r>
          </w:p>
          <w:p>
            <w:pPr>
              <w:spacing w:after="40" w:line="252" w:lineRule="auto"/>
            </w:pPr>
            <w:hyperlink r:id="rId16">
              <w:r>
                <w:rPr>
                  <w:rFonts w:ascii="Calibri" w:hAnsi="Calibri" w:cs="Calibri"/>
                  <w:sz w:val="18"/>
                  <w:color w:val="1155CC"/>
                  <w:u w:val="single"/>
                </w:rPr>
                <w:t xml:space="preserve">Int J Contemp Pediatr — vitamin D &amp; simple febrile seizures</w:t>
              </w:r>
            </w:hyperlink>
          </w:p>
          <w:p>
            <w:pPr>
              <w:spacing w:before="60" w:after="40"/>
            </w:pPr>
            <w:r>
              <w:rPr>
                <w:rFonts w:ascii="Calibri" w:hAnsi="Calibri"/>
                <w:b w:val="0"/>
                <w:i w:val="0"/>
                <w:color w:val="5A5A5A"/>
                <w:sz w:val="18"/>
              </w:rPr>
              <w:t>#vitamind  #insufficiency  #neuronalexcitability  #recurrence</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febrile seizures</w:t>
            </w:r>
          </w:p>
        </w:tc>
        <w:tc>
          <w:tcPr>
            <w:tcW w:type="dxa" w:w="4276"/>
            <w:vAlign w:val="top"/>
          </w:tcPr>
          <w:p>
            <w:pPr>
              <w:spacing w:after="60" w:line="259" w:lineRule="auto"/>
            </w:pPr>
            <w:r>
              <w:rPr>
                <w:rFonts w:ascii="Calibri" w:hAnsi="Calibri"/>
                <w:b w:val="0"/>
                <w:i w:val="0"/>
                <w:color w:val="212121"/>
                <w:sz w:val="19"/>
              </w:rPr>
              <w:t>Febrile seizures cluster strongly in families and show high twin concordance, reflecting a substantial polygenic genetic contribution; a positive family history also predicts recurrence.</w:t>
            </w:r>
          </w:p>
          <w:p>
            <w:pPr>
              <w:spacing w:after="40" w:before="60" w:line="259" w:lineRule="auto"/>
            </w:pPr>
            <w:r>
              <w:rPr>
                <w:rFonts w:ascii="Calibri" w:hAnsi="Calibri"/>
                <w:b w:val="0"/>
                <w:i w:val="0"/>
                <w:color w:val="212121"/>
                <w:sz w:val="19"/>
              </w:rPr>
              <w:t>A positive family history of seizures was present in 26.6% of Indian cases versus 5.5% of controls — about a 7.3-fold increase in risk.</w:t>
            </w:r>
          </w:p>
          <w:p>
            <w:pPr>
              <w:spacing w:after="40" w:line="252" w:lineRule="auto"/>
            </w:pPr>
            <w:hyperlink r:id="rId11">
              <w:r>
                <w:rPr>
                  <w:rFonts w:ascii="Calibri" w:hAnsi="Calibri" w:cs="Calibri"/>
                  <w:sz w:val="18"/>
                  <w:color w:val="1155CC"/>
                  <w:u w:val="single"/>
                </w:rPr>
                <w:t xml:space="preserve">medpulse.in — family history &amp; febrile seizures (India)</w:t>
              </w:r>
            </w:hyperlink>
          </w:p>
          <w:p>
            <w:pPr>
              <w:spacing w:before="60" w:after="40"/>
            </w:pPr>
            <w:r>
              <w:rPr>
                <w:rFonts w:ascii="Calibri" w:hAnsi="Calibri"/>
                <w:b w:val="0"/>
                <w:i w:val="0"/>
                <w:color w:val="5A5A5A"/>
                <w:sz w:val="18"/>
              </w:rPr>
              <w:t>#familyhistory  #genetic  #twinconcordance  #recurrencerisk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Familial epilepsy / GEFS+</w:t>
            </w:r>
          </w:p>
        </w:tc>
        <w:tc>
          <w:tcPr>
            <w:tcW w:type="dxa" w:w="2160"/>
            <w:vAlign w:val="top"/>
          </w:tcPr>
          <w:p>
            <w:pPr>
              <w:spacing w:after="40" w:before="0" w:line="259" w:lineRule="auto"/>
            </w:pPr>
            <w:r>
              <w:rPr>
                <w:rFonts w:ascii="Calibri" w:hAnsi="Calibri"/>
                <w:b w:val="0"/>
                <w:i w:val="0"/>
                <w:color w:val="212121"/>
                <w:sz w:val="19"/>
              </w:rPr>
              <w:t>Children with familial epilepsy, GEFS+ or SCN1A variants</w:t>
            </w:r>
          </w:p>
        </w:tc>
        <w:tc>
          <w:tcPr>
            <w:tcW w:type="dxa" w:w="4276"/>
            <w:vAlign w:val="top"/>
          </w:tcPr>
          <w:p>
            <w:pPr>
              <w:spacing w:after="60" w:line="259" w:lineRule="auto"/>
            </w:pPr>
            <w:r>
              <w:rPr>
                <w:rFonts w:ascii="Calibri" w:hAnsi="Calibri"/>
                <w:b w:val="0"/>
                <w:i w:val="0"/>
                <w:color w:val="212121"/>
                <w:sz w:val="19"/>
              </w:rPr>
              <w:t>A family history of epilepsy, or an SCN1A-related genetic epilepsy with febrile seizures plus (GEFS+) / Dravet syndrome, raises the likelihood that febrile seizures are prolonged, persist beyond age 6, or herald later afebrile epilepsy.</w:t>
            </w:r>
          </w:p>
          <w:p>
            <w:pPr>
              <w:spacing w:after="40" w:before="60" w:line="259" w:lineRule="auto"/>
            </w:pPr>
            <w:r>
              <w:rPr>
                <w:rFonts w:ascii="Calibri" w:hAnsi="Calibri"/>
                <w:b w:val="0"/>
                <w:i w:val="0"/>
                <w:color w:val="212121"/>
                <w:sz w:val="19"/>
              </w:rPr>
              <w:t>Family history of epilepsy and complex features are recognised predictors of subsequent epilepsy after a febrile seizure.</w:t>
            </w:r>
          </w:p>
          <w:p>
            <w:pPr>
              <w:spacing w:after="40" w:line="252" w:lineRule="auto"/>
            </w:pPr>
            <w:hyperlink r:id="rId10">
              <w:r>
                <w:rPr>
                  <w:rFonts w:ascii="Calibri" w:hAnsi="Calibri" w:cs="Calibri"/>
                  <w:sz w:val="18"/>
                  <w:color w:val="1155CC"/>
                  <w:u w:val="single"/>
                </w:rPr>
                <w:t xml:space="preserve">aafp.org — febrile seizures, risks &amp; prognosis</w:t>
              </w:r>
            </w:hyperlink>
          </w:p>
          <w:p>
            <w:pPr>
              <w:spacing w:before="60" w:after="40"/>
            </w:pPr>
            <w:r>
              <w:rPr>
                <w:rFonts w:ascii="Calibri" w:hAnsi="Calibri"/>
                <w:b w:val="0"/>
                <w:i w:val="0"/>
                <w:color w:val="5A5A5A"/>
                <w:sz w:val="18"/>
              </w:rPr>
              <w:t>#GEFSplus  #SCN1A  #Dravet  #epilepsyrisk  #genetic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Consanguinity</w:t>
            </w:r>
          </w:p>
        </w:tc>
        <w:tc>
          <w:tcPr>
            <w:tcW w:type="dxa" w:w="2160"/>
            <w:vAlign w:val="top"/>
          </w:tcPr>
          <w:p>
            <w:pPr>
              <w:spacing w:after="40" w:before="0" w:line="259" w:lineRule="auto"/>
            </w:pPr>
            <w:r>
              <w:rPr>
                <w:rFonts w:ascii="Calibri" w:hAnsi="Calibri"/>
                <w:b w:val="0"/>
                <w:i w:val="0"/>
                <w:color w:val="212121"/>
                <w:sz w:val="19"/>
              </w:rPr>
              <w:t>Children of consanguineous parents</w:t>
            </w:r>
          </w:p>
        </w:tc>
        <w:tc>
          <w:tcPr>
            <w:tcW w:type="dxa" w:w="4276"/>
            <w:vAlign w:val="top"/>
          </w:tcPr>
          <w:p>
            <w:pPr>
              <w:spacing w:after="60" w:line="259" w:lineRule="auto"/>
            </w:pPr>
            <w:r>
              <w:rPr>
                <w:rFonts w:ascii="Calibri" w:hAnsi="Calibri"/>
                <w:b w:val="0"/>
                <w:i w:val="0"/>
                <w:color w:val="212121"/>
                <w:sz w:val="19"/>
              </w:rPr>
              <w:t>Consanguineous unions, common in parts of India, enrich shared susceptibility alleles and were an independent risk factor for febrile seizures in Indian data.</w:t>
            </w:r>
          </w:p>
          <w:p>
            <w:pPr>
              <w:spacing w:after="40" w:before="60" w:line="259" w:lineRule="auto"/>
            </w:pPr>
            <w:r>
              <w:rPr>
                <w:rFonts w:ascii="Calibri" w:hAnsi="Calibri"/>
                <w:b w:val="0"/>
                <w:i w:val="0"/>
                <w:color w:val="212121"/>
                <w:sz w:val="19"/>
              </w:rPr>
              <w:t>Parental consanguinity was associated with a 12.4-fold higher odds of febrile seizure in an Indian case-control study.</w:t>
            </w:r>
          </w:p>
          <w:p>
            <w:pPr>
              <w:spacing w:after="40" w:line="252" w:lineRule="auto"/>
            </w:pPr>
            <w:hyperlink r:id="rId11">
              <w:r>
                <w:rPr>
                  <w:rFonts w:ascii="Calibri" w:hAnsi="Calibri" w:cs="Calibri"/>
                  <w:sz w:val="18"/>
                  <w:color w:val="1155CC"/>
                  <w:u w:val="single"/>
                </w:rPr>
                <w:t xml:space="preserve">medpulse.in — consanguinity &amp; febrile seizures (India)</w:t>
              </w:r>
            </w:hyperlink>
          </w:p>
          <w:p>
            <w:pPr>
              <w:spacing w:before="60" w:after="40"/>
            </w:pPr>
            <w:r>
              <w:rPr>
                <w:rFonts w:ascii="Calibri" w:hAnsi="Calibri"/>
                <w:b w:val="0"/>
                <w:i w:val="0"/>
                <w:color w:val="5A5A5A"/>
                <w:sz w:val="18"/>
              </w:rPr>
              <w:t>#consanguinity  #india  #geneticrisk  #autosomal</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Recent vaccination</w:t>
            </w:r>
          </w:p>
        </w:tc>
        <w:tc>
          <w:tcPr>
            <w:tcW w:type="dxa" w:w="2160"/>
            <w:vAlign w:val="top"/>
          </w:tcPr>
          <w:p>
            <w:pPr>
              <w:spacing w:after="40" w:before="0" w:line="259" w:lineRule="auto"/>
            </w:pPr>
            <w:r>
              <w:rPr>
                <w:rFonts w:ascii="Calibri" w:hAnsi="Calibri"/>
                <w:b w:val="0"/>
                <w:i w:val="0"/>
                <w:color w:val="212121"/>
                <w:sz w:val="19"/>
              </w:rPr>
              <w:t>Children in the 0–2 weeks after DTwP or MMR vaccination</w:t>
            </w:r>
          </w:p>
        </w:tc>
        <w:tc>
          <w:tcPr>
            <w:tcW w:type="dxa" w:w="4276"/>
            <w:vAlign w:val="top"/>
          </w:tcPr>
          <w:p>
            <w:pPr>
              <w:spacing w:after="60" w:line="259" w:lineRule="auto"/>
            </w:pPr>
            <w:r>
              <w:rPr>
                <w:rFonts w:ascii="Calibri" w:hAnsi="Calibri"/>
                <w:b w:val="0"/>
                <w:i w:val="0"/>
                <w:color w:val="212121"/>
                <w:sz w:val="19"/>
              </w:rPr>
              <w:t>The fever induced by whole-cell pertussis (day of vaccination) and measles-containing vaccines (days 8–14) transiently raises febrile-seizure risk; these seizures are typically simple and do not increase later epilepsy risk. Immunisation should not be withheld.</w:t>
            </w:r>
          </w:p>
          <w:p>
            <w:pPr>
              <w:spacing w:after="40" w:before="60" w:line="259" w:lineRule="auto"/>
            </w:pPr>
            <w:r>
              <w:rPr>
                <w:rFonts w:ascii="Calibri" w:hAnsi="Calibri"/>
                <w:b w:val="0"/>
                <w:i w:val="0"/>
                <w:color w:val="212121"/>
                <w:sz w:val="19"/>
              </w:rPr>
              <w:t>Attributable risk is about 6–9 per 100,000 for DTP and 25–34 per 100,000 for MMR vaccination.</w:t>
            </w:r>
          </w:p>
          <w:p>
            <w:pPr>
              <w:spacing w:after="40" w:line="252" w:lineRule="auto"/>
            </w:pPr>
            <w:hyperlink r:id="rId17">
              <w:r>
                <w:rPr>
                  <w:rFonts w:ascii="Calibri" w:hAnsi="Calibri" w:cs="Calibri"/>
                  <w:sz w:val="18"/>
                  <w:color w:val="1155CC"/>
                  <w:u w:val="single"/>
                </w:rPr>
                <w:t xml:space="preserve">Pediatric Neurology Briefs — seizure risk after DTP/MMR</w:t>
              </w:r>
            </w:hyperlink>
          </w:p>
          <w:p>
            <w:pPr>
              <w:spacing w:before="60" w:after="40"/>
            </w:pPr>
            <w:r>
              <w:rPr>
                <w:rFonts w:ascii="Calibri" w:hAnsi="Calibri"/>
                <w:b w:val="0"/>
                <w:i w:val="0"/>
                <w:color w:val="5A5A5A"/>
                <w:sz w:val="18"/>
              </w:rPr>
              <w:t>#vaccine  #DTwP  #MMR  #transientrisk  #immunisation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Viral infection / roseola</w:t>
            </w:r>
          </w:p>
        </w:tc>
        <w:tc>
          <w:tcPr>
            <w:tcW w:type="dxa" w:w="2160"/>
            <w:vAlign w:val="top"/>
          </w:tcPr>
          <w:p>
            <w:pPr>
              <w:spacing w:after="40" w:before="0" w:line="259" w:lineRule="auto"/>
            </w:pPr>
            <w:r>
              <w:rPr>
                <w:rFonts w:ascii="Calibri" w:hAnsi="Calibri"/>
                <w:b w:val="0"/>
                <w:i w:val="0"/>
                <w:color w:val="212121"/>
                <w:sz w:val="19"/>
              </w:rPr>
              <w:t>Children with roseola (HHV-6/HHV-7) or other viral febrile illness</w:t>
            </w:r>
          </w:p>
        </w:tc>
        <w:tc>
          <w:tcPr>
            <w:tcW w:type="dxa" w:w="4276"/>
            <w:vAlign w:val="top"/>
          </w:tcPr>
          <w:p>
            <w:pPr>
              <w:spacing w:after="60" w:line="259" w:lineRule="auto"/>
            </w:pPr>
            <w:r>
              <w:rPr>
                <w:rFonts w:ascii="Calibri" w:hAnsi="Calibri"/>
                <w:b w:val="0"/>
                <w:i w:val="0"/>
                <w:color w:val="212121"/>
                <w:sz w:val="19"/>
              </w:rPr>
              <w:t>Primary human herpesvirus-6/7 infection (roseola infantum) and other common viral illnesses are frequent precipitants; the fever, and possibly direct viral/cytokine effects, provoke the seizure in a susceptible child.</w:t>
            </w:r>
          </w:p>
          <w:p>
            <w:pPr>
              <w:spacing w:after="40" w:before="60" w:line="259" w:lineRule="auto"/>
            </w:pPr>
            <w:r>
              <w:rPr>
                <w:rFonts w:ascii="Calibri" w:hAnsi="Calibri"/>
                <w:b w:val="0"/>
                <w:i w:val="0"/>
                <w:color w:val="212121"/>
                <w:sz w:val="19"/>
              </w:rPr>
              <w:t>Primary HHV-6 infection is recognised as an important cause of febrile seizures in infancy; viral illnesses underlie about 80% of episodes overall.</w:t>
            </w:r>
          </w:p>
          <w:p>
            <w:pPr>
              <w:spacing w:after="40" w:line="252" w:lineRule="auto"/>
            </w:pPr>
            <w:hyperlink r:id="rId18">
              <w:r>
                <w:rPr>
                  <w:rFonts w:ascii="Calibri" w:hAnsi="Calibri" w:cs="Calibri"/>
                  <w:sz w:val="18"/>
                  <w:color w:val="1155CC"/>
                  <w:u w:val="single"/>
                </w:rPr>
                <w:t xml:space="preserve">pubmed — primary HHV-6 &amp; febrile seizures (case-control)</w:t>
              </w:r>
            </w:hyperlink>
          </w:p>
          <w:p>
            <w:pPr>
              <w:spacing w:before="60" w:after="40"/>
            </w:pPr>
            <w:r>
              <w:rPr>
                <w:rFonts w:ascii="Calibri" w:hAnsi="Calibri"/>
                <w:b w:val="0"/>
                <w:i w:val="0"/>
                <w:color w:val="5A5A5A"/>
                <w:sz w:val="18"/>
              </w:rPr>
              <w:t>#HHV6  #roseola  #viraltrigger  #infancy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febrile seizure</w:t>
            </w:r>
          </w:p>
        </w:tc>
        <w:tc>
          <w:tcPr>
            <w:tcW w:type="dxa" w:w="2160"/>
            <w:vAlign w:val="top"/>
          </w:tcPr>
          <w:p>
            <w:pPr>
              <w:spacing w:after="40" w:before="0" w:line="259" w:lineRule="auto"/>
            </w:pPr>
            <w:r>
              <w:rPr>
                <w:rFonts w:ascii="Calibri" w:hAnsi="Calibri"/>
                <w:b w:val="0"/>
                <w:i w:val="0"/>
                <w:color w:val="212121"/>
                <w:sz w:val="19"/>
              </w:rPr>
              <w:t>Children with a previous febrile seizure (especially young / complex onset)</w:t>
            </w:r>
          </w:p>
        </w:tc>
        <w:tc>
          <w:tcPr>
            <w:tcW w:type="dxa" w:w="4276"/>
            <w:vAlign w:val="top"/>
          </w:tcPr>
          <w:p>
            <w:pPr>
              <w:spacing w:after="60" w:line="259" w:lineRule="auto"/>
            </w:pPr>
            <w:r>
              <w:rPr>
                <w:rFonts w:ascii="Calibri" w:hAnsi="Calibri"/>
                <w:b w:val="0"/>
                <w:i w:val="0"/>
                <w:color w:val="212121"/>
                <w:sz w:val="19"/>
              </w:rPr>
              <w:t>A first febrile seizure substantially raises the chance of a further one, particularly when the first occurred before 18 months, with a family history, a low peak temperature, or a short fever-to-seizure interval.</w:t>
            </w:r>
          </w:p>
          <w:p>
            <w:pPr>
              <w:spacing w:after="40" w:before="60" w:line="259" w:lineRule="auto"/>
            </w:pPr>
            <w:r>
              <w:rPr>
                <w:rFonts w:ascii="Calibri" w:hAnsi="Calibri"/>
                <w:b w:val="0"/>
                <w:i w:val="0"/>
                <w:color w:val="212121"/>
                <w:sz w:val="19"/>
              </w:rPr>
              <w:t>Recurrence risk after a first febrile seizure ranges from about 15% to 70% (roughly one in three children overall), rising with the number of risk factors present.</w:t>
            </w:r>
          </w:p>
          <w:p>
            <w:pPr>
              <w:spacing w:after="40" w:line="252" w:lineRule="auto"/>
            </w:pPr>
            <w:hyperlink r:id="rId10">
              <w:r>
                <w:rPr>
                  <w:rFonts w:ascii="Calibri" w:hAnsi="Calibri" w:cs="Calibri"/>
                  <w:sz w:val="18"/>
                  <w:color w:val="1155CC"/>
                  <w:u w:val="single"/>
                </w:rPr>
                <w:t xml:space="preserve">aafp.org — recurrence of febrile seizures</w:t>
              </w:r>
            </w:hyperlink>
          </w:p>
          <w:p>
            <w:pPr>
              <w:spacing w:before="60" w:after="40"/>
            </w:pPr>
            <w:r>
              <w:rPr>
                <w:rFonts w:ascii="Calibri" w:hAnsi="Calibri"/>
                <w:b w:val="0"/>
                <w:i w:val="0"/>
                <w:color w:val="5A5A5A"/>
                <w:sz w:val="18"/>
              </w:rPr>
              <w:t>#recurrence  #youngonset  #complexfebrile  #riskstratification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Neurodevelopmental abnormality</w:t>
            </w:r>
          </w:p>
        </w:tc>
        <w:tc>
          <w:tcPr>
            <w:tcW w:type="dxa" w:w="2160"/>
            <w:vAlign w:val="top"/>
          </w:tcPr>
          <w:p>
            <w:pPr>
              <w:spacing w:after="40" w:before="0" w:line="259" w:lineRule="auto"/>
            </w:pPr>
            <w:r>
              <w:rPr>
                <w:rFonts w:ascii="Calibri" w:hAnsi="Calibri"/>
                <w:b w:val="0"/>
                <w:i w:val="0"/>
                <w:color w:val="212121"/>
                <w:sz w:val="19"/>
              </w:rPr>
              <w:t>Children with pre-existing developmental delay or neurological abnormality</w:t>
            </w:r>
          </w:p>
        </w:tc>
        <w:tc>
          <w:tcPr>
            <w:tcW w:type="dxa" w:w="4276"/>
            <w:vAlign w:val="top"/>
          </w:tcPr>
          <w:p>
            <w:pPr>
              <w:spacing w:after="60" w:line="259" w:lineRule="auto"/>
            </w:pPr>
            <w:r>
              <w:rPr>
                <w:rFonts w:ascii="Calibri" w:hAnsi="Calibri"/>
                <w:b w:val="0"/>
                <w:i w:val="0"/>
                <w:color w:val="212121"/>
                <w:sz w:val="19"/>
              </w:rPr>
              <w:t>An abnormal neurodevelopmental baseline coexists with a higher risk of complex febrile seizures and of subsequent epilepsy, and lowers the clinical threshold for neuroimaging, EEG, and specialist referral.</w:t>
            </w:r>
          </w:p>
          <w:p>
            <w:pPr>
              <w:spacing w:after="40" w:before="60" w:line="259" w:lineRule="auto"/>
            </w:pPr>
            <w:r>
              <w:rPr>
                <w:rFonts w:ascii="Calibri" w:hAnsi="Calibri"/>
                <w:b w:val="0"/>
                <w:i w:val="0"/>
                <w:color w:val="212121"/>
                <w:sz w:val="19"/>
              </w:rPr>
              <w:t>Neurodevelopmental impairment, complex/focal seizures, and a family history of epilepsy are the main predictors of later epilepsy.</w:t>
            </w:r>
          </w:p>
          <w:p>
            <w:pPr>
              <w:spacing w:after="40" w:line="252" w:lineRule="auto"/>
            </w:pPr>
            <w:hyperlink r:id="rId10">
              <w:r>
                <w:rPr>
                  <w:rFonts w:ascii="Calibri" w:hAnsi="Calibri" w:cs="Calibri"/>
                  <w:sz w:val="18"/>
                  <w:color w:val="1155CC"/>
                  <w:u w:val="single"/>
                </w:rPr>
                <w:t xml:space="preserve">aafp.org — predictors of epilepsy after febrile seizure</w:t>
              </w:r>
            </w:hyperlink>
          </w:p>
          <w:p>
            <w:pPr>
              <w:spacing w:before="60" w:after="40"/>
            </w:pPr>
            <w:r>
              <w:rPr>
                <w:rFonts w:ascii="Calibri" w:hAnsi="Calibri"/>
                <w:b w:val="0"/>
                <w:i w:val="0"/>
                <w:color w:val="5A5A5A"/>
                <w:sz w:val="18"/>
              </w:rPr>
              <w:t>#developmentaldelay  #neuroabnormality  #epilepsyrisk  #investigate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Febrile seizures are triggered by the febrile illness itself, not by the child's physical exertion, and no activity level prevents or provokes them. The only loosely related factor is over-bundling of a febrile child, which traps heat and raises core temperature.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influences risk indirectly through micronutrient status: iron-deficiency anaemia (adjusted OR ≈ 4.5), low serum zinc, and vitamin D insufficiency are each associated with febrile seizures, and all are common in Indian children — making nutrition a genuinely modifiable lever.</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is established; disturbed sleep accompanies febrile illness as a consequence rather than a cause. Adequate rest supports recovery from the underlying infection.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Children do not smoke, but second-hand tobacco smoke and antenatal maternal smoking increase the frequency of respiratory infections and are weakly linked to febrile-seizure susceptibility.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Not applicable to this paediatric age group; relevant only to the extent that caregivers must remain sober to supervise and respond to a febrile child.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 child's mental health does not cause febrile seizures. The dominant issue is caregiver distress ('seizure-phobia') after witnessing an event, which counselling and a written action plan can address.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antipyresis help manage the febrile illness and prevent dehydration, but neither fluids nor antipyretics reliably prevent the seizure itself.</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Not applicable in this age group.</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Hygiene, sanitation, and immunisation reduce the frequency of the respiratory and gastrointestinal infections that trigger seizures; in high-infection-burden Indian settings this is a meaningful modifiable factor.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proximate provoker is fever from an extracranial infection — viral URTI/LRTI, roseola/HHV-6, otitis media, or gastroenteritis (viral illnesses cause ≈ 80% of episodes). Recent DTwP/MMR vaccination and a rapid temperature rise are additional provokers.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Peak body temperature</w:t>
            </w:r>
          </w:p>
        </w:tc>
        <w:tc>
          <w:tcPr>
            <w:tcW w:type="dxa" w:w="1655"/>
            <w:vAlign w:val="top"/>
          </w:tcPr>
          <w:p>
            <w:pPr>
              <w:spacing w:after="40" w:before="0" w:line="259" w:lineRule="auto"/>
            </w:pPr>
            <w:r>
              <w:rPr>
                <w:rFonts w:ascii="Calibri" w:hAnsi="Calibri"/>
                <w:b w:val="0"/>
                <w:i w:val="0"/>
                <w:color w:val="212121"/>
                <w:sz w:val="19"/>
              </w:rPr>
              <w:t>Febrile children 6 mo–5 yr</w:t>
            </w:r>
          </w:p>
        </w:tc>
        <w:tc>
          <w:tcPr>
            <w:tcW w:type="dxa" w:w="1512"/>
            <w:vAlign w:val="top"/>
          </w:tcPr>
          <w:p>
            <w:pPr>
              <w:spacing w:after="40" w:before="0" w:line="259" w:lineRule="auto"/>
            </w:pPr>
            <w:r>
              <w:rPr>
                <w:rFonts w:ascii="Calibri" w:hAnsi="Calibri"/>
                <w:b w:val="0"/>
                <w:i w:val="0"/>
                <w:color w:val="212121"/>
                <w:sz w:val="19"/>
              </w:rPr>
              <w:t>Afebrile (&lt; 37.5 °C)</w:t>
            </w:r>
          </w:p>
        </w:tc>
        <w:tc>
          <w:tcPr>
            <w:tcW w:type="dxa" w:w="1512"/>
            <w:vAlign w:val="top"/>
          </w:tcPr>
          <w:p>
            <w:pPr>
              <w:spacing w:after="40" w:before="0" w:line="259" w:lineRule="auto"/>
            </w:pPr>
            <w:r>
              <w:rPr>
                <w:rFonts w:ascii="Calibri" w:hAnsi="Calibri"/>
                <w:b w:val="0"/>
                <w:i w:val="0"/>
                <w:color w:val="212121"/>
                <w:sz w:val="19"/>
              </w:rPr>
              <w:t>≥ 38 °C (fever); higher peak &amp; faster rise increase risk</w:t>
            </w:r>
          </w:p>
        </w:tc>
        <w:tc>
          <w:tcPr>
            <w:tcW w:type="dxa" w:w="1468"/>
            <w:vAlign w:val="top"/>
          </w:tcPr>
          <w:p>
            <w:pPr>
              <w:spacing w:after="60" w:line="259" w:lineRule="auto"/>
            </w:pPr>
            <w:r>
              <w:rPr>
                <w:rFonts w:ascii="Calibri" w:hAnsi="Calibri"/>
                <w:b w:val="0"/>
                <w:i w:val="0"/>
                <w:color w:val="212121"/>
                <w:sz w:val="19"/>
              </w:rPr>
              <w:t>Seizures usually occur early in the fever, often near the temperature peak.</w:t>
            </w:r>
          </w:p>
          <w:p>
            <w:pPr>
              <w:spacing w:after="40" w:line="252" w:lineRule="auto"/>
            </w:pPr>
            <w:hyperlink r:id="rId9">
              <w:r>
                <w:rPr>
                  <w:rFonts w:ascii="Calibri" w:hAnsi="Calibri" w:cs="Calibri"/>
                  <w:sz w:val="18"/>
                  <w:color w:val="1155CC"/>
                  <w:u w:val="single"/>
                </w:rPr>
                <w:t xml:space="preserve">https://teachmepaediatrics.com/emergency/emergency-medicine/febrile-seizures/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Age at onset</w:t>
            </w:r>
          </w:p>
        </w:tc>
        <w:tc>
          <w:tcPr>
            <w:tcW w:type="dxa" w:w="1655"/>
            <w:vAlign w:val="top"/>
          </w:tcPr>
          <w:p>
            <w:pPr>
              <w:spacing w:after="40" w:before="0" w:line="259" w:lineRule="auto"/>
            </w:pPr>
            <w:r>
              <w:rPr>
                <w:rFonts w:ascii="Calibri" w:hAnsi="Calibri"/>
                <w:b w:val="0"/>
                <w:i w:val="0"/>
                <w:color w:val="212121"/>
                <w:sz w:val="19"/>
              </w:rPr>
              <w:t>Children 6 mo–5 yr</w:t>
            </w:r>
          </w:p>
        </w:tc>
        <w:tc>
          <w:tcPr>
            <w:tcW w:type="dxa" w:w="1512"/>
            <w:vAlign w:val="top"/>
          </w:tcPr>
          <w:p>
            <w:pPr>
              <w:spacing w:after="40" w:before="0" w:line="259" w:lineRule="auto"/>
            </w:pPr>
            <w:r>
              <w:rPr>
                <w:rFonts w:ascii="Calibri" w:hAnsi="Calibri"/>
                <w:b w:val="0"/>
                <w:i w:val="0"/>
                <w:color w:val="212121"/>
                <w:sz w:val="19"/>
              </w:rPr>
              <w:t>Outside 6 mo–5 yr (febrile seizures rare)</w:t>
            </w:r>
          </w:p>
        </w:tc>
        <w:tc>
          <w:tcPr>
            <w:tcW w:type="dxa" w:w="1512"/>
            <w:vAlign w:val="top"/>
          </w:tcPr>
          <w:p>
            <w:pPr>
              <w:spacing w:after="40" w:before="0" w:line="259" w:lineRule="auto"/>
            </w:pPr>
            <w:r>
              <w:rPr>
                <w:rFonts w:ascii="Calibri" w:hAnsi="Calibri"/>
                <w:b w:val="0"/>
                <w:i w:val="0"/>
                <w:color w:val="212121"/>
                <w:sz w:val="19"/>
              </w:rPr>
              <w:t>Peak 12–18 months; onset &lt; 12 months</w:t>
            </w:r>
          </w:p>
        </w:tc>
        <w:tc>
          <w:tcPr>
            <w:tcW w:type="dxa" w:w="1468"/>
            <w:vAlign w:val="top"/>
          </w:tcPr>
          <w:p>
            <w:pPr>
              <w:spacing w:after="60" w:line="259" w:lineRule="auto"/>
            </w:pPr>
            <w:r>
              <w:rPr>
                <w:rFonts w:ascii="Calibri" w:hAnsi="Calibri"/>
                <w:b w:val="0"/>
                <w:i w:val="0"/>
                <w:color w:val="212121"/>
                <w:sz w:val="19"/>
              </w:rPr>
              <w:t>Onset below 12–18 months predicts a higher recurrence risk.</w:t>
            </w:r>
          </w:p>
          <w:p>
            <w:pPr>
              <w:spacing w:after="40" w:line="252" w:lineRule="auto"/>
            </w:pPr>
            <w:hyperlink r:id="rId9">
              <w:r>
                <w:rPr>
                  <w:rFonts w:ascii="Calibri" w:hAnsi="Calibri" w:cs="Calibri"/>
                  <w:sz w:val="18"/>
                  <w:color w:val="1155CC"/>
                  <w:u w:val="single"/>
                </w:rPr>
                <w:t xml:space="preserve">https://teachmepaediatrics.com/emergency/emergency-medicine/febrile-seizures/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Fever-to-seizure interval</w:t>
            </w:r>
          </w:p>
        </w:tc>
        <w:tc>
          <w:tcPr>
            <w:tcW w:type="dxa" w:w="1655"/>
            <w:vAlign w:val="top"/>
          </w:tcPr>
          <w:p>
            <w:pPr>
              <w:spacing w:after="40" w:before="0" w:line="259" w:lineRule="auto"/>
            </w:pPr>
            <w:r>
              <w:rPr>
                <w:rFonts w:ascii="Calibri" w:hAnsi="Calibri"/>
                <w:b w:val="0"/>
                <w:i w:val="0"/>
                <w:color w:val="212121"/>
                <w:sz w:val="19"/>
              </w:rPr>
              <w:t>First febrile seizure</w:t>
            </w:r>
          </w:p>
        </w:tc>
        <w:tc>
          <w:tcPr>
            <w:tcW w:type="dxa" w:w="1512"/>
            <w:vAlign w:val="top"/>
          </w:tcPr>
          <w:p>
            <w:pPr>
              <w:spacing w:after="40" w:before="0" w:line="259" w:lineRule="auto"/>
            </w:pPr>
            <w:r>
              <w:rPr>
                <w:rFonts w:ascii="Calibri" w:hAnsi="Calibri"/>
                <w:b w:val="0"/>
                <w:i w:val="0"/>
                <w:color w:val="212121"/>
                <w:sz w:val="19"/>
              </w:rPr>
              <w:t>&gt; 24 h into the illness (lower recurrence)</w:t>
            </w:r>
          </w:p>
        </w:tc>
        <w:tc>
          <w:tcPr>
            <w:tcW w:type="dxa" w:w="1512"/>
            <w:vAlign w:val="top"/>
          </w:tcPr>
          <w:p>
            <w:pPr>
              <w:spacing w:after="40" w:before="0" w:line="259" w:lineRule="auto"/>
            </w:pPr>
            <w:r>
              <w:rPr>
                <w:rFonts w:ascii="Calibri" w:hAnsi="Calibri"/>
                <w:b w:val="0"/>
                <w:i w:val="0"/>
                <w:color w:val="212121"/>
                <w:sz w:val="19"/>
              </w:rPr>
              <w:t>&lt; 1 hour of fever before the seizure</w:t>
            </w:r>
          </w:p>
        </w:tc>
        <w:tc>
          <w:tcPr>
            <w:tcW w:type="dxa" w:w="1468"/>
            <w:vAlign w:val="top"/>
          </w:tcPr>
          <w:p>
            <w:pPr>
              <w:spacing w:after="60" w:line="259" w:lineRule="auto"/>
            </w:pPr>
            <w:r>
              <w:rPr>
                <w:rFonts w:ascii="Calibri" w:hAnsi="Calibri"/>
                <w:b w:val="0"/>
                <w:i w:val="0"/>
                <w:color w:val="212121"/>
                <w:sz w:val="19"/>
              </w:rPr>
              <w:t>A short interval between fever onset and seizure is a recognised recurrence risk factor.</w:t>
            </w:r>
          </w:p>
          <w:p>
            <w:pPr>
              <w:spacing w:after="40" w:line="252" w:lineRule="auto"/>
            </w:pPr>
            <w:hyperlink r:id="rId10">
              <w:r>
                <w:rPr>
                  <w:rFonts w:ascii="Calibri" w:hAnsi="Calibri" w:cs="Calibri"/>
                  <w:sz w:val="18"/>
                  <w:color w:val="1155CC"/>
                  <w:u w:val="single"/>
                </w:rPr>
                <w:t xml:space="preserve">https://www.aafp.org/pubs/afp/issues/2012/0115/p149.html</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Seizure duration</w:t>
            </w:r>
          </w:p>
        </w:tc>
        <w:tc>
          <w:tcPr>
            <w:tcW w:type="dxa" w:w="1655"/>
            <w:vAlign w:val="top"/>
          </w:tcPr>
          <w:p>
            <w:pPr>
              <w:spacing w:after="40" w:before="0" w:line="259" w:lineRule="auto"/>
            </w:pPr>
            <w:r>
              <w:rPr>
                <w:rFonts w:ascii="Calibri" w:hAnsi="Calibri"/>
                <w:b w:val="0"/>
                <w:i w:val="0"/>
                <w:color w:val="212121"/>
                <w:sz w:val="19"/>
              </w:rPr>
              <w:t>Any febrile seizure</w:t>
            </w:r>
          </w:p>
        </w:tc>
        <w:tc>
          <w:tcPr>
            <w:tcW w:type="dxa" w:w="1512"/>
            <w:vAlign w:val="top"/>
          </w:tcPr>
          <w:p>
            <w:pPr>
              <w:spacing w:after="40" w:before="0" w:line="259" w:lineRule="auto"/>
            </w:pPr>
            <w:r>
              <w:rPr>
                <w:rFonts w:ascii="Calibri" w:hAnsi="Calibri"/>
                <w:b w:val="0"/>
                <w:i w:val="0"/>
                <w:color w:val="212121"/>
                <w:sz w:val="19"/>
              </w:rPr>
              <w:t>&lt; 15 minutes (simple)</w:t>
            </w:r>
          </w:p>
        </w:tc>
        <w:tc>
          <w:tcPr>
            <w:tcW w:type="dxa" w:w="1512"/>
            <w:vAlign w:val="top"/>
          </w:tcPr>
          <w:p>
            <w:pPr>
              <w:spacing w:after="40" w:before="0" w:line="259" w:lineRule="auto"/>
            </w:pPr>
            <w:r>
              <w:rPr>
                <w:rFonts w:ascii="Calibri" w:hAnsi="Calibri"/>
                <w:b w:val="0"/>
                <w:i w:val="0"/>
                <w:color w:val="212121"/>
                <w:sz w:val="19"/>
              </w:rPr>
              <w:t>&gt; 15 min (complex); ≥ 30 min = febrile status epilepticus</w:t>
            </w:r>
          </w:p>
        </w:tc>
        <w:tc>
          <w:tcPr>
            <w:tcW w:type="dxa" w:w="1468"/>
            <w:vAlign w:val="top"/>
          </w:tcPr>
          <w:p>
            <w:pPr>
              <w:spacing w:after="60" w:line="259" w:lineRule="auto"/>
            </w:pPr>
            <w:r>
              <w:rPr>
                <w:rFonts w:ascii="Calibri" w:hAnsi="Calibri"/>
                <w:b w:val="0"/>
                <w:i w:val="0"/>
                <w:color w:val="212121"/>
                <w:sz w:val="19"/>
              </w:rPr>
              <w:t>Prolonged febrile seizures are linked to acute hippocampal injury and later mesial temporal sclerosis.</w:t>
            </w:r>
          </w:p>
          <w:p>
            <w:pPr>
              <w:spacing w:after="40" w:line="252" w:lineRule="auto"/>
            </w:pPr>
            <w:hyperlink r:id="rId19">
              <w:r>
                <w:rPr>
                  <w:rFonts w:ascii="Calibri" w:hAnsi="Calibri" w:cs="Calibri"/>
                  <w:sz w:val="18"/>
                  <w:color w:val="1155CC"/>
                  <w:u w:val="single"/>
                </w:rPr>
                <w:t xml:space="preserve">https://pubmed.ncbi.nlm.nih.gov/18525033/</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Haemoglobin</w:t>
            </w:r>
          </w:p>
        </w:tc>
        <w:tc>
          <w:tcPr>
            <w:tcW w:type="dxa" w:w="1655"/>
            <w:vAlign w:val="top"/>
          </w:tcPr>
          <w:p>
            <w:pPr>
              <w:spacing w:after="40" w:before="0" w:line="259" w:lineRule="auto"/>
            </w:pPr>
            <w:r>
              <w:rPr>
                <w:rFonts w:ascii="Calibri" w:hAnsi="Calibri"/>
                <w:b w:val="0"/>
                <w:i w:val="0"/>
                <w:color w:val="212121"/>
                <w:sz w:val="19"/>
              </w:rPr>
              <w:t>Infants &amp; toddlers</w:t>
            </w:r>
          </w:p>
        </w:tc>
        <w:tc>
          <w:tcPr>
            <w:tcW w:type="dxa" w:w="1512"/>
            <w:vAlign w:val="top"/>
          </w:tcPr>
          <w:p>
            <w:pPr>
              <w:spacing w:after="40" w:before="0" w:line="259" w:lineRule="auto"/>
            </w:pPr>
            <w:r>
              <w:rPr>
                <w:rFonts w:ascii="Calibri" w:hAnsi="Calibri"/>
                <w:b w:val="0"/>
                <w:i w:val="0"/>
                <w:color w:val="212121"/>
                <w:sz w:val="19"/>
              </w:rPr>
              <w:t>≥ 11 g/dL</w:t>
            </w:r>
          </w:p>
        </w:tc>
        <w:tc>
          <w:tcPr>
            <w:tcW w:type="dxa" w:w="1512"/>
            <w:vAlign w:val="top"/>
          </w:tcPr>
          <w:p>
            <w:pPr>
              <w:spacing w:after="40" w:before="0" w:line="259" w:lineRule="auto"/>
            </w:pPr>
            <w:r>
              <w:rPr>
                <w:rFonts w:ascii="Calibri" w:hAnsi="Calibri"/>
                <w:b w:val="0"/>
                <w:i w:val="0"/>
                <w:color w:val="212121"/>
                <w:sz w:val="19"/>
              </w:rPr>
              <w:t>&lt; 11 g/dL (anaemia)</w:t>
            </w:r>
          </w:p>
        </w:tc>
        <w:tc>
          <w:tcPr>
            <w:tcW w:type="dxa" w:w="1468"/>
            <w:vAlign w:val="top"/>
          </w:tcPr>
          <w:p>
            <w:pPr>
              <w:spacing w:after="60" w:line="259" w:lineRule="auto"/>
            </w:pPr>
            <w:r>
              <w:rPr>
                <w:rFonts w:ascii="Calibri" w:hAnsi="Calibri"/>
                <w:b w:val="0"/>
                <w:i w:val="0"/>
                <w:color w:val="212121"/>
                <w:sz w:val="19"/>
              </w:rPr>
              <w:t>Iron-deficiency anaemia is a strong modifiable risk factor (adjusted OR ≈ 4.5).</w:t>
            </w:r>
          </w:p>
          <w:p>
            <w:pPr>
              <w:spacing w:after="40" w:line="252" w:lineRule="auto"/>
            </w:pPr>
            <w:hyperlink r:id="rId14">
              <w:r>
                <w:rPr>
                  <w:rFonts w:ascii="Calibri" w:hAnsi="Calibri" w:cs="Calibri"/>
                  <w:sz w:val="18"/>
                  <w:color w:val="1155CC"/>
                  <w:u w:val="single"/>
                </w:rPr>
                <w:t xml:space="preserve">https://link.springer.com/article/10.1007/s13312-012-0008-6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ferritin</w:t>
            </w:r>
          </w:p>
        </w:tc>
        <w:tc>
          <w:tcPr>
            <w:tcW w:type="dxa" w:w="1655"/>
            <w:vAlign w:val="top"/>
          </w:tcPr>
          <w:p>
            <w:pPr>
              <w:spacing w:after="40" w:before="0" w:line="259" w:lineRule="auto"/>
            </w:pPr>
            <w:r>
              <w:rPr>
                <w:rFonts w:ascii="Calibri" w:hAnsi="Calibri"/>
                <w:b w:val="0"/>
                <w:i w:val="0"/>
                <w:color w:val="212121"/>
                <w:sz w:val="19"/>
              </w:rPr>
              <w:t>Toddlers with recurrent febrile seizures</w:t>
            </w:r>
          </w:p>
        </w:tc>
        <w:tc>
          <w:tcPr>
            <w:tcW w:type="dxa" w:w="1512"/>
            <w:vAlign w:val="top"/>
          </w:tcPr>
          <w:p>
            <w:pPr>
              <w:spacing w:after="40" w:before="0" w:line="259" w:lineRule="auto"/>
            </w:pPr>
            <w:r>
              <w:rPr>
                <w:rFonts w:ascii="Calibri" w:hAnsi="Calibri"/>
                <w:b w:val="0"/>
                <w:i w:val="0"/>
                <w:color w:val="212121"/>
                <w:sz w:val="19"/>
              </w:rPr>
              <w:t>≥ 12 ng/mL</w:t>
            </w:r>
          </w:p>
        </w:tc>
        <w:tc>
          <w:tcPr>
            <w:tcW w:type="dxa" w:w="1512"/>
            <w:vAlign w:val="top"/>
          </w:tcPr>
          <w:p>
            <w:pPr>
              <w:spacing w:after="40" w:before="0" w:line="259" w:lineRule="auto"/>
            </w:pPr>
            <w:r>
              <w:rPr>
                <w:rFonts w:ascii="Calibri" w:hAnsi="Calibri"/>
                <w:b w:val="0"/>
                <w:i w:val="0"/>
                <w:color w:val="212121"/>
                <w:sz w:val="19"/>
              </w:rPr>
              <w:t>&lt; 12 ng/mL (with RDW &gt; 15%)</w:t>
            </w:r>
          </w:p>
        </w:tc>
        <w:tc>
          <w:tcPr>
            <w:tcW w:type="dxa" w:w="1468"/>
            <w:vAlign w:val="top"/>
          </w:tcPr>
          <w:p>
            <w:pPr>
              <w:spacing w:after="60" w:line="259" w:lineRule="auto"/>
            </w:pPr>
            <w:r>
              <w:rPr>
                <w:rFonts w:ascii="Calibri" w:hAnsi="Calibri"/>
                <w:b w:val="0"/>
                <w:i w:val="0"/>
                <w:color w:val="212121"/>
                <w:sz w:val="19"/>
              </w:rPr>
              <w:t>Confirms iron deficiency; consider in recurrent simple febrile seizures.</w:t>
            </w:r>
          </w:p>
          <w:p>
            <w:pPr>
              <w:spacing w:after="40" w:line="252" w:lineRule="auto"/>
            </w:pPr>
            <w:hyperlink r:id="rId14">
              <w:r>
                <w:rPr>
                  <w:rFonts w:ascii="Calibri" w:hAnsi="Calibri" w:cs="Calibri"/>
                  <w:sz w:val="18"/>
                  <w:color w:val="1155CC"/>
                  <w:u w:val="single"/>
                </w:rPr>
                <w:t xml:space="preserve">https://link.springer.com/article/10.1007/s13312-012-0008-6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zinc</w:t>
            </w:r>
          </w:p>
        </w:tc>
        <w:tc>
          <w:tcPr>
            <w:tcW w:type="dxa" w:w="1655"/>
            <w:vAlign w:val="top"/>
          </w:tcPr>
          <w:p>
            <w:pPr>
              <w:spacing w:after="40" w:before="0" w:line="259" w:lineRule="auto"/>
            </w:pPr>
            <w:r>
              <w:rPr>
                <w:rFonts w:ascii="Calibri" w:hAnsi="Calibri"/>
                <w:b w:val="0"/>
                <w:i w:val="0"/>
                <w:color w:val="212121"/>
                <w:sz w:val="19"/>
              </w:rPr>
              <w:t>Children with febrile seizures</w:t>
            </w:r>
          </w:p>
        </w:tc>
        <w:tc>
          <w:tcPr>
            <w:tcW w:type="dxa" w:w="1512"/>
            <w:vAlign w:val="top"/>
          </w:tcPr>
          <w:p>
            <w:pPr>
              <w:spacing w:after="40" w:before="0" w:line="259" w:lineRule="auto"/>
            </w:pPr>
            <w:r>
              <w:rPr>
                <w:rFonts w:ascii="Calibri" w:hAnsi="Calibri"/>
                <w:b w:val="0"/>
                <w:i w:val="0"/>
                <w:color w:val="212121"/>
                <w:sz w:val="19"/>
              </w:rPr>
              <w:t>≥ 65–70 µg/dL</w:t>
            </w:r>
          </w:p>
        </w:tc>
        <w:tc>
          <w:tcPr>
            <w:tcW w:type="dxa" w:w="1512"/>
            <w:vAlign w:val="top"/>
          </w:tcPr>
          <w:p>
            <w:pPr>
              <w:spacing w:after="40" w:before="0" w:line="259" w:lineRule="auto"/>
            </w:pPr>
            <w:r>
              <w:rPr>
                <w:rFonts w:ascii="Calibri" w:hAnsi="Calibri"/>
                <w:b w:val="0"/>
                <w:i w:val="0"/>
                <w:color w:val="212121"/>
                <w:sz w:val="19"/>
              </w:rPr>
              <w:t>&lt; 65 µg/dL (hypozincaemia)</w:t>
            </w:r>
          </w:p>
        </w:tc>
        <w:tc>
          <w:tcPr>
            <w:tcW w:type="dxa" w:w="1468"/>
            <w:vAlign w:val="top"/>
          </w:tcPr>
          <w:p>
            <w:pPr>
              <w:spacing w:after="60" w:line="259" w:lineRule="auto"/>
            </w:pPr>
            <w:r>
              <w:rPr>
                <w:rFonts w:ascii="Calibri" w:hAnsi="Calibri"/>
                <w:b w:val="0"/>
                <w:i w:val="0"/>
                <w:color w:val="212121"/>
                <w:sz w:val="19"/>
              </w:rPr>
              <w:t>Cases mean 81.1 vs controls 142 µg/dL; hypozincaemia 48% vs 6% (p &lt; 0.01).</w:t>
            </w:r>
          </w:p>
          <w:p>
            <w:pPr>
              <w:spacing w:after="40" w:line="252" w:lineRule="auto"/>
            </w:pPr>
            <w:hyperlink r:id="rId15">
              <w:r>
                <w:rPr>
                  <w:rFonts w:ascii="Calibri" w:hAnsi="Calibri" w:cs="Calibri"/>
                  <w:sz w:val="18"/>
                  <w:color w:val="1155CC"/>
                  <w:u w:val="single"/>
                </w:rPr>
                <w:t xml:space="preserve">https://www.ijpediatrics.com/index.php/ijcp/article/view/6298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 vitamin D</w:t>
            </w:r>
          </w:p>
        </w:tc>
        <w:tc>
          <w:tcPr>
            <w:tcW w:type="dxa" w:w="1655"/>
            <w:vAlign w:val="top"/>
          </w:tcPr>
          <w:p>
            <w:pPr>
              <w:spacing w:after="40" w:before="0" w:line="259" w:lineRule="auto"/>
            </w:pPr>
            <w:r>
              <w:rPr>
                <w:rFonts w:ascii="Calibri" w:hAnsi="Calibri"/>
                <w:b w:val="0"/>
                <w:i w:val="0"/>
                <w:color w:val="212121"/>
                <w:sz w:val="19"/>
              </w:rPr>
              <w:t>Under-5s with simple febrile seizures</w:t>
            </w:r>
          </w:p>
        </w:tc>
        <w:tc>
          <w:tcPr>
            <w:tcW w:type="dxa" w:w="1512"/>
            <w:vAlign w:val="top"/>
          </w:tcPr>
          <w:p>
            <w:pPr>
              <w:spacing w:after="40" w:before="0" w:line="259" w:lineRule="auto"/>
            </w:pPr>
            <w:r>
              <w:rPr>
                <w:rFonts w:ascii="Calibri" w:hAnsi="Calibri"/>
                <w:b w:val="0"/>
                <w:i w:val="0"/>
                <w:color w:val="212121"/>
                <w:sz w:val="19"/>
              </w:rPr>
              <w:t>≥ 20 ng/mL (sufficient)</w:t>
            </w:r>
          </w:p>
        </w:tc>
        <w:tc>
          <w:tcPr>
            <w:tcW w:type="dxa" w:w="1512"/>
            <w:vAlign w:val="top"/>
          </w:tcPr>
          <w:p>
            <w:pPr>
              <w:spacing w:after="40" w:before="0" w:line="259" w:lineRule="auto"/>
            </w:pPr>
            <w:r>
              <w:rPr>
                <w:rFonts w:ascii="Calibri" w:hAnsi="Calibri"/>
                <w:b w:val="0"/>
                <w:i w:val="0"/>
                <w:color w:val="212121"/>
                <w:sz w:val="19"/>
              </w:rPr>
              <w:t>&lt; 20 ng/mL (insufficient/deficient)</w:t>
            </w:r>
          </w:p>
        </w:tc>
        <w:tc>
          <w:tcPr>
            <w:tcW w:type="dxa" w:w="1468"/>
            <w:vAlign w:val="top"/>
          </w:tcPr>
          <w:p>
            <w:pPr>
              <w:spacing w:after="60" w:line="259" w:lineRule="auto"/>
            </w:pPr>
            <w:r>
              <w:rPr>
                <w:rFonts w:ascii="Calibri" w:hAnsi="Calibri"/>
                <w:b w:val="0"/>
                <w:i w:val="0"/>
                <w:color w:val="212121"/>
                <w:sz w:val="19"/>
              </w:rPr>
              <w:t>Vitamin D insufficiency is significantly associated with simple febrile seizures (p &lt; 0.01).</w:t>
            </w:r>
          </w:p>
          <w:p>
            <w:pPr>
              <w:spacing w:after="40" w:line="252" w:lineRule="auto"/>
            </w:pPr>
            <w:hyperlink r:id="rId16">
              <w:r>
                <w:rPr>
                  <w:rFonts w:ascii="Calibri" w:hAnsi="Calibri" w:cs="Calibri"/>
                  <w:sz w:val="18"/>
                  <w:color w:val="1155CC"/>
                  <w:u w:val="single"/>
                </w:rPr>
                <w:t xml:space="preserve">https://www.ijpediatrics.com/index.php/ijcp/article/view/2158</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Daycare / crèche attendance</w:t>
            </w:r>
          </w:p>
        </w:tc>
        <w:tc>
          <w:tcPr>
            <w:tcW w:type="dxa" w:w="1655"/>
            <w:vAlign w:val="top"/>
          </w:tcPr>
          <w:p>
            <w:pPr>
              <w:spacing w:after="40" w:before="0" w:line="259" w:lineRule="auto"/>
            </w:pPr>
            <w:r>
              <w:rPr>
                <w:rFonts w:ascii="Calibri" w:hAnsi="Calibri"/>
                <w:b w:val="0"/>
                <w:i w:val="0"/>
                <w:color w:val="212121"/>
                <w:sz w:val="19"/>
              </w:rPr>
              <w:t>Infants &amp; toddlers</w:t>
            </w:r>
          </w:p>
        </w:tc>
        <w:tc>
          <w:tcPr>
            <w:tcW w:type="dxa" w:w="1512"/>
            <w:vAlign w:val="top"/>
          </w:tcPr>
          <w:p>
            <w:pPr>
              <w:spacing w:after="40" w:before="0" w:line="259" w:lineRule="auto"/>
            </w:pPr>
            <w:r>
              <w:rPr>
                <w:rFonts w:ascii="Calibri" w:hAnsi="Calibri"/>
                <w:b w:val="0"/>
                <w:i w:val="0"/>
                <w:color w:val="212121"/>
                <w:sz w:val="19"/>
              </w:rPr>
              <w:t>Home care / limited group exposure in infancy</w:t>
            </w:r>
          </w:p>
        </w:tc>
        <w:tc>
          <w:tcPr>
            <w:tcW w:type="dxa" w:w="1512"/>
            <w:vAlign w:val="top"/>
          </w:tcPr>
          <w:p>
            <w:pPr>
              <w:spacing w:after="40" w:before="0" w:line="259" w:lineRule="auto"/>
            </w:pPr>
            <w:r>
              <w:rPr>
                <w:rFonts w:ascii="Calibri" w:hAnsi="Calibri"/>
                <w:b w:val="0"/>
                <w:i w:val="0"/>
                <w:color w:val="212121"/>
                <w:sz w:val="19"/>
              </w:rPr>
              <w:t>Regular daycare attendance</w:t>
            </w:r>
          </w:p>
        </w:tc>
        <w:tc>
          <w:tcPr>
            <w:tcW w:type="dxa" w:w="1468"/>
            <w:vAlign w:val="top"/>
          </w:tcPr>
          <w:p>
            <w:pPr>
              <w:spacing w:after="60" w:line="259" w:lineRule="auto"/>
            </w:pPr>
            <w:r>
              <w:rPr>
                <w:rFonts w:ascii="Calibri" w:hAnsi="Calibri"/>
                <w:b w:val="0"/>
                <w:i w:val="0"/>
                <w:color w:val="212121"/>
                <w:sz w:val="19"/>
              </w:rPr>
              <w:t>More cross-infection and febrile episodes; OR ≈ 18.4 in an Indian study.</w:t>
            </w:r>
          </w:p>
          <w:p>
            <w:pPr>
              <w:spacing w:after="40" w:line="252" w:lineRule="auto"/>
            </w:pPr>
            <w:hyperlink r:id="rId11">
              <w:r>
                <w:rPr>
                  <w:rFonts w:ascii="Calibri" w:hAnsi="Calibri" w:cs="Calibri"/>
                  <w:sz w:val="18"/>
                  <w:color w:val="1155CC"/>
                  <w:u w:val="single"/>
                </w:rPr>
                <w:t xml:space="preserve">https://medpulse.in/Pediatrics/Article/Volume13Issue2/Ped_13_2_4.pdf</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Family history of febrile seizures</w:t>
            </w:r>
          </w:p>
        </w:tc>
        <w:tc>
          <w:tcPr>
            <w:tcW w:type="dxa" w:w="1655"/>
            <w:vAlign w:val="top"/>
          </w:tcPr>
          <w:p>
            <w:pPr>
              <w:spacing w:after="40" w:before="0" w:line="259" w:lineRule="auto"/>
            </w:pPr>
            <w:r>
              <w:rPr>
                <w:rFonts w:ascii="Calibri" w:hAnsi="Calibri"/>
                <w:b w:val="0"/>
                <w:i w:val="0"/>
                <w:color w:val="212121"/>
                <w:sz w:val="19"/>
              </w:rPr>
              <w:t>First-degree relatives</w:t>
            </w:r>
          </w:p>
        </w:tc>
        <w:tc>
          <w:tcPr>
            <w:tcW w:type="dxa" w:w="1512"/>
            <w:vAlign w:val="top"/>
          </w:tcPr>
          <w:p>
            <w:pPr>
              <w:spacing w:after="40" w:before="0" w:line="259" w:lineRule="auto"/>
            </w:pPr>
            <w:r>
              <w:rPr>
                <w:rFonts w:ascii="Calibri" w:hAnsi="Calibri"/>
                <w:b w:val="0"/>
                <w:i w:val="0"/>
                <w:color w:val="212121"/>
                <w:sz w:val="19"/>
              </w:rPr>
              <w:t>No family history</w:t>
            </w:r>
          </w:p>
        </w:tc>
        <w:tc>
          <w:tcPr>
            <w:tcW w:type="dxa" w:w="1512"/>
            <w:vAlign w:val="top"/>
          </w:tcPr>
          <w:p>
            <w:pPr>
              <w:spacing w:after="40" w:before="0" w:line="259" w:lineRule="auto"/>
            </w:pPr>
            <w:r>
              <w:rPr>
                <w:rFonts w:ascii="Calibri" w:hAnsi="Calibri"/>
                <w:b w:val="0"/>
                <w:i w:val="0"/>
                <w:color w:val="212121"/>
                <w:sz w:val="19"/>
              </w:rPr>
              <w:t>≥ 1 affected first-degree relative</w:t>
            </w:r>
          </w:p>
        </w:tc>
        <w:tc>
          <w:tcPr>
            <w:tcW w:type="dxa" w:w="1468"/>
            <w:vAlign w:val="top"/>
          </w:tcPr>
          <w:p>
            <w:pPr>
              <w:spacing w:after="60" w:line="259" w:lineRule="auto"/>
            </w:pPr>
            <w:r>
              <w:rPr>
                <w:rFonts w:ascii="Calibri" w:hAnsi="Calibri"/>
                <w:b w:val="0"/>
                <w:i w:val="0"/>
                <w:color w:val="212121"/>
                <w:sz w:val="19"/>
              </w:rPr>
              <w:t>Present in ≈ 27% of cases vs ≈ 6% of controls (about 7.3× risk).</w:t>
            </w:r>
          </w:p>
          <w:p>
            <w:pPr>
              <w:spacing w:after="40" w:line="252" w:lineRule="auto"/>
            </w:pPr>
            <w:hyperlink r:id="rId11">
              <w:r>
                <w:rPr>
                  <w:rFonts w:ascii="Calibri" w:hAnsi="Calibri" w:cs="Calibri"/>
                  <w:sz w:val="18"/>
                  <w:color w:val="1155CC"/>
                  <w:u w:val="single"/>
                </w:rPr>
                <w:t xml:space="preserve">https://medpulse.in/Pediatrics/Article/Volume13Issue2/Ped_13_2_4.pdf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Post-vaccination window</w:t>
            </w:r>
          </w:p>
        </w:tc>
        <w:tc>
          <w:tcPr>
            <w:tcW w:type="dxa" w:w="1655"/>
            <w:vAlign w:val="top"/>
          </w:tcPr>
          <w:p>
            <w:pPr>
              <w:spacing w:after="40" w:before="0" w:line="259" w:lineRule="auto"/>
            </w:pPr>
            <w:r>
              <w:rPr>
                <w:rFonts w:ascii="Calibri" w:hAnsi="Calibri"/>
                <w:b w:val="0"/>
                <w:i w:val="0"/>
                <w:color w:val="212121"/>
                <w:sz w:val="19"/>
              </w:rPr>
              <w:t>Recently vaccinated infants/toddlers</w:t>
            </w:r>
          </w:p>
        </w:tc>
        <w:tc>
          <w:tcPr>
            <w:tcW w:type="dxa" w:w="1512"/>
            <w:vAlign w:val="top"/>
          </w:tcPr>
          <w:p>
            <w:pPr>
              <w:spacing w:after="40" w:before="0" w:line="259" w:lineRule="auto"/>
            </w:pPr>
            <w:r>
              <w:rPr>
                <w:rFonts w:ascii="Calibri" w:hAnsi="Calibri"/>
                <w:b w:val="0"/>
                <w:i w:val="0"/>
                <w:color w:val="212121"/>
                <w:sz w:val="19"/>
              </w:rPr>
              <w:t>Outside the post-vaccine fever window</w:t>
            </w:r>
          </w:p>
        </w:tc>
        <w:tc>
          <w:tcPr>
            <w:tcW w:type="dxa" w:w="1512"/>
            <w:vAlign w:val="top"/>
          </w:tcPr>
          <w:p>
            <w:pPr>
              <w:spacing w:after="40" w:before="0" w:line="259" w:lineRule="auto"/>
            </w:pPr>
            <w:r>
              <w:rPr>
                <w:rFonts w:ascii="Calibri" w:hAnsi="Calibri"/>
                <w:b w:val="0"/>
                <w:i w:val="0"/>
                <w:color w:val="212121"/>
                <w:sz w:val="19"/>
              </w:rPr>
              <w:t>Day 0 (DTwP) or days 8–14 (MMR)</w:t>
            </w:r>
          </w:p>
        </w:tc>
        <w:tc>
          <w:tcPr>
            <w:tcW w:type="dxa" w:w="1468"/>
            <w:vAlign w:val="top"/>
          </w:tcPr>
          <w:p>
            <w:pPr>
              <w:spacing w:after="60" w:line="259" w:lineRule="auto"/>
            </w:pPr>
            <w:r>
              <w:rPr>
                <w:rFonts w:ascii="Calibri" w:hAnsi="Calibri"/>
                <w:b w:val="0"/>
                <w:i w:val="0"/>
                <w:color w:val="212121"/>
                <w:sz w:val="19"/>
              </w:rPr>
              <w:t>Attributable risk ≈ MMR 25–34 and DTP 6–9 per 100,000 doses; seizures are typically simple.</w:t>
            </w:r>
          </w:p>
          <w:p>
            <w:pPr>
              <w:spacing w:after="40" w:line="252" w:lineRule="auto"/>
            </w:pPr>
            <w:hyperlink r:id="rId17">
              <w:r>
                <w:rPr>
                  <w:rFonts w:ascii="Calibri" w:hAnsi="Calibri" w:cs="Calibri"/>
                  <w:sz w:val="18"/>
                  <w:color w:val="1155CC"/>
                  <w:u w:val="single"/>
                </w:rPr>
                <w:t xml:space="preserve">https://pediatricneurologybriefs.com/articles/10.15844/pedneurbriefs-15-9-1</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Capillary / random blood glucose</w:t>
            </w:r>
          </w:p>
        </w:tc>
        <w:tc>
          <w:tcPr>
            <w:tcW w:type="dxa" w:w="892"/>
            <w:vAlign w:val="top"/>
          </w:tcPr>
          <w:p>
            <w:pPr>
              <w:spacing w:after="40" w:before="0" w:line="259" w:lineRule="auto"/>
            </w:pPr>
            <w:r>
              <w:rPr>
                <w:rFonts w:ascii="Calibri" w:hAnsi="Calibri"/>
                <w:b w:val="0"/>
                <w:i w:val="0"/>
                <w:color w:val="212121"/>
                <w:sz w:val="16"/>
              </w:rPr>
              <w:t>Point-of-care glucose</w:t>
            </w:r>
          </w:p>
        </w:tc>
        <w:tc>
          <w:tcPr>
            <w:tcW w:type="dxa" w:w="950"/>
            <w:vAlign w:val="top"/>
          </w:tcPr>
          <w:p>
            <w:pPr>
              <w:spacing w:after="40" w:before="0" w:line="259" w:lineRule="auto"/>
            </w:pPr>
            <w:r>
              <w:rPr>
                <w:rFonts w:ascii="Calibri" w:hAnsi="Calibri"/>
                <w:b w:val="0"/>
                <w:i w:val="0"/>
                <w:color w:val="212121"/>
                <w:sz w:val="16"/>
              </w:rPr>
              <w:t>70–140 mg/dL</w:t>
            </w:r>
          </w:p>
        </w:tc>
        <w:tc>
          <w:tcPr>
            <w:tcW w:type="dxa" w:w="950"/>
            <w:vAlign w:val="top"/>
          </w:tcPr>
          <w:p>
            <w:pPr>
              <w:spacing w:after="40" w:before="0" w:line="259" w:lineRule="auto"/>
            </w:pPr>
            <w:r>
              <w:rPr>
                <w:rFonts w:ascii="Calibri" w:hAnsi="Calibri"/>
                <w:b w:val="0"/>
                <w:i w:val="0"/>
                <w:color w:val="212121"/>
                <w:sz w:val="16"/>
              </w:rPr>
              <w:t>&lt; 60 mg/dL (hypoglycaemia)</w:t>
            </w:r>
          </w:p>
        </w:tc>
        <w:tc>
          <w:tcPr>
            <w:tcW w:type="dxa" w:w="1036"/>
            <w:vAlign w:val="top"/>
          </w:tcPr>
          <w:p>
            <w:pPr>
              <w:spacing w:after="40" w:before="0" w:line="259" w:lineRule="auto"/>
            </w:pPr>
            <w:r>
              <w:rPr>
                <w:rFonts w:ascii="Calibri" w:hAnsi="Calibri"/>
                <w:b w:val="0"/>
                <w:i w:val="0"/>
                <w:color w:val="212121"/>
                <w:sz w:val="16"/>
              </w:rPr>
              <w:t>Excludes hypoglycaemia as a cause of the convulsion — mandatory in any actively seizing child.</w:t>
            </w:r>
          </w:p>
        </w:tc>
        <w:tc>
          <w:tcPr>
            <w:tcW w:type="dxa" w:w="1036"/>
            <w:vAlign w:val="top"/>
          </w:tcPr>
          <w:p>
            <w:pPr>
              <w:spacing w:after="40" w:before="0" w:line="259" w:lineRule="auto"/>
            </w:pPr>
            <w:r>
              <w:rPr>
                <w:rFonts w:ascii="Calibri" w:hAnsi="Calibri"/>
                <w:b w:val="0"/>
                <w:i w:val="0"/>
                <w:color w:val="212121"/>
                <w:sz w:val="16"/>
              </w:rPr>
              <w:t>Every child presenting with a seizure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 first test</w:t>
            </w:r>
          </w:p>
        </w:tc>
        <w:tc>
          <w:tcPr>
            <w:tcW w:type="dxa" w:w="720"/>
            <w:vAlign w:val="top"/>
          </w:tcPr>
          <w:p>
            <w:pPr>
              <w:spacing w:after="40" w:before="0" w:line="259" w:lineRule="auto"/>
            </w:pPr>
            <w:r>
              <w:rPr>
                <w:rFonts w:ascii="Calibri" w:hAnsi="Calibri"/>
                <w:b w:val="0"/>
                <w:i w:val="0"/>
                <w:color w:val="212121"/>
                <w:sz w:val="16"/>
              </w:rPr>
              <w:t>Rapid bedside glucometer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electrolytes (Na, Ca, Mg)</w:t>
            </w:r>
          </w:p>
        </w:tc>
        <w:tc>
          <w:tcPr>
            <w:tcW w:type="dxa" w:w="892"/>
            <w:vAlign w:val="top"/>
          </w:tcPr>
          <w:p>
            <w:pPr>
              <w:spacing w:after="40" w:before="0" w:line="259" w:lineRule="auto"/>
            </w:pPr>
            <w:r>
              <w:rPr>
                <w:rFonts w:ascii="Calibri" w:hAnsi="Calibri"/>
                <w:b w:val="0"/>
                <w:i w:val="0"/>
                <w:color w:val="212121"/>
                <w:sz w:val="16"/>
              </w:rPr>
              <w:t>Electrolyte panel</w:t>
            </w:r>
          </w:p>
        </w:tc>
        <w:tc>
          <w:tcPr>
            <w:tcW w:type="dxa" w:w="950"/>
            <w:vAlign w:val="top"/>
          </w:tcPr>
          <w:p>
            <w:pPr>
              <w:spacing w:after="40" w:before="0" w:line="259" w:lineRule="auto"/>
            </w:pPr>
            <w:r>
              <w:rPr>
                <w:rFonts w:ascii="Calibri" w:hAnsi="Calibri"/>
                <w:b w:val="0"/>
                <w:i w:val="0"/>
                <w:color w:val="212121"/>
                <w:sz w:val="16"/>
              </w:rPr>
              <w:t>Na 135–145 mmol/L; normal Ca/Mg</w:t>
            </w:r>
          </w:p>
        </w:tc>
        <w:tc>
          <w:tcPr>
            <w:tcW w:type="dxa" w:w="950"/>
            <w:vAlign w:val="top"/>
          </w:tcPr>
          <w:p>
            <w:pPr>
              <w:spacing w:after="40" w:before="0" w:line="259" w:lineRule="auto"/>
            </w:pPr>
            <w:r>
              <w:rPr>
                <w:rFonts w:ascii="Calibri" w:hAnsi="Calibri"/>
                <w:b w:val="0"/>
                <w:i w:val="0"/>
                <w:color w:val="212121"/>
                <w:sz w:val="16"/>
              </w:rPr>
              <w:t>Hyponatraemia, hypocalcaemia or hypomagnesaemia</w:t>
            </w:r>
          </w:p>
        </w:tc>
        <w:tc>
          <w:tcPr>
            <w:tcW w:type="dxa" w:w="1036"/>
            <w:vAlign w:val="top"/>
          </w:tcPr>
          <w:p>
            <w:pPr>
              <w:spacing w:after="40" w:before="0" w:line="259" w:lineRule="auto"/>
            </w:pPr>
            <w:r>
              <w:rPr>
                <w:rFonts w:ascii="Calibri" w:hAnsi="Calibri"/>
                <w:b w:val="0"/>
                <w:i w:val="0"/>
                <w:color w:val="212121"/>
                <w:sz w:val="16"/>
              </w:rPr>
              <w:t>Excludes metabolic seizure mimics; hyponatraemia is linked to seizure recurrence within 24 hours.</w:t>
            </w:r>
          </w:p>
        </w:tc>
        <w:tc>
          <w:tcPr>
            <w:tcW w:type="dxa" w:w="1036"/>
            <w:vAlign w:val="top"/>
          </w:tcPr>
          <w:p>
            <w:pPr>
              <w:spacing w:after="40" w:before="0" w:line="259" w:lineRule="auto"/>
            </w:pPr>
            <w:r>
              <w:rPr>
                <w:rFonts w:ascii="Calibri" w:hAnsi="Calibri"/>
                <w:b w:val="0"/>
                <w:i w:val="0"/>
                <w:color w:val="212121"/>
                <w:sz w:val="16"/>
              </w:rPr>
              <w:t>Infants &lt; 6 months, dehydrated, vomiting/diarrhoea, complex features</w:t>
            </w:r>
          </w:p>
        </w:tc>
        <w:tc>
          <w:tcPr>
            <w:tcW w:type="dxa" w:w="720"/>
            <w:vAlign w:val="top"/>
          </w:tcPr>
          <w:p>
            <w:pPr>
              <w:spacing w:after="40" w:before="0" w:line="259" w:lineRule="auto"/>
            </w:pPr>
            <w:r>
              <w:rPr>
                <w:rFonts w:ascii="Calibri" w:hAnsi="Calibri"/>
                <w:b w:val="0"/>
                <w:i w:val="0"/>
                <w:color w:val="212121"/>
                <w:sz w:val="16"/>
              </w:rPr>
              <w:t>Water; Food</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routine for a typical simple febrile seizure.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 peripheral smear</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Hb ≥ 11 g/dL; normal indices</w:t>
            </w:r>
          </w:p>
        </w:tc>
        <w:tc>
          <w:tcPr>
            <w:tcW w:type="dxa" w:w="950"/>
            <w:vAlign w:val="top"/>
          </w:tcPr>
          <w:p>
            <w:pPr>
              <w:spacing w:after="40" w:before="0" w:line="259" w:lineRule="auto"/>
            </w:pPr>
            <w:r>
              <w:rPr>
                <w:rFonts w:ascii="Calibri" w:hAnsi="Calibri"/>
                <w:b w:val="0"/>
                <w:i w:val="0"/>
                <w:color w:val="212121"/>
                <w:sz w:val="16"/>
              </w:rPr>
              <w:t>Microcytic hypochromic anaemia; leucocytosis; parasites on smear</w:t>
            </w:r>
          </w:p>
        </w:tc>
        <w:tc>
          <w:tcPr>
            <w:tcW w:type="dxa" w:w="1036"/>
            <w:vAlign w:val="top"/>
          </w:tcPr>
          <w:p>
            <w:pPr>
              <w:spacing w:after="40" w:before="0" w:line="259" w:lineRule="auto"/>
            </w:pPr>
            <w:r>
              <w:rPr>
                <w:rFonts w:ascii="Calibri" w:hAnsi="Calibri"/>
                <w:b w:val="0"/>
                <w:i w:val="0"/>
                <w:color w:val="212121"/>
                <w:sz w:val="16"/>
              </w:rPr>
              <w:t>Detects iron-deficiency anaemia (a risk factor) and gives clues to the infective source, including malaria.</w:t>
            </w:r>
          </w:p>
        </w:tc>
        <w:tc>
          <w:tcPr>
            <w:tcW w:type="dxa" w:w="1036"/>
            <w:vAlign w:val="top"/>
          </w:tcPr>
          <w:p>
            <w:pPr>
              <w:spacing w:after="40" w:before="0" w:line="259" w:lineRule="auto"/>
            </w:pPr>
            <w:r>
              <w:rPr>
                <w:rFonts w:ascii="Calibri" w:hAnsi="Calibri"/>
                <w:b w:val="0"/>
                <w:i w:val="0"/>
                <w:color w:val="212121"/>
                <w:sz w:val="16"/>
              </w:rPr>
              <w:t>Indian children (high anaemia &amp; malaria burden)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Useful</w:t>
            </w:r>
          </w:p>
        </w:tc>
        <w:tc>
          <w:tcPr>
            <w:tcW w:type="dxa" w:w="720"/>
            <w:vAlign w:val="top"/>
          </w:tcPr>
          <w:p>
            <w:pPr>
              <w:spacing w:after="40" w:before="0" w:line="259" w:lineRule="auto"/>
            </w:pPr>
            <w:r>
              <w:rPr>
                <w:rFonts w:ascii="Calibri" w:hAnsi="Calibri"/>
                <w:b w:val="0"/>
                <w:i w:val="0"/>
                <w:color w:val="212121"/>
                <w:sz w:val="16"/>
              </w:rPr>
              <w:t>Screen for anaemia and, in endemic areas, malaria.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Iron studies (ferritin, serum iron, TIBC, RDW)</w:t>
            </w:r>
          </w:p>
        </w:tc>
        <w:tc>
          <w:tcPr>
            <w:tcW w:type="dxa" w:w="892"/>
            <w:vAlign w:val="top"/>
          </w:tcPr>
          <w:p>
            <w:pPr>
              <w:spacing w:after="40" w:before="0" w:line="259" w:lineRule="auto"/>
            </w:pPr>
            <w:r>
              <w:rPr>
                <w:rFonts w:ascii="Calibri" w:hAnsi="Calibri"/>
                <w:b w:val="0"/>
                <w:i w:val="0"/>
                <w:color w:val="212121"/>
                <w:sz w:val="16"/>
              </w:rPr>
              <w:t>Iron profile</w:t>
            </w:r>
          </w:p>
        </w:tc>
        <w:tc>
          <w:tcPr>
            <w:tcW w:type="dxa" w:w="950"/>
            <w:vAlign w:val="top"/>
          </w:tcPr>
          <w:p>
            <w:pPr>
              <w:spacing w:after="40" w:before="0" w:line="259" w:lineRule="auto"/>
            </w:pPr>
            <w:r>
              <w:rPr>
                <w:rFonts w:ascii="Calibri" w:hAnsi="Calibri"/>
                <w:b w:val="0"/>
                <w:i w:val="0"/>
                <w:color w:val="212121"/>
                <w:sz w:val="16"/>
              </w:rPr>
              <w:t>Ferritin ≥ 12 ng/mL</w:t>
            </w:r>
          </w:p>
        </w:tc>
        <w:tc>
          <w:tcPr>
            <w:tcW w:type="dxa" w:w="950"/>
            <w:vAlign w:val="top"/>
          </w:tcPr>
          <w:p>
            <w:pPr>
              <w:spacing w:after="40" w:before="0" w:line="259" w:lineRule="auto"/>
            </w:pPr>
            <w:r>
              <w:rPr>
                <w:rFonts w:ascii="Calibri" w:hAnsi="Calibri"/>
                <w:b w:val="0"/>
                <w:i w:val="0"/>
                <w:color w:val="212121"/>
                <w:sz w:val="16"/>
              </w:rPr>
              <w:t>Ferritin &lt; 12 ng/mL; RDW &gt; 15%</w:t>
            </w:r>
          </w:p>
        </w:tc>
        <w:tc>
          <w:tcPr>
            <w:tcW w:type="dxa" w:w="1036"/>
            <w:vAlign w:val="top"/>
          </w:tcPr>
          <w:p>
            <w:pPr>
              <w:spacing w:after="40" w:before="0" w:line="259" w:lineRule="auto"/>
            </w:pPr>
            <w:r>
              <w:rPr>
                <w:rFonts w:ascii="Calibri" w:hAnsi="Calibri"/>
                <w:b w:val="0"/>
                <w:i w:val="0"/>
                <w:color w:val="212121"/>
                <w:sz w:val="16"/>
              </w:rPr>
              <w:t>Confirms iron deficiency — a modifiable risk factor amenable to treatment.</w:t>
            </w:r>
          </w:p>
        </w:tc>
        <w:tc>
          <w:tcPr>
            <w:tcW w:type="dxa" w:w="1036"/>
            <w:vAlign w:val="top"/>
          </w:tcPr>
          <w:p>
            <w:pPr>
              <w:spacing w:after="40" w:before="0" w:line="259" w:lineRule="auto"/>
            </w:pPr>
            <w:r>
              <w:rPr>
                <w:rFonts w:ascii="Calibri" w:hAnsi="Calibri"/>
                <w:b w:val="0"/>
                <w:i w:val="0"/>
                <w:color w:val="212121"/>
                <w:sz w:val="16"/>
              </w:rPr>
              <w:t>Toddlers with recurrent simple febrile seizures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Consider in recurrent febrile seizures with pallor.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 (CSF)</w:t>
            </w:r>
          </w:p>
        </w:tc>
        <w:tc>
          <w:tcPr>
            <w:tcW w:type="dxa" w:w="1036"/>
            <w:vAlign w:val="top"/>
          </w:tcPr>
          <w:p>
            <w:pPr>
              <w:spacing w:after="40" w:before="0" w:line="259" w:lineRule="auto"/>
            </w:pPr>
            <w:r>
              <w:rPr>
                <w:rFonts w:ascii="Calibri" w:hAnsi="Calibri"/>
                <w:b w:val="0"/>
                <w:i w:val="0"/>
                <w:color w:val="212121"/>
                <w:sz w:val="16"/>
              </w:rPr>
              <w:t>Lumbar puncture / CSF analysis</w:t>
            </w:r>
          </w:p>
        </w:tc>
        <w:tc>
          <w:tcPr>
            <w:tcW w:type="dxa" w:w="892"/>
            <w:vAlign w:val="top"/>
          </w:tcPr>
          <w:p>
            <w:pPr>
              <w:spacing w:after="40" w:before="0" w:line="259" w:lineRule="auto"/>
            </w:pPr>
            <w:r>
              <w:rPr>
                <w:rFonts w:ascii="Calibri" w:hAnsi="Calibri"/>
                <w:b w:val="0"/>
                <w:i w:val="0"/>
                <w:color w:val="212121"/>
                <w:sz w:val="16"/>
              </w:rPr>
              <w:t>CSF study</w:t>
            </w:r>
          </w:p>
        </w:tc>
        <w:tc>
          <w:tcPr>
            <w:tcW w:type="dxa" w:w="950"/>
            <w:vAlign w:val="top"/>
          </w:tcPr>
          <w:p>
            <w:pPr>
              <w:spacing w:after="40" w:before="0" w:line="259" w:lineRule="auto"/>
            </w:pPr>
            <w:r>
              <w:rPr>
                <w:rFonts w:ascii="Calibri" w:hAnsi="Calibri"/>
                <w:b w:val="0"/>
                <w:i w:val="0"/>
                <w:color w:val="212121"/>
                <w:sz w:val="16"/>
              </w:rPr>
              <w:t>Acellular, normal glucose &amp; protein</w:t>
            </w:r>
          </w:p>
        </w:tc>
        <w:tc>
          <w:tcPr>
            <w:tcW w:type="dxa" w:w="950"/>
            <w:vAlign w:val="top"/>
          </w:tcPr>
          <w:p>
            <w:pPr>
              <w:spacing w:after="40" w:before="0" w:line="259" w:lineRule="auto"/>
            </w:pPr>
            <w:r>
              <w:rPr>
                <w:rFonts w:ascii="Calibri" w:hAnsi="Calibri"/>
                <w:b w:val="0"/>
                <w:i w:val="0"/>
                <w:color w:val="212121"/>
                <w:sz w:val="16"/>
              </w:rPr>
              <w:t>Pleocytosis, low glucose, high protein, positive culture/PCR</w:t>
            </w:r>
          </w:p>
        </w:tc>
        <w:tc>
          <w:tcPr>
            <w:tcW w:type="dxa" w:w="1036"/>
            <w:vAlign w:val="top"/>
          </w:tcPr>
          <w:p>
            <w:pPr>
              <w:spacing w:after="40" w:before="0" w:line="259" w:lineRule="auto"/>
            </w:pPr>
            <w:r>
              <w:rPr>
                <w:rFonts w:ascii="Calibri" w:hAnsi="Calibri"/>
                <w:b w:val="0"/>
                <w:i w:val="0"/>
                <w:color w:val="212121"/>
                <w:sz w:val="16"/>
              </w:rPr>
              <w:t>Excludes meningitis / encephalitis — the critical differential of a febrile convulsion.</w:t>
            </w:r>
          </w:p>
        </w:tc>
        <w:tc>
          <w:tcPr>
            <w:tcW w:type="dxa" w:w="1036"/>
            <w:vAlign w:val="top"/>
          </w:tcPr>
          <w:p>
            <w:pPr>
              <w:spacing w:after="40" w:before="0" w:line="259" w:lineRule="auto"/>
            </w:pPr>
            <w:r>
              <w:rPr>
                <w:rFonts w:ascii="Calibri" w:hAnsi="Calibri"/>
                <w:b w:val="0"/>
                <w:i w:val="0"/>
                <w:color w:val="212121"/>
                <w:sz w:val="16"/>
              </w:rPr>
              <w:t>Suspected CNS infection; infants &lt; 12 months; complex/prolonged; incompletely immunised; pre-treated with antibiotics</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Selective / critical</w:t>
            </w:r>
          </w:p>
        </w:tc>
        <w:tc>
          <w:tcPr>
            <w:tcW w:type="dxa" w:w="720"/>
            <w:vAlign w:val="top"/>
          </w:tcPr>
          <w:p>
            <w:pPr>
              <w:spacing w:after="40" w:before="0" w:line="259" w:lineRule="auto"/>
            </w:pPr>
            <w:r>
              <w:rPr>
                <w:rFonts w:ascii="Calibri" w:hAnsi="Calibri"/>
                <w:b w:val="0"/>
                <w:i w:val="0"/>
                <w:color w:val="212121"/>
                <w:sz w:val="16"/>
              </w:rPr>
              <w:t>Not routine for a simple febrile seizure; guided by clinical suspicion.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Blood culture / septic screen / malaria smear</w:t>
            </w:r>
          </w:p>
        </w:tc>
        <w:tc>
          <w:tcPr>
            <w:tcW w:type="dxa" w:w="892"/>
            <w:vAlign w:val="top"/>
          </w:tcPr>
          <w:p>
            <w:pPr>
              <w:spacing w:after="40" w:before="0" w:line="259" w:lineRule="auto"/>
            </w:pPr>
            <w:r>
              <w:rPr>
                <w:rFonts w:ascii="Calibri" w:hAnsi="Calibri"/>
                <w:b w:val="0"/>
                <w:i w:val="0"/>
                <w:color w:val="212121"/>
                <w:sz w:val="16"/>
              </w:rPr>
              <w:t>Infection workup</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culture, antigen or smear</w:t>
            </w:r>
          </w:p>
        </w:tc>
        <w:tc>
          <w:tcPr>
            <w:tcW w:type="dxa" w:w="1036"/>
            <w:vAlign w:val="top"/>
          </w:tcPr>
          <w:p>
            <w:pPr>
              <w:spacing w:after="40" w:before="0" w:line="259" w:lineRule="auto"/>
            </w:pPr>
            <w:r>
              <w:rPr>
                <w:rFonts w:ascii="Calibri" w:hAnsi="Calibri"/>
                <w:b w:val="0"/>
                <w:i w:val="0"/>
                <w:color w:val="212121"/>
                <w:sz w:val="16"/>
              </w:rPr>
              <w:t>Identifies the febrile source; malaria, enteric fever, and pneumonia are relevant in India.</w:t>
            </w:r>
          </w:p>
        </w:tc>
        <w:tc>
          <w:tcPr>
            <w:tcW w:type="dxa" w:w="1036"/>
            <w:vAlign w:val="top"/>
          </w:tcPr>
          <w:p>
            <w:pPr>
              <w:spacing w:after="40" w:before="0" w:line="259" w:lineRule="auto"/>
            </w:pPr>
            <w:r>
              <w:rPr>
                <w:rFonts w:ascii="Calibri" w:hAnsi="Calibri"/>
                <w:b w:val="0"/>
                <w:i w:val="0"/>
                <w:color w:val="212121"/>
                <w:sz w:val="16"/>
              </w:rPr>
              <w:t>Toxic child, or fever without an obvious focus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Source-directed</w:t>
            </w:r>
          </w:p>
        </w:tc>
        <w:tc>
          <w:tcPr>
            <w:tcW w:type="dxa" w:w="720"/>
            <w:vAlign w:val="top"/>
          </w:tcPr>
          <w:p>
            <w:pPr>
              <w:spacing w:after="40" w:before="0" w:line="259" w:lineRule="auto"/>
            </w:pPr>
            <w:r>
              <w:rPr>
                <w:rFonts w:ascii="Calibri" w:hAnsi="Calibri"/>
                <w:b w:val="0"/>
                <w:i w:val="0"/>
                <w:color w:val="212121"/>
                <w:sz w:val="16"/>
              </w:rPr>
              <w:t>Directed by the clinical focus of fever.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Electroencephalography (EEG)</w:t>
            </w:r>
          </w:p>
        </w:tc>
        <w:tc>
          <w:tcPr>
            <w:tcW w:type="dxa" w:w="892"/>
            <w:vAlign w:val="top"/>
          </w:tcPr>
          <w:p>
            <w:pPr>
              <w:spacing w:after="40" w:before="0" w:line="259" w:lineRule="auto"/>
            </w:pPr>
            <w:r>
              <w:rPr>
                <w:rFonts w:ascii="Calibri" w:hAnsi="Calibri"/>
                <w:b w:val="0"/>
                <w:i w:val="0"/>
                <w:color w:val="212121"/>
                <w:sz w:val="16"/>
              </w:rPr>
              <w:t>EEG</w:t>
            </w:r>
          </w:p>
        </w:tc>
        <w:tc>
          <w:tcPr>
            <w:tcW w:type="dxa" w:w="950"/>
            <w:vAlign w:val="top"/>
          </w:tcPr>
          <w:p>
            <w:pPr>
              <w:spacing w:after="40" w:before="0" w:line="259" w:lineRule="auto"/>
            </w:pPr>
            <w:r>
              <w:rPr>
                <w:rFonts w:ascii="Calibri" w:hAnsi="Calibri"/>
                <w:b w:val="0"/>
                <w:i w:val="0"/>
                <w:color w:val="212121"/>
                <w:sz w:val="16"/>
              </w:rPr>
              <w:t>No epileptiform activity</w:t>
            </w:r>
          </w:p>
        </w:tc>
        <w:tc>
          <w:tcPr>
            <w:tcW w:type="dxa" w:w="950"/>
            <w:vAlign w:val="top"/>
          </w:tcPr>
          <w:p>
            <w:pPr>
              <w:spacing w:after="40" w:before="0" w:line="259" w:lineRule="auto"/>
            </w:pPr>
            <w:r>
              <w:rPr>
                <w:rFonts w:ascii="Calibri" w:hAnsi="Calibri"/>
                <w:b w:val="0"/>
                <w:i w:val="0"/>
                <w:color w:val="212121"/>
                <w:sz w:val="16"/>
              </w:rPr>
              <w:t>Focal slowing or epileptiform discharges</w:t>
            </w:r>
          </w:p>
        </w:tc>
        <w:tc>
          <w:tcPr>
            <w:tcW w:type="dxa" w:w="1036"/>
            <w:vAlign w:val="top"/>
          </w:tcPr>
          <w:p>
            <w:pPr>
              <w:spacing w:after="40" w:before="0" w:line="259" w:lineRule="auto"/>
            </w:pPr>
            <w:r>
              <w:rPr>
                <w:rFonts w:ascii="Calibri" w:hAnsi="Calibri"/>
                <w:b w:val="0"/>
                <w:i w:val="0"/>
                <w:color w:val="212121"/>
                <w:sz w:val="16"/>
              </w:rPr>
              <w:t>NOT indicated for a simple febrile seizure; may inform complex/recurrent cases or suspected epilepsy syndromes.</w:t>
            </w:r>
          </w:p>
        </w:tc>
        <w:tc>
          <w:tcPr>
            <w:tcW w:type="dxa" w:w="1036"/>
            <w:vAlign w:val="top"/>
          </w:tcPr>
          <w:p>
            <w:pPr>
              <w:spacing w:after="40" w:before="0" w:line="259" w:lineRule="auto"/>
            </w:pPr>
            <w:r>
              <w:rPr>
                <w:rFonts w:ascii="Calibri" w:hAnsi="Calibri"/>
                <w:b w:val="0"/>
                <w:i w:val="0"/>
                <w:color w:val="212121"/>
                <w:sz w:val="16"/>
              </w:rPr>
              <w:t>Complex febrile seizures, developmental delay, suspected GEFS+/Dravet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A poor predictor of recurrence; interpret with timing in mind.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MRI brain</w:t>
            </w:r>
          </w:p>
        </w:tc>
        <w:tc>
          <w:tcPr>
            <w:tcW w:type="dxa" w:w="892"/>
            <w:vAlign w:val="top"/>
          </w:tcPr>
          <w:p>
            <w:pPr>
              <w:spacing w:after="40" w:before="0" w:line="259" w:lineRule="auto"/>
            </w:pPr>
            <w:r>
              <w:rPr>
                <w:rFonts w:ascii="Calibri" w:hAnsi="Calibri"/>
                <w:b w:val="0"/>
                <w:i w:val="0"/>
                <w:color w:val="212121"/>
                <w:sz w:val="16"/>
              </w:rPr>
              <w:t>Neuroimaging</w:t>
            </w:r>
          </w:p>
        </w:tc>
        <w:tc>
          <w:tcPr>
            <w:tcW w:type="dxa" w:w="950"/>
            <w:vAlign w:val="top"/>
          </w:tcPr>
          <w:p>
            <w:pPr>
              <w:spacing w:after="40" w:before="0" w:line="259" w:lineRule="auto"/>
            </w:pPr>
            <w:r>
              <w:rPr>
                <w:rFonts w:ascii="Calibri" w:hAnsi="Calibri"/>
                <w:b w:val="0"/>
                <w:i w:val="0"/>
                <w:color w:val="212121"/>
                <w:sz w:val="16"/>
              </w:rPr>
              <w:t>No structural lesion</w:t>
            </w:r>
          </w:p>
        </w:tc>
        <w:tc>
          <w:tcPr>
            <w:tcW w:type="dxa" w:w="950"/>
            <w:vAlign w:val="top"/>
          </w:tcPr>
          <w:p>
            <w:pPr>
              <w:spacing w:after="40" w:before="0" w:line="259" w:lineRule="auto"/>
            </w:pPr>
            <w:r>
              <w:rPr>
                <w:rFonts w:ascii="Calibri" w:hAnsi="Calibri"/>
                <w:b w:val="0"/>
                <w:i w:val="0"/>
                <w:color w:val="212121"/>
                <w:sz w:val="16"/>
              </w:rPr>
              <w:t>Hippocampal T2 signal change / mesial temporal sclerosis; structural lesion</w:t>
            </w:r>
          </w:p>
        </w:tc>
        <w:tc>
          <w:tcPr>
            <w:tcW w:type="dxa" w:w="1036"/>
            <w:vAlign w:val="top"/>
          </w:tcPr>
          <w:p>
            <w:pPr>
              <w:spacing w:after="40" w:before="0" w:line="259" w:lineRule="auto"/>
            </w:pPr>
            <w:r>
              <w:rPr>
                <w:rFonts w:ascii="Calibri" w:hAnsi="Calibri"/>
                <w:b w:val="0"/>
                <w:i w:val="0"/>
                <w:color w:val="212121"/>
                <w:sz w:val="16"/>
              </w:rPr>
              <w:t>Reserved for febrile status epilepticus, focal deficit, or abnormal neurology; can show acute hippocampal injury (FEBSTAT).</w:t>
            </w:r>
          </w:p>
        </w:tc>
        <w:tc>
          <w:tcPr>
            <w:tcW w:type="dxa" w:w="1036"/>
            <w:vAlign w:val="top"/>
          </w:tcPr>
          <w:p>
            <w:pPr>
              <w:spacing w:after="40" w:before="0" w:line="259" w:lineRule="auto"/>
            </w:pPr>
            <w:r>
              <w:rPr>
                <w:rFonts w:ascii="Calibri" w:hAnsi="Calibri"/>
                <w:b w:val="0"/>
                <w:i w:val="0"/>
                <w:color w:val="212121"/>
                <w:sz w:val="16"/>
              </w:rPr>
              <w:t>Febrile status epilepticus; focal complex febrile seizures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indicated for a simple febrile seizure.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Seizure semiology &amp; duration</w:t>
            </w:r>
          </w:p>
        </w:tc>
        <w:tc>
          <w:tcPr>
            <w:tcW w:type="dxa" w:w="979"/>
            <w:vAlign w:val="top"/>
          </w:tcPr>
          <w:p>
            <w:pPr>
              <w:spacing w:after="40" w:before="0" w:line="259" w:lineRule="auto"/>
            </w:pPr>
            <w:r>
              <w:rPr>
                <w:rFonts w:ascii="Calibri" w:hAnsi="Calibri"/>
                <w:b w:val="0"/>
                <w:i w:val="0"/>
                <w:color w:val="212121"/>
                <w:sz w:val="16"/>
              </w:rPr>
              <w:t>Generalized vs focal; &lt; 15 vs &gt; 15 min; number in 24 h</w:t>
            </w:r>
          </w:p>
        </w:tc>
        <w:tc>
          <w:tcPr>
            <w:tcW w:type="dxa" w:w="950"/>
            <w:vAlign w:val="top"/>
          </w:tcPr>
          <w:p>
            <w:pPr>
              <w:spacing w:after="40" w:before="0" w:line="259" w:lineRule="auto"/>
            </w:pPr>
            <w:r>
              <w:rPr>
                <w:rFonts w:ascii="Calibri" w:hAnsi="Calibri"/>
                <w:b w:val="0"/>
                <w:i w:val="0"/>
                <w:color w:val="212121"/>
                <w:sz w:val="16"/>
              </w:rPr>
              <w:t>Brief, generalized, single event</w:t>
            </w:r>
          </w:p>
        </w:tc>
        <w:tc>
          <w:tcPr>
            <w:tcW w:type="dxa" w:w="950"/>
            <w:vAlign w:val="top"/>
          </w:tcPr>
          <w:p>
            <w:pPr>
              <w:spacing w:after="40" w:before="0" w:line="259" w:lineRule="auto"/>
            </w:pPr>
            <w:r>
              <w:rPr>
                <w:rFonts w:ascii="Calibri" w:hAnsi="Calibri"/>
                <w:b w:val="0"/>
                <w:i w:val="0"/>
                <w:color w:val="212121"/>
                <w:sz w:val="16"/>
              </w:rPr>
              <w:t>Focal, prolonged, or repetitive within 24 h</w:t>
            </w:r>
          </w:p>
        </w:tc>
        <w:tc>
          <w:tcPr>
            <w:tcW w:type="dxa" w:w="1036"/>
            <w:vAlign w:val="top"/>
          </w:tcPr>
          <w:p>
            <w:pPr>
              <w:spacing w:after="40" w:before="0" w:line="259" w:lineRule="auto"/>
            </w:pPr>
            <w:r>
              <w:rPr>
                <w:rFonts w:ascii="Calibri" w:hAnsi="Calibri"/>
                <w:b w:val="0"/>
                <w:i w:val="0"/>
                <w:color w:val="212121"/>
                <w:sz w:val="16"/>
              </w:rPr>
              <w:t>Distinguishes simple from complex febrile seizure — the pivotal step that drives prognosis and workup.</w:t>
            </w:r>
          </w:p>
        </w:tc>
        <w:tc>
          <w:tcPr>
            <w:tcW w:type="dxa" w:w="1036"/>
            <w:vAlign w:val="top"/>
          </w:tcPr>
          <w:p>
            <w:pPr>
              <w:spacing w:after="40" w:before="0" w:line="259" w:lineRule="auto"/>
            </w:pPr>
            <w:r>
              <w:rPr>
                <w:rFonts w:ascii="Calibri" w:hAnsi="Calibri"/>
                <w:b w:val="0"/>
                <w:i w:val="0"/>
                <w:color w:val="212121"/>
                <w:sz w:val="16"/>
              </w:rPr>
              <w:t>All first febrile seizures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Core</w:t>
            </w:r>
          </w:p>
        </w:tc>
        <w:tc>
          <w:tcPr>
            <w:tcW w:type="dxa" w:w="720"/>
            <w:vAlign w:val="top"/>
          </w:tcPr>
          <w:p>
            <w:pPr>
              <w:spacing w:after="40" w:before="0" w:line="259" w:lineRule="auto"/>
            </w:pPr>
            <w:r>
              <w:rPr>
                <w:rFonts w:ascii="Calibri" w:hAnsi="Calibri"/>
                <w:b w:val="0"/>
                <w:i w:val="0"/>
                <w:color w:val="212121"/>
                <w:sz w:val="16"/>
              </w:rPr>
              <w:t>Obtain a careful eyewitness account.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Fever &amp; infection history</w:t>
            </w:r>
          </w:p>
        </w:tc>
        <w:tc>
          <w:tcPr>
            <w:tcW w:type="dxa" w:w="979"/>
            <w:vAlign w:val="top"/>
          </w:tcPr>
          <w:p>
            <w:pPr>
              <w:spacing w:after="40" w:before="0" w:line="259" w:lineRule="auto"/>
            </w:pPr>
            <w:r>
              <w:rPr>
                <w:rFonts w:ascii="Calibri" w:hAnsi="Calibri"/>
                <w:b w:val="0"/>
                <w:i w:val="0"/>
                <w:color w:val="212121"/>
                <w:sz w:val="16"/>
              </w:rPr>
              <w:t>Temperature, timing relative to seizure, source of infection</w:t>
            </w:r>
          </w:p>
        </w:tc>
        <w:tc>
          <w:tcPr>
            <w:tcW w:type="dxa" w:w="950"/>
            <w:vAlign w:val="top"/>
          </w:tcPr>
          <w:p>
            <w:pPr>
              <w:spacing w:after="40" w:before="0" w:line="259" w:lineRule="auto"/>
            </w:pPr>
            <w:r>
              <w:rPr>
                <w:rFonts w:ascii="Calibri" w:hAnsi="Calibri"/>
                <w:b w:val="0"/>
                <w:i w:val="0"/>
                <w:color w:val="212121"/>
                <w:sz w:val="16"/>
              </w:rPr>
              <w:t>Recognised viral source; seizure early in the fever</w:t>
            </w:r>
          </w:p>
        </w:tc>
        <w:tc>
          <w:tcPr>
            <w:tcW w:type="dxa" w:w="950"/>
            <w:vAlign w:val="top"/>
          </w:tcPr>
          <w:p>
            <w:pPr>
              <w:spacing w:after="40" w:before="0" w:line="259" w:lineRule="auto"/>
            </w:pPr>
            <w:r>
              <w:rPr>
                <w:rFonts w:ascii="Calibri" w:hAnsi="Calibri"/>
                <w:b w:val="0"/>
                <w:i w:val="0"/>
                <w:color w:val="212121"/>
                <w:sz w:val="16"/>
              </w:rPr>
              <w:t>No identifiable source; prolonged or recurrent fever</w:t>
            </w:r>
          </w:p>
        </w:tc>
        <w:tc>
          <w:tcPr>
            <w:tcW w:type="dxa" w:w="1036"/>
            <w:vAlign w:val="top"/>
          </w:tcPr>
          <w:p>
            <w:pPr>
              <w:spacing w:after="40" w:before="0" w:line="259" w:lineRule="auto"/>
            </w:pPr>
            <w:r>
              <w:rPr>
                <w:rFonts w:ascii="Calibri" w:hAnsi="Calibri"/>
                <w:b w:val="0"/>
                <w:i w:val="0"/>
                <w:color w:val="212121"/>
                <w:sz w:val="16"/>
              </w:rPr>
              <w:t>Confirms the febrile trigger and directs the search for the infective focus.</w:t>
            </w:r>
          </w:p>
        </w:tc>
        <w:tc>
          <w:tcPr>
            <w:tcW w:type="dxa" w:w="1036"/>
            <w:vAlign w:val="top"/>
          </w:tcPr>
          <w:p>
            <w:pPr>
              <w:spacing w:after="40" w:before="0" w:line="259" w:lineRule="auto"/>
            </w:pPr>
            <w:r>
              <w:rPr>
                <w:rFonts w:ascii="Calibri" w:hAnsi="Calibri"/>
                <w:b w:val="0"/>
                <w:i w:val="0"/>
                <w:color w:val="212121"/>
                <w:sz w:val="16"/>
              </w:rPr>
              <w:t>All children with a febrile seizure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Core</w:t>
            </w:r>
          </w:p>
        </w:tc>
        <w:tc>
          <w:tcPr>
            <w:tcW w:type="dxa" w:w="720"/>
            <w:vAlign w:val="top"/>
          </w:tcPr>
          <w:p>
            <w:pPr>
              <w:spacing w:after="40" w:before="0" w:line="259" w:lineRule="auto"/>
            </w:pPr>
            <w:r>
              <w:rPr>
                <w:rFonts w:ascii="Calibri" w:hAnsi="Calibri"/>
                <w:b w:val="0"/>
                <w:i w:val="0"/>
                <w:color w:val="212121"/>
                <w:sz w:val="16"/>
              </w:rPr>
              <w:t>Ask about ear pain, coryza, roseola rash, diarrhoea, and immunisation in the prior 2 weeks.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Developmental &amp; perinatal history</w:t>
            </w:r>
          </w:p>
        </w:tc>
        <w:tc>
          <w:tcPr>
            <w:tcW w:type="dxa" w:w="979"/>
            <w:vAlign w:val="top"/>
          </w:tcPr>
          <w:p>
            <w:pPr>
              <w:spacing w:after="40" w:before="0" w:line="259" w:lineRule="auto"/>
            </w:pPr>
            <w:r>
              <w:rPr>
                <w:rFonts w:ascii="Calibri" w:hAnsi="Calibri"/>
                <w:b w:val="0"/>
                <w:i w:val="0"/>
                <w:color w:val="212121"/>
                <w:sz w:val="16"/>
              </w:rPr>
              <w:t>Milestones; perinatal adversity; maternal education</w:t>
            </w:r>
          </w:p>
        </w:tc>
        <w:tc>
          <w:tcPr>
            <w:tcW w:type="dxa" w:w="950"/>
            <w:vAlign w:val="top"/>
          </w:tcPr>
          <w:p>
            <w:pPr>
              <w:spacing w:after="40" w:before="0" w:line="259" w:lineRule="auto"/>
            </w:pPr>
            <w:r>
              <w:rPr>
                <w:rFonts w:ascii="Calibri" w:hAnsi="Calibri"/>
                <w:b w:val="0"/>
                <w:i w:val="0"/>
                <w:color w:val="212121"/>
                <w:sz w:val="16"/>
              </w:rPr>
              <w:t>Age-appropriate development, uncomplicated perinatal history</w:t>
            </w:r>
          </w:p>
        </w:tc>
        <w:tc>
          <w:tcPr>
            <w:tcW w:type="dxa" w:w="950"/>
            <w:vAlign w:val="top"/>
          </w:tcPr>
          <w:p>
            <w:pPr>
              <w:spacing w:after="40" w:before="0" w:line="259" w:lineRule="auto"/>
            </w:pPr>
            <w:r>
              <w:rPr>
                <w:rFonts w:ascii="Calibri" w:hAnsi="Calibri"/>
                <w:b w:val="0"/>
                <w:i w:val="0"/>
                <w:color w:val="212121"/>
                <w:sz w:val="16"/>
              </w:rPr>
              <w:t>Developmental delay or perinatal insult</w:t>
            </w:r>
          </w:p>
        </w:tc>
        <w:tc>
          <w:tcPr>
            <w:tcW w:type="dxa" w:w="1036"/>
            <w:vAlign w:val="top"/>
          </w:tcPr>
          <w:p>
            <w:pPr>
              <w:spacing w:after="40" w:before="0" w:line="259" w:lineRule="auto"/>
            </w:pPr>
            <w:r>
              <w:rPr>
                <w:rFonts w:ascii="Calibri" w:hAnsi="Calibri"/>
                <w:b w:val="0"/>
                <w:i w:val="0"/>
                <w:color w:val="212121"/>
                <w:sz w:val="16"/>
              </w:rPr>
              <w:t>Abnormal development raises later-epilepsy risk; perinatal adversity is linked to recurrent febrile seizures in Indian data.</w:t>
            </w:r>
          </w:p>
        </w:tc>
        <w:tc>
          <w:tcPr>
            <w:tcW w:type="dxa" w:w="1036"/>
            <w:vAlign w:val="top"/>
          </w:tcPr>
          <w:p>
            <w:pPr>
              <w:spacing w:after="40" w:before="0" w:line="259" w:lineRule="auto"/>
            </w:pPr>
            <w:r>
              <w:rPr>
                <w:rFonts w:ascii="Calibri" w:hAnsi="Calibri"/>
                <w:b w:val="0"/>
                <w:i w:val="0"/>
                <w:color w:val="212121"/>
                <w:sz w:val="16"/>
              </w:rPr>
              <w:t>Children with delay or perinatal complications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Document antenatal and birth history.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Febrile seizures / epilepsy in first-degree relatives; consanguinity</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Positive family history or parental consanguinity</w:t>
            </w:r>
          </w:p>
        </w:tc>
        <w:tc>
          <w:tcPr>
            <w:tcW w:type="dxa" w:w="1036"/>
            <w:vAlign w:val="top"/>
          </w:tcPr>
          <w:p>
            <w:pPr>
              <w:spacing w:after="40" w:before="0" w:line="259" w:lineRule="auto"/>
            </w:pPr>
            <w:r>
              <w:rPr>
                <w:rFonts w:ascii="Calibri" w:hAnsi="Calibri"/>
                <w:b w:val="0"/>
                <w:i w:val="0"/>
                <w:color w:val="212121"/>
                <w:sz w:val="16"/>
              </w:rPr>
              <w:t>Marks genetic predisposition and predicts recurrence, GEFS+, and later epilepsy.</w:t>
            </w:r>
          </w:p>
        </w:tc>
        <w:tc>
          <w:tcPr>
            <w:tcW w:type="dxa" w:w="1036"/>
            <w:vAlign w:val="top"/>
          </w:tcPr>
          <w:p>
            <w:pPr>
              <w:spacing w:after="40" w:before="0" w:line="259" w:lineRule="auto"/>
            </w:pPr>
            <w:r>
              <w:rPr>
                <w:rFonts w:ascii="Calibri" w:hAnsi="Calibri"/>
                <w:b w:val="0"/>
                <w:i w:val="0"/>
                <w:color w:val="212121"/>
                <w:sz w:val="16"/>
              </w:rPr>
              <w:t>Familial cases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Family history of febrile seizures is present in about a quarter of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Level of consciousness / post-ictal state</w:t>
            </w:r>
          </w:p>
        </w:tc>
        <w:tc>
          <w:tcPr>
            <w:tcW w:type="dxa" w:w="979"/>
            <w:vAlign w:val="top"/>
          </w:tcPr>
          <w:p>
            <w:pPr>
              <w:spacing w:after="40" w:before="0" w:line="259" w:lineRule="auto"/>
            </w:pPr>
            <w:r>
              <w:rPr>
                <w:rFonts w:ascii="Calibri" w:hAnsi="Calibri"/>
                <w:b w:val="0"/>
                <w:i w:val="0"/>
                <w:color w:val="212121"/>
                <w:sz w:val="16"/>
              </w:rPr>
              <w:t>GCS, post-ictal recovery time, Todd's paresis</w:t>
            </w:r>
          </w:p>
        </w:tc>
        <w:tc>
          <w:tcPr>
            <w:tcW w:type="dxa" w:w="950"/>
            <w:vAlign w:val="top"/>
          </w:tcPr>
          <w:p>
            <w:pPr>
              <w:spacing w:after="40" w:before="0" w:line="259" w:lineRule="auto"/>
            </w:pPr>
            <w:r>
              <w:rPr>
                <w:rFonts w:ascii="Calibri" w:hAnsi="Calibri"/>
                <w:b w:val="0"/>
                <w:i w:val="0"/>
                <w:color w:val="212121"/>
                <w:sz w:val="16"/>
              </w:rPr>
              <w:t>Rapid, full recovery of consciousness</w:t>
            </w:r>
          </w:p>
        </w:tc>
        <w:tc>
          <w:tcPr>
            <w:tcW w:type="dxa" w:w="950"/>
            <w:vAlign w:val="top"/>
          </w:tcPr>
          <w:p>
            <w:pPr>
              <w:spacing w:after="40" w:before="0" w:line="259" w:lineRule="auto"/>
            </w:pPr>
            <w:r>
              <w:rPr>
                <w:rFonts w:ascii="Calibri" w:hAnsi="Calibri"/>
                <w:b w:val="0"/>
                <w:i w:val="0"/>
                <w:color w:val="212121"/>
                <w:sz w:val="16"/>
              </w:rPr>
              <w:t>Prolonged depression (&gt; 1 h) or focal weakness</w:t>
            </w:r>
          </w:p>
        </w:tc>
        <w:tc>
          <w:tcPr>
            <w:tcW w:type="dxa" w:w="1036"/>
            <w:vAlign w:val="top"/>
          </w:tcPr>
          <w:p>
            <w:pPr>
              <w:spacing w:after="40" w:before="0" w:line="259" w:lineRule="auto"/>
            </w:pPr>
            <w:r>
              <w:rPr>
                <w:rFonts w:ascii="Calibri" w:hAnsi="Calibri"/>
                <w:b w:val="0"/>
                <w:i w:val="0"/>
                <w:color w:val="212121"/>
                <w:sz w:val="16"/>
              </w:rPr>
              <w:t>Prolonged altered sensorium suggests CNS infection or a complex seizure and prompts further workup.</w:t>
            </w:r>
          </w:p>
        </w:tc>
        <w:tc>
          <w:tcPr>
            <w:tcW w:type="dxa" w:w="1036"/>
            <w:vAlign w:val="top"/>
          </w:tcPr>
          <w:p>
            <w:pPr>
              <w:spacing w:after="40" w:before="0" w:line="259" w:lineRule="auto"/>
            </w:pPr>
            <w:r>
              <w:rPr>
                <w:rFonts w:ascii="Calibri" w:hAnsi="Calibri"/>
                <w:b w:val="0"/>
                <w:i w:val="0"/>
                <w:color w:val="212121"/>
                <w:sz w:val="16"/>
              </w:rPr>
              <w:t>Every post-seizure child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Persistent drowsiness should trigger consideration of lumbar puncture /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Meningeal signs &amp; fontanelle</w:t>
            </w:r>
          </w:p>
        </w:tc>
        <w:tc>
          <w:tcPr>
            <w:tcW w:type="dxa" w:w="979"/>
            <w:vAlign w:val="top"/>
          </w:tcPr>
          <w:p>
            <w:pPr>
              <w:spacing w:after="40" w:before="0" w:line="259" w:lineRule="auto"/>
            </w:pPr>
            <w:r>
              <w:rPr>
                <w:rFonts w:ascii="Calibri" w:hAnsi="Calibri"/>
                <w:b w:val="0"/>
                <w:i w:val="0"/>
                <w:color w:val="212121"/>
                <w:sz w:val="16"/>
              </w:rPr>
              <w:t>Neck stiffness, Kernig/Brudzinski, bulging fontanelle, photophobia</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Screens for meningitis / encephalitis — the key condition to exclude.</w:t>
            </w:r>
          </w:p>
        </w:tc>
        <w:tc>
          <w:tcPr>
            <w:tcW w:type="dxa" w:w="1036"/>
            <w:vAlign w:val="top"/>
          </w:tcPr>
          <w:p>
            <w:pPr>
              <w:spacing w:after="40" w:before="0" w:line="259" w:lineRule="auto"/>
            </w:pPr>
            <w:r>
              <w:rPr>
                <w:rFonts w:ascii="Calibri" w:hAnsi="Calibri"/>
                <w:b w:val="0"/>
                <w:i w:val="0"/>
                <w:color w:val="212121"/>
                <w:sz w:val="16"/>
              </w:rPr>
              <w:t>Infants and toxic-appearing children</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Safety-critical</w:t>
            </w:r>
          </w:p>
        </w:tc>
        <w:tc>
          <w:tcPr>
            <w:tcW w:type="dxa" w:w="720"/>
            <w:vAlign w:val="top"/>
          </w:tcPr>
          <w:p>
            <w:pPr>
              <w:spacing w:after="40" w:before="0" w:line="259" w:lineRule="auto"/>
            </w:pPr>
            <w:r>
              <w:rPr>
                <w:rFonts w:ascii="Calibri" w:hAnsi="Calibri"/>
                <w:b w:val="0"/>
                <w:i w:val="0"/>
                <w:color w:val="212121"/>
                <w:sz w:val="16"/>
              </w:rPr>
              <w:t>Classic meningeal signs may be absent in young infants.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Pallor &amp; nutritional assessment</w:t>
            </w:r>
          </w:p>
        </w:tc>
        <w:tc>
          <w:tcPr>
            <w:tcW w:type="dxa" w:w="979"/>
            <w:vAlign w:val="top"/>
          </w:tcPr>
          <w:p>
            <w:pPr>
              <w:spacing w:after="40" w:before="0" w:line="259" w:lineRule="auto"/>
            </w:pPr>
            <w:r>
              <w:rPr>
                <w:rFonts w:ascii="Calibri" w:hAnsi="Calibri"/>
                <w:b w:val="0"/>
                <w:i w:val="0"/>
                <w:color w:val="212121"/>
                <w:sz w:val="16"/>
              </w:rPr>
              <w:t>Conjunctival/palmar pallor, koilonychia, growth parameters</w:t>
            </w:r>
          </w:p>
        </w:tc>
        <w:tc>
          <w:tcPr>
            <w:tcW w:type="dxa" w:w="950"/>
            <w:vAlign w:val="top"/>
          </w:tcPr>
          <w:p>
            <w:pPr>
              <w:spacing w:after="40" w:before="0" w:line="259" w:lineRule="auto"/>
            </w:pPr>
            <w:r>
              <w:rPr>
                <w:rFonts w:ascii="Calibri" w:hAnsi="Calibri"/>
                <w:b w:val="0"/>
                <w:i w:val="0"/>
                <w:color w:val="212121"/>
                <w:sz w:val="16"/>
              </w:rPr>
              <w:t>No pallor; normal growth</w:t>
            </w:r>
          </w:p>
        </w:tc>
        <w:tc>
          <w:tcPr>
            <w:tcW w:type="dxa" w:w="950"/>
            <w:vAlign w:val="top"/>
          </w:tcPr>
          <w:p>
            <w:pPr>
              <w:spacing w:after="40" w:before="0" w:line="259" w:lineRule="auto"/>
            </w:pPr>
            <w:r>
              <w:rPr>
                <w:rFonts w:ascii="Calibri" w:hAnsi="Calibri"/>
                <w:b w:val="0"/>
                <w:i w:val="0"/>
                <w:color w:val="212121"/>
                <w:sz w:val="16"/>
              </w:rPr>
              <w:t>Pallor or evidence of undernutrition</w:t>
            </w:r>
          </w:p>
        </w:tc>
        <w:tc>
          <w:tcPr>
            <w:tcW w:type="dxa" w:w="1036"/>
            <w:vAlign w:val="top"/>
          </w:tcPr>
          <w:p>
            <w:pPr>
              <w:spacing w:after="40" w:before="0" w:line="259" w:lineRule="auto"/>
            </w:pPr>
            <w:r>
              <w:rPr>
                <w:rFonts w:ascii="Calibri" w:hAnsi="Calibri"/>
                <w:b w:val="0"/>
                <w:i w:val="0"/>
                <w:color w:val="212121"/>
                <w:sz w:val="16"/>
              </w:rPr>
              <w:t>A clinical clue to iron-deficiency anaemia and micronutrient deficiency — modifiable factors in Indian children.</w:t>
            </w:r>
          </w:p>
        </w:tc>
        <w:tc>
          <w:tcPr>
            <w:tcW w:type="dxa" w:w="1036"/>
            <w:vAlign w:val="top"/>
          </w:tcPr>
          <w:p>
            <w:pPr>
              <w:spacing w:after="40" w:before="0" w:line="259" w:lineRule="auto"/>
            </w:pPr>
            <w:r>
              <w:rPr>
                <w:rFonts w:ascii="Calibri" w:hAnsi="Calibri"/>
                <w:b w:val="0"/>
                <w:i w:val="0"/>
                <w:color w:val="212121"/>
                <w:sz w:val="16"/>
              </w:rPr>
              <w:t>Toddlers, undernourished children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Prompts CBC and iron studies.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Generalized tonic-clonic convulsion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Symmetrical stiffening followed by rhythmic jerking of all four limbs during a fever — the typical simple febrile seizure.</w:t>
            </w:r>
          </w:p>
        </w:tc>
      </w:tr>
      <w:tr>
        <w:trPr>
          <w:cantSplit/>
        </w:trPr>
        <w:tc>
          <w:tcPr>
            <w:tcW w:type="dxa" w:w="2304"/>
            <w:vAlign w:val="top"/>
          </w:tcPr>
          <w:p>
            <w:pPr>
              <w:spacing w:after="40" w:before="0" w:line="259" w:lineRule="auto"/>
            </w:pPr>
            <w:r>
              <w:rPr>
                <w:rFonts w:ascii="Calibri" w:hAnsi="Calibri"/>
                <w:b/>
                <w:i w:val="0"/>
                <w:color w:val="212121"/>
                <w:sz w:val="19"/>
              </w:rPr>
              <w:t>Loss of consciousness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child is unresponsive during the event and has no recollection of it afterwards.</w:t>
            </w:r>
          </w:p>
        </w:tc>
      </w:tr>
      <w:tr>
        <w:trPr>
          <w:cantSplit/>
        </w:trPr>
        <w:tc>
          <w:tcPr>
            <w:tcW w:type="dxa" w:w="2304"/>
            <w:vAlign w:val="top"/>
          </w:tcPr>
          <w:p>
            <w:pPr>
              <w:spacing w:after="40" w:before="0" w:line="259" w:lineRule="auto"/>
            </w:pPr>
            <w:r>
              <w:rPr>
                <w:rFonts w:ascii="Calibri" w:hAnsi="Calibri"/>
                <w:b/>
                <w:i w:val="0"/>
                <w:color w:val="212121"/>
                <w:sz w:val="19"/>
              </w:rPr>
              <w:t>Fever (≥ 38 °C) at or just before onset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defining trigger; the seizure often occurs early in the febrile illness, sometimes as the first sign of fever.</w:t>
            </w:r>
          </w:p>
        </w:tc>
      </w:tr>
      <w:tr>
        <w:trPr>
          <w:cantSplit/>
        </w:trPr>
        <w:tc>
          <w:tcPr>
            <w:tcW w:type="dxa" w:w="2304"/>
            <w:vAlign w:val="top"/>
          </w:tcPr>
          <w:p>
            <w:pPr>
              <w:spacing w:after="40" w:before="0" w:line="259" w:lineRule="auto"/>
            </w:pPr>
            <w:r>
              <w:rPr>
                <w:rFonts w:ascii="Calibri" w:hAnsi="Calibri"/>
                <w:b/>
                <w:i w:val="0"/>
                <w:color w:val="212121"/>
                <w:sz w:val="19"/>
              </w:rPr>
              <w:t>Eye rolling / upward gaze deviation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eyes roll back or deviate during the ictal phase.</w:t>
            </w:r>
          </w:p>
        </w:tc>
      </w:tr>
      <w:tr>
        <w:trPr>
          <w:cantSplit/>
        </w:trPr>
        <w:tc>
          <w:tcPr>
            <w:tcW w:type="dxa" w:w="2304"/>
            <w:vAlign w:val="top"/>
          </w:tcPr>
          <w:p>
            <w:pPr>
              <w:spacing w:after="40" w:before="0" w:line="259" w:lineRule="auto"/>
            </w:pPr>
            <w:r>
              <w:rPr>
                <w:rFonts w:ascii="Calibri" w:hAnsi="Calibri"/>
                <w:b/>
                <w:i w:val="0"/>
                <w:color w:val="212121"/>
                <w:sz w:val="19"/>
              </w:rPr>
              <w:t>Post-ictal drowsiness or confusion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Sleepiness and disorientation for minutes after the seizure; brief and self-limiting in simple febrile seizures.</w:t>
            </w:r>
          </w:p>
        </w:tc>
      </w:tr>
      <w:tr>
        <w:trPr>
          <w:cantSplit/>
        </w:trPr>
        <w:tc>
          <w:tcPr>
            <w:tcW w:type="dxa" w:w="2304"/>
            <w:vAlign w:val="top"/>
          </w:tcPr>
          <w:p>
            <w:pPr>
              <w:spacing w:after="40" w:before="0" w:line="259" w:lineRule="auto"/>
            </w:pPr>
            <w:r>
              <w:rPr>
                <w:rFonts w:ascii="Calibri" w:hAnsi="Calibri"/>
                <w:b/>
                <w:i w:val="0"/>
                <w:color w:val="212121"/>
                <w:sz w:val="19"/>
              </w:rPr>
              <w:t>Purely tonic (stiffening) or atonic (limpness) episode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Some events are purely tonic or hypotonic rather than tonic-clonic.</w:t>
            </w:r>
          </w:p>
        </w:tc>
      </w:tr>
      <w:tr>
        <w:trPr>
          <w:cantSplit/>
        </w:trPr>
        <w:tc>
          <w:tcPr>
            <w:tcW w:type="dxa" w:w="2304"/>
            <w:vAlign w:val="top"/>
          </w:tcPr>
          <w:p>
            <w:pPr>
              <w:spacing w:after="40" w:before="0" w:line="259" w:lineRule="auto"/>
            </w:pPr>
            <w:r>
              <w:rPr>
                <w:rFonts w:ascii="Calibri" w:hAnsi="Calibri"/>
                <w:b/>
                <w:i w:val="0"/>
                <w:color w:val="212121"/>
                <w:sz w:val="19"/>
              </w:rPr>
              <w:t>Frothing/drooling, cyanosis or tongue-biting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Transient perioral blue discolouration and oral frothing may accompany the convulsion.</w:t>
            </w:r>
          </w:p>
        </w:tc>
      </w:tr>
      <w:tr>
        <w:trPr>
          <w:cantSplit/>
        </w:trPr>
        <w:tc>
          <w:tcPr>
            <w:tcW w:type="dxa" w:w="2304"/>
            <w:vAlign w:val="top"/>
          </w:tcPr>
          <w:p>
            <w:pPr>
              <w:spacing w:after="40" w:before="0" w:line="259" w:lineRule="auto"/>
            </w:pPr>
            <w:r>
              <w:rPr>
                <w:rFonts w:ascii="Calibri" w:hAnsi="Calibri"/>
                <w:b/>
                <w:i w:val="0"/>
                <w:color w:val="212121"/>
                <w:sz w:val="19"/>
              </w:rPr>
              <w:t>Urinary or faecal incontinence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occur during the ictal phase.</w:t>
            </w:r>
          </w:p>
        </w:tc>
      </w:tr>
      <w:tr>
        <w:trPr>
          <w:cantSplit/>
        </w:trPr>
        <w:tc>
          <w:tcPr>
            <w:tcW w:type="dxa" w:w="2304"/>
            <w:vAlign w:val="top"/>
          </w:tcPr>
          <w:p>
            <w:pPr>
              <w:spacing w:after="40" w:before="0" w:line="259" w:lineRule="auto"/>
            </w:pPr>
            <w:r>
              <w:rPr>
                <w:rFonts w:ascii="Calibri" w:hAnsi="Calibri"/>
                <w:b/>
                <w:i w:val="0"/>
                <w:color w:val="212121"/>
                <w:sz w:val="19"/>
              </w:rPr>
              <w:t>Focal features (one-sided jerking, head/eye deviation)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Indicates a complex febrile seizure and warrants closer evaluation.</w:t>
            </w:r>
          </w:p>
        </w:tc>
      </w:tr>
      <w:tr>
        <w:trPr>
          <w:cantSplit/>
        </w:trPr>
        <w:tc>
          <w:tcPr>
            <w:tcW w:type="dxa" w:w="2304"/>
            <w:vAlign w:val="top"/>
          </w:tcPr>
          <w:p>
            <w:pPr>
              <w:spacing w:after="40" w:before="0" w:line="259" w:lineRule="auto"/>
            </w:pPr>
            <w:r>
              <w:rPr>
                <w:rFonts w:ascii="Calibri" w:hAnsi="Calibri"/>
                <w:b/>
                <w:i w:val="0"/>
                <w:color w:val="212121"/>
                <w:sz w:val="19"/>
              </w:rPr>
              <w:t>Prolonged seizure (&gt; 15 min) or clustering within 24 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Marks a complex febrile seizure; an event ≥ 30 minutes constitutes febrile status epilepticus.</w:t>
            </w:r>
          </w:p>
        </w:tc>
      </w:tr>
      <w:tr>
        <w:trPr>
          <w:cantSplit/>
        </w:trPr>
        <w:tc>
          <w:tcPr>
            <w:tcW w:type="dxa" w:w="2304"/>
            <w:vAlign w:val="top"/>
          </w:tcPr>
          <w:p>
            <w:pPr>
              <w:spacing w:after="40" w:before="0" w:line="259" w:lineRule="auto"/>
            </w:pPr>
            <w:r>
              <w:rPr>
                <w:rFonts w:ascii="Calibri" w:hAnsi="Calibri"/>
                <w:b/>
                <w:i w:val="0"/>
                <w:color w:val="212121"/>
                <w:sz w:val="19"/>
              </w:rPr>
              <w:t>Recurrent seizures within the same febrile illness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More than one seizure in 24 hours is a complex feature.</w:t>
            </w:r>
          </w:p>
        </w:tc>
      </w:tr>
      <w:tr>
        <w:trPr>
          <w:cantSplit/>
        </w:trPr>
        <w:tc>
          <w:tcPr>
            <w:tcW w:type="dxa" w:w="2304"/>
            <w:vAlign w:val="top"/>
          </w:tcPr>
          <w:p>
            <w:pPr>
              <w:spacing w:after="40" w:before="0" w:line="259" w:lineRule="auto"/>
            </w:pPr>
            <w:r>
              <w:rPr>
                <w:rFonts w:ascii="Calibri" w:hAnsi="Calibri"/>
                <w:b/>
                <w:i w:val="0"/>
                <w:color w:val="212121"/>
                <w:sz w:val="19"/>
              </w:rPr>
              <w:t>Todd's paresis (transient post-ictal weakness)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Temporary focal weakness after a focal/complex seizure, resolving over minutes to hours.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Documented fever (≥ 38 °C / 100.4 °F)</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pyrexia on measurement supports the febrile trigger.</w:t>
            </w:r>
          </w:p>
        </w:tc>
      </w:tr>
      <w:tr>
        <w:trPr>
          <w:cantSplit/>
        </w:trPr>
        <w:tc>
          <w:tcPr>
            <w:tcW w:type="dxa" w:w="3456"/>
            <w:vAlign w:val="top"/>
          </w:tcPr>
          <w:p>
            <w:pPr>
              <w:spacing w:after="40" w:before="0" w:line="259" w:lineRule="auto"/>
            </w:pPr>
            <w:r>
              <w:rPr>
                <w:rFonts w:ascii="Calibri" w:hAnsi="Calibri"/>
                <w:b/>
                <w:i w:val="0"/>
                <w:color w:val="212121"/>
                <w:sz w:val="19"/>
              </w:rPr>
              <w:t>Signs of an extracranial infection focus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 tympanic membrane (otitis media), pharyngitis, coryza, or a roseola rash identifying the source of fever.</w:t>
            </w:r>
          </w:p>
        </w:tc>
      </w:tr>
      <w:tr>
        <w:trPr>
          <w:cantSplit/>
        </w:trPr>
        <w:tc>
          <w:tcPr>
            <w:tcW w:type="dxa" w:w="3456"/>
            <w:vAlign w:val="top"/>
          </w:tcPr>
          <w:p>
            <w:pPr>
              <w:spacing w:after="40" w:before="0" w:line="259" w:lineRule="auto"/>
            </w:pPr>
            <w:r>
              <w:rPr>
                <w:rFonts w:ascii="Calibri" w:hAnsi="Calibri"/>
                <w:b/>
                <w:i w:val="0"/>
                <w:color w:val="212121"/>
                <w:sz w:val="19"/>
              </w:rPr>
              <w:t>Post-ictal drowsiness with rapid recovery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Brief reduced responsiveness that resolves quickly — characteristic of a simple febrile seizure.</w:t>
            </w:r>
          </w:p>
        </w:tc>
      </w:tr>
      <w:tr>
        <w:trPr>
          <w:cantSplit/>
        </w:trPr>
        <w:tc>
          <w:tcPr>
            <w:tcW w:type="dxa" w:w="3456"/>
            <w:vAlign w:val="top"/>
          </w:tcPr>
          <w:p>
            <w:pPr>
              <w:spacing w:after="40" w:before="0" w:line="259" w:lineRule="auto"/>
            </w:pPr>
            <w:r>
              <w:rPr>
                <w:rFonts w:ascii="Calibri" w:hAnsi="Calibri"/>
                <w:b/>
                <w:i w:val="0"/>
                <w:color w:val="212121"/>
                <w:sz w:val="19"/>
              </w:rPr>
              <w:t>Normal neurological examination between and after seizures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Absence of focal deficit or persistent depression of consciousness is reassuring and typical.</w:t>
            </w:r>
          </w:p>
        </w:tc>
      </w:tr>
      <w:tr>
        <w:trPr>
          <w:cantSplit/>
        </w:trPr>
        <w:tc>
          <w:tcPr>
            <w:tcW w:type="dxa" w:w="3456"/>
            <w:vAlign w:val="top"/>
          </w:tcPr>
          <w:p>
            <w:pPr>
              <w:spacing w:after="40" w:before="0" w:line="259" w:lineRule="auto"/>
            </w:pPr>
            <w:r>
              <w:rPr>
                <w:rFonts w:ascii="Calibri" w:hAnsi="Calibri"/>
                <w:b/>
                <w:i w:val="0"/>
                <w:color w:val="212121"/>
                <w:sz w:val="19"/>
              </w:rPr>
              <w:t>Conjunctival / palmar pallor</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clinical marker of iron-deficiency anaemia, a recognised and modifiable risk factor in Indian children.</w:t>
            </w:r>
          </w:p>
        </w:tc>
      </w:tr>
      <w:tr>
        <w:trPr>
          <w:cantSplit/>
        </w:trPr>
        <w:tc>
          <w:tcPr>
            <w:tcW w:type="dxa" w:w="3456"/>
            <w:vAlign w:val="top"/>
          </w:tcPr>
          <w:p>
            <w:pPr>
              <w:spacing w:after="40" w:before="0" w:line="259" w:lineRule="auto"/>
            </w:pPr>
            <w:r>
              <w:rPr>
                <w:rFonts w:ascii="Calibri" w:hAnsi="Calibri"/>
                <w:b/>
                <w:i w:val="0"/>
                <w:color w:val="212121"/>
                <w:sz w:val="19"/>
              </w:rPr>
              <w:t>Tachycardia and flushing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Physiological accompaniments of the febrile state.</w:t>
            </w:r>
          </w:p>
        </w:tc>
      </w:tr>
      <w:tr>
        <w:trPr>
          <w:cantSplit/>
        </w:trPr>
        <w:tc>
          <w:tcPr>
            <w:tcW w:type="dxa" w:w="3456"/>
            <w:vAlign w:val="top"/>
          </w:tcPr>
          <w:p>
            <w:pPr>
              <w:spacing w:after="40" w:before="0" w:line="259" w:lineRule="auto"/>
            </w:pPr>
            <w:r>
              <w:rPr>
                <w:rFonts w:ascii="Calibri" w:hAnsi="Calibri"/>
                <w:b/>
                <w:i w:val="0"/>
                <w:color w:val="212121"/>
                <w:sz w:val="19"/>
              </w:rPr>
              <w:t>Todd's paresis (transient focal weakness)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Post-ictal one-sided weakness after a complex or focal seizure.</w:t>
            </w:r>
          </w:p>
        </w:tc>
      </w:tr>
      <w:tr>
        <w:trPr>
          <w:cantSplit/>
        </w:trPr>
        <w:tc>
          <w:tcPr>
            <w:tcW w:type="dxa" w:w="3456"/>
            <w:vAlign w:val="top"/>
          </w:tcPr>
          <w:p>
            <w:pPr>
              <w:spacing w:after="40" w:before="0" w:line="259" w:lineRule="auto"/>
            </w:pPr>
            <w:r>
              <w:rPr>
                <w:rFonts w:ascii="Calibri" w:hAnsi="Calibri"/>
                <w:b/>
                <w:i w:val="0"/>
                <w:color w:val="212121"/>
                <w:sz w:val="19"/>
              </w:rPr>
              <w:t>Meningeal signs (neck stiffness, bulging fontanelle, Kernig/Brudzinski)</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 flag — suggest meningitis/encephalitis rather than a simple febrile seizure and mandate CSF study.</w:t>
            </w:r>
          </w:p>
        </w:tc>
      </w:tr>
      <w:tr>
        <w:trPr>
          <w:cantSplit/>
        </w:trPr>
        <w:tc>
          <w:tcPr>
            <w:tcW w:type="dxa" w:w="3456"/>
            <w:vAlign w:val="top"/>
          </w:tcPr>
          <w:p>
            <w:pPr>
              <w:spacing w:after="40" w:before="0" w:line="259" w:lineRule="auto"/>
            </w:pPr>
            <w:r>
              <w:rPr>
                <w:rFonts w:ascii="Calibri" w:hAnsi="Calibri"/>
                <w:b/>
                <w:i w:val="0"/>
                <w:color w:val="212121"/>
                <w:sz w:val="19"/>
              </w:rPr>
              <w:t>Persistent altered sensorium (&gt; 1 hour)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Red flag — prolonged post-ictal depression suggests CNS infection or febrile status epilepticus.</w:t>
            </w:r>
          </w:p>
        </w:tc>
      </w:tr>
      <w:tr>
        <w:trPr>
          <w:cantSplit/>
        </w:trPr>
        <w:tc>
          <w:tcPr>
            <w:tcW w:type="dxa" w:w="3456"/>
            <w:vAlign w:val="top"/>
          </w:tcPr>
          <w:p>
            <w:pPr>
              <w:spacing w:after="40" w:before="0" w:line="259" w:lineRule="auto"/>
            </w:pPr>
            <w:r>
              <w:rPr>
                <w:rFonts w:ascii="Calibri" w:hAnsi="Calibri"/>
                <w:b/>
                <w:i w:val="0"/>
                <w:color w:val="212121"/>
                <w:sz w:val="19"/>
              </w:rPr>
              <w:t>Focal neurological deficit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Any persisting deficit is atypical for a simple febrile seizure and requires neuroimaging.</w:t>
            </w:r>
          </w:p>
        </w:tc>
      </w:tr>
      <w:tr>
        <w:trPr>
          <w:cantSplit/>
        </w:trPr>
        <w:tc>
          <w:tcPr>
            <w:tcW w:type="dxa" w:w="3456"/>
            <w:vAlign w:val="top"/>
          </w:tcPr>
          <w:p>
            <w:pPr>
              <w:spacing w:after="40" w:before="0" w:line="259" w:lineRule="auto"/>
            </w:pPr>
            <w:r>
              <w:rPr>
                <w:rFonts w:ascii="Calibri" w:hAnsi="Calibri"/>
                <w:b/>
                <w:i w:val="0"/>
                <w:color w:val="212121"/>
                <w:sz w:val="19"/>
              </w:rPr>
              <w:t>Petechial / non-blanching purpuric rash</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Red flag — raises concern for meningococcal sepsis and demands urgent evaluation.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Prolonged seizure / febrile status epilepticus (≥ 30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Transient hypoxia or aspiration during a prolonged convulsion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Physical injury during the seizure (fall, tongue or lip trauma)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Post-ictal Todd's paresis (transient focal weakness)</w:t>
            </w:r>
          </w:p>
        </w:tc>
        <w:tc>
          <w:tcPr>
            <w:tcW w:type="dxa" w:w="2980"/>
            <w:vAlign w:val="top"/>
          </w:tcPr>
          <w:p>
            <w:pPr>
              <w:spacing w:after="40" w:before="0" w:line="259" w:lineRule="auto"/>
            </w:pPr>
            <w:r>
              <w:rPr>
                <w:rFonts w:ascii="Calibri" w:hAnsi="Calibri"/>
                <w:b w:val="0"/>
                <w:i w:val="0"/>
                <w:color w:val="212121"/>
                <w:sz w:val="19"/>
              </w:rPr>
              <w:t>Direct, immediate consequences of the ictal event — uncommon and usually self-limiting.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febrile seizures (up to roughly one in three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hippocampal injury after febrile status epilepticus (FEBSTAT)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 missed underlying CNS infection (meningitis / encephalitis) if not actively excluded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caregiver anxiety and 'seizure-phobia' with repeated emergency visits</w:t>
            </w:r>
          </w:p>
        </w:tc>
        <w:tc>
          <w:tcPr>
            <w:tcW w:type="dxa" w:w="2980"/>
            <w:vAlign w:val="top"/>
          </w:tcPr>
          <w:p>
            <w:pPr>
              <w:spacing w:after="40" w:before="0" w:line="259" w:lineRule="auto"/>
            </w:pPr>
            <w:r>
              <w:rPr>
                <w:rFonts w:ascii="Calibri" w:hAnsi="Calibri"/>
                <w:b w:val="0"/>
                <w:i w:val="0"/>
                <w:color w:val="212121"/>
                <w:sz w:val="19"/>
              </w:rPr>
              <w:t>Sub-acute consequences arising from recurrence, prolonged seizures, or diagnostic error.</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Subsequent epilepsy — about 2% after a simple febrile seizure, rising to 6–8% with one complex feature and up to ~49% with multiple complex features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Mesial temporal sclerosis and temporal lobe epilepsy following febrile status epilepticus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Rarely, neurodevelopmental sequelae in the setting of febrile status epilepticus or an underlying epilepsy syndrome (e.g., Dravet)</w:t>
            </w:r>
          </w:p>
        </w:tc>
        <w:tc>
          <w:tcPr>
            <w:tcW w:type="dxa" w:w="2980"/>
            <w:vAlign w:val="top"/>
          </w:tcPr>
          <w:p>
            <w:pPr>
              <w:spacing w:after="40" w:before="0" w:line="259" w:lineRule="auto"/>
            </w:pPr>
            <w:r>
              <w:rPr>
                <w:rFonts w:ascii="Calibri" w:hAnsi="Calibri"/>
                <w:b w:val="0"/>
                <w:i w:val="0"/>
                <w:color w:val="212121"/>
                <w:sz w:val="19"/>
              </w:rPr>
              <w:t>Long-term, potentially disabling outcomes largely confined to complex/prolonged febrile seizures or genetic epilepsy syndromes; simple febrile seizures carry an excellent prognosis.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Iron-deficiency anaemia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Iron is a cofactor for monoamine and GABAergic neurotransmission; deficiency lowers the seizure threshold. Anaemic toddlers are markedly more likely to have simple febrile seizures, and it is a highly prevalent, modifiable Indian comorbidity.</w:t>
            </w:r>
          </w:p>
          <w:p>
            <w:pPr>
              <w:spacing w:after="40" w:before="0" w:line="259" w:lineRule="auto"/>
            </w:pPr>
            <w:r>
              <w:rPr>
                <w:rFonts w:ascii="Calibri" w:hAnsi="Calibri"/>
                <w:b/>
                <w:i w:val="0"/>
                <w:color w:val="212121"/>
                <w:sz w:val="19"/>
              </w:rPr>
              <w:t>Adjusted OR ≈ 4.5</w:t>
            </w:r>
          </w:p>
        </w:tc>
      </w:tr>
      <w:tr>
        <w:trPr>
          <w:cantSplit/>
        </w:trPr>
        <w:tc>
          <w:tcPr>
            <w:tcW w:type="dxa" w:w="2232"/>
            <w:vAlign w:val="top"/>
          </w:tcPr>
          <w:p>
            <w:pPr>
              <w:spacing w:after="40" w:before="0" w:line="259" w:lineRule="auto"/>
            </w:pPr>
            <w:r>
              <w:rPr>
                <w:rFonts w:ascii="Calibri" w:hAnsi="Calibri"/>
                <w:b/>
                <w:i w:val="0"/>
                <w:color w:val="212121"/>
                <w:sz w:val="19"/>
              </w:rPr>
              <w:t>Zinc deficiency (hypozincaemia)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Zinc modulates NMDA-receptor and GABAergic signalling; serum zinc is significantly lower in children with febrile seizures than in febrile controls, implicating deficiency in susceptibility.</w:t>
            </w:r>
          </w:p>
          <w:p>
            <w:pPr>
              <w:spacing w:after="40" w:before="0" w:line="259" w:lineRule="auto"/>
            </w:pPr>
            <w:r>
              <w:rPr>
                <w:rFonts w:ascii="Calibri" w:hAnsi="Calibri"/>
                <w:b/>
                <w:i w:val="0"/>
                <w:color w:val="212121"/>
                <w:sz w:val="19"/>
              </w:rPr>
              <w:t>Hypozincaemia in ~48% of cases vs ~6% of controls</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Vitamin D insufficiency, extremely common in Indian children, is significantly associated with simple febrile seizures and, in some studies, with recurrence.</w:t>
            </w:r>
          </w:p>
          <w:p>
            <w:pPr>
              <w:spacing w:after="40" w:before="0" w:line="259" w:lineRule="auto"/>
            </w:pPr>
            <w:r>
              <w:rPr>
                <w:rFonts w:ascii="Calibri" w:hAnsi="Calibri"/>
                <w:b/>
                <w:i w:val="0"/>
                <w:color w:val="212121"/>
                <w:sz w:val="19"/>
              </w:rPr>
              <w:t>Significant association (p &lt; 0.01)</w:t>
            </w:r>
          </w:p>
        </w:tc>
      </w:tr>
      <w:tr>
        <w:trPr>
          <w:cantSplit/>
        </w:trPr>
        <w:tc>
          <w:tcPr>
            <w:tcW w:type="dxa" w:w="2232"/>
            <w:vAlign w:val="top"/>
          </w:tcPr>
          <w:p>
            <w:pPr>
              <w:spacing w:after="40" w:before="0" w:line="259" w:lineRule="auto"/>
            </w:pPr>
            <w:r>
              <w:rPr>
                <w:rFonts w:ascii="Calibri" w:hAnsi="Calibri"/>
                <w:b/>
                <w:i w:val="0"/>
                <w:color w:val="212121"/>
                <w:sz w:val="19"/>
              </w:rPr>
              <w:t>Roseola infantum &amp; viral URTIs (HHV-6/HHV-7)</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Primary HHV-6/HHV-7 infection and viral upper-respiratory infections are among the commonest febrile illnesses that precipitate seizures; viral infections underlie roughly 80% of episodes.</w:t>
            </w:r>
          </w:p>
          <w:p>
            <w:pPr>
              <w:spacing w:after="40" w:before="0" w:line="259" w:lineRule="auto"/>
            </w:pPr>
            <w:r>
              <w:rPr>
                <w:rFonts w:ascii="Calibri" w:hAnsi="Calibri"/>
                <w:b/>
                <w:i w:val="0"/>
                <w:color w:val="212121"/>
                <w:sz w:val="19"/>
              </w:rPr>
              <w:t>Viral triggers ~80%</w:t>
            </w:r>
          </w:p>
        </w:tc>
      </w:tr>
      <w:tr>
        <w:trPr>
          <w:cantSplit/>
        </w:trPr>
        <w:tc>
          <w:tcPr>
            <w:tcW w:type="dxa" w:w="2232"/>
            <w:vAlign w:val="top"/>
          </w:tcPr>
          <w:p>
            <w:pPr>
              <w:spacing w:after="40" w:before="0" w:line="259" w:lineRule="auto"/>
            </w:pPr>
            <w:r>
              <w:rPr>
                <w:rFonts w:ascii="Calibri" w:hAnsi="Calibri"/>
                <w:b/>
                <w:i w:val="0"/>
                <w:color w:val="212121"/>
                <w:sz w:val="19"/>
              </w:rPr>
              <w:t>Acute otitis media</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A frequent viral/bacterial source of the fever that provokes the seizure in this age group; its identification directs source management.</w:t>
            </w:r>
          </w:p>
        </w:tc>
      </w:tr>
      <w:tr>
        <w:trPr>
          <w:cantSplit/>
        </w:trPr>
        <w:tc>
          <w:tcPr>
            <w:tcW w:type="dxa" w:w="2232"/>
            <w:vAlign w:val="top"/>
          </w:tcPr>
          <w:p>
            <w:pPr>
              <w:spacing w:after="40" w:before="0" w:line="259" w:lineRule="auto"/>
            </w:pPr>
            <w:r>
              <w:rPr>
                <w:rFonts w:ascii="Calibri" w:hAnsi="Calibri"/>
                <w:b/>
                <w:i w:val="0"/>
                <w:color w:val="212121"/>
                <w:sz w:val="19"/>
              </w:rPr>
              <w:t>Meningitis / encephalitis</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critical differential: CNS infection can present with fever and seizure and must be excluded, especially in infants, in complex or prolonged seizures, and where Hib/pneumococcal immunisation is incomplete.</w:t>
            </w:r>
          </w:p>
        </w:tc>
      </w:tr>
      <w:tr>
        <w:trPr>
          <w:cantSplit/>
        </w:trPr>
        <w:tc>
          <w:tcPr>
            <w:tcW w:type="dxa" w:w="2232"/>
            <w:vAlign w:val="top"/>
          </w:tcPr>
          <w:p>
            <w:pPr>
              <w:spacing w:after="40" w:before="0" w:line="259" w:lineRule="auto"/>
            </w:pPr>
            <w:r>
              <w:rPr>
                <w:rFonts w:ascii="Calibri" w:hAnsi="Calibri"/>
                <w:b/>
                <w:i w:val="0"/>
                <w:color w:val="212121"/>
                <w:sz w:val="19"/>
              </w:rPr>
              <w:t>Epilepsy (including GEFS+ / Dravet syndrome)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Complex or prolonged febrile seizures and a family history modestly increase later epilepsy risk; SCN1A-related GEFS+/Dravet syndrome present with prominent, persistent febrile seizures.</w:t>
            </w:r>
          </w:p>
          <w:p>
            <w:pPr>
              <w:spacing w:after="40" w:before="0" w:line="259" w:lineRule="auto"/>
            </w:pPr>
            <w:r>
              <w:rPr>
                <w:rFonts w:ascii="Calibri" w:hAnsi="Calibri"/>
                <w:b/>
                <w:i w:val="0"/>
                <w:color w:val="212121"/>
                <w:sz w:val="19"/>
              </w:rPr>
              <w:t>~2% (simple) up to ~49% (multiple complex features)</w:t>
            </w:r>
          </w:p>
        </w:tc>
      </w:tr>
      <w:tr>
        <w:trPr>
          <w:cantSplit/>
        </w:trPr>
        <w:tc>
          <w:tcPr>
            <w:tcW w:type="dxa" w:w="2232"/>
            <w:vAlign w:val="top"/>
          </w:tcPr>
          <w:p>
            <w:pPr>
              <w:spacing w:after="40" w:before="0" w:line="259" w:lineRule="auto"/>
            </w:pPr>
            <w:r>
              <w:rPr>
                <w:rFonts w:ascii="Calibri" w:hAnsi="Calibri"/>
                <w:b/>
                <w:i w:val="0"/>
                <w:color w:val="212121"/>
                <w:sz w:val="19"/>
              </w:rPr>
              <w:t>Mesial temporal sclerosis / temporal lobe epilepsy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Febrile status epilepticus can cause acute hippocampal injury that evolves into mesial temporal sclerosis and temporal lobe epilepsy (FEBSTAT study).</w:t>
            </w:r>
          </w:p>
        </w:tc>
      </w:tr>
      <w:tr>
        <w:trPr>
          <w:cantSplit/>
        </w:trPr>
        <w:tc>
          <w:tcPr>
            <w:tcW w:type="dxa" w:w="2232"/>
            <w:vAlign w:val="top"/>
          </w:tcPr>
          <w:p>
            <w:pPr>
              <w:spacing w:after="40" w:before="0" w:line="259" w:lineRule="auto"/>
            </w:pPr>
            <w:r>
              <w:rPr>
                <w:rFonts w:ascii="Calibri" w:hAnsi="Calibri"/>
                <w:b/>
                <w:i w:val="0"/>
                <w:color w:val="212121"/>
                <w:sz w:val="19"/>
              </w:rPr>
              <w:t>Vaccine-associated fever (DTwP, MMR)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Febrile reactions to whole-cell pertussis and measles-containing vaccines transiently raise febrile-seizure risk through fever, without increasing long-term epilepsy risk; relevant to counselling, not a reason to withhold immunisation.</w:t>
            </w:r>
          </w:p>
          <w:p>
            <w:pPr>
              <w:spacing w:after="40" w:before="0" w:line="259" w:lineRule="auto"/>
            </w:pPr>
            <w:r>
              <w:rPr>
                <w:rFonts w:ascii="Calibri" w:hAnsi="Calibri"/>
                <w:b/>
                <w:i w:val="0"/>
                <w:color w:val="212121"/>
                <w:sz w:val="19"/>
              </w:rPr>
              <w:t>MMR 25–34; DTP 6–9 per 100,000 doses</w:t>
            </w:r>
          </w:p>
        </w:tc>
      </w:tr>
      <w:tr>
        <w:trPr>
          <w:cantSplit/>
        </w:trPr>
        <w:tc>
          <w:tcPr>
            <w:tcW w:type="dxa" w:w="2232"/>
            <w:vAlign w:val="top"/>
          </w:tcPr>
          <w:p>
            <w:pPr>
              <w:spacing w:after="40" w:before="0" w:line="259" w:lineRule="auto"/>
            </w:pPr>
            <w:r>
              <w:rPr>
                <w:rFonts w:ascii="Calibri" w:hAnsi="Calibri"/>
                <w:b/>
                <w:i w:val="0"/>
                <w:color w:val="212121"/>
                <w:sz w:val="19"/>
              </w:rPr>
              <w:t>Developmental delay / neurodevelopmental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pre-existing neurodevelopmental abnormality coexists with a higher risk of complex febrile seizures and later epilepsy and lowers the threshold to investigate.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most febrile seizures are simple, brief and benign, and do not cause brain damage, intellectual disability, or (in the great majority of children) later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correct first aid: stay calm, place the child on their side (recovery position) on a safe surface, do NOT put anything in the mouth or restrain the limbs, and time the seizure.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emergency care if the seizure lasts longer than 5 minutes, if breathing is difficult or the lips turn blue, if it is the child's first seizure, or if there is repeated seizing or poor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antipyretics (paracetamol/ibuprofen) improve comfort but do NOT reliably prevent febrile seizures — avoid clock-watching or over-medicating to 'prevent' a fit.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signs of serious infection (meningitis): drowsiness, neck stiffness, a bulging fontanelle, a non-blanching rash, or persistent vomiting — and seek help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child's immunisation schedule (Hib, pneumococcal, measles); the small, transient fever-related seizure risk is far outweighed by protection against dangerous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so that iron-deficiency anaemia and other micronutrient deficiencies can be checked for and treated.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Parents/caregivers of under-5s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after a first febrile seizure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Daycare / crèche staff</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or low-literacy caregivers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 febrile illness, avoid over-wrapping or heavy bundling of the child, which traps heat and raises core temperature.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febrile child in light clothing in a comfortably cool, well-ventilated room.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restrict a well child's normal play and physical activity between illnesses — febrile seizures are not caused by exertion.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After recovery, allow normal age-appropriate activity; there are no long-term activity restrictions after a simple febrile seizure.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Supervise bathing and swimming closely in any child with a history of seizures, as a general safety precaution.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Febrile toddlers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recovering from a febrile seizure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Active preschoolers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an iron-rich diet (green leafy vegetables, jaggery, pulses/dals, eggs, meat, iron-fortified cereals) and screen for and treat iron-deficiency anaemia — a key modifiable risk factor in Indian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zinc sources (whole grains, legumes, nuts, dairy, meat) and correct documented zinc deficiency.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through safe sun exposure and, where indicated, supplementation, given its high deficiency prevalence in Indian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age-appropriate feeding and hydration during febrile illnesses; offer frequent small feeds and oral fluids.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national iron-folic-acid (IFA), vitamin A/D supplementation and deworming programmes for under-fives.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exclusive breastfeeding for the first 6 months and continued breastfeeding to protect immune status and iron stores.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toddlers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Undernourished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recurrent febrile seizures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Under-5s in low-income households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confirmed iron-deficiency anaemia with therapeutic oral iron (≈ 3 mg/kg/day elemental iron) for an adequate duration, with follow-up haemoglobin.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documented zinc and vitamin D deficiencies with appropriate supplementation.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and nutrition during the acute illness; use oral rehydration solution for accompanying diarrhoea or vomiting.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Recheck haemoglobin and iron indices after a treatment course to confirm response.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iron-deficiency anaemia and febrile seizures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Deficiency-proven cases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febrile seizures with anaemia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adequate sleep to support recovery and immune function during and after febrile illnesses.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sleeping environment cool and avoid over-heating a febrile child with excess bedding.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the child sleeps in a safe position and remains observable and accessible to caregivers during a febrile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co-sleeping arrangements that risk overheating a febrile child.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Febrile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Toddlers with recurrent fevers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second-hand (passive) tobacco smoke exposure at home and in vehicles to reduce the respiratory infections that trigger fevers.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parental smoking cessation and never smoke indoors or near 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indoor biomass/cooking-smoke exposure by improving ventilation or switching to cleaner fuels — relevant in many Indian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antenatal tobacco exposure, which is linked to poorer infant respiratory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recurrent respiratory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Homes using biomass fuel</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should avoid alcohol intoxication so that a responsible, capable adult can always supervise a febrile child and respond correctly to a seizure.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use alcohol-based home 'remedies' or spirit sponging to bring down a child's fever — these are unsafe.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at least one sober, capable caregiver is available overnight during a child's febrile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of under-5s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during a child's febrile illness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and structured counselling to reduce the intense parental fear ('seizure-phobia') that commonly follows witnessing a febrile seizure.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Give caregivers a written seizure action plan and, where rescue medication is prescribed for prolonged seizures, teach administration of buccal midazolam / rectal diazepam.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caregiver anxiety and sleep loss and signpost to follow-up to prevent unnecessary emergency visits and over-medication.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Explain the generally excellent prognosis of simple febrile seizures to relieve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the child's normal emotional development and avoid over-protective restriction of everyday activities.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parents/caregivers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after a first or recurrent febrile seizure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 given rescue medication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Prepare caregivers of at-risk children (young onset, positive family history) in advance with first-aid knowledge so a future event is managed calmly.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Normalise the experience and connect families with reliable information sources to counter myths and unsafe traditional practices.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caregivers to keep a simple record of events (duration, focality, recovery) to aid clinical assessment.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children at higher recurrence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First-time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Communities with prevalent misconceptions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achmepaediatrics.com/emergency/emergency-medicine/febrile-seizures/" TargetMode="External"/><Relationship Id="rId10" Type="http://schemas.openxmlformats.org/officeDocument/2006/relationships/hyperlink" Target="https://www.aafp.org/pubs/afp/issues/2012/0115/p149.html" TargetMode="External"/><Relationship Id="rId11" Type="http://schemas.openxmlformats.org/officeDocument/2006/relationships/hyperlink" Target="https://medpulse.in/Pediatrics/Article/Volume13Issue2/Ped_13_2_4.pdf" TargetMode="External"/><Relationship Id="rId12" Type="http://schemas.openxmlformats.org/officeDocument/2006/relationships/hyperlink" Target="https://factly.in/data-nfhs-5-findings-reveal-increase-in-anaemia-prevalence-in-children-women-across-most-states/" TargetMode="External"/><Relationship Id="rId13" Type="http://schemas.openxmlformats.org/officeDocument/2006/relationships/hyperlink" Target="https://pubmed.ncbi.nlm.nih.gov/9233362/" TargetMode="External"/><Relationship Id="rId14" Type="http://schemas.openxmlformats.org/officeDocument/2006/relationships/hyperlink" Target="https://link.springer.com/article/10.1007/s13312-012-0008-6" TargetMode="External"/><Relationship Id="rId15" Type="http://schemas.openxmlformats.org/officeDocument/2006/relationships/hyperlink" Target="https://www.ijpediatrics.com/index.php/ijcp/article/view/6298" TargetMode="External"/><Relationship Id="rId16" Type="http://schemas.openxmlformats.org/officeDocument/2006/relationships/hyperlink" Target="https://www.ijpediatrics.com/index.php/ijcp/article/view/2158" TargetMode="External"/><Relationship Id="rId17" Type="http://schemas.openxmlformats.org/officeDocument/2006/relationships/hyperlink" Target="https://pediatricneurologybriefs.com/articles/10.15844/pedneurbriefs-15-9-1" TargetMode="External"/><Relationship Id="rId18" Type="http://schemas.openxmlformats.org/officeDocument/2006/relationships/hyperlink" Target="https://pubmed.ncbi.nlm.nih.gov/9445513/" TargetMode="External"/><Relationship Id="rId19" Type="http://schemas.openxmlformats.org/officeDocument/2006/relationships/hyperlink" Target="https://pubmed.ncbi.nlm.nih.gov/18525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