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Dementia — Alzheimer's</w:t>
      </w:r>
    </w:p>
    <w:p>
      <w:pPr>
        <w:spacing w:before="0" w:after="160"/>
      </w:pPr>
      <w:r>
        <w:rPr>
          <w:rFonts w:ascii="Calibri" w:hAnsi="Calibri"/>
          <w:b/>
          <w:i w:val="0"/>
          <w:color w:val="212121"/>
          <w:sz w:val="22"/>
        </w:rPr>
        <w:t xml:space="preserve">AKA </w:t>
      </w:r>
      <w:r>
        <w:rPr>
          <w:rFonts w:ascii="Calibri" w:hAnsi="Calibri"/>
          <w:b w:val="0"/>
          <w:i w:val="0"/>
          <w:color w:val="212121"/>
          <w:sz w:val="22"/>
        </w:rPr>
        <w:t>i.e., Alzheimer's disease (AD), Senile dementia of the Alzheimer type (SDAT), Major/mild neurocognitive disorder due to Alzheimer's disease; lay terms “budhapa ki bhoolne ki bimari” / old-age forgetfulness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Alzheimer's disease is a progressive, irreversible neurodegenerative disorder and the most common cause of dementia, accounting for an estimated 60–70% of all dementia cases. It is defined pathologically by the extracellular deposition of amyloid-β plaques and intracellular neurofibrillary tangles of hyperphosphorylated tau, with synaptic loss and neuronal death that begin in the medial temporal lobe (hippocampus and entorhinal cortex) and spread through the neocortex. Clinically it presents as an insidious, gradually progressive decline in episodic (recent) memory and at least one other cognitive domain — language, visuospatial function, executive function or behaviour — severe enough to impair independence in daily activities. It is a clinical diagnosis (DSM-5 major or mild neurocognitive disorder due to AD; NIA-AA criteria), increasingly supported by amyloid and tau biomarkers, after reversible causes of cognitive impairment have been excluded.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The Longitudinal Ageing Study in India – Diagnostic Assessment of Dementia (LASI-DAD) estimates the prevalence of all-cause dementia at about 7.4% of adults aged 60 and older — roughly 8.8 million Indians — with Alzheimer's disease being the single most common underlying cause (60–70%). Prevalence rises steeply with age (from about 3.8% at 60–64 years to 15.2% at 80+), is higher in women than men (9.03% vs 5.77%), higher in rural than urban areas (8.35% vs 5.34%), and shows a strong inverse gradient with education (about 10.8% in those with no formal schooling vs 3.5% with tertiary education). There is marked cross-state variation, from about 11.0% in the far north (Jammu &amp; Kashmir) to about 4.5% in Delhi. With rapid population ageing the number of Indians living with dementia is projected to reach roughly 17 million by 2036. Worldwide, about 57 million people live with dementia, over 60% of them in low- and middle-income countries, and dementia is the seventh leading cause of death.</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Alzheimer's disease is primarily a clinical diagnosis based on a characteristic history of insidious, progressive cognitive decline corroborated by an informant, objective cognitive testing, and exclusion of reversible causes; biomarkers increasingly confirm the underlying pathology. The core criteria 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evidence of significant cognitive decline from a previous level of performance in one or more cognitive domains — characteristically episodic (recent) memory plus at least one other domain — based on informant/clinician concern and objective impairment on cognitive testing (DSM-5 major neurocognitive disorder; “mild” when independence is preserved);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deficits interfere with independence in everyday activities (for major NCD) and are not confined to delirium or better explained by another mental disorder (e.g., depression, schizophrenia);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insidious onset and gradual, steady progression, with an amnestic (or, less often, non-amnestic language/visuospatial/dysexecutive) presentation typical of AD;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cognitive screening (MMSE, MoCA, or culturally-adapted tools such as the Hindi Mental State Examination) showing impairment, with a mini-mental score that typically falls over time;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reversible/secondary causes — hypothyroidism, vitamin B12/folate deficiency, depression, medication effect, chronic infection, normal-pressure hydrocephalus and cerebrovascular disease — by blood tests and neuroimaging (MRI/CT);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where available, supportive biomarkers under the NIA-AA (2024) biological framework: amyloid positivity (amyloid PET, or CSF/plasma Aβ42/40 ratio) together with phosphorylated-tau markers (plasma or CSF p-tau217/p-tau181, tau PET), and MRI evidence of hippocampal/medial-temporal atrophy.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Alzheimer's disease is best understood as a continuum and can be classified by clinical stage, by age of onset and by clinical presentation:</w:t>
      </w:r>
    </w:p>
    <w:p>
      <w:pPr>
        <w:spacing w:before="0" w:after="80"/>
      </w:pPr>
      <w:r>
        <w:rPr>
          <w:rFonts w:ascii="Calibri" w:hAnsi="Calibri"/>
          <w:b w:val="0"/>
          <w:i w:val="0"/>
          <w:color w:val="212121"/>
          <w:sz w:val="21"/>
        </w:rPr>
        <w:t>(1) Preclinical AD — biomarker evidence of amyloid and tau pathology in a cognitively unimpaired person; a research/biological stage that may precede symptoms by 15–20 years;</w:t>
      </w:r>
    </w:p>
    <w:p>
      <w:pPr>
        <w:spacing w:before="0" w:after="80"/>
      </w:pPr>
      <w:r>
        <w:rPr>
          <w:rFonts w:ascii="Calibri" w:hAnsi="Calibri"/>
          <w:b w:val="0"/>
          <w:i w:val="0"/>
          <w:color w:val="212121"/>
          <w:sz w:val="21"/>
        </w:rPr>
        <w:t>(2) Mild cognitive impairment (MCI) due to AD (prodromal AD) — objective cognitive decline, typically in memory, that does not yet significantly impair day-to-day independence; a substantial proportion progress to dementia each year;</w:t>
      </w:r>
    </w:p>
    <w:p>
      <w:pPr>
        <w:spacing w:before="0" w:after="80"/>
      </w:pPr>
      <w:r>
        <w:rPr>
          <w:rFonts w:ascii="Calibri" w:hAnsi="Calibri"/>
          <w:b w:val="0"/>
          <w:i w:val="0"/>
          <w:color w:val="212121"/>
          <w:sz w:val="21"/>
        </w:rPr>
        <w:t>(3) Dementia due to AD — cognitive impairment sufficient to compromise independence, conventionally graded as mild (independent with prompting), moderate (needs help with basic activities, prominent behavioural and psychological symptoms) and severe (fully dependent, minimal speech, immobility, incontinence);</w:t>
      </w:r>
    </w:p>
    <w:p>
      <w:pPr>
        <w:spacing w:before="0" w:after="80"/>
      </w:pPr>
      <w:r>
        <w:rPr>
          <w:rFonts w:ascii="Calibri" w:hAnsi="Calibri"/>
          <w:b w:val="0"/>
          <w:i w:val="0"/>
          <w:color w:val="212121"/>
          <w:sz w:val="21"/>
        </w:rPr>
        <w:t>(4) By age of onset — late-onset AD (≥65 years, the great majority, strongly linked to the APOE ε4 allele) and early-onset AD (&lt;65 years, about 5–10%, including rare autosomal-dominant familial forms caused by APP, PSEN1 or PSEN2 mutations and the near-universal AD pathology of Down syndrome);</w:t>
      </w:r>
    </w:p>
    <w:p>
      <w:pPr>
        <w:spacing w:before="0" w:after="80"/>
      </w:pPr>
      <w:r>
        <w:rPr>
          <w:rFonts w:ascii="Calibri" w:hAnsi="Calibri"/>
          <w:b w:val="0"/>
          <w:i w:val="0"/>
          <w:color w:val="212121"/>
          <w:sz w:val="21"/>
        </w:rPr>
        <w:t>(5) By presentation — the typical amnestic form and atypical variants: posterior cortical atrophy (visual), logopenic variant primary progressive aphasia (language), and a frontal/dysexecutive-behavioural variant; mixed dementia (AD co-existing with cerebrovascular or Lewy-body pathology) is very common in the very old.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Ageing: Advancing age is the strongest, non-modifiable risk factor; dementia prevalence roughly doubles with every five-year increase in age beyond 65 as amyloid and tau pathology accumulate.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Amyloid-tau neurodegeneration: Imbalance between production and clearance of amyloid-β seeds plaque formation and triggers spread of hyperphosphorylated tau tangles, synaptic failure, neuro-inflammation and neuronal loss (the amyloid-cascade hypothesis).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Genetic predisposition: The APOE ε4 allele is the major genetic risk factor for late-onset AD (3–4× risk for one copy, 8–15× for two); rare autosomal-dominant mutations in APP, PSEN1 and PSEN2, and trisomy 21 (Down syndrome), cause early-onset disease.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Vascular and metabolic factors: Midlife hypertension, type 2 diabetes/insulin resistance, dyslipidaemia (high LDL cholesterol) and obesity damage cerebral vessels and promote both AD and mixed dementia.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Low cognitive reserve: Fewer years of education and limited lifelong cognitive and social engagement lower the brain's resilience to pathology and unmask dementia earlier — highly relevant in India given large populations with little formal schooling.</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Modifiable exposures: Hearing loss, physical inactivity, smoking, excess alcohol, depression, social isolation, traumatic brain injury, untreated vision loss and ambient air pollution together account for a large share (up to ~45%) of dementia risk across the life course.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Elderly (≥65 years)</w:t>
            </w:r>
          </w:p>
        </w:tc>
        <w:tc>
          <w:tcPr>
            <w:tcW w:type="dxa" w:w="4276"/>
            <w:vAlign w:val="top"/>
          </w:tcPr>
          <w:p>
            <w:pPr>
              <w:spacing w:after="60" w:line="259" w:lineRule="auto"/>
            </w:pPr>
            <w:r>
              <w:rPr>
                <w:rFonts w:ascii="Calibri" w:hAnsi="Calibri"/>
                <w:b w:val="0"/>
                <w:i w:val="0"/>
                <w:color w:val="212121"/>
                <w:sz w:val="19"/>
              </w:rPr>
              <w:t>Age is by far the strongest risk factor for Alzheimer's disease; accumulating amyloid and tau pathology, vascular injury and declining repair mechanisms mean prevalence roughly doubles with every five years of age. The great majority of AD is late-onset in this group.</w:t>
            </w:r>
          </w:p>
          <w:p>
            <w:pPr>
              <w:spacing w:after="40" w:before="60" w:line="259" w:lineRule="auto"/>
            </w:pPr>
            <w:r>
              <w:rPr>
                <w:rFonts w:ascii="Calibri" w:hAnsi="Calibri"/>
                <w:b w:val="0"/>
                <w:i w:val="0"/>
                <w:color w:val="212121"/>
                <w:sz w:val="19"/>
              </w:rPr>
              <w:t>In India, all-cause dementia prevalence is about 7.4% at age 60+ (≈ 8.8 million people), rising sharply with age; AD is the most common cause (60–70%).</w:t>
            </w:r>
          </w:p>
          <w:p>
            <w:pPr>
              <w:spacing w:after="40" w:line="252" w:lineRule="auto"/>
            </w:pPr>
            <w:hyperlink r:id="rId9">
              <w:r>
                <w:rPr>
                  <w:rFonts w:ascii="Calibri" w:hAnsi="Calibri" w:cs="Calibri"/>
                  <w:sz w:val="18"/>
                  <w:color w:val="1155CC"/>
                  <w:u w:val="single"/>
                </w:rPr>
                <w:t xml:space="preserve">fic.nih.gov — new dementia prevalence estimate, India (LASI-DAD)</w:t>
              </w:r>
            </w:hyperlink>
          </w:p>
          <w:p>
            <w:pPr>
              <w:spacing w:before="60" w:after="40"/>
            </w:pPr>
            <w:r>
              <w:rPr>
                <w:rFonts w:ascii="Calibri" w:hAnsi="Calibri"/>
                <w:b w:val="0"/>
                <w:i w:val="0"/>
                <w:color w:val="5A5A5A"/>
                <w:sz w:val="18"/>
              </w:rPr>
              <w:t>#ageing  #lateonset  #amyloid  #tau  #strongestriskfactor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Very elderly (≥80 years)</w:t>
            </w:r>
          </w:p>
        </w:tc>
        <w:tc>
          <w:tcPr>
            <w:tcW w:type="dxa" w:w="4276"/>
            <w:vAlign w:val="top"/>
          </w:tcPr>
          <w:p>
            <w:pPr>
              <w:spacing w:after="60" w:line="259" w:lineRule="auto"/>
            </w:pPr>
            <w:r>
              <w:rPr>
                <w:rFonts w:ascii="Calibri" w:hAnsi="Calibri"/>
                <w:b w:val="0"/>
                <w:i w:val="0"/>
                <w:color w:val="212121"/>
                <w:sz w:val="19"/>
              </w:rPr>
              <w:t>The oldest-old carry the highest burden of Alzheimer's and mixed dementia, often with co-existing cerebrovascular and Lewy-body pathology, frailty and multimorbidity that accelerate functional decline.</w:t>
            </w:r>
          </w:p>
          <w:p>
            <w:pPr>
              <w:spacing w:after="40" w:before="60" w:line="259" w:lineRule="auto"/>
            </w:pPr>
            <w:r>
              <w:rPr>
                <w:rFonts w:ascii="Calibri" w:hAnsi="Calibri"/>
                <w:b w:val="0"/>
                <w:i w:val="0"/>
                <w:color w:val="212121"/>
                <w:sz w:val="19"/>
              </w:rPr>
              <w:t>DSM-5 major neurocognitive disorder prevalence rises from about 3.8% at 60–64 years to 15.2% at 80+ in the LASI-DAD study.</w:t>
            </w:r>
          </w:p>
          <w:p>
            <w:pPr>
              <w:spacing w:after="40" w:line="252" w:lineRule="auto"/>
            </w:pPr>
            <w:hyperlink r:id="rId10">
              <w:r>
                <w:rPr>
                  <w:rFonts w:ascii="Calibri" w:hAnsi="Calibri" w:cs="Calibri"/>
                  <w:sz w:val="18"/>
                  <w:color w:val="1155CC"/>
                  <w:u w:val="single"/>
                </w:rPr>
                <w:t xml:space="preserve">journals.plos.org — DSM-5 neurocognitive disorder in India (LASI-DAD)</w:t>
              </w:r>
            </w:hyperlink>
          </w:p>
          <w:p>
            <w:pPr>
              <w:spacing w:before="60" w:after="40"/>
            </w:pPr>
            <w:r>
              <w:rPr>
                <w:rFonts w:ascii="Calibri" w:hAnsi="Calibri"/>
                <w:b w:val="0"/>
                <w:i w:val="0"/>
                <w:color w:val="5A5A5A"/>
                <w:sz w:val="18"/>
              </w:rPr>
              <w:t>#oldestold  #mixeddementia  #frailty  #multimorbidity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Age of onset</w:t>
            </w:r>
          </w:p>
        </w:tc>
        <w:tc>
          <w:tcPr>
            <w:tcW w:type="dxa" w:w="2160"/>
            <w:vAlign w:val="top"/>
          </w:tcPr>
          <w:p>
            <w:pPr>
              <w:spacing w:after="40" w:before="0" w:line="259" w:lineRule="auto"/>
            </w:pPr>
            <w:r>
              <w:rPr>
                <w:rFonts w:ascii="Calibri" w:hAnsi="Calibri"/>
                <w:b w:val="0"/>
                <w:i w:val="0"/>
                <w:color w:val="212121"/>
                <w:sz w:val="19"/>
              </w:rPr>
              <w:t>Early-onset (&lt;65 years)</w:t>
            </w:r>
          </w:p>
        </w:tc>
        <w:tc>
          <w:tcPr>
            <w:tcW w:type="dxa" w:w="4276"/>
            <w:vAlign w:val="top"/>
          </w:tcPr>
          <w:p>
            <w:pPr>
              <w:spacing w:after="60" w:line="259" w:lineRule="auto"/>
            </w:pPr>
            <w:r>
              <w:rPr>
                <w:rFonts w:ascii="Calibri" w:hAnsi="Calibri"/>
                <w:b w:val="0"/>
                <w:i w:val="0"/>
                <w:color w:val="212121"/>
                <w:sz w:val="19"/>
              </w:rPr>
              <w:t>A minority develop AD before 65, including rare autosomal-dominant familial forms (APP, PSEN1, PSEN2) and atypical non-amnestic presentations. Early-onset disease is frequently missed or misattributed to stress or depression, delaying diagnosis in working-age adults.</w:t>
            </w:r>
          </w:p>
          <w:p>
            <w:pPr>
              <w:spacing w:after="40" w:before="60" w:line="259" w:lineRule="auto"/>
            </w:pPr>
            <w:r>
              <w:rPr>
                <w:rFonts w:ascii="Calibri" w:hAnsi="Calibri"/>
                <w:b w:val="0"/>
                <w:i w:val="0"/>
                <w:color w:val="212121"/>
                <w:sz w:val="19"/>
              </w:rPr>
              <w:t>Early-onset AD accounts for roughly 5–10% of cases; autosomal-dominant mutations cause a small but highly penetrant subset with onset often in the 40s–50s.</w:t>
            </w:r>
          </w:p>
          <w:p>
            <w:pPr>
              <w:spacing w:before="60" w:after="40"/>
            </w:pPr>
            <w:r>
              <w:rPr>
                <w:rFonts w:ascii="Calibri" w:hAnsi="Calibri"/>
                <w:b w:val="0"/>
                <w:i w:val="0"/>
                <w:color w:val="5A5A5A"/>
                <w:sz w:val="18"/>
              </w:rPr>
              <w:t>#earlyonset  #familialAD  #PSEN1  #atypical  #misdiagnosis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(post-menopausal, elderly)</w:t>
            </w:r>
          </w:p>
        </w:tc>
        <w:tc>
          <w:tcPr>
            <w:tcW w:type="dxa" w:w="4276"/>
            <w:vAlign w:val="top"/>
          </w:tcPr>
          <w:p>
            <w:pPr>
              <w:spacing w:after="60" w:line="259" w:lineRule="auto"/>
            </w:pPr>
            <w:r>
              <w:rPr>
                <w:rFonts w:ascii="Calibri" w:hAnsi="Calibri"/>
                <w:b w:val="0"/>
                <w:i w:val="0"/>
                <w:color w:val="212121"/>
                <w:sz w:val="19"/>
              </w:rPr>
              <w:t>Women bear a disproportionate share of Alzheimer's disease, partly because they live longer, partly through loss of neuroprotective oestrogen after menopause, and because the APOE ε4 allele confers greater risk in women. They also shoulder most of the caregiving burden.</w:t>
            </w:r>
          </w:p>
          <w:p>
            <w:pPr>
              <w:spacing w:after="40" w:before="60" w:line="259" w:lineRule="auto"/>
            </w:pPr>
            <w:r>
              <w:rPr>
                <w:rFonts w:ascii="Calibri" w:hAnsi="Calibri"/>
                <w:b w:val="0"/>
                <w:i w:val="0"/>
                <w:color w:val="212121"/>
                <w:sz w:val="19"/>
              </w:rPr>
              <w:t>In India, dementia prevalence is higher in women than men (9.03% vs 5.77% at age 60+).</w:t>
            </w:r>
          </w:p>
          <w:p>
            <w:pPr>
              <w:spacing w:after="40" w:line="252" w:lineRule="auto"/>
            </w:pPr>
            <w:hyperlink r:id="rId11">
              <w:r>
                <w:rPr>
                  <w:rFonts w:ascii="Calibri" w:hAnsi="Calibri" w:cs="Calibri"/>
                  <w:sz w:val="18"/>
                  <w:color w:val="1155CC"/>
                  <w:u w:val="single"/>
                </w:rPr>
                <w:t xml:space="preserve">iipsindia.ac.in — prevalence of dementia in India (Lee et al., 2023)</w:t>
              </w:r>
            </w:hyperlink>
          </w:p>
          <w:p>
            <w:pPr>
              <w:spacing w:before="60" w:after="40"/>
            </w:pPr>
            <w:r>
              <w:rPr>
                <w:rFonts w:ascii="Calibri" w:hAnsi="Calibri"/>
                <w:b w:val="0"/>
                <w:i w:val="0"/>
                <w:color w:val="5A5A5A"/>
                <w:sz w:val="18"/>
              </w:rPr>
              <w:t>#women  #estrogen  #longevity  #APOE4  #caregiving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 / education</w:t>
            </w:r>
          </w:p>
        </w:tc>
        <w:tc>
          <w:tcPr>
            <w:tcW w:type="dxa" w:w="2160"/>
            <w:vAlign w:val="top"/>
          </w:tcPr>
          <w:p>
            <w:pPr>
              <w:spacing w:after="40" w:before="0" w:line="259" w:lineRule="auto"/>
            </w:pPr>
            <w:r>
              <w:rPr>
                <w:rFonts w:ascii="Calibri" w:hAnsi="Calibri"/>
                <w:b w:val="0"/>
                <w:i w:val="0"/>
                <w:color w:val="212121"/>
                <w:sz w:val="19"/>
              </w:rPr>
              <w:t>Low-education &amp; illiterate older adults</w:t>
            </w:r>
          </w:p>
        </w:tc>
        <w:tc>
          <w:tcPr>
            <w:tcW w:type="dxa" w:w="4276"/>
            <w:vAlign w:val="top"/>
          </w:tcPr>
          <w:p>
            <w:pPr>
              <w:spacing w:after="60" w:line="259" w:lineRule="auto"/>
            </w:pPr>
            <w:r>
              <w:rPr>
                <w:rFonts w:ascii="Calibri" w:hAnsi="Calibri"/>
                <w:b w:val="0"/>
                <w:i w:val="0"/>
                <w:color w:val="212121"/>
                <w:sz w:val="19"/>
              </w:rPr>
              <w:t>Fewer years of schooling and limited lifelong cognitive engagement reduce 'cognitive reserve', so the same amount of pathology produces symptoms earlier and more severely. This is a leading, modifiable contributor in India, where a large share of today's elderly had little formal education.</w:t>
            </w:r>
          </w:p>
          <w:p>
            <w:pPr>
              <w:spacing w:after="40" w:before="60" w:line="259" w:lineRule="auto"/>
            </w:pPr>
            <w:r>
              <w:rPr>
                <w:rFonts w:ascii="Calibri" w:hAnsi="Calibri"/>
                <w:b w:val="0"/>
                <w:i w:val="0"/>
                <w:color w:val="212121"/>
                <w:sz w:val="19"/>
              </w:rPr>
              <w:t>Major neurocognitive disorder affects about 10.8% of Indians aged 60+ with no formal education versus 3.5% of those with tertiary education; low education is a top population-level risk factor (Lancet Commission PAF ~5%).</w:t>
            </w:r>
          </w:p>
          <w:p>
            <w:pPr>
              <w:spacing w:after="40" w:line="252" w:lineRule="auto"/>
            </w:pPr>
            <w:hyperlink r:id="rId10">
              <w:r>
                <w:rPr>
                  <w:rFonts w:ascii="Calibri" w:hAnsi="Calibri" w:cs="Calibri"/>
                  <w:sz w:val="18"/>
                  <w:color w:val="1155CC"/>
                  <w:u w:val="single"/>
                </w:rPr>
                <w:t xml:space="preserve">journals.plos.org — DSM-5 neurocognitive disorder in India (LASI-DAD)</w:t>
              </w:r>
            </w:hyperlink>
          </w:p>
          <w:p>
            <w:pPr>
              <w:spacing w:before="60" w:after="40"/>
            </w:pPr>
            <w:r>
              <w:rPr>
                <w:rFonts w:ascii="Calibri" w:hAnsi="Calibri"/>
                <w:b w:val="0"/>
                <w:i w:val="0"/>
                <w:color w:val="5A5A5A"/>
                <w:sz w:val="18"/>
              </w:rPr>
              <w:t>#cognitivereserve  #education  #illiteracy  #modifiable  #health 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Residence (rural/urban)</w:t>
            </w:r>
          </w:p>
        </w:tc>
        <w:tc>
          <w:tcPr>
            <w:tcW w:type="dxa" w:w="2160"/>
            <w:vAlign w:val="top"/>
          </w:tcPr>
          <w:p>
            <w:pPr>
              <w:spacing w:after="40" w:before="0" w:line="259" w:lineRule="auto"/>
            </w:pPr>
            <w:r>
              <w:rPr>
                <w:rFonts w:ascii="Calibri" w:hAnsi="Calibri"/>
                <w:b w:val="0"/>
                <w:i w:val="0"/>
                <w:color w:val="212121"/>
                <w:sz w:val="19"/>
              </w:rPr>
              <w:t>Rural older adults</w:t>
            </w:r>
          </w:p>
        </w:tc>
        <w:tc>
          <w:tcPr>
            <w:tcW w:type="dxa" w:w="4276"/>
            <w:vAlign w:val="top"/>
          </w:tcPr>
          <w:p>
            <w:pPr>
              <w:spacing w:after="60" w:line="259" w:lineRule="auto"/>
            </w:pPr>
            <w:r>
              <w:rPr>
                <w:rFonts w:ascii="Calibri" w:hAnsi="Calibri"/>
                <w:b w:val="0"/>
                <w:i w:val="0"/>
                <w:color w:val="212121"/>
                <w:sz w:val="19"/>
              </w:rPr>
              <w:t>Rural Indians show higher measured dementia prevalence than urban, reflecting lower education, poorer access to diagnosis and care, higher untreated hypertension and hearing loss, and greater exposure to household biomass smoke; under-recognition and stigma compound the gap.</w:t>
            </w:r>
          </w:p>
          <w:p>
            <w:pPr>
              <w:spacing w:after="40" w:before="60" w:line="259" w:lineRule="auto"/>
            </w:pPr>
            <w:r>
              <w:rPr>
                <w:rFonts w:ascii="Calibri" w:hAnsi="Calibri"/>
                <w:b w:val="0"/>
                <w:i w:val="0"/>
                <w:color w:val="212121"/>
                <w:sz w:val="19"/>
              </w:rPr>
              <w:t>Rural dementia prevalence is about 8.35% versus 5.34% urban among Indians aged 60+.</w:t>
            </w:r>
          </w:p>
          <w:p>
            <w:pPr>
              <w:spacing w:after="40" w:line="252" w:lineRule="auto"/>
            </w:pPr>
            <w:hyperlink r:id="rId11">
              <w:r>
                <w:rPr>
                  <w:rFonts w:ascii="Calibri" w:hAnsi="Calibri" w:cs="Calibri"/>
                  <w:sz w:val="18"/>
                  <w:color w:val="1155CC"/>
                  <w:u w:val="single"/>
                </w:rPr>
                <w:t xml:space="preserve">iipsindia.ac.in — prevalence of dementia in India (Lee et al., 2023)</w:t>
              </w:r>
            </w:hyperlink>
          </w:p>
          <w:p>
            <w:pPr>
              <w:spacing w:before="60" w:after="40"/>
            </w:pPr>
            <w:r>
              <w:rPr>
                <w:rFonts w:ascii="Calibri" w:hAnsi="Calibri"/>
                <w:b w:val="0"/>
                <w:i w:val="0"/>
                <w:color w:val="5A5A5A"/>
                <w:sz w:val="18"/>
              </w:rPr>
              <w:t>#rural  #accessgap  #stigma  #biomasssmoke  #underdiagnosis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state</w:t>
            </w:r>
          </w:p>
        </w:tc>
        <w:tc>
          <w:tcPr>
            <w:tcW w:type="dxa" w:w="2160"/>
            <w:vAlign w:val="top"/>
          </w:tcPr>
          <w:p>
            <w:pPr>
              <w:spacing w:after="40" w:before="0" w:line="259" w:lineRule="auto"/>
            </w:pPr>
            <w:r>
              <w:rPr>
                <w:rFonts w:ascii="Calibri" w:hAnsi="Calibri"/>
                <w:b w:val="0"/>
                <w:i w:val="0"/>
                <w:color w:val="212121"/>
                <w:sz w:val="19"/>
              </w:rPr>
              <w:t>Northern India (e.g., Jammu &amp; Kashmir) &amp; high-prevalence states</w:t>
            </w:r>
          </w:p>
        </w:tc>
        <w:tc>
          <w:tcPr>
            <w:tcW w:type="dxa" w:w="4276"/>
            <w:vAlign w:val="top"/>
          </w:tcPr>
          <w:p>
            <w:pPr>
              <w:spacing w:after="60" w:line="259" w:lineRule="auto"/>
            </w:pPr>
            <w:r>
              <w:rPr>
                <w:rFonts w:ascii="Calibri" w:hAnsi="Calibri"/>
                <w:b w:val="0"/>
                <w:i w:val="0"/>
                <w:color w:val="212121"/>
                <w:sz w:val="19"/>
              </w:rPr>
              <w:t>There is marked cross-state variation in dementia prevalence across India, driven by differences in age structure, education, vascular risk burden and rural share, rather than by ethnicity alone.</w:t>
            </w:r>
          </w:p>
          <w:p>
            <w:pPr>
              <w:spacing w:after="40" w:before="60" w:line="259" w:lineRule="auto"/>
            </w:pPr>
            <w:r>
              <w:rPr>
                <w:rFonts w:ascii="Calibri" w:hAnsi="Calibri"/>
                <w:b w:val="0"/>
                <w:i w:val="0"/>
                <w:color w:val="212121"/>
                <w:sz w:val="19"/>
              </w:rPr>
              <w:t>State-level prevalence ranges from about 11.0% in Jammu &amp; Kashmir (highest) to about 4.5% in Delhi (lowest) among adults 60+.</w:t>
            </w:r>
          </w:p>
          <w:p>
            <w:pPr>
              <w:spacing w:after="40" w:line="252" w:lineRule="auto"/>
            </w:pPr>
            <w:hyperlink r:id="rId11">
              <w:r>
                <w:rPr>
                  <w:rFonts w:ascii="Calibri" w:hAnsi="Calibri" w:cs="Calibri"/>
                  <w:sz w:val="18"/>
                  <w:color w:val="1155CC"/>
                  <w:u w:val="single"/>
                </w:rPr>
                <w:t xml:space="preserve">iipsindia.ac.in — national &amp; state dementia estimates, India</w:t>
              </w:r>
            </w:hyperlink>
          </w:p>
          <w:p>
            <w:pPr>
              <w:spacing w:before="60" w:after="40"/>
            </w:pPr>
            <w:r>
              <w:rPr>
                <w:rFonts w:ascii="Calibri" w:hAnsi="Calibri"/>
                <w:b w:val="0"/>
                <w:i w:val="0"/>
                <w:color w:val="5A5A5A"/>
                <w:sz w:val="18"/>
              </w:rPr>
              <w:t>#statevariation  #northindia  #JK  #agestructure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physical inactivity</w:t>
            </w:r>
          </w:p>
        </w:tc>
        <w:tc>
          <w:tcPr>
            <w:tcW w:type="dxa" w:w="2160"/>
            <w:vAlign w:val="top"/>
          </w:tcPr>
          <w:p>
            <w:pPr>
              <w:spacing w:after="40" w:before="0" w:line="259" w:lineRule="auto"/>
            </w:pPr>
            <w:r>
              <w:rPr>
                <w:rFonts w:ascii="Calibri" w:hAnsi="Calibri"/>
                <w:b w:val="0"/>
                <w:i w:val="0"/>
                <w:color w:val="212121"/>
                <w:sz w:val="19"/>
              </w:rPr>
              <w:t>Physically inactive middle-aged &amp; older adults</w:t>
            </w:r>
          </w:p>
        </w:tc>
        <w:tc>
          <w:tcPr>
            <w:tcW w:type="dxa" w:w="4276"/>
            <w:vAlign w:val="top"/>
          </w:tcPr>
          <w:p>
            <w:pPr>
              <w:spacing w:after="60" w:line="259" w:lineRule="auto"/>
            </w:pPr>
            <w:r>
              <w:rPr>
                <w:rFonts w:ascii="Calibri" w:hAnsi="Calibri"/>
                <w:b w:val="0"/>
                <w:i w:val="0"/>
                <w:color w:val="212121"/>
                <w:sz w:val="19"/>
              </w:rPr>
              <w:t>Physical inactivity raises dementia risk by worsening vascular health, glucose control, weight and mood, and by reducing the exercise-driven neurotrophic support (e.g., BDNF) and cerebral perfusion that protect the ageing brain. Regular activity is one of the most powerful modifiable protective factors.</w:t>
            </w:r>
          </w:p>
          <w:p>
            <w:pPr>
              <w:spacing w:after="40" w:before="60" w:line="259" w:lineRule="auto"/>
            </w:pPr>
            <w:r>
              <w:rPr>
                <w:rFonts w:ascii="Calibri" w:hAnsi="Calibri"/>
                <w:b w:val="0"/>
                <w:i w:val="0"/>
                <w:color w:val="212121"/>
                <w:sz w:val="19"/>
              </w:rPr>
              <w:t>Regular physical activity is associated with a 41% lower dementia risk in midlife and up to 45% lower in late life in longitudinal (Framingham) data.</w:t>
            </w:r>
          </w:p>
          <w:p>
            <w:pPr>
              <w:spacing w:after="40" w:line="252" w:lineRule="auto"/>
            </w:pPr>
            <w:hyperlink r:id="rId12">
              <w:r>
                <w:rPr>
                  <w:rFonts w:ascii="Calibri" w:hAnsi="Calibri" w:cs="Calibri"/>
                  <w:sz w:val="18"/>
                  <w:color w:val="1155CC"/>
                  <w:u w:val="single"/>
                </w:rPr>
                <w:t xml:space="preserve">bu.edu/sph — physical activity and dementia risk (2025)</w:t>
              </w:r>
            </w:hyperlink>
          </w:p>
          <w:p>
            <w:pPr>
              <w:spacing w:before="60" w:after="40"/>
            </w:pPr>
            <w:r>
              <w:rPr>
                <w:rFonts w:ascii="Calibri" w:hAnsi="Calibri"/>
                <w:b w:val="0"/>
                <w:i w:val="0"/>
                <w:color w:val="5A5A5A"/>
                <w:sz w:val="18"/>
              </w:rPr>
              <w:t>#sedentary  #exercise  #BDNF  #vascularhealth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&amp; bidi/tobacco users</w:t>
            </w:r>
          </w:p>
        </w:tc>
        <w:tc>
          <w:tcPr>
            <w:tcW w:type="dxa" w:w="4276"/>
            <w:vAlign w:val="top"/>
          </w:tcPr>
          <w:p>
            <w:pPr>
              <w:spacing w:after="60" w:line="259" w:lineRule="auto"/>
            </w:pPr>
            <w:r>
              <w:rPr>
                <w:rFonts w:ascii="Calibri" w:hAnsi="Calibri"/>
                <w:b w:val="0"/>
                <w:i w:val="0"/>
                <w:color w:val="212121"/>
                <w:sz w:val="19"/>
              </w:rPr>
              <w:t>Smoking accelerates cerebral small-vessel disease, oxidative stress and amyloid deposition, increasing risk of both Alzheimer's and vascular dementia; the risk is potentially reversible with cessation.</w:t>
            </w:r>
          </w:p>
          <w:p>
            <w:pPr>
              <w:spacing w:after="40" w:before="60" w:line="259" w:lineRule="auto"/>
            </w:pPr>
            <w:r>
              <w:rPr>
                <w:rFonts w:ascii="Calibri" w:hAnsi="Calibri"/>
                <w:b w:val="0"/>
                <w:i w:val="0"/>
                <w:color w:val="212121"/>
                <w:sz w:val="19"/>
              </w:rPr>
              <w:t>Smoking is one of the Lancet Commission's 14 modifiable dementia risk factors (midlife population-attributable fraction on the order of ~5%).</w:t>
            </w:r>
          </w:p>
          <w:p>
            <w:pPr>
              <w:spacing w:after="40" w:line="252" w:lineRule="auto"/>
            </w:pPr>
            <w:hyperlink r:id="rId13">
              <w:r>
                <w:rPr>
                  <w:rFonts w:ascii="Calibri" w:hAnsi="Calibri" w:cs="Calibri"/>
                  <w:sz w:val="18"/>
                  <w:color w:val="1155CC"/>
                  <w:u w:val="single"/>
                </w:rPr>
                <w:t xml:space="preserve">alzheimer-europe.org — 2024 Lancet Commission, 14 risk factors</w:t>
              </w:r>
            </w:hyperlink>
          </w:p>
          <w:p>
            <w:pPr>
              <w:spacing w:before="60" w:after="40"/>
            </w:pPr>
            <w:r>
              <w:rPr>
                <w:rFonts w:ascii="Calibri" w:hAnsi="Calibri"/>
                <w:b w:val="0"/>
                <w:i w:val="0"/>
                <w:color w:val="5A5A5A"/>
                <w:sz w:val="18"/>
              </w:rPr>
              <w:t>#smoking  #tobacco  #bidi  #smallvessel  #oxidativestress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harmful alcohol users</w:t>
            </w:r>
          </w:p>
        </w:tc>
        <w:tc>
          <w:tcPr>
            <w:tcW w:type="dxa" w:w="4276"/>
            <w:vAlign w:val="top"/>
          </w:tcPr>
          <w:p>
            <w:pPr>
              <w:spacing w:after="60" w:line="259" w:lineRule="auto"/>
            </w:pPr>
            <w:r>
              <w:rPr>
                <w:rFonts w:ascii="Calibri" w:hAnsi="Calibri"/>
                <w:b w:val="0"/>
                <w:i w:val="0"/>
                <w:color w:val="212121"/>
                <w:sz w:val="19"/>
              </w:rPr>
              <w:t>Heavy alcohol use (&gt;21 units/week) is neurotoxic, causes thiamine deficiency and brain atrophy, and independently raises dementia risk; it may also cause a distinct alcohol-related dementia that can compound AD.</w:t>
            </w:r>
          </w:p>
          <w:p>
            <w:pPr>
              <w:spacing w:after="40" w:before="60" w:line="259" w:lineRule="auto"/>
            </w:pPr>
            <w:r>
              <w:rPr>
                <w:rFonts w:ascii="Calibri" w:hAnsi="Calibri"/>
                <w:b w:val="0"/>
                <w:i w:val="0"/>
                <w:color w:val="212121"/>
                <w:sz w:val="19"/>
              </w:rPr>
              <w:t>Excessive alcohol consumption is one of the 14 modifiable dementia risk factors identified by the 2024 Lancet Commission.</w:t>
            </w:r>
          </w:p>
          <w:p>
            <w:pPr>
              <w:spacing w:after="40" w:line="252" w:lineRule="auto"/>
            </w:pPr>
            <w:hyperlink r:id="rId13">
              <w:r>
                <w:rPr>
                  <w:rFonts w:ascii="Calibri" w:hAnsi="Calibri" w:cs="Calibri"/>
                  <w:sz w:val="18"/>
                  <w:color w:val="1155CC"/>
                  <w:u w:val="single"/>
                </w:rPr>
                <w:t xml:space="preserve">alzheimer-europe.org — 2024 Lancet Commission, 14 risk factors</w:t>
              </w:r>
            </w:hyperlink>
          </w:p>
          <w:p>
            <w:pPr>
              <w:spacing w:before="60" w:after="40"/>
            </w:pPr>
            <w:r>
              <w:rPr>
                <w:rFonts w:ascii="Calibri" w:hAnsi="Calibri"/>
                <w:b w:val="0"/>
                <w:i w:val="0"/>
                <w:color w:val="5A5A5A"/>
                <w:sz w:val="18"/>
              </w:rPr>
              <w:t>#alcohol  #neurotoxic  #thiamine  #brainatrophy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Social isolation &amp; cognitive engagement</w:t>
            </w:r>
          </w:p>
        </w:tc>
        <w:tc>
          <w:tcPr>
            <w:tcW w:type="dxa" w:w="2160"/>
            <w:vAlign w:val="top"/>
          </w:tcPr>
          <w:p>
            <w:pPr>
              <w:spacing w:after="40" w:before="0" w:line="259" w:lineRule="auto"/>
            </w:pPr>
            <w:r>
              <w:rPr>
                <w:rFonts w:ascii="Calibri" w:hAnsi="Calibri"/>
                <w:b w:val="0"/>
                <w:i w:val="0"/>
                <w:color w:val="212121"/>
                <w:sz w:val="19"/>
              </w:rPr>
              <w:t>Socially isolated, widowed or disengaged elderly</w:t>
            </w:r>
          </w:p>
        </w:tc>
        <w:tc>
          <w:tcPr>
            <w:tcW w:type="dxa" w:w="4276"/>
            <w:vAlign w:val="top"/>
          </w:tcPr>
          <w:p>
            <w:pPr>
              <w:spacing w:after="60" w:line="259" w:lineRule="auto"/>
            </w:pPr>
            <w:r>
              <w:rPr>
                <w:rFonts w:ascii="Calibri" w:hAnsi="Calibri"/>
                <w:b w:val="0"/>
                <w:i w:val="0"/>
                <w:color w:val="212121"/>
                <w:sz w:val="19"/>
              </w:rPr>
              <w:t>Loneliness and social isolation deprive the brain of stimulating interaction, are linked to depression and inactivity, and independently increase dementia risk; conversely, rich social and cognitive engagement builds reserve. Changing family structures in India leave more elders isolated.</w:t>
            </w:r>
          </w:p>
          <w:p>
            <w:pPr>
              <w:spacing w:after="40" w:before="60" w:line="259" w:lineRule="auto"/>
            </w:pPr>
            <w:r>
              <w:rPr>
                <w:rFonts w:ascii="Calibri" w:hAnsi="Calibri"/>
                <w:b w:val="0"/>
                <w:i w:val="0"/>
                <w:color w:val="212121"/>
                <w:sz w:val="19"/>
              </w:rPr>
              <w:t>Social isolation is a late-life modifiable risk factor with a Lancet Commission population-attributable fraction of about 5%.</w:t>
            </w:r>
          </w:p>
          <w:p>
            <w:pPr>
              <w:spacing w:after="40" w:line="252" w:lineRule="auto"/>
            </w:pPr>
            <w:hyperlink r:id="rId14">
              <w:r>
                <w:rPr>
                  <w:rFonts w:ascii="Calibri" w:hAnsi="Calibri" w:cs="Calibri"/>
                  <w:sz w:val="18"/>
                  <w:color w:val="1155CC"/>
                  <w:u w:val="single"/>
                </w:rPr>
                <w:t xml:space="preserve">conexiant.com — 14 keys to dementia prevention (PAFs)</w:t>
              </w:r>
            </w:hyperlink>
          </w:p>
          <w:p>
            <w:pPr>
              <w:spacing w:before="60" w:after="40"/>
            </w:pPr>
            <w:r>
              <w:rPr>
                <w:rFonts w:ascii="Calibri" w:hAnsi="Calibri"/>
                <w:b w:val="0"/>
                <w:i w:val="0"/>
                <w:color w:val="5A5A5A"/>
                <w:sz w:val="18"/>
              </w:rPr>
              <w:t>#socialisolation  #loneliness  #cognitiveengagement  #reserve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Air pollution exposure</w:t>
            </w:r>
          </w:p>
        </w:tc>
        <w:tc>
          <w:tcPr>
            <w:tcW w:type="dxa" w:w="2160"/>
            <w:vAlign w:val="top"/>
          </w:tcPr>
          <w:p>
            <w:pPr>
              <w:spacing w:after="40" w:before="0" w:line="259" w:lineRule="auto"/>
            </w:pPr>
            <w:r>
              <w:rPr>
                <w:rFonts w:ascii="Calibri" w:hAnsi="Calibri"/>
                <w:b w:val="0"/>
                <w:i w:val="0"/>
                <w:color w:val="212121"/>
                <w:sz w:val="19"/>
              </w:rPr>
              <w:t>Adults chronically exposed to PM2.5 / household smoke</w:t>
            </w:r>
          </w:p>
        </w:tc>
        <w:tc>
          <w:tcPr>
            <w:tcW w:type="dxa" w:w="4276"/>
            <w:vAlign w:val="top"/>
          </w:tcPr>
          <w:p>
            <w:pPr>
              <w:spacing w:after="60" w:line="259" w:lineRule="auto"/>
            </w:pPr>
            <w:r>
              <w:rPr>
                <w:rFonts w:ascii="Calibri" w:hAnsi="Calibri"/>
                <w:b w:val="0"/>
                <w:i w:val="0"/>
                <w:color w:val="212121"/>
                <w:sz w:val="19"/>
              </w:rPr>
              <w:t>Chronic exposure to fine particulate matter (PM2.5) promotes neuro-inflammation, oxidative stress and cerebrovascular damage and is associated with higher dementia incidence — a particularly important, modifiable exposure in India given very high ambient and indoor (biomass-fuel) air pollution.</w:t>
            </w:r>
          </w:p>
          <w:p>
            <w:pPr>
              <w:spacing w:after="40" w:before="60" w:line="259" w:lineRule="auto"/>
            </w:pPr>
            <w:r>
              <w:rPr>
                <w:rFonts w:ascii="Calibri" w:hAnsi="Calibri"/>
                <w:b w:val="0"/>
                <w:i w:val="0"/>
                <w:color w:val="212121"/>
                <w:sz w:val="19"/>
              </w:rPr>
              <w:t>Meta-analyses of long-term ambient PM2.5 exposure show a consistent association with increased incident dementia; air pollution is one of the 14 Lancet Commission risk factors.</w:t>
            </w:r>
          </w:p>
          <w:p>
            <w:pPr>
              <w:spacing w:after="40" w:line="252" w:lineRule="auto"/>
            </w:pPr>
            <w:hyperlink r:id="rId15">
              <w:r>
                <w:rPr>
                  <w:rFonts w:ascii="Calibri" w:hAnsi="Calibri" w:cs="Calibri"/>
                  <w:sz w:val="18"/>
                  <w:color w:val="1155CC"/>
                  <w:u w:val="single"/>
                </w:rPr>
                <w:t xml:space="preserve">thelancet.com — air pollution &amp; incident dementia (meta-analysis)</w:t>
              </w:r>
            </w:hyperlink>
          </w:p>
          <w:p>
            <w:pPr>
              <w:spacing w:before="60" w:after="40"/>
            </w:pPr>
            <w:r>
              <w:rPr>
                <w:rFonts w:ascii="Calibri" w:hAnsi="Calibri"/>
                <w:b w:val="0"/>
                <w:i w:val="0"/>
                <w:color w:val="5A5A5A"/>
                <w:sz w:val="18"/>
              </w:rPr>
              <w:t>#airpollution  #PM25  #neuroinflammation  #biomasssmoke  #India</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 / obesity</w:t>
            </w:r>
          </w:p>
        </w:tc>
        <w:tc>
          <w:tcPr>
            <w:tcW w:type="dxa" w:w="2160"/>
            <w:vAlign w:val="top"/>
          </w:tcPr>
          <w:p>
            <w:pPr>
              <w:spacing w:after="40" w:before="0" w:line="259" w:lineRule="auto"/>
            </w:pPr>
            <w:r>
              <w:rPr>
                <w:rFonts w:ascii="Calibri" w:hAnsi="Calibri"/>
                <w:b w:val="0"/>
                <w:i w:val="0"/>
                <w:color w:val="212121"/>
                <w:sz w:val="19"/>
              </w:rPr>
              <w:t>High saturated-fat, refined-carbohydrate diets; midlife obesity</w:t>
            </w:r>
          </w:p>
        </w:tc>
        <w:tc>
          <w:tcPr>
            <w:tcW w:type="dxa" w:w="4276"/>
            <w:vAlign w:val="top"/>
          </w:tcPr>
          <w:p>
            <w:pPr>
              <w:spacing w:after="60" w:line="259" w:lineRule="auto"/>
            </w:pPr>
            <w:r>
              <w:rPr>
                <w:rFonts w:ascii="Calibri" w:hAnsi="Calibri"/>
                <w:b w:val="0"/>
                <w:i w:val="0"/>
                <w:color w:val="212121"/>
                <w:sz w:val="19"/>
              </w:rPr>
              <w:t>Diets high in saturated fat, refined carbohydrates and ultra-processed foods, with low intake of vegetables, fruit, whole grains and fish, drive obesity, diabetes and dyslipidaemia and are linked to higher dementia risk; brain-protective patterns (Mediterranean/MIND) are associated with slower cognitive decline.</w:t>
            </w:r>
          </w:p>
          <w:p>
            <w:pPr>
              <w:spacing w:after="40" w:before="60" w:line="259" w:lineRule="auto"/>
            </w:pPr>
            <w:r>
              <w:rPr>
                <w:rFonts w:ascii="Calibri" w:hAnsi="Calibri"/>
                <w:b w:val="0"/>
                <w:i w:val="0"/>
                <w:color w:val="212121"/>
                <w:sz w:val="19"/>
              </w:rPr>
              <w:t>Midlife obesity is one of the 14 modifiable dementia risk factors in the 2024 Lancet Commission.</w:t>
            </w:r>
          </w:p>
          <w:p>
            <w:pPr>
              <w:spacing w:after="40" w:line="252" w:lineRule="auto"/>
            </w:pPr>
            <w:hyperlink r:id="rId13">
              <w:r>
                <w:rPr>
                  <w:rFonts w:ascii="Calibri" w:hAnsi="Calibri" w:cs="Calibri"/>
                  <w:sz w:val="18"/>
                  <w:color w:val="1155CC"/>
                  <w:u w:val="single"/>
                </w:rPr>
                <w:t xml:space="preserve">alzheimer-europe.org — 2024 Lancet Commission, 14 risk factors</w:t>
              </w:r>
            </w:hyperlink>
          </w:p>
          <w:p>
            <w:pPr>
              <w:spacing w:before="60" w:after="40"/>
            </w:pPr>
            <w:r>
              <w:rPr>
                <w:rFonts w:ascii="Calibri" w:hAnsi="Calibri"/>
                <w:b w:val="0"/>
                <w:i w:val="0"/>
                <w:color w:val="5A5A5A"/>
                <w:sz w:val="18"/>
              </w:rPr>
              <w:t>#diet  #obesity  #MINDdiet  #Mediterranean  #ultraprocessed</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APOE ε4 genotype</w:t>
            </w:r>
          </w:p>
        </w:tc>
        <w:tc>
          <w:tcPr>
            <w:tcW w:type="dxa" w:w="2160"/>
            <w:vAlign w:val="top"/>
          </w:tcPr>
          <w:p>
            <w:pPr>
              <w:spacing w:after="40" w:before="0" w:line="259" w:lineRule="auto"/>
            </w:pPr>
            <w:r>
              <w:rPr>
                <w:rFonts w:ascii="Calibri" w:hAnsi="Calibri"/>
                <w:b w:val="0"/>
                <w:i w:val="0"/>
                <w:color w:val="212121"/>
                <w:sz w:val="19"/>
              </w:rPr>
              <w:t>APOE ε4 allele carriers</w:t>
            </w:r>
          </w:p>
        </w:tc>
        <w:tc>
          <w:tcPr>
            <w:tcW w:type="dxa" w:w="4276"/>
            <w:vAlign w:val="top"/>
          </w:tcPr>
          <w:p>
            <w:pPr>
              <w:spacing w:after="60" w:line="259" w:lineRule="auto"/>
            </w:pPr>
            <w:r>
              <w:rPr>
                <w:rFonts w:ascii="Calibri" w:hAnsi="Calibri"/>
                <w:b w:val="0"/>
                <w:i w:val="0"/>
                <w:color w:val="212121"/>
                <w:sz w:val="19"/>
              </w:rPr>
              <w:t>The APOE ε4 allele is the major genetic risk factor for late-onset Alzheimer's, impairing amyloid clearance; risk rises with allele dose and is greater in women. It lowers the age of onset but is neither necessary nor sufficient to cause disease.</w:t>
            </w:r>
          </w:p>
          <w:p>
            <w:pPr>
              <w:spacing w:after="40" w:before="60" w:line="259" w:lineRule="auto"/>
            </w:pPr>
            <w:r>
              <w:rPr>
                <w:rFonts w:ascii="Calibri" w:hAnsi="Calibri"/>
                <w:b w:val="0"/>
                <w:i w:val="0"/>
                <w:color w:val="212121"/>
                <w:sz w:val="19"/>
              </w:rPr>
              <w:t>One ε4 copy raises AD risk about 3–4-fold and two copies about 8–15-fold versus ε3/ε3; the association has been confirmed in North Indian case-control studies.</w:t>
            </w:r>
          </w:p>
          <w:p>
            <w:pPr>
              <w:spacing w:after="40" w:line="252" w:lineRule="auto"/>
            </w:pPr>
            <w:hyperlink r:id="rId16">
              <w:r>
                <w:rPr>
                  <w:rFonts w:ascii="Calibri" w:hAnsi="Calibri" w:cs="Calibri"/>
                  <w:sz w:val="18"/>
                  <w:color w:val="1155CC"/>
                  <w:u w:val="single"/>
                </w:rPr>
                <w:t xml:space="preserve">j-alz.com — APOE4 genotype and AD risk</w:t>
              </w:r>
            </w:hyperlink>
          </w:p>
          <w:p>
            <w:pPr>
              <w:spacing w:before="60" w:after="40"/>
            </w:pPr>
            <w:r>
              <w:rPr>
                <w:rFonts w:ascii="Calibri" w:hAnsi="Calibri"/>
                <w:b w:val="0"/>
                <w:i w:val="0"/>
                <w:color w:val="5A5A5A"/>
                <w:sz w:val="18"/>
              </w:rPr>
              <w:t>#APOE4  #genetics  #amyloidclearance  #lateonset  #alleledose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 / autosomal-dominant mutations</w:t>
            </w:r>
          </w:p>
        </w:tc>
        <w:tc>
          <w:tcPr>
            <w:tcW w:type="dxa" w:w="2160"/>
            <w:vAlign w:val="top"/>
          </w:tcPr>
          <w:p>
            <w:pPr>
              <w:spacing w:after="40" w:before="0" w:line="259" w:lineRule="auto"/>
            </w:pPr>
            <w:r>
              <w:rPr>
                <w:rFonts w:ascii="Calibri" w:hAnsi="Calibri"/>
                <w:b w:val="0"/>
                <w:i w:val="0"/>
                <w:color w:val="212121"/>
                <w:sz w:val="19"/>
              </w:rPr>
              <w:t>First-degree relatives; APP/PSEN1/PSEN2 carriers; Down syndrome</w:t>
            </w:r>
          </w:p>
        </w:tc>
        <w:tc>
          <w:tcPr>
            <w:tcW w:type="dxa" w:w="4276"/>
            <w:vAlign w:val="top"/>
          </w:tcPr>
          <w:p>
            <w:pPr>
              <w:spacing w:after="60" w:line="259" w:lineRule="auto"/>
            </w:pPr>
            <w:r>
              <w:rPr>
                <w:rFonts w:ascii="Calibri" w:hAnsi="Calibri"/>
                <w:b w:val="0"/>
                <w:i w:val="0"/>
                <w:color w:val="212121"/>
                <w:sz w:val="19"/>
              </w:rPr>
              <w:t>A positive family history raises risk through shared genes and environment. Rare autosomal-dominant mutations (APP, PSEN1, PSEN2) cause highly penetrant early-onset AD, and people with Down syndrome (trisomy 21, extra APP gene) almost universally develop AD pathology by middle age.</w:t>
            </w:r>
          </w:p>
          <w:p>
            <w:pPr>
              <w:spacing w:after="40" w:before="60" w:line="259" w:lineRule="auto"/>
            </w:pPr>
            <w:r>
              <w:rPr>
                <w:rFonts w:ascii="Calibri" w:hAnsi="Calibri"/>
                <w:b w:val="0"/>
                <w:i w:val="0"/>
                <w:color w:val="212121"/>
                <w:sz w:val="19"/>
              </w:rPr>
              <w:t>Autosomal-dominant familial AD is rare but near-fully penetrant; adults with Down syndrome have a very high lifetime risk of Alzheimer's dementia.</w:t>
            </w:r>
          </w:p>
          <w:p>
            <w:pPr>
              <w:spacing w:after="40" w:line="252" w:lineRule="auto"/>
            </w:pPr>
            <w:hyperlink r:id="rId17">
              <w:r>
                <w:rPr>
                  <w:rFonts w:ascii="Calibri" w:hAnsi="Calibri" w:cs="Calibri"/>
                  <w:sz w:val="18"/>
                  <w:color w:val="1155CC"/>
                  <w:u w:val="single"/>
                </w:rPr>
                <w:t xml:space="preserve">pmc.ncbi.nlm.nih.gov — APOE4 in North Indian dementia (case-control)</w:t>
              </w:r>
            </w:hyperlink>
          </w:p>
          <w:p>
            <w:pPr>
              <w:spacing w:before="60" w:after="40"/>
            </w:pPr>
            <w:r>
              <w:rPr>
                <w:rFonts w:ascii="Calibri" w:hAnsi="Calibri"/>
                <w:b w:val="0"/>
                <w:i w:val="0"/>
                <w:color w:val="5A5A5A"/>
                <w:sz w:val="18"/>
              </w:rPr>
              <w:t>#familyhistory  #PSEN1  #APP  #Downsyndrome  #penetrance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Hearing loss</w:t>
            </w:r>
          </w:p>
        </w:tc>
        <w:tc>
          <w:tcPr>
            <w:tcW w:type="dxa" w:w="2160"/>
            <w:vAlign w:val="top"/>
          </w:tcPr>
          <w:p>
            <w:pPr>
              <w:spacing w:after="40" w:before="0" w:line="259" w:lineRule="auto"/>
            </w:pPr>
            <w:r>
              <w:rPr>
                <w:rFonts w:ascii="Calibri" w:hAnsi="Calibri"/>
                <w:b w:val="0"/>
                <w:i w:val="0"/>
                <w:color w:val="212121"/>
                <w:sz w:val="19"/>
              </w:rPr>
              <w:t>Older adults with untreated hearing loss</w:t>
            </w:r>
          </w:p>
        </w:tc>
        <w:tc>
          <w:tcPr>
            <w:tcW w:type="dxa" w:w="4276"/>
            <w:vAlign w:val="top"/>
          </w:tcPr>
          <w:p>
            <w:pPr>
              <w:spacing w:after="60" w:line="259" w:lineRule="auto"/>
            </w:pPr>
            <w:r>
              <w:rPr>
                <w:rFonts w:ascii="Calibri" w:hAnsi="Calibri"/>
                <w:b w:val="0"/>
                <w:i w:val="0"/>
                <w:color w:val="212121"/>
                <w:sz w:val="19"/>
              </w:rPr>
              <w:t>Untreated hearing loss increases cognitive load, accelerates brain atrophy and promotes social isolation, and is the single largest modifiable dementia risk factor by population impact. Crucially, it is treatable, and correcting it can slow cognitive decline.</w:t>
            </w:r>
          </w:p>
          <w:p>
            <w:pPr>
              <w:spacing w:after="40" w:before="60" w:line="259" w:lineRule="auto"/>
            </w:pPr>
            <w:r>
              <w:rPr>
                <w:rFonts w:ascii="Calibri" w:hAnsi="Calibri"/>
                <w:b w:val="0"/>
                <w:i w:val="0"/>
                <w:color w:val="212121"/>
                <w:sz w:val="19"/>
              </w:rPr>
              <w:t>Mild, moderate and severe hearing loss carry roughly 2×, 3× and 5× higher dementia risk; in the ACHIEVE trial, hearing aids slowed cognitive decline by 48% over three years in high-risk elders.</w:t>
            </w:r>
          </w:p>
          <w:p>
            <w:pPr>
              <w:spacing w:after="40" w:line="252" w:lineRule="auto"/>
            </w:pPr>
            <w:hyperlink r:id="rId18">
              <w:r>
                <w:rPr>
                  <w:rFonts w:ascii="Calibri" w:hAnsi="Calibri" w:cs="Calibri"/>
                  <w:sz w:val="18"/>
                  <w:color w:val="1155CC"/>
                  <w:u w:val="single"/>
                </w:rPr>
                <w:t xml:space="preserve">achievestudy.org — hearing loss &amp; dementia (ACHIEVE trial)</w:t>
              </w:r>
            </w:hyperlink>
          </w:p>
          <w:p>
            <w:pPr>
              <w:spacing w:before="60" w:after="40"/>
            </w:pPr>
            <w:r>
              <w:rPr>
                <w:rFonts w:ascii="Calibri" w:hAnsi="Calibri"/>
                <w:b w:val="0"/>
                <w:i w:val="0"/>
                <w:color w:val="5A5A5A"/>
                <w:sz w:val="18"/>
              </w:rPr>
              <w:t>#hearingloss  #hearingaids  #largestPAF  #modifiable  #ACHIEVE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w:t>
            </w:r>
          </w:p>
        </w:tc>
        <w:tc>
          <w:tcPr>
            <w:tcW w:type="dxa" w:w="2160"/>
            <w:vAlign w:val="top"/>
          </w:tcPr>
          <w:p>
            <w:pPr>
              <w:spacing w:after="40" w:before="0" w:line="259" w:lineRule="auto"/>
            </w:pPr>
            <w:r>
              <w:rPr>
                <w:rFonts w:ascii="Calibri" w:hAnsi="Calibri"/>
                <w:b w:val="0"/>
                <w:i w:val="0"/>
                <w:color w:val="212121"/>
                <w:sz w:val="19"/>
              </w:rPr>
              <w:t>Adults with type 2 diabetes / insulin resistance</w:t>
            </w:r>
          </w:p>
        </w:tc>
        <w:tc>
          <w:tcPr>
            <w:tcW w:type="dxa" w:w="4276"/>
            <w:vAlign w:val="top"/>
          </w:tcPr>
          <w:p>
            <w:pPr>
              <w:spacing w:after="60" w:line="259" w:lineRule="auto"/>
            </w:pPr>
            <w:r>
              <w:rPr>
                <w:rFonts w:ascii="Calibri" w:hAnsi="Calibri"/>
                <w:b w:val="0"/>
                <w:i w:val="0"/>
                <w:color w:val="212121"/>
                <w:sz w:val="19"/>
              </w:rPr>
              <w:t>Type 2 diabetes and insulin resistance promote cerebral small-vessel disease, impaired brain insulin signalling, inflammation and amyloid accumulation — links so close that AD is sometimes termed 'type 3 diabetes'. Diabetes is highly and increasingly prevalent in India.</w:t>
            </w:r>
          </w:p>
          <w:p>
            <w:pPr>
              <w:spacing w:after="40" w:before="60" w:line="259" w:lineRule="auto"/>
            </w:pPr>
            <w:r>
              <w:rPr>
                <w:rFonts w:ascii="Calibri" w:hAnsi="Calibri"/>
                <w:b w:val="0"/>
                <w:i w:val="0"/>
                <w:color w:val="212121"/>
                <w:sz w:val="19"/>
              </w:rPr>
              <w:t>Type 2 diabetes is an established modifiable risk factor that increases the risk of developing dementia, including Alzheimer's disease.</w:t>
            </w:r>
          </w:p>
          <w:p>
            <w:pPr>
              <w:spacing w:after="40" w:line="252" w:lineRule="auto"/>
            </w:pPr>
            <w:hyperlink r:id="rId19">
              <w:r>
                <w:rPr>
                  <w:rFonts w:ascii="Calibri" w:hAnsi="Calibri" w:cs="Calibri"/>
                  <w:sz w:val="18"/>
                  <w:color w:val="1155CC"/>
                  <w:u w:val="single"/>
                </w:rPr>
                <w:t xml:space="preserve">alzheimers.org.uk — diabetes and dementia risk</w:t>
              </w:r>
            </w:hyperlink>
          </w:p>
          <w:p>
            <w:pPr>
              <w:spacing w:before="60" w:after="40"/>
            </w:pPr>
            <w:r>
              <w:rPr>
                <w:rFonts w:ascii="Calibri" w:hAnsi="Calibri"/>
                <w:b w:val="0"/>
                <w:i w:val="0"/>
                <w:color w:val="5A5A5A"/>
                <w:sz w:val="18"/>
              </w:rPr>
              <w:t>#diabetes  #insulinresistance  #type3diabetes  #smallvessel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 (midlife) &amp; vascular disease</w:t>
            </w:r>
          </w:p>
        </w:tc>
        <w:tc>
          <w:tcPr>
            <w:tcW w:type="dxa" w:w="2160"/>
            <w:vAlign w:val="top"/>
          </w:tcPr>
          <w:p>
            <w:pPr>
              <w:spacing w:after="40" w:before="0" w:line="259" w:lineRule="auto"/>
            </w:pPr>
            <w:r>
              <w:rPr>
                <w:rFonts w:ascii="Calibri" w:hAnsi="Calibri"/>
                <w:b w:val="0"/>
                <w:i w:val="0"/>
                <w:color w:val="212121"/>
                <w:sz w:val="19"/>
              </w:rPr>
              <w:t>Adults with uncontrolled midlife hypertension</w:t>
            </w:r>
          </w:p>
        </w:tc>
        <w:tc>
          <w:tcPr>
            <w:tcW w:type="dxa" w:w="4276"/>
            <w:vAlign w:val="top"/>
          </w:tcPr>
          <w:p>
            <w:pPr>
              <w:spacing w:after="60" w:line="259" w:lineRule="auto"/>
            </w:pPr>
            <w:r>
              <w:rPr>
                <w:rFonts w:ascii="Calibri" w:hAnsi="Calibri"/>
                <w:b w:val="0"/>
                <w:i w:val="0"/>
                <w:color w:val="212121"/>
                <w:sz w:val="19"/>
              </w:rPr>
              <w:t>Sustained midlife high blood pressure damages cerebral vessels, causing white-matter disease and microinfarcts that both cause vascular dementia and worsen Alzheimer's, frequently producing mixed dementia. Blood-pressure control is protective.</w:t>
            </w:r>
          </w:p>
          <w:p>
            <w:pPr>
              <w:spacing w:after="40" w:before="60" w:line="259" w:lineRule="auto"/>
            </w:pPr>
            <w:r>
              <w:rPr>
                <w:rFonts w:ascii="Calibri" w:hAnsi="Calibri"/>
                <w:b w:val="0"/>
                <w:i w:val="0"/>
                <w:color w:val="212121"/>
                <w:sz w:val="19"/>
              </w:rPr>
              <w:t>Hypertension is one of the 14 modifiable dementia risk factors identified by the 2024 Lancet Commission; midlife control reduces later dementia risk.</w:t>
            </w:r>
          </w:p>
          <w:p>
            <w:pPr>
              <w:spacing w:after="40" w:line="252" w:lineRule="auto"/>
            </w:pPr>
            <w:hyperlink r:id="rId13">
              <w:r>
                <w:rPr>
                  <w:rFonts w:ascii="Calibri" w:hAnsi="Calibri" w:cs="Calibri"/>
                  <w:sz w:val="18"/>
                  <w:color w:val="1155CC"/>
                  <w:u w:val="single"/>
                </w:rPr>
                <w:t xml:space="preserve">alzheimer-europe.org — 2024 Lancet Commission, 14 risk factors</w:t>
              </w:r>
            </w:hyperlink>
          </w:p>
          <w:p>
            <w:pPr>
              <w:spacing w:before="60" w:after="40"/>
            </w:pPr>
            <w:r>
              <w:rPr>
                <w:rFonts w:ascii="Calibri" w:hAnsi="Calibri"/>
                <w:b w:val="0"/>
                <w:i w:val="0"/>
                <w:color w:val="5A5A5A"/>
                <w:sz w:val="18"/>
              </w:rPr>
              <w:t>#hypertension  #midlife  #vasculardementia  #mixeddementia  #BP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Older adults with depression</w:t>
            </w:r>
          </w:p>
        </w:tc>
        <w:tc>
          <w:tcPr>
            <w:tcW w:type="dxa" w:w="4276"/>
            <w:vAlign w:val="top"/>
          </w:tcPr>
          <w:p>
            <w:pPr>
              <w:spacing w:after="60" w:line="259" w:lineRule="auto"/>
            </w:pPr>
            <w:r>
              <w:rPr>
                <w:rFonts w:ascii="Calibri" w:hAnsi="Calibri"/>
                <w:b w:val="0"/>
                <w:i w:val="0"/>
                <w:color w:val="212121"/>
                <w:sz w:val="19"/>
              </w:rPr>
              <w:t>Depression is bidirectionally linked with dementia: it is both an early modifiable risk factor and, in some, a prodromal symptom of AD. It worsens cognition, engagement and self-care and must be distinguished from 'pseudodementia'.</w:t>
            </w:r>
          </w:p>
          <w:p>
            <w:pPr>
              <w:spacing w:after="40" w:before="60" w:line="259" w:lineRule="auto"/>
            </w:pPr>
            <w:r>
              <w:rPr>
                <w:rFonts w:ascii="Calibri" w:hAnsi="Calibri"/>
                <w:b w:val="0"/>
                <w:i w:val="0"/>
                <w:color w:val="212121"/>
                <w:sz w:val="19"/>
              </w:rPr>
              <w:t>Depression is associated with roughly a 2.25-fold higher relative risk of dementia and is a modifiable Lancet Commission risk factor (PAF ~3%).</w:t>
            </w:r>
          </w:p>
          <w:p>
            <w:pPr>
              <w:spacing w:after="40" w:line="252" w:lineRule="auto"/>
            </w:pPr>
            <w:hyperlink r:id="rId14">
              <w:r>
                <w:rPr>
                  <w:rFonts w:ascii="Calibri" w:hAnsi="Calibri" w:cs="Calibri"/>
                  <w:sz w:val="18"/>
                  <w:color w:val="1155CC"/>
                  <w:u w:val="single"/>
                </w:rPr>
                <w:t xml:space="preserve">conexiant.com — 14 keys to dementia prevention (PAFs)</w:t>
              </w:r>
            </w:hyperlink>
          </w:p>
          <w:p>
            <w:pPr>
              <w:spacing w:before="60" w:after="40"/>
            </w:pPr>
            <w:r>
              <w:rPr>
                <w:rFonts w:ascii="Calibri" w:hAnsi="Calibri"/>
                <w:b w:val="0"/>
                <w:i w:val="0"/>
                <w:color w:val="5A5A5A"/>
                <w:sz w:val="18"/>
              </w:rPr>
              <w:t>#depression  #pseudodementia  #bidirectional  #prodrome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aerobic and resistance exercise improves cerebral perfusion, insulin sensitivity, mood and neurotrophic (BDNF) support and is one of the strongest modifiable protectors; longitudinal data link activity with 41% (midlife) to 45% (late-life) lower dementia risk, while inactivity is a Lancet Commission risk factor.</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Brain-protective dietary patterns (Mediterranean/MIND — leafy greens, vegetables, berries, nuts, whole grains, fish, olive oil) are associated with slower cognitive decline, whereas diets high in saturated fat, refined carbohydrate and ultra-processed foods drive obesity, diabetes and dyslipidaemia that raise dementia risk.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Sleep drives glymphatic clearance of amyloid-β; chronic short sleep, poor quality and untreated obstructive sleep apnoea are associated with greater amyloid burden and higher dementia risk, and sleep disturbance/sundowning is common in established AD.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smoking accelerates small-vessel disease, oxidative stress and amyloid deposition, raising risk of Alzheimer's and vascular dementia; it is a modifiable Lancet Commission factor and risk falls after cessation.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Heavy/harmful drinking (&gt;21 units/week) is neurotoxic, causes thiamine deficiency and brain atrophy and raises dementia risk; any protective signal from light intake is uncertain and outweighed by other harms.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(relative risk ~2.25) and social isolation are strong, bidirectional modifiable risk factors; chronic stress and untreated mood disorder worsen cognition, engagement and self-care, while behavioural and psychological symptoms dominate later disease.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Dehydration is a frequent precipitant of acute confusion (delirium) superimposed on dementia in frail elders, but hydration has no established role in causing or preventing the underlying AD pathology; maintaining intake supports day-to-day cognition.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Observational studies suggest moderate coffee/tea intake may be modestly associated with lower dementia risk, but evidence is inconsistent and no causal protective effect is established.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oral hygiene and chronic periodontitis (e.g., Porphyromonas gingivalis) have been linked to AD in observational studies; declining self-care hygiene is also a consequence of dementia and raises infection risk.</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Acute cognitive decompensation is commonly provoked by infection (UTI, pneumonia), dehydration, hospitalisation, surgery/anaesthesia, metabolic upset and deliriogenic drugs (anticholinergics, benzodiazepines, opioids); head injury and chronic air-pollution exposure raise underlying risk.</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Moderate-to-vigorous activity (min/week)</w:t>
            </w:r>
          </w:p>
        </w:tc>
        <w:tc>
          <w:tcPr>
            <w:tcW w:type="dxa" w:w="1655"/>
            <w:vAlign w:val="top"/>
          </w:tcPr>
          <w:p>
            <w:pPr>
              <w:spacing w:after="40" w:before="0" w:line="259" w:lineRule="auto"/>
            </w:pPr>
            <w:r>
              <w:rPr>
                <w:rFonts w:ascii="Calibri" w:hAnsi="Calibri"/>
                <w:b w:val="0"/>
                <w:i w:val="0"/>
                <w:color w:val="212121"/>
                <w:sz w:val="19"/>
              </w:rPr>
              <w:t>Middle-aged &amp; older adults</w:t>
            </w:r>
          </w:p>
        </w:tc>
        <w:tc>
          <w:tcPr>
            <w:tcW w:type="dxa" w:w="1512"/>
            <w:vAlign w:val="top"/>
          </w:tcPr>
          <w:p>
            <w:pPr>
              <w:spacing w:after="40" w:before="0" w:line="259" w:lineRule="auto"/>
            </w:pPr>
            <w:r>
              <w:rPr>
                <w:rFonts w:ascii="Calibri" w:hAnsi="Calibri"/>
                <w:b w:val="0"/>
                <w:i w:val="0"/>
                <w:color w:val="212121"/>
                <w:sz w:val="19"/>
              </w:rPr>
              <w:t>≥ 150 min/week + resistance &amp; balance work</w:t>
            </w:r>
          </w:p>
        </w:tc>
        <w:tc>
          <w:tcPr>
            <w:tcW w:type="dxa" w:w="1512"/>
            <w:vAlign w:val="top"/>
          </w:tcPr>
          <w:p>
            <w:pPr>
              <w:spacing w:after="40" w:before="0" w:line="259" w:lineRule="auto"/>
            </w:pPr>
            <w:r>
              <w:rPr>
                <w:rFonts w:ascii="Calibri" w:hAnsi="Calibri"/>
                <w:b w:val="0"/>
                <w:i w:val="0"/>
                <w:color w:val="212121"/>
                <w:sz w:val="19"/>
              </w:rPr>
              <w:t>Sedentary / &lt; 150 min/week</w:t>
            </w:r>
          </w:p>
        </w:tc>
        <w:tc>
          <w:tcPr>
            <w:tcW w:type="dxa" w:w="1468"/>
            <w:vAlign w:val="top"/>
          </w:tcPr>
          <w:p>
            <w:pPr>
              <w:spacing w:after="60" w:line="259" w:lineRule="auto"/>
            </w:pPr>
            <w:r>
              <w:rPr>
                <w:rFonts w:ascii="Calibri" w:hAnsi="Calibri"/>
                <w:b w:val="0"/>
                <w:i w:val="0"/>
                <w:color w:val="212121"/>
                <w:sz w:val="19"/>
              </w:rPr>
              <w:t>Regular activity linked to 41–45% lower dementia risk</w:t>
            </w:r>
          </w:p>
          <w:p>
            <w:pPr>
              <w:spacing w:after="40" w:line="252" w:lineRule="auto"/>
            </w:pPr>
            <w:hyperlink r:id="rId12">
              <w:r>
                <w:rPr>
                  <w:rFonts w:ascii="Calibri" w:hAnsi="Calibri" w:cs="Calibri"/>
                  <w:sz w:val="18"/>
                  <w:color w:val="1155CC"/>
                  <w:u w:val="single"/>
                </w:rPr>
                <w:t xml:space="preserve">https://www.bu.edu/sph/news/articles/2025/mid-and-late-life-physical-activity-may-reduce-dementia-risk-by-up-to-45/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 midlife)</w:t>
            </w:r>
          </w:p>
        </w:tc>
        <w:tc>
          <w:tcPr>
            <w:tcW w:type="dxa" w:w="1655"/>
            <w:vAlign w:val="top"/>
          </w:tcPr>
          <w:p>
            <w:pPr>
              <w:spacing w:after="40" w:before="0" w:line="259" w:lineRule="auto"/>
            </w:pPr>
            <w:r>
              <w:rPr>
                <w:rFonts w:ascii="Calibri" w:hAnsi="Calibri"/>
                <w:b w:val="0"/>
                <w:i w:val="0"/>
                <w:color w:val="212121"/>
                <w:sz w:val="19"/>
              </w:rPr>
              <w:t>Midlife adults</w:t>
            </w:r>
          </w:p>
        </w:tc>
        <w:tc>
          <w:tcPr>
            <w:tcW w:type="dxa" w:w="1512"/>
            <w:vAlign w:val="top"/>
          </w:tcPr>
          <w:p>
            <w:pPr>
              <w:spacing w:after="40" w:before="0" w:line="259" w:lineRule="auto"/>
            </w:pPr>
            <w:r>
              <w:rPr>
                <w:rFonts w:ascii="Calibri" w:hAnsi="Calibri"/>
                <w:b w:val="0"/>
                <w:i w:val="0"/>
                <w:color w:val="212121"/>
                <w:sz w:val="19"/>
              </w:rPr>
              <w:t>18.5–22.9 kg/m² (Asian-Indian cut-offs)</w:t>
            </w:r>
          </w:p>
        </w:tc>
        <w:tc>
          <w:tcPr>
            <w:tcW w:type="dxa" w:w="1512"/>
            <w:vAlign w:val="top"/>
          </w:tcPr>
          <w:p>
            <w:pPr>
              <w:spacing w:after="40" w:before="0" w:line="259" w:lineRule="auto"/>
            </w:pPr>
            <w:r>
              <w:rPr>
                <w:rFonts w:ascii="Calibri" w:hAnsi="Calibri"/>
                <w:b w:val="0"/>
                <w:i w:val="0"/>
                <w:color w:val="212121"/>
                <w:sz w:val="19"/>
              </w:rPr>
              <w:t>≥ 25 (obese by Asian-Indian criteria); midlife obesity</w:t>
            </w:r>
          </w:p>
        </w:tc>
        <w:tc>
          <w:tcPr>
            <w:tcW w:type="dxa" w:w="1468"/>
            <w:vAlign w:val="top"/>
          </w:tcPr>
          <w:p>
            <w:pPr>
              <w:spacing w:after="60" w:line="259" w:lineRule="auto"/>
            </w:pPr>
            <w:r>
              <w:rPr>
                <w:rFonts w:ascii="Calibri" w:hAnsi="Calibri"/>
                <w:b w:val="0"/>
                <w:i w:val="0"/>
                <w:color w:val="212121"/>
                <w:sz w:val="19"/>
              </w:rPr>
              <w:t>Midlife obesity is a modifiable dementia risk factor</w:t>
            </w:r>
          </w:p>
          <w:p>
            <w:pPr>
              <w:spacing w:after="40" w:line="252" w:lineRule="auto"/>
            </w:pPr>
            <w:hyperlink r:id="rId13">
              <w:r>
                <w:rPr>
                  <w:rFonts w:ascii="Calibri" w:hAnsi="Calibri" w:cs="Calibri"/>
                  <w:sz w:val="18"/>
                  <w:color w:val="1155CC"/>
                  <w:u w:val="single"/>
                </w:rPr>
                <w:t xml:space="preserve">https://www.alzheimer-europe.org/news/2024-lancet-commission-underscores-potential-dementia-risk-reduction-identifying-14-modifiable?language_content_entity=en</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MIND/Mediterranean diet adherence</w:t>
            </w:r>
          </w:p>
        </w:tc>
        <w:tc>
          <w:tcPr>
            <w:tcW w:type="dxa" w:w="1655"/>
            <w:vAlign w:val="top"/>
          </w:tcPr>
          <w:p>
            <w:pPr>
              <w:spacing w:after="40" w:before="0" w:line="259" w:lineRule="auto"/>
            </w:pPr>
            <w:r>
              <w:rPr>
                <w:rFonts w:ascii="Calibri" w:hAnsi="Calibri"/>
                <w:b w:val="0"/>
                <w:i w:val="0"/>
                <w:color w:val="212121"/>
                <w:sz w:val="19"/>
              </w:rPr>
              <w:t>Older adults</w:t>
            </w:r>
          </w:p>
        </w:tc>
        <w:tc>
          <w:tcPr>
            <w:tcW w:type="dxa" w:w="1512"/>
            <w:vAlign w:val="top"/>
          </w:tcPr>
          <w:p>
            <w:pPr>
              <w:spacing w:after="40" w:before="0" w:line="259" w:lineRule="auto"/>
            </w:pPr>
            <w:r>
              <w:rPr>
                <w:rFonts w:ascii="Calibri" w:hAnsi="Calibri"/>
                <w:b w:val="0"/>
                <w:i w:val="0"/>
                <w:color w:val="212121"/>
                <w:sz w:val="19"/>
              </w:rPr>
              <w:t>High adherence: daily leafy greens/vegetables, berries, nuts, whole grains, fish</w:t>
            </w:r>
          </w:p>
        </w:tc>
        <w:tc>
          <w:tcPr>
            <w:tcW w:type="dxa" w:w="1512"/>
            <w:vAlign w:val="top"/>
          </w:tcPr>
          <w:p>
            <w:pPr>
              <w:spacing w:after="40" w:before="0" w:line="259" w:lineRule="auto"/>
            </w:pPr>
            <w:r>
              <w:rPr>
                <w:rFonts w:ascii="Calibri" w:hAnsi="Calibri"/>
                <w:b w:val="0"/>
                <w:i w:val="0"/>
                <w:color w:val="212121"/>
                <w:sz w:val="19"/>
              </w:rPr>
              <w:t>High saturated fat, refined carbs, ultra-processed foods; low vegetables/fish</w:t>
            </w:r>
          </w:p>
        </w:tc>
        <w:tc>
          <w:tcPr>
            <w:tcW w:type="dxa" w:w="1468"/>
            <w:vAlign w:val="top"/>
          </w:tcPr>
          <w:p>
            <w:pPr>
              <w:spacing w:after="40" w:before="0" w:line="259" w:lineRule="auto"/>
            </w:pPr>
            <w:r>
              <w:rPr>
                <w:rFonts w:ascii="Calibri" w:hAnsi="Calibri"/>
                <w:b w:val="0"/>
                <w:i w:val="0"/>
                <w:color w:val="212121"/>
                <w:sz w:val="19"/>
              </w:rPr>
              <w:t>Protective dietary patterns slow cognitive decline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quality (hours/night)</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7–8 hours/night, good quality</w:t>
            </w:r>
          </w:p>
        </w:tc>
        <w:tc>
          <w:tcPr>
            <w:tcW w:type="dxa" w:w="1512"/>
            <w:vAlign w:val="top"/>
          </w:tcPr>
          <w:p>
            <w:pPr>
              <w:spacing w:after="40" w:before="0" w:line="259" w:lineRule="auto"/>
            </w:pPr>
            <w:r>
              <w:rPr>
                <w:rFonts w:ascii="Calibri" w:hAnsi="Calibri"/>
                <w:b w:val="0"/>
                <w:i w:val="0"/>
                <w:color w:val="212121"/>
                <w:sz w:val="19"/>
              </w:rPr>
              <w:t>Chronic &lt; 6 h, fragmented sleep, untreated OSA</w:t>
            </w:r>
          </w:p>
        </w:tc>
        <w:tc>
          <w:tcPr>
            <w:tcW w:type="dxa" w:w="1468"/>
            <w:vAlign w:val="top"/>
          </w:tcPr>
          <w:p>
            <w:pPr>
              <w:spacing w:after="40" w:before="0" w:line="259" w:lineRule="auto"/>
            </w:pPr>
            <w:r>
              <w:rPr>
                <w:rFonts w:ascii="Calibri" w:hAnsi="Calibri"/>
                <w:b w:val="0"/>
                <w:i w:val="0"/>
                <w:color w:val="212121"/>
                <w:sz w:val="19"/>
              </w:rPr>
              <w:t>Sleep supports glymphatic amyloid clearance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Smokers</w:t>
            </w:r>
          </w:p>
        </w:tc>
        <w:tc>
          <w:tcPr>
            <w:tcW w:type="dxa" w:w="1512"/>
            <w:vAlign w:val="top"/>
          </w:tcPr>
          <w:p>
            <w:pPr>
              <w:spacing w:after="40" w:before="0" w:line="259" w:lineRule="auto"/>
            </w:pPr>
            <w:r>
              <w:rPr>
                <w:rFonts w:ascii="Calibri" w:hAnsi="Calibri"/>
                <w:b w:val="0"/>
                <w:i w:val="0"/>
                <w:color w:val="212121"/>
                <w:sz w:val="19"/>
              </w:rPr>
              <w:t>0 (non-smoker)</w:t>
            </w:r>
          </w:p>
        </w:tc>
        <w:tc>
          <w:tcPr>
            <w:tcW w:type="dxa" w:w="1512"/>
            <w:vAlign w:val="top"/>
          </w:tcPr>
          <w:p>
            <w:pPr>
              <w:spacing w:after="40" w:before="0" w:line="259" w:lineRule="auto"/>
            </w:pPr>
            <w:r>
              <w:rPr>
                <w:rFonts w:ascii="Calibri" w:hAnsi="Calibri"/>
                <w:b w:val="0"/>
                <w:i w:val="0"/>
                <w:color w:val="212121"/>
                <w:sz w:val="19"/>
              </w:rPr>
              <w:t>Any current tobacco smoking</w:t>
            </w:r>
          </w:p>
        </w:tc>
        <w:tc>
          <w:tcPr>
            <w:tcW w:type="dxa" w:w="1468"/>
            <w:vAlign w:val="top"/>
          </w:tcPr>
          <w:p>
            <w:pPr>
              <w:spacing w:after="60" w:line="259" w:lineRule="auto"/>
            </w:pPr>
            <w:r>
              <w:rPr>
                <w:rFonts w:ascii="Calibri" w:hAnsi="Calibri"/>
                <w:b w:val="0"/>
                <w:i w:val="0"/>
                <w:color w:val="212121"/>
                <w:sz w:val="19"/>
              </w:rPr>
              <w:t>Cessation lowers subsequent dementia risk</w:t>
            </w:r>
          </w:p>
          <w:p>
            <w:pPr>
              <w:spacing w:after="40" w:line="252" w:lineRule="auto"/>
            </w:pPr>
            <w:hyperlink r:id="rId13">
              <w:r>
                <w:rPr>
                  <w:rFonts w:ascii="Calibri" w:hAnsi="Calibri" w:cs="Calibri"/>
                  <w:sz w:val="18"/>
                  <w:color w:val="1155CC"/>
                  <w:u w:val="single"/>
                </w:rPr>
                <w:t xml:space="preserve">https://www.alzheimer-europe.org/news/2024-lancet-commission-underscores-potential-dementia-risk-reduction-identifying-14-modifiable?language_content_entity=en</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(units/week)</w:t>
            </w:r>
          </w:p>
        </w:tc>
        <w:tc>
          <w:tcPr>
            <w:tcW w:type="dxa" w:w="1655"/>
            <w:vAlign w:val="top"/>
          </w:tcPr>
          <w:p>
            <w:pPr>
              <w:spacing w:after="40" w:before="0" w:line="259" w:lineRule="auto"/>
            </w:pPr>
            <w:r>
              <w:rPr>
                <w:rFonts w:ascii="Calibri" w:hAnsi="Calibri"/>
                <w:b w:val="0"/>
                <w:i w:val="0"/>
                <w:color w:val="212121"/>
                <w:sz w:val="19"/>
              </w:rPr>
              <w:t>Adults who drink</w:t>
            </w:r>
          </w:p>
        </w:tc>
        <w:tc>
          <w:tcPr>
            <w:tcW w:type="dxa" w:w="1512"/>
            <w:vAlign w:val="top"/>
          </w:tcPr>
          <w:p>
            <w:pPr>
              <w:spacing w:after="40" w:before="0" w:line="259" w:lineRule="auto"/>
            </w:pPr>
            <w:r>
              <w:rPr>
                <w:rFonts w:ascii="Calibri" w:hAnsi="Calibri"/>
                <w:b w:val="0"/>
                <w:i w:val="0"/>
                <w:color w:val="212121"/>
                <w:sz w:val="19"/>
              </w:rPr>
              <w:t>≤ 14 units/week or abstain</w:t>
            </w:r>
          </w:p>
        </w:tc>
        <w:tc>
          <w:tcPr>
            <w:tcW w:type="dxa" w:w="1512"/>
            <w:vAlign w:val="top"/>
          </w:tcPr>
          <w:p>
            <w:pPr>
              <w:spacing w:after="40" w:before="0" w:line="259" w:lineRule="auto"/>
            </w:pPr>
            <w:r>
              <w:rPr>
                <w:rFonts w:ascii="Calibri" w:hAnsi="Calibri"/>
                <w:b w:val="0"/>
                <w:i w:val="0"/>
                <w:color w:val="212121"/>
                <w:sz w:val="19"/>
              </w:rPr>
              <w:t>&gt; 21 units/week (heavy/harmful use)</w:t>
            </w:r>
          </w:p>
        </w:tc>
        <w:tc>
          <w:tcPr>
            <w:tcW w:type="dxa" w:w="1468"/>
            <w:vAlign w:val="top"/>
          </w:tcPr>
          <w:p>
            <w:pPr>
              <w:spacing w:after="40" w:before="0" w:line="259" w:lineRule="auto"/>
            </w:pPr>
            <w:r>
              <w:rPr>
                <w:rFonts w:ascii="Calibri" w:hAnsi="Calibri"/>
                <w:b w:val="0"/>
                <w:i w:val="0"/>
                <w:color w:val="212121"/>
                <w:sz w:val="19"/>
              </w:rPr>
              <w:t>Heavy use is neurotoxic and raises dementia risk</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(e.g., PHQ-9 / GDS)</w:t>
            </w:r>
          </w:p>
        </w:tc>
        <w:tc>
          <w:tcPr>
            <w:tcW w:type="dxa" w:w="1655"/>
            <w:vAlign w:val="top"/>
          </w:tcPr>
          <w:p>
            <w:pPr>
              <w:spacing w:after="40" w:before="0" w:line="259" w:lineRule="auto"/>
            </w:pPr>
            <w:r>
              <w:rPr>
                <w:rFonts w:ascii="Calibri" w:hAnsi="Calibri"/>
                <w:b w:val="0"/>
                <w:i w:val="0"/>
                <w:color w:val="212121"/>
                <w:sz w:val="19"/>
              </w:rPr>
              <w:t>Older adults</w:t>
            </w:r>
          </w:p>
        </w:tc>
        <w:tc>
          <w:tcPr>
            <w:tcW w:type="dxa" w:w="1512"/>
            <w:vAlign w:val="top"/>
          </w:tcPr>
          <w:p>
            <w:pPr>
              <w:spacing w:after="40" w:before="0" w:line="259" w:lineRule="auto"/>
            </w:pPr>
            <w:r>
              <w:rPr>
                <w:rFonts w:ascii="Calibri" w:hAnsi="Calibri"/>
                <w:b w:val="0"/>
                <w:i w:val="0"/>
                <w:color w:val="212121"/>
                <w:sz w:val="19"/>
              </w:rPr>
              <w:t>No clinically significant depression; socially engaged</w:t>
            </w:r>
          </w:p>
        </w:tc>
        <w:tc>
          <w:tcPr>
            <w:tcW w:type="dxa" w:w="1512"/>
            <w:vAlign w:val="top"/>
          </w:tcPr>
          <w:p>
            <w:pPr>
              <w:spacing w:after="40" w:before="0" w:line="259" w:lineRule="auto"/>
            </w:pPr>
            <w:r>
              <w:rPr>
                <w:rFonts w:ascii="Calibri" w:hAnsi="Calibri"/>
                <w:b w:val="0"/>
                <w:i w:val="0"/>
                <w:color w:val="212121"/>
                <w:sz w:val="19"/>
              </w:rPr>
              <w:t>Positive depression screen; loneliness/social isolation</w:t>
            </w:r>
          </w:p>
        </w:tc>
        <w:tc>
          <w:tcPr>
            <w:tcW w:type="dxa" w:w="1468"/>
            <w:vAlign w:val="top"/>
          </w:tcPr>
          <w:p>
            <w:pPr>
              <w:spacing w:after="60" w:line="259" w:lineRule="auto"/>
            </w:pPr>
            <w:r>
              <w:rPr>
                <w:rFonts w:ascii="Calibri" w:hAnsi="Calibri"/>
                <w:b w:val="0"/>
                <w:i w:val="0"/>
                <w:color w:val="212121"/>
                <w:sz w:val="19"/>
              </w:rPr>
              <w:t>Depression relative risk for dementia ~2.25; treat and distinguish pseudodementia</w:t>
            </w:r>
          </w:p>
          <w:p>
            <w:pPr>
              <w:spacing w:after="40" w:line="252" w:lineRule="auto"/>
            </w:pPr>
            <w:hyperlink r:id="rId14">
              <w:r>
                <w:rPr>
                  <w:rFonts w:ascii="Calibri" w:hAnsi="Calibri" w:cs="Calibri"/>
                  <w:sz w:val="18"/>
                  <w:color w:val="1155CC"/>
                  <w:u w:val="single"/>
                </w:rPr>
                <w:t xml:space="preserve">https://conexiant.com/neurology/articles/14-keys-to-unlocking-dementia-prevention/</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Hearing (better-ear threshold, dB HL)</w:t>
            </w:r>
          </w:p>
        </w:tc>
        <w:tc>
          <w:tcPr>
            <w:tcW w:type="dxa" w:w="1655"/>
            <w:vAlign w:val="top"/>
          </w:tcPr>
          <w:p>
            <w:pPr>
              <w:spacing w:after="40" w:before="0" w:line="259" w:lineRule="auto"/>
            </w:pPr>
            <w:r>
              <w:rPr>
                <w:rFonts w:ascii="Calibri" w:hAnsi="Calibri"/>
                <w:b w:val="0"/>
                <w:i w:val="0"/>
                <w:color w:val="212121"/>
                <w:sz w:val="19"/>
              </w:rPr>
              <w:t>Older adults</w:t>
            </w:r>
          </w:p>
        </w:tc>
        <w:tc>
          <w:tcPr>
            <w:tcW w:type="dxa" w:w="1512"/>
            <w:vAlign w:val="top"/>
          </w:tcPr>
          <w:p>
            <w:pPr>
              <w:spacing w:after="40" w:before="0" w:line="259" w:lineRule="auto"/>
            </w:pPr>
            <w:r>
              <w:rPr>
                <w:rFonts w:ascii="Calibri" w:hAnsi="Calibri"/>
                <w:b w:val="0"/>
                <w:i w:val="0"/>
                <w:color w:val="212121"/>
                <w:sz w:val="19"/>
              </w:rPr>
              <w:t>&lt; 25 dB HL (normal); aided if impaired</w:t>
            </w:r>
          </w:p>
        </w:tc>
        <w:tc>
          <w:tcPr>
            <w:tcW w:type="dxa" w:w="1512"/>
            <w:vAlign w:val="top"/>
          </w:tcPr>
          <w:p>
            <w:pPr>
              <w:spacing w:after="40" w:before="0" w:line="259" w:lineRule="auto"/>
            </w:pPr>
            <w:r>
              <w:rPr>
                <w:rFonts w:ascii="Calibri" w:hAnsi="Calibri"/>
                <w:b w:val="0"/>
                <w:i w:val="0"/>
                <w:color w:val="212121"/>
                <w:sz w:val="19"/>
              </w:rPr>
              <w:t>≥ 25 dB HL untreated hearing loss</w:t>
            </w:r>
          </w:p>
        </w:tc>
        <w:tc>
          <w:tcPr>
            <w:tcW w:type="dxa" w:w="1468"/>
            <w:vAlign w:val="top"/>
          </w:tcPr>
          <w:p>
            <w:pPr>
              <w:spacing w:after="60" w:line="259" w:lineRule="auto"/>
            </w:pPr>
            <w:r>
              <w:rPr>
                <w:rFonts w:ascii="Calibri" w:hAnsi="Calibri"/>
                <w:b w:val="0"/>
                <w:i w:val="0"/>
                <w:color w:val="212121"/>
                <w:sz w:val="19"/>
              </w:rPr>
              <w:t>Untreated hearing loss ~2–5× risk; hearing aids slow decline by 48%</w:t>
            </w:r>
          </w:p>
          <w:p>
            <w:pPr>
              <w:spacing w:after="40" w:line="252" w:lineRule="auto"/>
            </w:pPr>
            <w:hyperlink r:id="rId18">
              <w:r>
                <w:rPr>
                  <w:rFonts w:ascii="Calibri" w:hAnsi="Calibri" w:cs="Calibri"/>
                  <w:sz w:val="18"/>
                  <w:color w:val="1155CC"/>
                  <w:u w:val="single"/>
                </w:rPr>
                <w:t xml:space="preserve">https://www.achievestudy.org/fast-facts-hearing-loss-dementia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pressure (midlife, mmHg)</w:t>
            </w:r>
          </w:p>
        </w:tc>
        <w:tc>
          <w:tcPr>
            <w:tcW w:type="dxa" w:w="1655"/>
            <w:vAlign w:val="top"/>
          </w:tcPr>
          <w:p>
            <w:pPr>
              <w:spacing w:after="40" w:before="0" w:line="259" w:lineRule="auto"/>
            </w:pPr>
            <w:r>
              <w:rPr>
                <w:rFonts w:ascii="Calibri" w:hAnsi="Calibri"/>
                <w:b w:val="0"/>
                <w:i w:val="0"/>
                <w:color w:val="212121"/>
                <w:sz w:val="19"/>
              </w:rPr>
              <w:t>Midlife adults</w:t>
            </w:r>
          </w:p>
        </w:tc>
        <w:tc>
          <w:tcPr>
            <w:tcW w:type="dxa" w:w="1512"/>
            <w:vAlign w:val="top"/>
          </w:tcPr>
          <w:p>
            <w:pPr>
              <w:spacing w:after="40" w:before="0" w:line="259" w:lineRule="auto"/>
            </w:pPr>
            <w:r>
              <w:rPr>
                <w:rFonts w:ascii="Calibri" w:hAnsi="Calibri"/>
                <w:b w:val="0"/>
                <w:i w:val="0"/>
                <w:color w:val="212121"/>
                <w:sz w:val="19"/>
              </w:rPr>
              <w:t>&lt; 130/80 mmHg (well controlled)</w:t>
            </w:r>
          </w:p>
        </w:tc>
        <w:tc>
          <w:tcPr>
            <w:tcW w:type="dxa" w:w="1512"/>
            <w:vAlign w:val="top"/>
          </w:tcPr>
          <w:p>
            <w:pPr>
              <w:spacing w:after="40" w:before="0" w:line="259" w:lineRule="auto"/>
            </w:pPr>
            <w:r>
              <w:rPr>
                <w:rFonts w:ascii="Calibri" w:hAnsi="Calibri"/>
                <w:b w:val="0"/>
                <w:i w:val="0"/>
                <w:color w:val="212121"/>
                <w:sz w:val="19"/>
              </w:rPr>
              <w:t>Sustained ≥ 140/90 mmHg in midlife</w:t>
            </w:r>
          </w:p>
        </w:tc>
        <w:tc>
          <w:tcPr>
            <w:tcW w:type="dxa" w:w="1468"/>
            <w:vAlign w:val="top"/>
          </w:tcPr>
          <w:p>
            <w:pPr>
              <w:spacing w:after="60" w:line="259" w:lineRule="auto"/>
            </w:pPr>
            <w:r>
              <w:rPr>
                <w:rFonts w:ascii="Calibri" w:hAnsi="Calibri"/>
                <w:b w:val="0"/>
                <w:i w:val="0"/>
                <w:color w:val="212121"/>
                <w:sz w:val="19"/>
              </w:rPr>
              <w:t>Midlife hypertension control reduces later dementia risk</w:t>
            </w:r>
          </w:p>
          <w:p>
            <w:pPr>
              <w:spacing w:after="40" w:line="252" w:lineRule="auto"/>
            </w:pPr>
            <w:hyperlink r:id="rId13">
              <w:r>
                <w:rPr>
                  <w:rFonts w:ascii="Calibri" w:hAnsi="Calibri" w:cs="Calibri"/>
                  <w:sz w:val="18"/>
                  <w:color w:val="1155CC"/>
                  <w:u w:val="single"/>
                </w:rPr>
                <w:t xml:space="preserve">https://www.alzheimer-europe.org/news/2024-lancet-commission-underscores-potential-dementia-risk-reduction-identifying-14-modifiable?language_content_entity=en</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Glycaemic control (HbA1c, %)</w:t>
            </w:r>
          </w:p>
        </w:tc>
        <w:tc>
          <w:tcPr>
            <w:tcW w:type="dxa" w:w="1655"/>
            <w:vAlign w:val="top"/>
          </w:tcPr>
          <w:p>
            <w:pPr>
              <w:spacing w:after="40" w:before="0" w:line="259" w:lineRule="auto"/>
            </w:pPr>
            <w:r>
              <w:rPr>
                <w:rFonts w:ascii="Calibri" w:hAnsi="Calibri"/>
                <w:b w:val="0"/>
                <w:i w:val="0"/>
                <w:color w:val="212121"/>
                <w:sz w:val="19"/>
              </w:rPr>
              <w:t>Adults with/at risk of diabetes</w:t>
            </w:r>
          </w:p>
        </w:tc>
        <w:tc>
          <w:tcPr>
            <w:tcW w:type="dxa" w:w="1512"/>
            <w:vAlign w:val="top"/>
          </w:tcPr>
          <w:p>
            <w:pPr>
              <w:spacing w:after="40" w:before="0" w:line="259" w:lineRule="auto"/>
            </w:pPr>
            <w:r>
              <w:rPr>
                <w:rFonts w:ascii="Calibri" w:hAnsi="Calibri"/>
                <w:b w:val="0"/>
                <w:i w:val="0"/>
                <w:color w:val="212121"/>
                <w:sz w:val="19"/>
              </w:rPr>
              <w:t>&lt; 5.7% (non-diabetic); individualised target if diabetic</w:t>
            </w:r>
          </w:p>
        </w:tc>
        <w:tc>
          <w:tcPr>
            <w:tcW w:type="dxa" w:w="1512"/>
            <w:vAlign w:val="top"/>
          </w:tcPr>
          <w:p>
            <w:pPr>
              <w:spacing w:after="40" w:before="0" w:line="259" w:lineRule="auto"/>
            </w:pPr>
            <w:r>
              <w:rPr>
                <w:rFonts w:ascii="Calibri" w:hAnsi="Calibri"/>
                <w:b w:val="0"/>
                <w:i w:val="0"/>
                <w:color w:val="212121"/>
                <w:sz w:val="19"/>
              </w:rPr>
              <w:t>≥ 6.5% / poorly controlled type 2 diabetes</w:t>
            </w:r>
          </w:p>
        </w:tc>
        <w:tc>
          <w:tcPr>
            <w:tcW w:type="dxa" w:w="1468"/>
            <w:vAlign w:val="top"/>
          </w:tcPr>
          <w:p>
            <w:pPr>
              <w:spacing w:after="60" w:line="259" w:lineRule="auto"/>
            </w:pPr>
            <w:r>
              <w:rPr>
                <w:rFonts w:ascii="Calibri" w:hAnsi="Calibri"/>
                <w:b w:val="0"/>
                <w:i w:val="0"/>
                <w:color w:val="212121"/>
                <w:sz w:val="19"/>
              </w:rPr>
              <w:t>Diabetes raises dementia risk ('type 3 diabetes')</w:t>
            </w:r>
          </w:p>
          <w:p>
            <w:pPr>
              <w:spacing w:after="40" w:line="252" w:lineRule="auto"/>
            </w:pPr>
            <w:hyperlink r:id="rId19">
              <w:r>
                <w:rPr>
                  <w:rFonts w:ascii="Calibri" w:hAnsi="Calibri" w:cs="Calibri"/>
                  <w:sz w:val="18"/>
                  <w:color w:val="1155CC"/>
                  <w:u w:val="single"/>
                </w:rPr>
                <w:t xml:space="preserve">https://www.alzheimers.org.uk/about-dementia/managing-the-risk-of-dementia/reduce-your-risk-of-dementia/diabetes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LDL cholesterol (midlife, mg/dL)</w:t>
            </w:r>
          </w:p>
        </w:tc>
        <w:tc>
          <w:tcPr>
            <w:tcW w:type="dxa" w:w="1655"/>
            <w:vAlign w:val="top"/>
          </w:tcPr>
          <w:p>
            <w:pPr>
              <w:spacing w:after="40" w:before="0" w:line="259" w:lineRule="auto"/>
            </w:pPr>
            <w:r>
              <w:rPr>
                <w:rFonts w:ascii="Calibri" w:hAnsi="Calibri"/>
                <w:b w:val="0"/>
                <w:i w:val="0"/>
                <w:color w:val="212121"/>
                <w:sz w:val="19"/>
              </w:rPr>
              <w:t>Midlife adults</w:t>
            </w:r>
          </w:p>
        </w:tc>
        <w:tc>
          <w:tcPr>
            <w:tcW w:type="dxa" w:w="1512"/>
            <w:vAlign w:val="top"/>
          </w:tcPr>
          <w:p>
            <w:pPr>
              <w:spacing w:after="40" w:before="0" w:line="259" w:lineRule="auto"/>
            </w:pPr>
            <w:r>
              <w:rPr>
                <w:rFonts w:ascii="Calibri" w:hAnsi="Calibri"/>
                <w:b w:val="0"/>
                <w:i w:val="0"/>
                <w:color w:val="212121"/>
                <w:sz w:val="19"/>
              </w:rPr>
              <w:t>Optimal/low LDL per cardiovascular targets</w:t>
            </w:r>
          </w:p>
        </w:tc>
        <w:tc>
          <w:tcPr>
            <w:tcW w:type="dxa" w:w="1512"/>
            <w:vAlign w:val="top"/>
          </w:tcPr>
          <w:p>
            <w:pPr>
              <w:spacing w:after="40" w:before="0" w:line="259" w:lineRule="auto"/>
            </w:pPr>
            <w:r>
              <w:rPr>
                <w:rFonts w:ascii="Calibri" w:hAnsi="Calibri"/>
                <w:b w:val="0"/>
                <w:i w:val="0"/>
                <w:color w:val="212121"/>
                <w:sz w:val="19"/>
              </w:rPr>
              <w:t>Elevated midlife LDL cholesterol</w:t>
            </w:r>
          </w:p>
        </w:tc>
        <w:tc>
          <w:tcPr>
            <w:tcW w:type="dxa" w:w="1468"/>
            <w:vAlign w:val="top"/>
          </w:tcPr>
          <w:p>
            <w:pPr>
              <w:spacing w:after="60" w:line="259" w:lineRule="auto"/>
            </w:pPr>
            <w:r>
              <w:rPr>
                <w:rFonts w:ascii="Calibri" w:hAnsi="Calibri"/>
                <w:b w:val="0"/>
                <w:i w:val="0"/>
                <w:color w:val="212121"/>
                <w:sz w:val="19"/>
              </w:rPr>
              <w:t>High midlife LDL is a newly recognised risk factor (PAF ~7%)</w:t>
            </w:r>
          </w:p>
          <w:p>
            <w:pPr>
              <w:spacing w:after="40" w:line="252" w:lineRule="auto"/>
            </w:pPr>
            <w:hyperlink r:id="rId20">
              <w:r>
                <w:rPr>
                  <w:rFonts w:ascii="Calibri" w:hAnsi="Calibri" w:cs="Calibri"/>
                  <w:sz w:val="18"/>
                  <w:color w:val="1155CC"/>
                  <w:u w:val="single"/>
                </w:rPr>
                <w:t xml:space="preserve">https://www.eurekalert.org/news-releases/1052982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Air pollution (ambient PM2.5, µg/m³)</w:t>
            </w:r>
          </w:p>
        </w:tc>
        <w:tc>
          <w:tcPr>
            <w:tcW w:type="dxa" w:w="1655"/>
            <w:vAlign w:val="top"/>
          </w:tcPr>
          <w:p>
            <w:pPr>
              <w:spacing w:after="40" w:before="0" w:line="259" w:lineRule="auto"/>
            </w:pPr>
            <w:r>
              <w:rPr>
                <w:rFonts w:ascii="Calibri" w:hAnsi="Calibri"/>
                <w:b w:val="0"/>
                <w:i w:val="0"/>
                <w:color w:val="212121"/>
                <w:sz w:val="19"/>
              </w:rPr>
              <w:t>All adults, especially urban/biomass-exposed</w:t>
            </w:r>
          </w:p>
        </w:tc>
        <w:tc>
          <w:tcPr>
            <w:tcW w:type="dxa" w:w="1512"/>
            <w:vAlign w:val="top"/>
          </w:tcPr>
          <w:p>
            <w:pPr>
              <w:spacing w:after="40" w:before="0" w:line="259" w:lineRule="auto"/>
            </w:pPr>
            <w:r>
              <w:rPr>
                <w:rFonts w:ascii="Calibri" w:hAnsi="Calibri"/>
                <w:b w:val="0"/>
                <w:i w:val="0"/>
                <w:color w:val="212121"/>
                <w:sz w:val="19"/>
              </w:rPr>
              <w:t>As low as possible (WHO AQG ≤ 5 µg/m³ annual)</w:t>
            </w:r>
          </w:p>
        </w:tc>
        <w:tc>
          <w:tcPr>
            <w:tcW w:type="dxa" w:w="1512"/>
            <w:vAlign w:val="top"/>
          </w:tcPr>
          <w:p>
            <w:pPr>
              <w:spacing w:after="40" w:before="0" w:line="259" w:lineRule="auto"/>
            </w:pPr>
            <w:r>
              <w:rPr>
                <w:rFonts w:ascii="Calibri" w:hAnsi="Calibri"/>
                <w:b w:val="0"/>
                <w:i w:val="0"/>
                <w:color w:val="212121"/>
                <w:sz w:val="19"/>
              </w:rPr>
              <w:t>Chronic high PM2.5 / indoor biomass smoke exposure</w:t>
            </w:r>
          </w:p>
        </w:tc>
        <w:tc>
          <w:tcPr>
            <w:tcW w:type="dxa" w:w="1468"/>
            <w:vAlign w:val="top"/>
          </w:tcPr>
          <w:p>
            <w:pPr>
              <w:spacing w:after="60" w:line="259" w:lineRule="auto"/>
            </w:pPr>
            <w:r>
              <w:rPr>
                <w:rFonts w:ascii="Calibri" w:hAnsi="Calibri"/>
                <w:b w:val="0"/>
                <w:i w:val="0"/>
                <w:color w:val="212121"/>
                <w:sz w:val="19"/>
              </w:rPr>
              <w:t>Long-term PM2.5 exposure associated with higher dementia incidence</w:t>
            </w:r>
          </w:p>
          <w:p>
            <w:pPr>
              <w:spacing w:after="40" w:line="252" w:lineRule="auto"/>
            </w:pPr>
            <w:hyperlink r:id="rId15">
              <w:r>
                <w:rPr>
                  <w:rFonts w:ascii="Calibri" w:hAnsi="Calibri" w:cs="Calibri"/>
                  <w:sz w:val="18"/>
                  <w:color w:val="1155CC"/>
                  <w:u w:val="single"/>
                </w:rPr>
                <w:t xml:space="preserve">https://www.thelancet.com/journals/lanplh/article/PIIS2542-5196(25)00118-4/fulltext</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Cognitive/social engagement</w:t>
            </w:r>
          </w:p>
        </w:tc>
        <w:tc>
          <w:tcPr>
            <w:tcW w:type="dxa" w:w="1655"/>
            <w:vAlign w:val="top"/>
          </w:tcPr>
          <w:p>
            <w:pPr>
              <w:spacing w:after="40" w:before="0" w:line="259" w:lineRule="auto"/>
            </w:pPr>
            <w:r>
              <w:rPr>
                <w:rFonts w:ascii="Calibri" w:hAnsi="Calibri"/>
                <w:b w:val="0"/>
                <w:i w:val="0"/>
                <w:color w:val="212121"/>
                <w:sz w:val="19"/>
              </w:rPr>
              <w:t>Older adults</w:t>
            </w:r>
          </w:p>
        </w:tc>
        <w:tc>
          <w:tcPr>
            <w:tcW w:type="dxa" w:w="1512"/>
            <w:vAlign w:val="top"/>
          </w:tcPr>
          <w:p>
            <w:pPr>
              <w:spacing w:after="40" w:before="0" w:line="259" w:lineRule="auto"/>
            </w:pPr>
            <w:r>
              <w:rPr>
                <w:rFonts w:ascii="Calibri" w:hAnsi="Calibri"/>
                <w:b w:val="0"/>
                <w:i w:val="0"/>
                <w:color w:val="212121"/>
                <w:sz w:val="19"/>
              </w:rPr>
              <w:t>Regular cognitive, educational &amp; social activity</w:t>
            </w:r>
          </w:p>
        </w:tc>
        <w:tc>
          <w:tcPr>
            <w:tcW w:type="dxa" w:w="1512"/>
            <w:vAlign w:val="top"/>
          </w:tcPr>
          <w:p>
            <w:pPr>
              <w:spacing w:after="40" w:before="0" w:line="259" w:lineRule="auto"/>
            </w:pPr>
            <w:r>
              <w:rPr>
                <w:rFonts w:ascii="Calibri" w:hAnsi="Calibri"/>
                <w:b w:val="0"/>
                <w:i w:val="0"/>
                <w:color w:val="212121"/>
                <w:sz w:val="19"/>
              </w:rPr>
              <w:t>Social isolation; cognitive disengagement</w:t>
            </w:r>
          </w:p>
        </w:tc>
        <w:tc>
          <w:tcPr>
            <w:tcW w:type="dxa" w:w="1468"/>
            <w:vAlign w:val="top"/>
          </w:tcPr>
          <w:p>
            <w:pPr>
              <w:spacing w:after="60" w:line="259" w:lineRule="auto"/>
            </w:pPr>
            <w:r>
              <w:rPr>
                <w:rFonts w:ascii="Calibri" w:hAnsi="Calibri"/>
                <w:b w:val="0"/>
                <w:i w:val="0"/>
                <w:color w:val="212121"/>
                <w:sz w:val="19"/>
              </w:rPr>
              <w:t>Builds cognitive reserve; social isolation PAF ~5%</w:t>
            </w:r>
          </w:p>
          <w:p>
            <w:pPr>
              <w:spacing w:after="40" w:line="252" w:lineRule="auto"/>
            </w:pPr>
            <w:hyperlink r:id="rId14">
              <w:r>
                <w:rPr>
                  <w:rFonts w:ascii="Calibri" w:hAnsi="Calibri" w:cs="Calibri"/>
                  <w:sz w:val="18"/>
                  <w:color w:val="1155CC"/>
                  <w:u w:val="single"/>
                </w:rPr>
                <w:t xml:space="preserve">https://conexiant.com/neurology/articles/14-keys-to-unlocking-dementia-prevention/</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Cognitive testing</w:t>
            </w:r>
          </w:p>
        </w:tc>
        <w:tc>
          <w:tcPr>
            <w:tcW w:type="dxa" w:w="1036"/>
            <w:vAlign w:val="top"/>
          </w:tcPr>
          <w:p>
            <w:pPr>
              <w:spacing w:after="40" w:before="0" w:line="259" w:lineRule="auto"/>
            </w:pPr>
            <w:r>
              <w:rPr>
                <w:rFonts w:ascii="Calibri" w:hAnsi="Calibri"/>
                <w:b w:val="0"/>
                <w:i w:val="0"/>
                <w:color w:val="212121"/>
                <w:sz w:val="16"/>
              </w:rPr>
              <w:t>Global cognition score</w:t>
            </w:r>
          </w:p>
        </w:tc>
        <w:tc>
          <w:tcPr>
            <w:tcW w:type="dxa" w:w="892"/>
            <w:vAlign w:val="top"/>
          </w:tcPr>
          <w:p>
            <w:pPr>
              <w:spacing w:after="40" w:before="0" w:line="259" w:lineRule="auto"/>
            </w:pPr>
            <w:r>
              <w:rPr>
                <w:rFonts w:ascii="Calibri" w:hAnsi="Calibri"/>
                <w:b w:val="0"/>
                <w:i w:val="0"/>
                <w:color w:val="212121"/>
                <w:sz w:val="16"/>
              </w:rPr>
              <w:t>MMSE / MoCA / Hindi Mental State Examination</w:t>
            </w:r>
          </w:p>
        </w:tc>
        <w:tc>
          <w:tcPr>
            <w:tcW w:type="dxa" w:w="950"/>
            <w:vAlign w:val="top"/>
          </w:tcPr>
          <w:p>
            <w:pPr>
              <w:spacing w:after="40" w:before="0" w:line="259" w:lineRule="auto"/>
            </w:pPr>
            <w:r>
              <w:rPr>
                <w:rFonts w:ascii="Calibri" w:hAnsi="Calibri"/>
                <w:b w:val="0"/>
                <w:i w:val="0"/>
                <w:color w:val="212121"/>
                <w:sz w:val="16"/>
              </w:rPr>
              <w:t>MMSE 24–30; MoCA ≥ 26 (adjust for education)</w:t>
            </w:r>
          </w:p>
        </w:tc>
        <w:tc>
          <w:tcPr>
            <w:tcW w:type="dxa" w:w="950"/>
            <w:vAlign w:val="top"/>
          </w:tcPr>
          <w:p>
            <w:pPr>
              <w:spacing w:after="40" w:before="0" w:line="259" w:lineRule="auto"/>
            </w:pPr>
            <w:r>
              <w:rPr>
                <w:rFonts w:ascii="Calibri" w:hAnsi="Calibri"/>
                <w:b w:val="0"/>
                <w:i w:val="0"/>
                <w:color w:val="212121"/>
                <w:sz w:val="16"/>
              </w:rPr>
              <w:t>MMSE &lt; 24 (or education-adjusted); MoCA &lt; 26; decline over time</w:t>
            </w:r>
          </w:p>
        </w:tc>
        <w:tc>
          <w:tcPr>
            <w:tcW w:type="dxa" w:w="1036"/>
            <w:vAlign w:val="top"/>
          </w:tcPr>
          <w:p>
            <w:pPr>
              <w:spacing w:after="40" w:before="0" w:line="259" w:lineRule="auto"/>
            </w:pPr>
            <w:r>
              <w:rPr>
                <w:rFonts w:ascii="Calibri" w:hAnsi="Calibri"/>
                <w:b w:val="0"/>
                <w:i w:val="0"/>
                <w:color w:val="212121"/>
                <w:sz w:val="16"/>
              </w:rPr>
              <w:t>Quantifies severity and tracks progression; culturally-adapted tools (HMSE) needed in low-literacy Indian settings</w:t>
            </w:r>
          </w:p>
        </w:tc>
        <w:tc>
          <w:tcPr>
            <w:tcW w:type="dxa" w:w="1036"/>
            <w:vAlign w:val="top"/>
          </w:tcPr>
          <w:p>
            <w:pPr>
              <w:spacing w:after="40" w:before="0" w:line="259" w:lineRule="auto"/>
            </w:pPr>
            <w:r>
              <w:rPr>
                <w:rFonts w:ascii="Calibri" w:hAnsi="Calibri"/>
                <w:b w:val="0"/>
                <w:i w:val="0"/>
                <w:color w:val="212121"/>
                <w:sz w:val="16"/>
              </w:rPr>
              <w:t>Elderly, low-education adults, memory-complaint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Interpret against education and language; single low score is not diagnostic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Structural brain (atrophy, vascular, mass)</w:t>
            </w:r>
          </w:p>
        </w:tc>
        <w:tc>
          <w:tcPr>
            <w:tcW w:type="dxa" w:w="892"/>
            <w:vAlign w:val="top"/>
          </w:tcPr>
          <w:p>
            <w:pPr>
              <w:spacing w:after="40" w:before="0" w:line="259" w:lineRule="auto"/>
            </w:pPr>
            <w:r>
              <w:rPr>
                <w:rFonts w:ascii="Calibri" w:hAnsi="Calibri"/>
                <w:b w:val="0"/>
                <w:i w:val="0"/>
                <w:color w:val="212121"/>
                <w:sz w:val="16"/>
              </w:rPr>
              <w:t>MRI brain (or CT)</w:t>
            </w:r>
          </w:p>
        </w:tc>
        <w:tc>
          <w:tcPr>
            <w:tcW w:type="dxa" w:w="950"/>
            <w:vAlign w:val="top"/>
          </w:tcPr>
          <w:p>
            <w:pPr>
              <w:spacing w:after="40" w:before="0" w:line="259" w:lineRule="auto"/>
            </w:pPr>
            <w:r>
              <w:rPr>
                <w:rFonts w:ascii="Calibri" w:hAnsi="Calibri"/>
                <w:b w:val="0"/>
                <w:i w:val="0"/>
                <w:color w:val="212121"/>
                <w:sz w:val="16"/>
              </w:rPr>
              <w:t>Age-appropriate; no disproportionate atrophy or significant vascular load</w:t>
            </w:r>
          </w:p>
        </w:tc>
        <w:tc>
          <w:tcPr>
            <w:tcW w:type="dxa" w:w="950"/>
            <w:vAlign w:val="top"/>
          </w:tcPr>
          <w:p>
            <w:pPr>
              <w:spacing w:after="40" w:before="0" w:line="259" w:lineRule="auto"/>
            </w:pPr>
            <w:r>
              <w:rPr>
                <w:rFonts w:ascii="Calibri" w:hAnsi="Calibri"/>
                <w:b w:val="0"/>
                <w:i w:val="0"/>
                <w:color w:val="212121"/>
                <w:sz w:val="16"/>
              </w:rPr>
              <w:t>Hippocampal/medial-temporal &amp; parietal atrophy; excludes tumour, NPH, large-vessel/small-vessel disease</w:t>
            </w:r>
          </w:p>
        </w:tc>
        <w:tc>
          <w:tcPr>
            <w:tcW w:type="dxa" w:w="1036"/>
            <w:vAlign w:val="top"/>
          </w:tcPr>
          <w:p>
            <w:pPr>
              <w:spacing w:after="40" w:before="0" w:line="259" w:lineRule="auto"/>
            </w:pPr>
            <w:r>
              <w:rPr>
                <w:rFonts w:ascii="Calibri" w:hAnsi="Calibri"/>
                <w:b w:val="0"/>
                <w:i w:val="0"/>
                <w:color w:val="212121"/>
                <w:sz w:val="16"/>
              </w:rPr>
              <w:t>Supports AD and rules out reversible/other causes; MRI preferred, CT if MRI unavailable</w:t>
            </w:r>
          </w:p>
        </w:tc>
        <w:tc>
          <w:tcPr>
            <w:tcW w:type="dxa" w:w="1036"/>
            <w:vAlign w:val="top"/>
          </w:tcPr>
          <w:p>
            <w:pPr>
              <w:spacing w:after="40" w:before="0" w:line="259" w:lineRule="auto"/>
            </w:pPr>
            <w:r>
              <w:rPr>
                <w:rFonts w:ascii="Calibri" w:hAnsi="Calibri"/>
                <w:b w:val="0"/>
                <w:i w:val="0"/>
                <w:color w:val="212121"/>
                <w:sz w:val="16"/>
              </w:rPr>
              <w:t>All patients at first work-up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Rule-out secondary / supportive</w:t>
            </w:r>
          </w:p>
        </w:tc>
        <w:tc>
          <w:tcPr>
            <w:tcW w:type="dxa" w:w="720"/>
            <w:vAlign w:val="top"/>
          </w:tcPr>
          <w:p>
            <w:pPr>
              <w:spacing w:after="40" w:before="0" w:line="259" w:lineRule="auto"/>
            </w:pPr>
            <w:r>
              <w:rPr>
                <w:rFonts w:ascii="Calibri" w:hAnsi="Calibri"/>
                <w:b w:val="0"/>
                <w:i w:val="0"/>
                <w:color w:val="212121"/>
                <w:sz w:val="16"/>
              </w:rPr>
              <w:t>Medial-temporal atrophy supports AD but is not required for clinical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(reversible causes)</w:t>
            </w:r>
          </w:p>
        </w:tc>
        <w:tc>
          <w:tcPr>
            <w:tcW w:type="dxa" w:w="1036"/>
            <w:vAlign w:val="top"/>
          </w:tcPr>
          <w:p>
            <w:pPr>
              <w:spacing w:after="40" w:before="0" w:line="259" w:lineRule="auto"/>
            </w:pPr>
            <w:r>
              <w:rPr>
                <w:rFonts w:ascii="Calibri" w:hAnsi="Calibri"/>
                <w:b w:val="0"/>
                <w:i w:val="0"/>
                <w:color w:val="212121"/>
                <w:sz w:val="16"/>
              </w:rPr>
              <w:t>TSH, vitamin B12, folate</w:t>
            </w:r>
          </w:p>
        </w:tc>
        <w:tc>
          <w:tcPr>
            <w:tcW w:type="dxa" w:w="892"/>
            <w:vAlign w:val="top"/>
          </w:tcPr>
          <w:p>
            <w:pPr>
              <w:spacing w:after="40" w:before="0" w:line="259" w:lineRule="auto"/>
            </w:pPr>
            <w:r>
              <w:rPr>
                <w:rFonts w:ascii="Calibri" w:hAnsi="Calibri"/>
                <w:b w:val="0"/>
                <w:i w:val="0"/>
                <w:color w:val="212121"/>
                <w:sz w:val="16"/>
              </w:rPr>
              <w:t>Thyroid &amp; vitamin screen</w:t>
            </w:r>
          </w:p>
        </w:tc>
        <w:tc>
          <w:tcPr>
            <w:tcW w:type="dxa" w:w="950"/>
            <w:vAlign w:val="top"/>
          </w:tcPr>
          <w:p>
            <w:pPr>
              <w:spacing w:after="40" w:before="0" w:line="259" w:lineRule="auto"/>
            </w:pPr>
            <w:r>
              <w:rPr>
                <w:rFonts w:ascii="Calibri" w:hAnsi="Calibri"/>
                <w:b w:val="0"/>
                <w:i w:val="0"/>
                <w:color w:val="212121"/>
                <w:sz w:val="16"/>
              </w:rPr>
              <w:t>Euthyroid; normal B12/folate</w:t>
            </w:r>
          </w:p>
        </w:tc>
        <w:tc>
          <w:tcPr>
            <w:tcW w:type="dxa" w:w="950"/>
            <w:vAlign w:val="top"/>
          </w:tcPr>
          <w:p>
            <w:pPr>
              <w:spacing w:after="40" w:before="0" w:line="259" w:lineRule="auto"/>
            </w:pPr>
            <w:r>
              <w:rPr>
                <w:rFonts w:ascii="Calibri" w:hAnsi="Calibri"/>
                <w:b w:val="0"/>
                <w:i w:val="0"/>
                <w:color w:val="212121"/>
                <w:sz w:val="16"/>
              </w:rPr>
              <w:t>Hypothyroidism; B12/folate deficiency</w:t>
            </w:r>
          </w:p>
        </w:tc>
        <w:tc>
          <w:tcPr>
            <w:tcW w:type="dxa" w:w="1036"/>
            <w:vAlign w:val="top"/>
          </w:tcPr>
          <w:p>
            <w:pPr>
              <w:spacing w:after="40" w:before="0" w:line="259" w:lineRule="auto"/>
            </w:pPr>
            <w:r>
              <w:rPr>
                <w:rFonts w:ascii="Calibri" w:hAnsi="Calibri"/>
                <w:b w:val="0"/>
                <w:i w:val="0"/>
                <w:color w:val="212121"/>
                <w:sz w:val="16"/>
              </w:rPr>
              <w:t>Identifies treatable contributors to cognitive impairment</w:t>
            </w:r>
          </w:p>
        </w:tc>
        <w:tc>
          <w:tcPr>
            <w:tcW w:type="dxa" w:w="1036"/>
            <w:vAlign w:val="top"/>
          </w:tcPr>
          <w:p>
            <w:pPr>
              <w:spacing w:after="40" w:before="0" w:line="259" w:lineRule="auto"/>
            </w:pPr>
            <w:r>
              <w:rPr>
                <w:rFonts w:ascii="Calibri" w:hAnsi="Calibri"/>
                <w:b w:val="0"/>
                <w:i w:val="0"/>
                <w:color w:val="212121"/>
                <w:sz w:val="16"/>
              </w:rPr>
              <w:t>All patients with new cognitive decline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Rule-out reversible</w:t>
            </w:r>
          </w:p>
        </w:tc>
        <w:tc>
          <w:tcPr>
            <w:tcW w:type="dxa" w:w="720"/>
            <w:vAlign w:val="top"/>
          </w:tcPr>
          <w:p>
            <w:pPr>
              <w:spacing w:after="40" w:before="0" w:line="259" w:lineRule="auto"/>
            </w:pPr>
            <w:r>
              <w:rPr>
                <w:rFonts w:ascii="Calibri" w:hAnsi="Calibri"/>
                <w:b w:val="0"/>
                <w:i w:val="0"/>
                <w:color w:val="212121"/>
                <w:sz w:val="16"/>
              </w:rPr>
              <w:t>B12 deficiency is common and correctable in Indian elders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Glucose/HbA1c, lipids, electrolytes, calcium, renal &amp; liver function</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Dysglycaemia, dyslipidaemia, electrolyte/calcium disturbance, organ dysfunction</w:t>
            </w:r>
          </w:p>
        </w:tc>
        <w:tc>
          <w:tcPr>
            <w:tcW w:type="dxa" w:w="1036"/>
            <w:vAlign w:val="top"/>
          </w:tcPr>
          <w:p>
            <w:pPr>
              <w:spacing w:after="40" w:before="0" w:line="259" w:lineRule="auto"/>
            </w:pPr>
            <w:r>
              <w:rPr>
                <w:rFonts w:ascii="Calibri" w:hAnsi="Calibri"/>
                <w:b w:val="0"/>
                <w:i w:val="0"/>
                <w:color w:val="212121"/>
                <w:sz w:val="16"/>
              </w:rPr>
              <w:t>Detects metabolic contributors and modifiable vascular risk factors</w:t>
            </w:r>
          </w:p>
        </w:tc>
        <w:tc>
          <w:tcPr>
            <w:tcW w:type="dxa" w:w="1036"/>
            <w:vAlign w:val="top"/>
          </w:tcPr>
          <w:p>
            <w:pPr>
              <w:spacing w:after="40" w:before="0" w:line="259" w:lineRule="auto"/>
            </w:pPr>
            <w:r>
              <w:rPr>
                <w:rFonts w:ascii="Calibri" w:hAnsi="Calibri"/>
                <w:b w:val="0"/>
                <w:i w:val="0"/>
                <w:color w:val="212121"/>
                <w:sz w:val="16"/>
              </w:rPr>
              <w:t>All patients; those with vascular risk</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Corrects reversible aggravators and guides risk reduction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 biomarkers</w:t>
            </w:r>
          </w:p>
        </w:tc>
        <w:tc>
          <w:tcPr>
            <w:tcW w:type="dxa" w:w="1036"/>
            <w:vAlign w:val="top"/>
          </w:tcPr>
          <w:p>
            <w:pPr>
              <w:spacing w:after="40" w:before="0" w:line="259" w:lineRule="auto"/>
            </w:pPr>
            <w:r>
              <w:rPr>
                <w:rFonts w:ascii="Calibri" w:hAnsi="Calibri"/>
                <w:b w:val="0"/>
                <w:i w:val="0"/>
                <w:color w:val="212121"/>
                <w:sz w:val="16"/>
              </w:rPr>
              <w:t>Amyloid &amp; tau</w:t>
            </w:r>
          </w:p>
        </w:tc>
        <w:tc>
          <w:tcPr>
            <w:tcW w:type="dxa" w:w="892"/>
            <w:vAlign w:val="top"/>
          </w:tcPr>
          <w:p>
            <w:pPr>
              <w:spacing w:after="40" w:before="0" w:line="259" w:lineRule="auto"/>
            </w:pPr>
            <w:r>
              <w:rPr>
                <w:rFonts w:ascii="Calibri" w:hAnsi="Calibri"/>
                <w:b w:val="0"/>
                <w:i w:val="0"/>
                <w:color w:val="212121"/>
                <w:sz w:val="16"/>
              </w:rPr>
              <w:t>CSF Aβ42/40 &amp; p-tau, amyloid PET, or plasma p-tau217</w:t>
            </w:r>
          </w:p>
        </w:tc>
        <w:tc>
          <w:tcPr>
            <w:tcW w:type="dxa" w:w="950"/>
            <w:vAlign w:val="top"/>
          </w:tcPr>
          <w:p>
            <w:pPr>
              <w:spacing w:after="40" w:before="0" w:line="259" w:lineRule="auto"/>
            </w:pPr>
            <w:r>
              <w:rPr>
                <w:rFonts w:ascii="Calibri" w:hAnsi="Calibri"/>
                <w:b w:val="0"/>
                <w:i w:val="0"/>
                <w:color w:val="212121"/>
                <w:sz w:val="16"/>
              </w:rPr>
              <w:t>Amyloid-negative; normal p-tau</w:t>
            </w:r>
          </w:p>
        </w:tc>
        <w:tc>
          <w:tcPr>
            <w:tcW w:type="dxa" w:w="950"/>
            <w:vAlign w:val="top"/>
          </w:tcPr>
          <w:p>
            <w:pPr>
              <w:spacing w:after="40" w:before="0" w:line="259" w:lineRule="auto"/>
            </w:pPr>
            <w:r>
              <w:rPr>
                <w:rFonts w:ascii="Calibri" w:hAnsi="Calibri"/>
                <w:b w:val="0"/>
                <w:i w:val="0"/>
                <w:color w:val="212121"/>
                <w:sz w:val="16"/>
              </w:rPr>
              <w:t>Amyloid-positive with elevated p-tau (AD pathology)</w:t>
            </w:r>
          </w:p>
        </w:tc>
        <w:tc>
          <w:tcPr>
            <w:tcW w:type="dxa" w:w="1036"/>
            <w:vAlign w:val="top"/>
          </w:tcPr>
          <w:p>
            <w:pPr>
              <w:spacing w:after="40" w:before="0" w:line="259" w:lineRule="auto"/>
            </w:pPr>
            <w:r>
              <w:rPr>
                <w:rFonts w:ascii="Calibri" w:hAnsi="Calibri"/>
                <w:b w:val="0"/>
                <w:i w:val="0"/>
                <w:color w:val="212121"/>
                <w:sz w:val="16"/>
              </w:rPr>
              <w:t>Confirms underlying Alzheimer pathology (NIA-AA 2024 biological framework)</w:t>
            </w:r>
          </w:p>
        </w:tc>
        <w:tc>
          <w:tcPr>
            <w:tcW w:type="dxa" w:w="1036"/>
            <w:vAlign w:val="top"/>
          </w:tcPr>
          <w:p>
            <w:pPr>
              <w:spacing w:after="40" w:before="0" w:line="259" w:lineRule="auto"/>
            </w:pPr>
            <w:r>
              <w:rPr>
                <w:rFonts w:ascii="Calibri" w:hAnsi="Calibri"/>
                <w:b w:val="0"/>
                <w:i w:val="0"/>
                <w:color w:val="212121"/>
                <w:sz w:val="16"/>
              </w:rPr>
              <w:t>Diagnostic uncertainty, early/atypical onset, research/therapy eligibility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 (where available)</w:t>
            </w:r>
          </w:p>
        </w:tc>
        <w:tc>
          <w:tcPr>
            <w:tcW w:type="dxa" w:w="720"/>
            <w:vAlign w:val="top"/>
          </w:tcPr>
          <w:p>
            <w:pPr>
              <w:spacing w:after="40" w:before="0" w:line="259" w:lineRule="auto"/>
            </w:pPr>
            <w:r>
              <w:rPr>
                <w:rFonts w:ascii="Calibri" w:hAnsi="Calibri"/>
                <w:b w:val="0"/>
                <w:i w:val="0"/>
                <w:color w:val="212121"/>
                <w:sz w:val="16"/>
              </w:rPr>
              <w:t>Emerging plasma p-tau217 may broaden access; limited availability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 imaging</w:t>
            </w:r>
          </w:p>
        </w:tc>
        <w:tc>
          <w:tcPr>
            <w:tcW w:type="dxa" w:w="1036"/>
            <w:vAlign w:val="top"/>
          </w:tcPr>
          <w:p>
            <w:pPr>
              <w:spacing w:after="40" w:before="0" w:line="259" w:lineRule="auto"/>
            </w:pPr>
            <w:r>
              <w:rPr>
                <w:rFonts w:ascii="Calibri" w:hAnsi="Calibri"/>
                <w:b w:val="0"/>
                <w:i w:val="0"/>
                <w:color w:val="212121"/>
                <w:sz w:val="16"/>
              </w:rPr>
              <w:t>Regional brain metabolism</w:t>
            </w:r>
          </w:p>
        </w:tc>
        <w:tc>
          <w:tcPr>
            <w:tcW w:type="dxa" w:w="892"/>
            <w:vAlign w:val="top"/>
          </w:tcPr>
          <w:p>
            <w:pPr>
              <w:spacing w:after="40" w:before="0" w:line="259" w:lineRule="auto"/>
            </w:pPr>
            <w:r>
              <w:rPr>
                <w:rFonts w:ascii="Calibri" w:hAnsi="Calibri"/>
                <w:b w:val="0"/>
                <w:i w:val="0"/>
                <w:color w:val="212121"/>
                <w:sz w:val="16"/>
              </w:rPr>
              <w:t>FDG-PET (and, if indicated, DAT scan)</w:t>
            </w:r>
          </w:p>
        </w:tc>
        <w:tc>
          <w:tcPr>
            <w:tcW w:type="dxa" w:w="950"/>
            <w:vAlign w:val="top"/>
          </w:tcPr>
          <w:p>
            <w:pPr>
              <w:spacing w:after="40" w:before="0" w:line="259" w:lineRule="auto"/>
            </w:pPr>
            <w:r>
              <w:rPr>
                <w:rFonts w:ascii="Calibri" w:hAnsi="Calibri"/>
                <w:b w:val="0"/>
                <w:i w:val="0"/>
                <w:color w:val="212121"/>
                <w:sz w:val="16"/>
              </w:rPr>
              <w:t>No specific hypometabolic pattern</w:t>
            </w:r>
          </w:p>
        </w:tc>
        <w:tc>
          <w:tcPr>
            <w:tcW w:type="dxa" w:w="950"/>
            <w:vAlign w:val="top"/>
          </w:tcPr>
          <w:p>
            <w:pPr>
              <w:spacing w:after="40" w:before="0" w:line="259" w:lineRule="auto"/>
            </w:pPr>
            <w:r>
              <w:rPr>
                <w:rFonts w:ascii="Calibri" w:hAnsi="Calibri"/>
                <w:b w:val="0"/>
                <w:i w:val="0"/>
                <w:color w:val="212121"/>
                <w:sz w:val="16"/>
              </w:rPr>
              <w:t>Temporoparietal &amp; posterior cingulate hypometabolism (AD pattern)</w:t>
            </w:r>
          </w:p>
        </w:tc>
        <w:tc>
          <w:tcPr>
            <w:tcW w:type="dxa" w:w="1036"/>
            <w:vAlign w:val="top"/>
          </w:tcPr>
          <w:p>
            <w:pPr>
              <w:spacing w:after="40" w:before="0" w:line="259" w:lineRule="auto"/>
            </w:pPr>
            <w:r>
              <w:rPr>
                <w:rFonts w:ascii="Calibri" w:hAnsi="Calibri"/>
                <w:b w:val="0"/>
                <w:i w:val="0"/>
                <w:color w:val="212121"/>
                <w:sz w:val="16"/>
              </w:rPr>
              <w:t>Aids differentiation of AD from frontotemporal or Lewy-body dementia in unclear cases</w:t>
            </w:r>
          </w:p>
        </w:tc>
        <w:tc>
          <w:tcPr>
            <w:tcW w:type="dxa" w:w="1036"/>
            <w:vAlign w:val="top"/>
          </w:tcPr>
          <w:p>
            <w:pPr>
              <w:spacing w:after="40" w:before="0" w:line="259" w:lineRule="auto"/>
            </w:pPr>
            <w:r>
              <w:rPr>
                <w:rFonts w:ascii="Calibri" w:hAnsi="Calibri"/>
                <w:b w:val="0"/>
                <w:i w:val="0"/>
                <w:color w:val="212121"/>
                <w:sz w:val="16"/>
              </w:rPr>
              <w:t>Atypical presentations, young-onset, differential diagnosis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 / specialist</w:t>
            </w:r>
          </w:p>
        </w:tc>
        <w:tc>
          <w:tcPr>
            <w:tcW w:type="dxa" w:w="720"/>
            <w:vAlign w:val="top"/>
          </w:tcPr>
          <w:p>
            <w:pPr>
              <w:spacing w:after="40" w:before="0" w:line="259" w:lineRule="auto"/>
            </w:pPr>
            <w:r>
              <w:rPr>
                <w:rFonts w:ascii="Calibri" w:hAnsi="Calibri"/>
                <w:b w:val="0"/>
                <w:i w:val="0"/>
                <w:color w:val="212121"/>
                <w:sz w:val="16"/>
              </w:rPr>
              <w:t>Second-line; not routine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w:t>
            </w:r>
          </w:p>
        </w:tc>
        <w:tc>
          <w:tcPr>
            <w:tcW w:type="dxa" w:w="1036"/>
            <w:vAlign w:val="top"/>
          </w:tcPr>
          <w:p>
            <w:pPr>
              <w:spacing w:after="40" w:before="0" w:line="259" w:lineRule="auto"/>
            </w:pPr>
            <w:r>
              <w:rPr>
                <w:rFonts w:ascii="Calibri" w:hAnsi="Calibri"/>
                <w:b w:val="0"/>
                <w:i w:val="0"/>
                <w:color w:val="212121"/>
                <w:sz w:val="16"/>
              </w:rPr>
              <w:t>APOE genotype; APP/PSEN1/PSEN2 (selected)</w:t>
            </w:r>
          </w:p>
        </w:tc>
        <w:tc>
          <w:tcPr>
            <w:tcW w:type="dxa" w:w="892"/>
            <w:vAlign w:val="top"/>
          </w:tcPr>
          <w:p>
            <w:pPr>
              <w:spacing w:after="40" w:before="0" w:line="259" w:lineRule="auto"/>
            </w:pPr>
            <w:r>
              <w:rPr>
                <w:rFonts w:ascii="Calibri" w:hAnsi="Calibri"/>
                <w:b w:val="0"/>
                <w:i w:val="0"/>
                <w:color w:val="212121"/>
                <w:sz w:val="16"/>
              </w:rPr>
              <w:t>Genetic testing / counselling</w:t>
            </w:r>
          </w:p>
        </w:tc>
        <w:tc>
          <w:tcPr>
            <w:tcW w:type="dxa" w:w="950"/>
            <w:vAlign w:val="top"/>
          </w:tcPr>
          <w:p>
            <w:pPr>
              <w:spacing w:after="40" w:before="0" w:line="259" w:lineRule="auto"/>
            </w:pPr>
            <w:r>
              <w:rPr>
                <w:rFonts w:ascii="Calibri" w:hAnsi="Calibri"/>
                <w:b w:val="0"/>
                <w:i w:val="0"/>
                <w:color w:val="212121"/>
                <w:sz w:val="16"/>
              </w:rPr>
              <w:t>No high-risk variant</w:t>
            </w:r>
          </w:p>
        </w:tc>
        <w:tc>
          <w:tcPr>
            <w:tcW w:type="dxa" w:w="950"/>
            <w:vAlign w:val="top"/>
          </w:tcPr>
          <w:p>
            <w:pPr>
              <w:spacing w:after="40" w:before="0" w:line="259" w:lineRule="auto"/>
            </w:pPr>
            <w:r>
              <w:rPr>
                <w:rFonts w:ascii="Calibri" w:hAnsi="Calibri"/>
                <w:b w:val="0"/>
                <w:i w:val="0"/>
                <w:color w:val="212121"/>
                <w:sz w:val="16"/>
              </w:rPr>
              <w:t>APOE ε4; autosomal-dominant mutation</w:t>
            </w:r>
          </w:p>
        </w:tc>
        <w:tc>
          <w:tcPr>
            <w:tcW w:type="dxa" w:w="1036"/>
            <w:vAlign w:val="top"/>
          </w:tcPr>
          <w:p>
            <w:pPr>
              <w:spacing w:after="40" w:before="0" w:line="259" w:lineRule="auto"/>
            </w:pPr>
            <w:r>
              <w:rPr>
                <w:rFonts w:ascii="Calibri" w:hAnsi="Calibri"/>
                <w:b w:val="0"/>
                <w:i w:val="0"/>
                <w:color w:val="212121"/>
                <w:sz w:val="16"/>
              </w:rPr>
              <w:t>Refines risk; diagnostic testing for early-onset/familial disease with counselling</w:t>
            </w:r>
          </w:p>
        </w:tc>
        <w:tc>
          <w:tcPr>
            <w:tcW w:type="dxa" w:w="1036"/>
            <w:vAlign w:val="top"/>
          </w:tcPr>
          <w:p>
            <w:pPr>
              <w:spacing w:after="40" w:before="0" w:line="259" w:lineRule="auto"/>
            </w:pPr>
            <w:r>
              <w:rPr>
                <w:rFonts w:ascii="Calibri" w:hAnsi="Calibri"/>
                <w:b w:val="0"/>
                <w:i w:val="0"/>
                <w:color w:val="212121"/>
                <w:sz w:val="16"/>
              </w:rPr>
              <w:t>Early-onset, strong family history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APOE not recommended as a routine predictive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Infective/other screen</w:t>
            </w:r>
          </w:p>
        </w:tc>
        <w:tc>
          <w:tcPr>
            <w:tcW w:type="dxa" w:w="1036"/>
            <w:vAlign w:val="top"/>
          </w:tcPr>
          <w:p>
            <w:pPr>
              <w:spacing w:after="40" w:before="0" w:line="259" w:lineRule="auto"/>
            </w:pPr>
            <w:r>
              <w:rPr>
                <w:rFonts w:ascii="Calibri" w:hAnsi="Calibri"/>
                <w:b w:val="0"/>
                <w:i w:val="0"/>
                <w:color w:val="212121"/>
                <w:sz w:val="16"/>
              </w:rPr>
              <w:t>HIV, VDRL, and others as indicated</w:t>
            </w:r>
          </w:p>
        </w:tc>
        <w:tc>
          <w:tcPr>
            <w:tcW w:type="dxa" w:w="892"/>
            <w:vAlign w:val="top"/>
          </w:tcPr>
          <w:p>
            <w:pPr>
              <w:spacing w:after="40" w:before="0" w:line="259" w:lineRule="auto"/>
            </w:pPr>
            <w:r>
              <w:rPr>
                <w:rFonts w:ascii="Calibri" w:hAnsi="Calibri"/>
                <w:b w:val="0"/>
                <w:i w:val="0"/>
                <w:color w:val="212121"/>
                <w:sz w:val="16"/>
              </w:rPr>
              <w:t>Targeted serology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(e.g., neurosyphilis, HIV-related)</w:t>
            </w:r>
          </w:p>
        </w:tc>
        <w:tc>
          <w:tcPr>
            <w:tcW w:type="dxa" w:w="1036"/>
            <w:vAlign w:val="top"/>
          </w:tcPr>
          <w:p>
            <w:pPr>
              <w:spacing w:after="40" w:before="0" w:line="259" w:lineRule="auto"/>
            </w:pPr>
            <w:r>
              <w:rPr>
                <w:rFonts w:ascii="Calibri" w:hAnsi="Calibri"/>
                <w:b w:val="0"/>
                <w:i w:val="0"/>
                <w:color w:val="212121"/>
                <w:sz w:val="16"/>
              </w:rPr>
              <w:t>Excludes treatable infective causes in atypical or rapidly progressive cases</w:t>
            </w:r>
          </w:p>
        </w:tc>
        <w:tc>
          <w:tcPr>
            <w:tcW w:type="dxa" w:w="1036"/>
            <w:vAlign w:val="top"/>
          </w:tcPr>
          <w:p>
            <w:pPr>
              <w:spacing w:after="40" w:before="0" w:line="259" w:lineRule="auto"/>
            </w:pPr>
            <w:r>
              <w:rPr>
                <w:rFonts w:ascii="Calibri" w:hAnsi="Calibri"/>
                <w:b w:val="0"/>
                <w:i w:val="0"/>
                <w:color w:val="212121"/>
                <w:sz w:val="16"/>
              </w:rPr>
              <w:t>Atypical, young, or rapidly progressive dementia</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Rule-out reversible</w:t>
            </w:r>
          </w:p>
        </w:tc>
        <w:tc>
          <w:tcPr>
            <w:tcW w:type="dxa" w:w="720"/>
            <w:vAlign w:val="top"/>
          </w:tcPr>
          <w:p>
            <w:pPr>
              <w:spacing w:after="40" w:before="0" w:line="259" w:lineRule="auto"/>
            </w:pPr>
            <w:r>
              <w:rPr>
                <w:rFonts w:ascii="Calibri" w:hAnsi="Calibri"/>
                <w:b w:val="0"/>
                <w:i w:val="0"/>
                <w:color w:val="212121"/>
                <w:sz w:val="16"/>
              </w:rPr>
              <w:t>Rapid progression warrants broader work-up (e.g., CJD)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Progressive recent-memory loss, repetitiveness, getting lost, word-finding difficulty</w:t>
            </w:r>
          </w:p>
        </w:tc>
        <w:tc>
          <w:tcPr>
            <w:tcW w:type="dxa" w:w="950"/>
            <w:vAlign w:val="top"/>
          </w:tcPr>
          <w:p>
            <w:pPr>
              <w:spacing w:after="40" w:before="0" w:line="259" w:lineRule="auto"/>
            </w:pPr>
            <w:r>
              <w:rPr>
                <w:rFonts w:ascii="Calibri" w:hAnsi="Calibri"/>
                <w:b w:val="0"/>
                <w:i w:val="0"/>
                <w:color w:val="212121"/>
                <w:sz w:val="16"/>
              </w:rPr>
              <w:t>No progressive cognitive/functional decline</w:t>
            </w:r>
          </w:p>
        </w:tc>
        <w:tc>
          <w:tcPr>
            <w:tcW w:type="dxa" w:w="950"/>
            <w:vAlign w:val="top"/>
          </w:tcPr>
          <w:p>
            <w:pPr>
              <w:spacing w:after="40" w:before="0" w:line="259" w:lineRule="auto"/>
            </w:pPr>
            <w:r>
              <w:rPr>
                <w:rFonts w:ascii="Calibri" w:hAnsi="Calibri"/>
                <w:b w:val="0"/>
                <w:i w:val="0"/>
                <w:color w:val="212121"/>
                <w:sz w:val="16"/>
              </w:rPr>
              <w:t>Insidious, gradually progressive decline in memory + another domain</w:t>
            </w:r>
          </w:p>
        </w:tc>
        <w:tc>
          <w:tcPr>
            <w:tcW w:type="dxa" w:w="1036"/>
            <w:vAlign w:val="top"/>
          </w:tcPr>
          <w:p>
            <w:pPr>
              <w:spacing w:after="40" w:before="0" w:line="259" w:lineRule="auto"/>
            </w:pPr>
            <w:r>
              <w:rPr>
                <w:rFonts w:ascii="Calibri" w:hAnsi="Calibri"/>
                <w:b w:val="0"/>
                <w:i w:val="0"/>
                <w:color w:val="212121"/>
                <w:sz w:val="16"/>
              </w:rPr>
              <w:t>Core clinical pattern of Alzheimer's disease</w:t>
            </w:r>
          </w:p>
        </w:tc>
        <w:tc>
          <w:tcPr>
            <w:tcW w:type="dxa" w:w="1036"/>
            <w:vAlign w:val="top"/>
          </w:tcPr>
          <w:p>
            <w:pPr>
              <w:spacing w:after="40" w:before="0" w:line="259" w:lineRule="auto"/>
            </w:pPr>
            <w:r>
              <w:rPr>
                <w:rFonts w:ascii="Calibri" w:hAnsi="Calibri"/>
                <w:b w:val="0"/>
                <w:i w:val="0"/>
                <w:color w:val="212121"/>
                <w:sz w:val="16"/>
              </w:rPr>
              <w:t>Elderly, memory-complaint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Insidious onset &amp; steady progression are characteristic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Informant/collateral history</w:t>
            </w:r>
          </w:p>
        </w:tc>
        <w:tc>
          <w:tcPr>
            <w:tcW w:type="dxa" w:w="979"/>
            <w:vAlign w:val="top"/>
          </w:tcPr>
          <w:p>
            <w:pPr>
              <w:spacing w:after="40" w:before="0" w:line="259" w:lineRule="auto"/>
            </w:pPr>
            <w:r>
              <w:rPr>
                <w:rFonts w:ascii="Calibri" w:hAnsi="Calibri"/>
                <w:b w:val="0"/>
                <w:i w:val="0"/>
                <w:color w:val="212121"/>
                <w:sz w:val="16"/>
              </w:rPr>
              <w:t>Corroboration by family/caregiver of decline &amp; timeline</w:t>
            </w:r>
          </w:p>
        </w:tc>
        <w:tc>
          <w:tcPr>
            <w:tcW w:type="dxa" w:w="950"/>
            <w:vAlign w:val="top"/>
          </w:tcPr>
          <w:p>
            <w:pPr>
              <w:spacing w:after="40" w:before="0" w:line="259" w:lineRule="auto"/>
            </w:pPr>
            <w:r>
              <w:rPr>
                <w:rFonts w:ascii="Calibri" w:hAnsi="Calibri"/>
                <w:b w:val="0"/>
                <w:i w:val="0"/>
                <w:color w:val="212121"/>
                <w:sz w:val="16"/>
              </w:rPr>
              <w:t>Informant reports no functional change</w:t>
            </w:r>
          </w:p>
        </w:tc>
        <w:tc>
          <w:tcPr>
            <w:tcW w:type="dxa" w:w="950"/>
            <w:vAlign w:val="top"/>
          </w:tcPr>
          <w:p>
            <w:pPr>
              <w:spacing w:after="40" w:before="0" w:line="259" w:lineRule="auto"/>
            </w:pPr>
            <w:r>
              <w:rPr>
                <w:rFonts w:ascii="Calibri" w:hAnsi="Calibri"/>
                <w:b w:val="0"/>
                <w:i w:val="0"/>
                <w:color w:val="212121"/>
                <w:sz w:val="16"/>
              </w:rPr>
              <w:t>Informant confirms progressive decline and impact on daily life</w:t>
            </w:r>
          </w:p>
        </w:tc>
        <w:tc>
          <w:tcPr>
            <w:tcW w:type="dxa" w:w="1036"/>
            <w:vAlign w:val="top"/>
          </w:tcPr>
          <w:p>
            <w:pPr>
              <w:spacing w:after="40" w:before="0" w:line="259" w:lineRule="auto"/>
            </w:pPr>
            <w:r>
              <w:rPr>
                <w:rFonts w:ascii="Calibri" w:hAnsi="Calibri"/>
                <w:b w:val="0"/>
                <w:i w:val="0"/>
                <w:color w:val="212121"/>
                <w:sz w:val="16"/>
              </w:rPr>
              <w:t>Essential in dementia — patients often lack insight (anosognosia)</w:t>
            </w:r>
          </w:p>
        </w:tc>
        <w:tc>
          <w:tcPr>
            <w:tcW w:type="dxa" w:w="1036"/>
            <w:vAlign w:val="top"/>
          </w:tcPr>
          <w:p>
            <w:pPr>
              <w:spacing w:after="40" w:before="0" w:line="259" w:lineRule="auto"/>
            </w:pPr>
            <w:r>
              <w:rPr>
                <w:rFonts w:ascii="Calibri" w:hAnsi="Calibri"/>
                <w:b w:val="0"/>
                <w:i w:val="0"/>
                <w:color w:val="212121"/>
                <w:sz w:val="16"/>
              </w:rPr>
              <w:t>All patients with a reliable informant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Family may normalise symptoms as 'old age' in India, delaying care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Functional assessment (ADL/IADL)</w:t>
            </w:r>
          </w:p>
        </w:tc>
        <w:tc>
          <w:tcPr>
            <w:tcW w:type="dxa" w:w="979"/>
            <w:vAlign w:val="top"/>
          </w:tcPr>
          <w:p>
            <w:pPr>
              <w:spacing w:after="40" w:before="0" w:line="259" w:lineRule="auto"/>
            </w:pPr>
            <w:r>
              <w:rPr>
                <w:rFonts w:ascii="Calibri" w:hAnsi="Calibri"/>
                <w:b w:val="0"/>
                <w:i w:val="0"/>
                <w:color w:val="212121"/>
                <w:sz w:val="16"/>
              </w:rPr>
              <w:t>Handling finances, medications, cooking, travel, self-care</w:t>
            </w:r>
          </w:p>
        </w:tc>
        <w:tc>
          <w:tcPr>
            <w:tcW w:type="dxa" w:w="950"/>
            <w:vAlign w:val="top"/>
          </w:tcPr>
          <w:p>
            <w:pPr>
              <w:spacing w:after="40" w:before="0" w:line="259" w:lineRule="auto"/>
            </w:pPr>
            <w:r>
              <w:rPr>
                <w:rFonts w:ascii="Calibri" w:hAnsi="Calibri"/>
                <w:b w:val="0"/>
                <w:i w:val="0"/>
                <w:color w:val="212121"/>
                <w:sz w:val="16"/>
              </w:rPr>
              <w:t>Independent in daily activities</w:t>
            </w:r>
          </w:p>
        </w:tc>
        <w:tc>
          <w:tcPr>
            <w:tcW w:type="dxa" w:w="950"/>
            <w:vAlign w:val="top"/>
          </w:tcPr>
          <w:p>
            <w:pPr>
              <w:spacing w:after="40" w:before="0" w:line="259" w:lineRule="auto"/>
            </w:pPr>
            <w:r>
              <w:rPr>
                <w:rFonts w:ascii="Calibri" w:hAnsi="Calibri"/>
                <w:b w:val="0"/>
                <w:i w:val="0"/>
                <w:color w:val="212121"/>
                <w:sz w:val="16"/>
              </w:rPr>
              <w:t>Loss of independence (IADLs first, then basic ADLs)</w:t>
            </w:r>
          </w:p>
        </w:tc>
        <w:tc>
          <w:tcPr>
            <w:tcW w:type="dxa" w:w="1036"/>
            <w:vAlign w:val="top"/>
          </w:tcPr>
          <w:p>
            <w:pPr>
              <w:spacing w:after="40" w:before="0" w:line="259" w:lineRule="auto"/>
            </w:pPr>
            <w:r>
              <w:rPr>
                <w:rFonts w:ascii="Calibri" w:hAnsi="Calibri"/>
                <w:b w:val="0"/>
                <w:i w:val="0"/>
                <w:color w:val="212121"/>
                <w:sz w:val="16"/>
              </w:rPr>
              <w:t>Distinguishes dementia (major NCD) from MCI (mild NCD) and grades severity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 staging</w:t>
            </w:r>
          </w:p>
        </w:tc>
        <w:tc>
          <w:tcPr>
            <w:tcW w:type="dxa" w:w="720"/>
            <w:vAlign w:val="top"/>
          </w:tcPr>
          <w:p>
            <w:pPr>
              <w:spacing w:after="40" w:before="0" w:line="259" w:lineRule="auto"/>
            </w:pPr>
            <w:r>
              <w:rPr>
                <w:rFonts w:ascii="Calibri" w:hAnsi="Calibri"/>
                <w:b w:val="0"/>
                <w:i w:val="0"/>
                <w:color w:val="212121"/>
                <w:sz w:val="16"/>
              </w:rPr>
              <w:t>IADL decline typically precedes basic ADL loss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Neuropsychiatric symptoms (BPSD)</w:t>
            </w:r>
          </w:p>
        </w:tc>
        <w:tc>
          <w:tcPr>
            <w:tcW w:type="dxa" w:w="979"/>
            <w:vAlign w:val="top"/>
          </w:tcPr>
          <w:p>
            <w:pPr>
              <w:spacing w:after="40" w:before="0" w:line="259" w:lineRule="auto"/>
            </w:pPr>
            <w:r>
              <w:rPr>
                <w:rFonts w:ascii="Calibri" w:hAnsi="Calibri"/>
                <w:b w:val="0"/>
                <w:i w:val="0"/>
                <w:color w:val="212121"/>
                <w:sz w:val="16"/>
              </w:rPr>
              <w:t>Apathy, depression, anxiety, agitation, psychosis, sleep/sundowning</w:t>
            </w:r>
          </w:p>
        </w:tc>
        <w:tc>
          <w:tcPr>
            <w:tcW w:type="dxa" w:w="950"/>
            <w:vAlign w:val="top"/>
          </w:tcPr>
          <w:p>
            <w:pPr>
              <w:spacing w:after="40" w:before="0" w:line="259" w:lineRule="auto"/>
            </w:pPr>
            <w:r>
              <w:rPr>
                <w:rFonts w:ascii="Calibri" w:hAnsi="Calibri"/>
                <w:b w:val="0"/>
                <w:i w:val="0"/>
                <w:color w:val="212121"/>
                <w:sz w:val="16"/>
              </w:rPr>
              <w:t>No significant behavioural symptoms</w:t>
            </w:r>
          </w:p>
        </w:tc>
        <w:tc>
          <w:tcPr>
            <w:tcW w:type="dxa" w:w="950"/>
            <w:vAlign w:val="top"/>
          </w:tcPr>
          <w:p>
            <w:pPr>
              <w:spacing w:after="40" w:before="0" w:line="259" w:lineRule="auto"/>
            </w:pPr>
            <w:r>
              <w:rPr>
                <w:rFonts w:ascii="Calibri" w:hAnsi="Calibri"/>
                <w:b w:val="0"/>
                <w:i w:val="0"/>
                <w:color w:val="212121"/>
                <w:sz w:val="16"/>
              </w:rPr>
              <w:t>Behavioural &amp; psychological symptoms of dementia present</w:t>
            </w:r>
          </w:p>
        </w:tc>
        <w:tc>
          <w:tcPr>
            <w:tcW w:type="dxa" w:w="1036"/>
            <w:vAlign w:val="top"/>
          </w:tcPr>
          <w:p>
            <w:pPr>
              <w:spacing w:after="40" w:before="0" w:line="259" w:lineRule="auto"/>
            </w:pPr>
            <w:r>
              <w:rPr>
                <w:rFonts w:ascii="Calibri" w:hAnsi="Calibri"/>
                <w:b w:val="0"/>
                <w:i w:val="0"/>
                <w:color w:val="212121"/>
                <w:sz w:val="16"/>
              </w:rPr>
              <w:t>Common, distressing, and major drivers of caregiver burden and institutionalisation</w:t>
            </w:r>
          </w:p>
        </w:tc>
        <w:tc>
          <w:tcPr>
            <w:tcW w:type="dxa" w:w="1036"/>
            <w:vAlign w:val="top"/>
          </w:tcPr>
          <w:p>
            <w:pPr>
              <w:spacing w:after="40" w:before="0" w:line="259" w:lineRule="auto"/>
            </w:pPr>
            <w:r>
              <w:rPr>
                <w:rFonts w:ascii="Calibri" w:hAnsi="Calibri"/>
                <w:b w:val="0"/>
                <w:i w:val="0"/>
                <w:color w:val="212121"/>
                <w:sz w:val="16"/>
              </w:rPr>
              <w:t>Moderate–severe dementia, caregivers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Monitoring / management</w:t>
            </w:r>
          </w:p>
        </w:tc>
        <w:tc>
          <w:tcPr>
            <w:tcW w:type="dxa" w:w="720"/>
            <w:vAlign w:val="top"/>
          </w:tcPr>
          <w:p>
            <w:pPr>
              <w:spacing w:after="40" w:before="0" w:line="259" w:lineRule="auto"/>
            </w:pPr>
            <w:r>
              <w:rPr>
                <w:rFonts w:ascii="Calibri" w:hAnsi="Calibri"/>
                <w:b w:val="0"/>
                <w:i w:val="0"/>
                <w:color w:val="212121"/>
                <w:sz w:val="16"/>
              </w:rPr>
              <w:t>Prefer non-pharmacological management first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Medication &amp; anticholinergic review</w:t>
            </w:r>
          </w:p>
        </w:tc>
        <w:tc>
          <w:tcPr>
            <w:tcW w:type="dxa" w:w="979"/>
            <w:vAlign w:val="top"/>
          </w:tcPr>
          <w:p>
            <w:pPr>
              <w:spacing w:after="40" w:before="0" w:line="259" w:lineRule="auto"/>
            </w:pPr>
            <w:r>
              <w:rPr>
                <w:rFonts w:ascii="Calibri" w:hAnsi="Calibri"/>
                <w:b w:val="0"/>
                <w:i w:val="0"/>
                <w:color w:val="212121"/>
                <w:sz w:val="16"/>
              </w:rPr>
              <w:t>Deliriogenic/anticholinergic burden, sedatives</w:t>
            </w:r>
          </w:p>
        </w:tc>
        <w:tc>
          <w:tcPr>
            <w:tcW w:type="dxa" w:w="950"/>
            <w:vAlign w:val="top"/>
          </w:tcPr>
          <w:p>
            <w:pPr>
              <w:spacing w:after="40" w:before="0" w:line="259" w:lineRule="auto"/>
            </w:pPr>
            <w:r>
              <w:rPr>
                <w:rFonts w:ascii="Calibri" w:hAnsi="Calibri"/>
                <w:b w:val="0"/>
                <w:i w:val="0"/>
                <w:color w:val="212121"/>
                <w:sz w:val="16"/>
              </w:rPr>
              <w:t>Low anticholinergic burden</w:t>
            </w:r>
          </w:p>
        </w:tc>
        <w:tc>
          <w:tcPr>
            <w:tcW w:type="dxa" w:w="950"/>
            <w:vAlign w:val="top"/>
          </w:tcPr>
          <w:p>
            <w:pPr>
              <w:spacing w:after="40" w:before="0" w:line="259" w:lineRule="auto"/>
            </w:pPr>
            <w:r>
              <w:rPr>
                <w:rFonts w:ascii="Calibri" w:hAnsi="Calibri"/>
                <w:b w:val="0"/>
                <w:i w:val="0"/>
                <w:color w:val="212121"/>
                <w:sz w:val="16"/>
              </w:rPr>
              <w:t>High anticholinergic/sedative load</w:t>
            </w:r>
          </w:p>
        </w:tc>
        <w:tc>
          <w:tcPr>
            <w:tcW w:type="dxa" w:w="1036"/>
            <w:vAlign w:val="top"/>
          </w:tcPr>
          <w:p>
            <w:pPr>
              <w:spacing w:after="40" w:before="0" w:line="259" w:lineRule="auto"/>
            </w:pPr>
            <w:r>
              <w:rPr>
                <w:rFonts w:ascii="Calibri" w:hAnsi="Calibri"/>
                <w:b w:val="0"/>
                <w:i w:val="0"/>
                <w:color w:val="212121"/>
                <w:sz w:val="16"/>
              </w:rPr>
              <w:t>Identifies reversible drug contributions to cognitive impairment and delirium risk</w:t>
            </w:r>
          </w:p>
        </w:tc>
        <w:tc>
          <w:tcPr>
            <w:tcW w:type="dxa" w:w="1036"/>
            <w:vAlign w:val="top"/>
          </w:tcPr>
          <w:p>
            <w:pPr>
              <w:spacing w:after="40" w:before="0" w:line="259" w:lineRule="auto"/>
            </w:pPr>
            <w:r>
              <w:rPr>
                <w:rFonts w:ascii="Calibri" w:hAnsi="Calibri"/>
                <w:b w:val="0"/>
                <w:i w:val="0"/>
                <w:color w:val="212121"/>
                <w:sz w:val="16"/>
              </w:rPr>
              <w:t>Polypharmacy elders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Rule-out reversible</w:t>
            </w:r>
          </w:p>
        </w:tc>
        <w:tc>
          <w:tcPr>
            <w:tcW w:type="dxa" w:w="720"/>
            <w:vAlign w:val="top"/>
          </w:tcPr>
          <w:p>
            <w:pPr>
              <w:spacing w:after="40" w:before="0" w:line="259" w:lineRule="auto"/>
            </w:pPr>
            <w:r>
              <w:rPr>
                <w:rFonts w:ascii="Calibri" w:hAnsi="Calibri"/>
                <w:b w:val="0"/>
                <w:i w:val="0"/>
                <w:color w:val="212121"/>
                <w:sz w:val="16"/>
              </w:rPr>
              <w:t>Deprescribing may improve cognition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Neurological examination</w:t>
            </w:r>
          </w:p>
        </w:tc>
        <w:tc>
          <w:tcPr>
            <w:tcW w:type="dxa" w:w="979"/>
            <w:vAlign w:val="top"/>
          </w:tcPr>
          <w:p>
            <w:pPr>
              <w:spacing w:after="40" w:before="0" w:line="259" w:lineRule="auto"/>
            </w:pPr>
            <w:r>
              <w:rPr>
                <w:rFonts w:ascii="Calibri" w:hAnsi="Calibri"/>
                <w:b w:val="0"/>
                <w:i w:val="0"/>
                <w:color w:val="212121"/>
                <w:sz w:val="16"/>
              </w:rPr>
              <w:t>Focal signs, gait, parkinsonism, primitive reflexes</w:t>
            </w:r>
          </w:p>
        </w:tc>
        <w:tc>
          <w:tcPr>
            <w:tcW w:type="dxa" w:w="950"/>
            <w:vAlign w:val="top"/>
          </w:tcPr>
          <w:p>
            <w:pPr>
              <w:spacing w:after="40" w:before="0" w:line="259" w:lineRule="auto"/>
            </w:pPr>
            <w:r>
              <w:rPr>
                <w:rFonts w:ascii="Calibri" w:hAnsi="Calibri"/>
                <w:b w:val="0"/>
                <w:i w:val="0"/>
                <w:color w:val="212121"/>
                <w:sz w:val="16"/>
              </w:rPr>
              <w:t>Non-focal early in AD; normal gait</w:t>
            </w:r>
          </w:p>
        </w:tc>
        <w:tc>
          <w:tcPr>
            <w:tcW w:type="dxa" w:w="950"/>
            <w:vAlign w:val="top"/>
          </w:tcPr>
          <w:p>
            <w:pPr>
              <w:spacing w:after="40" w:before="0" w:line="259" w:lineRule="auto"/>
            </w:pPr>
            <w:r>
              <w:rPr>
                <w:rFonts w:ascii="Calibri" w:hAnsi="Calibri"/>
                <w:b w:val="0"/>
                <w:i w:val="0"/>
                <w:color w:val="212121"/>
                <w:sz w:val="16"/>
              </w:rPr>
              <w:t>Focal deficit (vascular), early gait disorder/falls (other), parkinsonism (Lewy-body)</w:t>
            </w:r>
          </w:p>
        </w:tc>
        <w:tc>
          <w:tcPr>
            <w:tcW w:type="dxa" w:w="1036"/>
            <w:vAlign w:val="top"/>
          </w:tcPr>
          <w:p>
            <w:pPr>
              <w:spacing w:after="40" w:before="0" w:line="259" w:lineRule="auto"/>
            </w:pPr>
            <w:r>
              <w:rPr>
                <w:rFonts w:ascii="Calibri" w:hAnsi="Calibri"/>
                <w:b w:val="0"/>
                <w:i w:val="0"/>
                <w:color w:val="212121"/>
                <w:sz w:val="16"/>
              </w:rPr>
              <w:t>A relatively normal early neuro exam supports AD; specific signs suggest other dementias</w:t>
            </w:r>
          </w:p>
        </w:tc>
        <w:tc>
          <w:tcPr>
            <w:tcW w:type="dxa" w:w="1036"/>
            <w:vAlign w:val="top"/>
          </w:tcPr>
          <w:p>
            <w:pPr>
              <w:spacing w:after="40" w:before="0" w:line="259" w:lineRule="auto"/>
            </w:pPr>
            <w:r>
              <w:rPr>
                <w:rFonts w:ascii="Calibri" w:hAnsi="Calibri"/>
                <w:b w:val="0"/>
                <w:i w:val="0"/>
                <w:color w:val="212121"/>
                <w:sz w:val="16"/>
              </w:rPr>
              <w:t>All patients at assessment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Differential diagnosis</w:t>
            </w:r>
          </w:p>
        </w:tc>
        <w:tc>
          <w:tcPr>
            <w:tcW w:type="dxa" w:w="720"/>
            <w:vAlign w:val="top"/>
          </w:tcPr>
          <w:p>
            <w:pPr>
              <w:spacing w:after="40" w:before="0" w:line="259" w:lineRule="auto"/>
            </w:pPr>
            <w:r>
              <w:rPr>
                <w:rFonts w:ascii="Calibri" w:hAnsi="Calibri"/>
                <w:b w:val="0"/>
                <w:i w:val="0"/>
                <w:color w:val="212121"/>
                <w:sz w:val="16"/>
              </w:rPr>
              <w:t>Early prominent gait/falls point away from typical AD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Sensory screen (hearing &amp; vision)</w:t>
            </w:r>
          </w:p>
        </w:tc>
        <w:tc>
          <w:tcPr>
            <w:tcW w:type="dxa" w:w="979"/>
            <w:vAlign w:val="top"/>
          </w:tcPr>
          <w:p>
            <w:pPr>
              <w:spacing w:after="40" w:before="0" w:line="259" w:lineRule="auto"/>
            </w:pPr>
            <w:r>
              <w:rPr>
                <w:rFonts w:ascii="Calibri" w:hAnsi="Calibri"/>
                <w:b w:val="0"/>
                <w:i w:val="0"/>
                <w:color w:val="212121"/>
                <w:sz w:val="16"/>
              </w:rPr>
              <w:t>Hearing and visual acuity</w:t>
            </w:r>
          </w:p>
        </w:tc>
        <w:tc>
          <w:tcPr>
            <w:tcW w:type="dxa" w:w="950"/>
            <w:vAlign w:val="top"/>
          </w:tcPr>
          <w:p>
            <w:pPr>
              <w:spacing w:after="40" w:before="0" w:line="259" w:lineRule="auto"/>
            </w:pPr>
            <w:r>
              <w:rPr>
                <w:rFonts w:ascii="Calibri" w:hAnsi="Calibri"/>
                <w:b w:val="0"/>
                <w:i w:val="0"/>
                <w:color w:val="212121"/>
                <w:sz w:val="16"/>
              </w:rPr>
              <w:t>Adequate/corrected hearing and vision</w:t>
            </w:r>
          </w:p>
        </w:tc>
        <w:tc>
          <w:tcPr>
            <w:tcW w:type="dxa" w:w="950"/>
            <w:vAlign w:val="top"/>
          </w:tcPr>
          <w:p>
            <w:pPr>
              <w:spacing w:after="40" w:before="0" w:line="259" w:lineRule="auto"/>
            </w:pPr>
            <w:r>
              <w:rPr>
                <w:rFonts w:ascii="Calibri" w:hAnsi="Calibri"/>
                <w:b w:val="0"/>
                <w:i w:val="0"/>
                <w:color w:val="212121"/>
                <w:sz w:val="16"/>
              </w:rPr>
              <w:t>Untreated hearing loss and/or vision loss</w:t>
            </w:r>
          </w:p>
        </w:tc>
        <w:tc>
          <w:tcPr>
            <w:tcW w:type="dxa" w:w="1036"/>
            <w:vAlign w:val="top"/>
          </w:tcPr>
          <w:p>
            <w:pPr>
              <w:spacing w:after="40" w:before="0" w:line="259" w:lineRule="auto"/>
            </w:pPr>
            <w:r>
              <w:rPr>
                <w:rFonts w:ascii="Calibri" w:hAnsi="Calibri"/>
                <w:b w:val="0"/>
                <w:i w:val="0"/>
                <w:color w:val="212121"/>
                <w:sz w:val="16"/>
              </w:rPr>
              <w:t>Identifies major modifiable, treatable contributors and testing confounders</w:t>
            </w:r>
          </w:p>
        </w:tc>
        <w:tc>
          <w:tcPr>
            <w:tcW w:type="dxa" w:w="1036"/>
            <w:vAlign w:val="top"/>
          </w:tcPr>
          <w:p>
            <w:pPr>
              <w:spacing w:after="40" w:before="0" w:line="259" w:lineRule="auto"/>
            </w:pPr>
            <w:r>
              <w:rPr>
                <w:rFonts w:ascii="Calibri" w:hAnsi="Calibri"/>
                <w:b w:val="0"/>
                <w:i w:val="0"/>
                <w:color w:val="212121"/>
                <w:sz w:val="16"/>
              </w:rPr>
              <w:t>All older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modifiable</w:t>
            </w:r>
          </w:p>
        </w:tc>
        <w:tc>
          <w:tcPr>
            <w:tcW w:type="dxa" w:w="720"/>
            <w:vAlign w:val="top"/>
          </w:tcPr>
          <w:p>
            <w:pPr>
              <w:spacing w:after="40" w:before="0" w:line="259" w:lineRule="auto"/>
            </w:pPr>
            <w:r>
              <w:rPr>
                <w:rFonts w:ascii="Calibri" w:hAnsi="Calibri"/>
                <w:b w:val="0"/>
                <w:i w:val="0"/>
                <w:color w:val="212121"/>
                <w:sz w:val="16"/>
              </w:rPr>
              <w:t>Correcting sensory deficits can slow decline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 differential screen</w:t>
            </w:r>
          </w:p>
        </w:tc>
        <w:tc>
          <w:tcPr>
            <w:tcW w:type="dxa" w:w="979"/>
            <w:vAlign w:val="top"/>
          </w:tcPr>
          <w:p>
            <w:pPr>
              <w:spacing w:after="40" w:before="0" w:line="259" w:lineRule="auto"/>
            </w:pPr>
            <w:r>
              <w:rPr>
                <w:rFonts w:ascii="Calibri" w:hAnsi="Calibri"/>
                <w:b w:val="0"/>
                <w:i w:val="0"/>
                <w:color w:val="212121"/>
                <w:sz w:val="16"/>
              </w:rPr>
              <w:t>Rapid progression, early hallucinations, focal deficits, young age, systemic illness</w:t>
            </w:r>
          </w:p>
        </w:tc>
        <w:tc>
          <w:tcPr>
            <w:tcW w:type="dxa" w:w="950"/>
            <w:vAlign w:val="top"/>
          </w:tcPr>
          <w:p>
            <w:pPr>
              <w:spacing w:after="40" w:before="0" w:line="259" w:lineRule="auto"/>
            </w:pPr>
            <w:r>
              <w:rPr>
                <w:rFonts w:ascii="Calibri" w:hAnsi="Calibri"/>
                <w:b w:val="0"/>
                <w:i w:val="0"/>
                <w:color w:val="212121"/>
                <w:sz w:val="16"/>
              </w:rPr>
              <w:t>Typical slow amnestic course</w:t>
            </w:r>
          </w:p>
        </w:tc>
        <w:tc>
          <w:tcPr>
            <w:tcW w:type="dxa" w:w="950"/>
            <w:vAlign w:val="top"/>
          </w:tcPr>
          <w:p>
            <w:pPr>
              <w:spacing w:after="40" w:before="0" w:line="259" w:lineRule="auto"/>
            </w:pPr>
            <w:r>
              <w:rPr>
                <w:rFonts w:ascii="Calibri" w:hAnsi="Calibri"/>
                <w:b w:val="0"/>
                <w:i w:val="0"/>
                <w:color w:val="212121"/>
                <w:sz w:val="16"/>
              </w:rPr>
              <w:t>Atypical/rapid features present</w:t>
            </w:r>
          </w:p>
        </w:tc>
        <w:tc>
          <w:tcPr>
            <w:tcW w:type="dxa" w:w="1036"/>
            <w:vAlign w:val="top"/>
          </w:tcPr>
          <w:p>
            <w:pPr>
              <w:spacing w:after="40" w:before="0" w:line="259" w:lineRule="auto"/>
            </w:pPr>
            <w:r>
              <w:rPr>
                <w:rFonts w:ascii="Calibri" w:hAnsi="Calibri"/>
                <w:b w:val="0"/>
                <w:i w:val="0"/>
                <w:color w:val="212121"/>
                <w:sz w:val="16"/>
              </w:rPr>
              <w:t>Flags non-AD or reversible causes (e.g., NPH, CJD, autoimmune, metabolic) needing further work-up</w:t>
            </w:r>
          </w:p>
        </w:tc>
        <w:tc>
          <w:tcPr>
            <w:tcW w:type="dxa" w:w="1036"/>
            <w:vAlign w:val="top"/>
          </w:tcPr>
          <w:p>
            <w:pPr>
              <w:spacing w:after="40" w:before="0" w:line="259" w:lineRule="auto"/>
            </w:pPr>
            <w:r>
              <w:rPr>
                <w:rFonts w:ascii="Calibri" w:hAnsi="Calibri"/>
                <w:b w:val="0"/>
                <w:i w:val="0"/>
                <w:color w:val="212121"/>
                <w:sz w:val="16"/>
              </w:rPr>
              <w:t>Atypical or rapidly progressive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Rapidly progressive dementia warrants urgent specialist evaluation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Recent (episodic) memory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Forgetting recently learned information, appointments and conversations; the earliest and most prominent feature.</w:t>
            </w:r>
          </w:p>
        </w:tc>
      </w:tr>
      <w:tr>
        <w:trPr>
          <w:cantSplit/>
        </w:trPr>
        <w:tc>
          <w:tcPr>
            <w:tcW w:type="dxa" w:w="2304"/>
            <w:vAlign w:val="top"/>
          </w:tcPr>
          <w:p>
            <w:pPr>
              <w:spacing w:after="40" w:before="0" w:line="259" w:lineRule="auto"/>
            </w:pPr>
            <w:r>
              <w:rPr>
                <w:rFonts w:ascii="Calibri" w:hAnsi="Calibri"/>
                <w:b/>
                <w:i w:val="0"/>
                <w:color w:val="212121"/>
                <w:sz w:val="19"/>
              </w:rPr>
              <w:t>Repeating questions or statements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Asking the same thing repeatedly due to failure to retain new information.</w:t>
            </w:r>
          </w:p>
        </w:tc>
      </w:tr>
      <w:tr>
        <w:trPr>
          <w:cantSplit/>
        </w:trPr>
        <w:tc>
          <w:tcPr>
            <w:tcW w:type="dxa" w:w="2304"/>
            <w:vAlign w:val="top"/>
          </w:tcPr>
          <w:p>
            <w:pPr>
              <w:spacing w:after="40" w:before="0" w:line="259" w:lineRule="auto"/>
            </w:pPr>
            <w:r>
              <w:rPr>
                <w:rFonts w:ascii="Calibri" w:hAnsi="Calibri"/>
                <w:b/>
                <w:i w:val="0"/>
                <w:color w:val="212121"/>
                <w:sz w:val="19"/>
              </w:rPr>
              <w:t>Difficulty with familiar tasks &amp; planning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Trouble managing finances, medications, cooking or following steps — loss of instrumental activities.</w:t>
            </w:r>
          </w:p>
        </w:tc>
      </w:tr>
      <w:tr>
        <w:trPr>
          <w:cantSplit/>
        </w:trPr>
        <w:tc>
          <w:tcPr>
            <w:tcW w:type="dxa" w:w="2304"/>
            <w:vAlign w:val="top"/>
          </w:tcPr>
          <w:p>
            <w:pPr>
              <w:spacing w:after="40" w:before="0" w:line="259" w:lineRule="auto"/>
            </w:pPr>
            <w:r>
              <w:rPr>
                <w:rFonts w:ascii="Calibri" w:hAnsi="Calibri"/>
                <w:b/>
                <w:i w:val="0"/>
                <w:color w:val="212121"/>
                <w:sz w:val="19"/>
              </w:rPr>
              <w:t>Word-finding difficulty (anomia)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Pauses, circumlocution and trouble naming objects; language becomes vaguer over time.</w:t>
            </w:r>
          </w:p>
        </w:tc>
      </w:tr>
      <w:tr>
        <w:trPr>
          <w:cantSplit/>
        </w:trPr>
        <w:tc>
          <w:tcPr>
            <w:tcW w:type="dxa" w:w="2304"/>
            <w:vAlign w:val="top"/>
          </w:tcPr>
          <w:p>
            <w:pPr>
              <w:spacing w:after="40" w:before="0" w:line="259" w:lineRule="auto"/>
            </w:pPr>
            <w:r>
              <w:rPr>
                <w:rFonts w:ascii="Calibri" w:hAnsi="Calibri"/>
                <w:b/>
                <w:i w:val="0"/>
                <w:color w:val="212121"/>
                <w:sz w:val="19"/>
              </w:rPr>
              <w:t>Disorientation to time and place; getting lost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Losing track of dates, seasons, or becoming lost in familiar surroundings.</w:t>
            </w:r>
          </w:p>
        </w:tc>
      </w:tr>
      <w:tr>
        <w:trPr>
          <w:cantSplit/>
        </w:trPr>
        <w:tc>
          <w:tcPr>
            <w:tcW w:type="dxa" w:w="2304"/>
            <w:vAlign w:val="top"/>
          </w:tcPr>
          <w:p>
            <w:pPr>
              <w:spacing w:after="40" w:before="0" w:line="259" w:lineRule="auto"/>
            </w:pPr>
            <w:r>
              <w:rPr>
                <w:rFonts w:ascii="Calibri" w:hAnsi="Calibri"/>
                <w:b/>
                <w:i w:val="0"/>
                <w:color w:val="212121"/>
                <w:sz w:val="19"/>
              </w:rPr>
              <w:t>Impaired judgment and decision-making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Poor decisions with money, safety or self-care; vulnerability to fraud.</w:t>
            </w:r>
          </w:p>
        </w:tc>
      </w:tr>
      <w:tr>
        <w:trPr>
          <w:cantSplit/>
        </w:trPr>
        <w:tc>
          <w:tcPr>
            <w:tcW w:type="dxa" w:w="2304"/>
            <w:vAlign w:val="top"/>
          </w:tcPr>
          <w:p>
            <w:pPr>
              <w:spacing w:after="40" w:before="0" w:line="259" w:lineRule="auto"/>
            </w:pPr>
            <w:r>
              <w:rPr>
                <w:rFonts w:ascii="Calibri" w:hAnsi="Calibri"/>
                <w:b/>
                <w:i w:val="0"/>
                <w:color w:val="212121"/>
                <w:sz w:val="19"/>
              </w:rPr>
              <w:t>Misplacing items / putting things in odd places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Losing objects and being unable to retrace steps, sometimes accusing others of theft.</w:t>
            </w:r>
          </w:p>
        </w:tc>
      </w:tr>
      <w:tr>
        <w:trPr>
          <w:cantSplit/>
        </w:trPr>
        <w:tc>
          <w:tcPr>
            <w:tcW w:type="dxa" w:w="2304"/>
            <w:vAlign w:val="top"/>
          </w:tcPr>
          <w:p>
            <w:pPr>
              <w:spacing w:after="40" w:before="0" w:line="259" w:lineRule="auto"/>
            </w:pPr>
            <w:r>
              <w:rPr>
                <w:rFonts w:ascii="Calibri" w:hAnsi="Calibri"/>
                <w:b/>
                <w:i w:val="0"/>
                <w:color w:val="212121"/>
                <w:sz w:val="19"/>
              </w:rPr>
              <w:t>Mood and personality change (apathy, depression, irritability)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initiative, low mood, anxiety or uncharacteristic irritability; apathy is very common.</w:t>
            </w:r>
          </w:p>
        </w:tc>
      </w:tr>
      <w:tr>
        <w:trPr>
          <w:cantSplit/>
        </w:trPr>
        <w:tc>
          <w:tcPr>
            <w:tcW w:type="dxa" w:w="2304"/>
            <w:vAlign w:val="top"/>
          </w:tcPr>
          <w:p>
            <w:pPr>
              <w:spacing w:after="40" w:before="0" w:line="259" w:lineRule="auto"/>
            </w:pPr>
            <w:r>
              <w:rPr>
                <w:rFonts w:ascii="Calibri" w:hAnsi="Calibri"/>
                <w:b/>
                <w:i w:val="0"/>
                <w:color w:val="212121"/>
                <w:sz w:val="19"/>
              </w:rPr>
              <w:t>Visuospatial difficulty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Trouble judging distance, reading, or recognising faces/objects; prominent in posterior cortical atrophy.</w:t>
            </w:r>
          </w:p>
        </w:tc>
      </w:tr>
      <w:tr>
        <w:trPr>
          <w:cantSplit/>
        </w:trPr>
        <w:tc>
          <w:tcPr>
            <w:tcW w:type="dxa" w:w="2304"/>
            <w:vAlign w:val="top"/>
          </w:tcPr>
          <w:p>
            <w:pPr>
              <w:spacing w:after="40" w:before="0" w:line="259" w:lineRule="auto"/>
            </w:pPr>
            <w:r>
              <w:rPr>
                <w:rFonts w:ascii="Calibri" w:hAnsi="Calibri"/>
                <w:b/>
                <w:i w:val="0"/>
                <w:color w:val="212121"/>
                <w:sz w:val="19"/>
              </w:rPr>
              <w:t>Social withdrawal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Pulling back from work, hobbies and social activities as tasks become effortful.</w:t>
            </w:r>
          </w:p>
        </w:tc>
      </w:tr>
      <w:tr>
        <w:trPr>
          <w:cantSplit/>
        </w:trPr>
        <w:tc>
          <w:tcPr>
            <w:tcW w:type="dxa" w:w="2304"/>
            <w:vAlign w:val="top"/>
          </w:tcPr>
          <w:p>
            <w:pPr>
              <w:spacing w:after="40" w:before="0" w:line="259" w:lineRule="auto"/>
            </w:pPr>
            <w:r>
              <w:rPr>
                <w:rFonts w:ascii="Calibri" w:hAnsi="Calibri"/>
                <w:b/>
                <w:i w:val="0"/>
                <w:color w:val="212121"/>
                <w:sz w:val="19"/>
              </w:rPr>
              <w:t>Agitation, aggression and wandering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Behavioural symptoms more typical of moderate disease; wandering carries safety risk.</w:t>
            </w:r>
          </w:p>
        </w:tc>
      </w:tr>
      <w:tr>
        <w:trPr>
          <w:cantSplit/>
        </w:trPr>
        <w:tc>
          <w:tcPr>
            <w:tcW w:type="dxa" w:w="2304"/>
            <w:vAlign w:val="top"/>
          </w:tcPr>
          <w:p>
            <w:pPr>
              <w:spacing w:after="40" w:before="0" w:line="259" w:lineRule="auto"/>
            </w:pPr>
            <w:r>
              <w:rPr>
                <w:rFonts w:ascii="Calibri" w:hAnsi="Calibri"/>
                <w:b/>
                <w:i w:val="0"/>
                <w:color w:val="212121"/>
                <w:sz w:val="19"/>
              </w:rPr>
              <w:t>Sleep disturbance and sundowning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Disrupted sleep–wake cycle with late-afternoon/evening confusion and restlessness.</w:t>
            </w:r>
          </w:p>
        </w:tc>
      </w:tr>
      <w:tr>
        <w:trPr>
          <w:cantSplit/>
        </w:trPr>
        <w:tc>
          <w:tcPr>
            <w:tcW w:type="dxa" w:w="2304"/>
            <w:vAlign w:val="top"/>
          </w:tcPr>
          <w:p>
            <w:pPr>
              <w:spacing w:after="40" w:before="0" w:line="259" w:lineRule="auto"/>
            </w:pPr>
            <w:r>
              <w:rPr>
                <w:rFonts w:ascii="Calibri" w:hAnsi="Calibri"/>
                <w:b/>
                <w:i w:val="0"/>
                <w:color w:val="212121"/>
                <w:sz w:val="19"/>
              </w:rPr>
              <w:t>Hallucinations and delusions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Usually later; prominent early visual hallucinations should raise suspicion of Lewy-body dementia.</w:t>
            </w:r>
          </w:p>
        </w:tc>
      </w:tr>
      <w:tr>
        <w:trPr>
          <w:cantSplit/>
        </w:trPr>
        <w:tc>
          <w:tcPr>
            <w:tcW w:type="dxa" w:w="2304"/>
            <w:vAlign w:val="top"/>
          </w:tcPr>
          <w:p>
            <w:pPr>
              <w:spacing w:after="40" w:before="0" w:line="259" w:lineRule="auto"/>
            </w:pPr>
            <w:r>
              <w:rPr>
                <w:rFonts w:ascii="Calibri" w:hAnsi="Calibri"/>
                <w:b/>
                <w:i w:val="0"/>
                <w:color w:val="212121"/>
                <w:sz w:val="19"/>
              </w:rPr>
              <w:t>Seizures and myoclonus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in advanced disease and in some early-onset/familial forms.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Impaired delayed recall on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Poor recall of 3–5 words after a delay; hallmark of the amnestic AD syndrome.</w:t>
            </w:r>
          </w:p>
        </w:tc>
      </w:tr>
      <w:tr>
        <w:trPr>
          <w:cantSplit/>
        </w:trPr>
        <w:tc>
          <w:tcPr>
            <w:tcW w:type="dxa" w:w="3456"/>
            <w:vAlign w:val="top"/>
          </w:tcPr>
          <w:p>
            <w:pPr>
              <w:spacing w:after="40" w:before="0" w:line="259" w:lineRule="auto"/>
            </w:pPr>
            <w:r>
              <w:rPr>
                <w:rFonts w:ascii="Calibri" w:hAnsi="Calibri"/>
                <w:b/>
                <w:i w:val="0"/>
                <w:color w:val="212121"/>
                <w:sz w:val="19"/>
              </w:rPr>
              <w:t>Low education-adjusted MMSE/MoCA score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global cognitive impairment that declines on serial testing.</w:t>
            </w:r>
          </w:p>
        </w:tc>
      </w:tr>
      <w:tr>
        <w:trPr>
          <w:cantSplit/>
        </w:trPr>
        <w:tc>
          <w:tcPr>
            <w:tcW w:type="dxa" w:w="3456"/>
            <w:vAlign w:val="top"/>
          </w:tcPr>
          <w:p>
            <w:pPr>
              <w:spacing w:after="40" w:before="0" w:line="259" w:lineRule="auto"/>
            </w:pPr>
            <w:r>
              <w:rPr>
                <w:rFonts w:ascii="Calibri" w:hAnsi="Calibri"/>
                <w:b/>
                <w:i w:val="0"/>
                <w:color w:val="212121"/>
                <w:sz w:val="19"/>
              </w:rPr>
              <w:t>Disorientation to time and place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Errors on date, day, season and location during examination.</w:t>
            </w:r>
          </w:p>
        </w:tc>
      </w:tr>
      <w:tr>
        <w:trPr>
          <w:cantSplit/>
        </w:trPr>
        <w:tc>
          <w:tcPr>
            <w:tcW w:type="dxa" w:w="3456"/>
            <w:vAlign w:val="top"/>
          </w:tcPr>
          <w:p>
            <w:pPr>
              <w:spacing w:after="40" w:before="0" w:line="259" w:lineRule="auto"/>
            </w:pPr>
            <w:r>
              <w:rPr>
                <w:rFonts w:ascii="Calibri" w:hAnsi="Calibri"/>
                <w:b/>
                <w:i w:val="0"/>
                <w:color w:val="212121"/>
                <w:sz w:val="19"/>
              </w:rPr>
              <w:t>Impaired clock-drawing / visuospatial construction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Disorganised clock and copying errors reflect executive and visuospatial dysfunction.</w:t>
            </w:r>
          </w:p>
        </w:tc>
      </w:tr>
      <w:tr>
        <w:trPr>
          <w:cantSplit/>
        </w:trPr>
        <w:tc>
          <w:tcPr>
            <w:tcW w:type="dxa" w:w="3456"/>
            <w:vAlign w:val="top"/>
          </w:tcPr>
          <w:p>
            <w:pPr>
              <w:spacing w:after="40" w:before="0" w:line="259" w:lineRule="auto"/>
            </w:pPr>
            <w:r>
              <w:rPr>
                <w:rFonts w:ascii="Calibri" w:hAnsi="Calibri"/>
                <w:b/>
                <w:i w:val="0"/>
                <w:color w:val="212121"/>
                <w:sz w:val="19"/>
              </w:rPr>
              <w:t>Anomia and reduced verbal fluency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Naming errors and fewer words generated on category/letter fluency tasks.</w:t>
            </w:r>
          </w:p>
        </w:tc>
      </w:tr>
      <w:tr>
        <w:trPr>
          <w:cantSplit/>
        </w:trPr>
        <w:tc>
          <w:tcPr>
            <w:tcW w:type="dxa" w:w="3456"/>
            <w:vAlign w:val="top"/>
          </w:tcPr>
          <w:p>
            <w:pPr>
              <w:spacing w:after="40" w:before="0" w:line="259" w:lineRule="auto"/>
            </w:pPr>
            <w:r>
              <w:rPr>
                <w:rFonts w:ascii="Calibri" w:hAnsi="Calibri"/>
                <w:b/>
                <w:i w:val="0"/>
                <w:color w:val="212121"/>
                <w:sz w:val="19"/>
              </w:rPr>
              <w:t>Non-focal early neurological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Preserved motor, sensory and gait function early on supports typical AD.</w:t>
            </w:r>
          </w:p>
        </w:tc>
      </w:tr>
      <w:tr>
        <w:trPr>
          <w:cantSplit/>
        </w:trPr>
        <w:tc>
          <w:tcPr>
            <w:tcW w:type="dxa" w:w="3456"/>
            <w:vAlign w:val="top"/>
          </w:tcPr>
          <w:p>
            <w:pPr>
              <w:spacing w:after="40" w:before="0" w:line="259" w:lineRule="auto"/>
            </w:pPr>
            <w:r>
              <w:rPr>
                <w:rFonts w:ascii="Calibri" w:hAnsi="Calibri"/>
                <w:b/>
                <w:i w:val="0"/>
                <w:color w:val="212121"/>
                <w:sz w:val="19"/>
              </w:rPr>
              <w:t>Apraxia (ideomotor / constructional)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Difficulty performing learned motor tasks or copying figures as disease advances.</w:t>
            </w:r>
          </w:p>
        </w:tc>
      </w:tr>
      <w:tr>
        <w:trPr>
          <w:cantSplit/>
        </w:trPr>
        <w:tc>
          <w:tcPr>
            <w:tcW w:type="dxa" w:w="3456"/>
            <w:vAlign w:val="top"/>
          </w:tcPr>
          <w:p>
            <w:pPr>
              <w:spacing w:after="40" w:before="0" w:line="259" w:lineRule="auto"/>
            </w:pPr>
            <w:r>
              <w:rPr>
                <w:rFonts w:ascii="Calibri" w:hAnsi="Calibri"/>
                <w:b/>
                <w:i w:val="0"/>
                <w:color w:val="212121"/>
                <w:sz w:val="19"/>
              </w:rPr>
              <w:t>Primitive (frontal release) reflexes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Grasp, snout, palmomental reflexes emerge in moderate–severe disease.</w:t>
            </w:r>
          </w:p>
        </w:tc>
      </w:tr>
      <w:tr>
        <w:trPr>
          <w:cantSplit/>
        </w:trPr>
        <w:tc>
          <w:tcPr>
            <w:tcW w:type="dxa" w:w="3456"/>
            <w:vAlign w:val="top"/>
          </w:tcPr>
          <w:p>
            <w:pPr>
              <w:spacing w:after="40" w:before="0" w:line="259" w:lineRule="auto"/>
            </w:pPr>
            <w:r>
              <w:rPr>
                <w:rFonts w:ascii="Calibri" w:hAnsi="Calibri"/>
                <w:b/>
                <w:i w:val="0"/>
                <w:color w:val="212121"/>
                <w:sz w:val="19"/>
              </w:rPr>
              <w:t>Gait disturbance, rigidity or parkinsonism (late)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Appears late in AD; early prominence suggests vascular or Lewy-body dementia.</w:t>
            </w:r>
          </w:p>
        </w:tc>
      </w:tr>
      <w:tr>
        <w:trPr>
          <w:cantSplit/>
        </w:trPr>
        <w:tc>
          <w:tcPr>
            <w:tcW w:type="dxa" w:w="3456"/>
            <w:vAlign w:val="top"/>
          </w:tcPr>
          <w:p>
            <w:pPr>
              <w:spacing w:after="40" w:before="0" w:line="259" w:lineRule="auto"/>
            </w:pPr>
            <w:r>
              <w:rPr>
                <w:rFonts w:ascii="Calibri" w:hAnsi="Calibri"/>
                <w:b/>
                <w:i w:val="0"/>
                <w:color w:val="212121"/>
                <w:sz w:val="19"/>
              </w:rPr>
              <w:t>Weight loss and self-neglect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Unintentional weight loss and declining hygiene/self-care with progression.</w:t>
            </w:r>
          </w:p>
        </w:tc>
      </w:tr>
      <w:tr>
        <w:trPr>
          <w:cantSplit/>
        </w:trPr>
        <w:tc>
          <w:tcPr>
            <w:tcW w:type="dxa" w:w="3456"/>
            <w:vAlign w:val="top"/>
          </w:tcPr>
          <w:p>
            <w:pPr>
              <w:spacing w:after="40" w:before="0" w:line="259" w:lineRule="auto"/>
            </w:pPr>
            <w:r>
              <w:rPr>
                <w:rFonts w:ascii="Calibri" w:hAnsi="Calibri"/>
                <w:b/>
                <w:i w:val="0"/>
                <w:color w:val="212121"/>
                <w:sz w:val="19"/>
              </w:rPr>
              <w:t>Urinary (then faecal) incontinence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feature of advanced disease; early incontinence with gait/cognitive change suggests NPH.</w:t>
            </w:r>
          </w:p>
        </w:tc>
      </w:tr>
      <w:tr>
        <w:trPr>
          <w:cantSplit/>
        </w:trPr>
        <w:tc>
          <w:tcPr>
            <w:tcW w:type="dxa" w:w="3456"/>
            <w:vAlign w:val="top"/>
          </w:tcPr>
          <w:p>
            <w:pPr>
              <w:spacing w:after="40" w:before="0" w:line="259" w:lineRule="auto"/>
            </w:pPr>
            <w:r>
              <w:rPr>
                <w:rFonts w:ascii="Calibri" w:hAnsi="Calibri"/>
                <w:b/>
                <w:i w:val="0"/>
                <w:color w:val="212121"/>
                <w:sz w:val="19"/>
              </w:rPr>
              <w:t>Myoclonus / seizure activity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Late sign; more frequent in early-onset and familial AD.</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irreversible decline in memory and other cognitive domains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independence in instrumental and then basic activities of daily living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Behavioural and psychological symptoms of dementia (agitation, psychosis, depression, apathy)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Wandering, getting lost and safety incidents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Delirium superimposed on dementia during acute illness</w:t>
            </w:r>
          </w:p>
        </w:tc>
        <w:tc>
          <w:tcPr>
            <w:tcW w:type="dxa" w:w="2980"/>
            <w:vAlign w:val="top"/>
          </w:tcPr>
          <w:p>
            <w:pPr>
              <w:spacing w:after="40" w:before="0" w:line="259" w:lineRule="auto"/>
            </w:pPr>
            <w:r>
              <w:rPr>
                <w:rFonts w:ascii="Calibri" w:hAnsi="Calibri"/>
                <w:b w:val="0"/>
                <w:i w:val="0"/>
                <w:color w:val="212121"/>
                <w:sz w:val="19"/>
              </w:rPr>
              <w:t>Direct neurodegenerative consequences of spreading amyloid/tau pathology and neuronal loss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 dehydration and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Dysphagia with aspiration and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fractures and immobility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infections (urinary, respiratory) and pressure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Urinary and faecal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 burnout, depression and financial strain</w:t>
            </w:r>
          </w:p>
        </w:tc>
        <w:tc>
          <w:tcPr>
            <w:tcW w:type="dxa" w:w="2980"/>
            <w:vAlign w:val="top"/>
          </w:tcPr>
          <w:p>
            <w:pPr>
              <w:spacing w:after="40" w:before="0" w:line="259" w:lineRule="auto"/>
            </w:pPr>
            <w:r>
              <w:rPr>
                <w:rFonts w:ascii="Calibri" w:hAnsi="Calibri"/>
                <w:b w:val="0"/>
                <w:i w:val="0"/>
                <w:color w:val="212121"/>
                <w:sz w:val="19"/>
              </w:rPr>
              <w:t>Arise from functional dependence, immobility, swallowing/continence problems and the demands of care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Total dependence and a bed-bound state in severe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pneumonia and sepsis — leading immediate causes of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frailty and premature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Institutionalisation and loss of autonomy/dignity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Profound, sustained reduction in quality of life for patient and family</w:t>
            </w:r>
          </w:p>
        </w:tc>
        <w:tc>
          <w:tcPr>
            <w:tcW w:type="dxa" w:w="2980"/>
            <w:vAlign w:val="top"/>
          </w:tcPr>
          <w:p>
            <w:pPr>
              <w:spacing w:after="40" w:before="0" w:line="259" w:lineRule="auto"/>
            </w:pPr>
            <w:r>
              <w:rPr>
                <w:rFonts w:ascii="Calibri" w:hAnsi="Calibri"/>
                <w:b w:val="0"/>
                <w:i w:val="0"/>
                <w:color w:val="212121"/>
                <w:sz w:val="19"/>
              </w:rPr>
              <w:t>Irreversible end-stage outcomes of longstanding, advanced Alzheimer's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Hypertension (midlife)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Damages cerebral vessels, causing white-matter disease and mixed dementia; a modifiable Lancet Commission factor.</w:t>
            </w:r>
          </w:p>
        </w:tc>
      </w:tr>
      <w:tr>
        <w:trPr>
          <w:cantSplit/>
        </w:trPr>
        <w:tc>
          <w:tcPr>
            <w:tcW w:type="dxa" w:w="2232"/>
            <w:vAlign w:val="top"/>
          </w:tcPr>
          <w:p>
            <w:pPr>
              <w:spacing w:after="40" w:before="0" w:line="259" w:lineRule="auto"/>
            </w:pPr>
            <w:r>
              <w:rPr>
                <w:rFonts w:ascii="Calibri" w:hAnsi="Calibri"/>
                <w:b/>
                <w:i w:val="0"/>
                <w:color w:val="212121"/>
                <w:sz w:val="19"/>
              </w:rPr>
              <w:t>Type 2 diabetes / insulin resistance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Increases dementia risk via small-vessel disease and impaired brain insulin signalling ('type 3 diabetes').</w:t>
            </w:r>
          </w:p>
        </w:tc>
      </w:tr>
      <w:tr>
        <w:trPr>
          <w:cantSplit/>
        </w:trPr>
        <w:tc>
          <w:tcPr>
            <w:tcW w:type="dxa" w:w="2232"/>
            <w:vAlign w:val="top"/>
          </w:tcPr>
          <w:p>
            <w:pPr>
              <w:spacing w:after="40" w:before="0" w:line="259" w:lineRule="auto"/>
            </w:pPr>
            <w:r>
              <w:rPr>
                <w:rFonts w:ascii="Calibri" w:hAnsi="Calibri"/>
                <w:b/>
                <w:i w:val="0"/>
                <w:color w:val="212121"/>
                <w:sz w:val="19"/>
              </w:rPr>
              <w:t>Hearing loss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Largest modifiable risk factor by population impact; untreated loss carries ~2–5× dementia risk.</w:t>
            </w:r>
          </w:p>
          <w:p>
            <w:pPr>
              <w:spacing w:after="40" w:before="0" w:line="259" w:lineRule="auto"/>
            </w:pPr>
            <w:r>
              <w:rPr>
                <w:rFonts w:ascii="Calibri" w:hAnsi="Calibri"/>
                <w:b/>
                <w:i w:val="0"/>
                <w:color w:val="212121"/>
                <w:sz w:val="19"/>
              </w:rPr>
              <w:t>~2× (mild) to 5× (severe) risk</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Bidirectional link; both a modifiable risk factor and a prodromal/comorbid feature of AD.</w:t>
            </w:r>
          </w:p>
          <w:p>
            <w:pPr>
              <w:spacing w:after="40" w:before="0" w:line="259" w:lineRule="auto"/>
            </w:pPr>
            <w:r>
              <w:rPr>
                <w:rFonts w:ascii="Calibri" w:hAnsi="Calibri"/>
                <w:b/>
                <w:i w:val="0"/>
                <w:color w:val="212121"/>
                <w:sz w:val="19"/>
              </w:rPr>
              <w:t>Relative risk ~2.25</w:t>
            </w:r>
          </w:p>
        </w:tc>
      </w:tr>
      <w:tr>
        <w:trPr>
          <w:cantSplit/>
        </w:trPr>
        <w:tc>
          <w:tcPr>
            <w:tcW w:type="dxa" w:w="2232"/>
            <w:vAlign w:val="top"/>
          </w:tcPr>
          <w:p>
            <w:pPr>
              <w:spacing w:after="40" w:before="0" w:line="259" w:lineRule="auto"/>
            </w:pPr>
            <w:r>
              <w:rPr>
                <w:rFonts w:ascii="Calibri" w:hAnsi="Calibri"/>
                <w:b/>
                <w:i w:val="0"/>
                <w:color w:val="212121"/>
                <w:sz w:val="19"/>
              </w:rPr>
              <w:t>Cerebrovascular disease (mixed dementia)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Vascular pathology very commonly co-exists with AD in the elderly, worsening cognition.</w:t>
            </w:r>
          </w:p>
        </w:tc>
      </w:tr>
      <w:tr>
        <w:trPr>
          <w:cantSplit/>
        </w:trPr>
        <w:tc>
          <w:tcPr>
            <w:tcW w:type="dxa" w:w="2232"/>
            <w:vAlign w:val="top"/>
          </w:tcPr>
          <w:p>
            <w:pPr>
              <w:spacing w:after="40" w:before="0" w:line="259" w:lineRule="auto"/>
            </w:pPr>
            <w:r>
              <w:rPr>
                <w:rFonts w:ascii="Calibri" w:hAnsi="Calibri"/>
                <w:b/>
                <w:i w:val="0"/>
                <w:color w:val="212121"/>
                <w:sz w:val="19"/>
              </w:rPr>
              <w:t>Dyslipidaemia (high midlife LDL)</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Newly recognised modifiable risk factor for dementia.</w:t>
            </w:r>
          </w:p>
          <w:p>
            <w:pPr>
              <w:spacing w:after="40" w:before="0" w:line="259" w:lineRule="auto"/>
            </w:pPr>
            <w:r>
              <w:rPr>
                <w:rFonts w:ascii="Calibri" w:hAnsi="Calibri"/>
                <w:b/>
                <w:i w:val="0"/>
                <w:color w:val="212121"/>
                <w:sz w:val="19"/>
              </w:rPr>
              <w:t>PAF ~7%</w:t>
            </w:r>
          </w:p>
        </w:tc>
      </w:tr>
      <w:tr>
        <w:trPr>
          <w:cantSplit/>
        </w:trPr>
        <w:tc>
          <w:tcPr>
            <w:tcW w:type="dxa" w:w="2232"/>
            <w:vAlign w:val="top"/>
          </w:tcPr>
          <w:p>
            <w:pPr>
              <w:spacing w:after="40" w:before="0" w:line="259" w:lineRule="auto"/>
            </w:pPr>
            <w:r>
              <w:rPr>
                <w:rFonts w:ascii="Calibri" w:hAnsi="Calibri"/>
                <w:b/>
                <w:i w:val="0"/>
                <w:color w:val="212121"/>
                <w:sz w:val="19"/>
              </w:rPr>
              <w:t>Obesity (midlife)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Drives diabetes and dyslipidaemia and independently raises dementia risk.</w:t>
            </w:r>
          </w:p>
        </w:tc>
      </w:tr>
      <w:tr>
        <w:trPr>
          <w:cantSplit/>
        </w:trPr>
        <w:tc>
          <w:tcPr>
            <w:tcW w:type="dxa" w:w="2232"/>
            <w:vAlign w:val="top"/>
          </w:tcPr>
          <w:p>
            <w:pPr>
              <w:spacing w:after="40" w:before="0" w:line="259" w:lineRule="auto"/>
            </w:pPr>
            <w:r>
              <w:rPr>
                <w:rFonts w:ascii="Calibri" w:hAnsi="Calibri"/>
                <w:b/>
                <w:i w:val="0"/>
                <w:color w:val="212121"/>
                <w:sz w:val="19"/>
              </w:rPr>
              <w:t>Obstructive sleep apnoea / sleep disorders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Impairs glymphatic amyloid clearance and is associated with greater amyloid burden and decline.</w:t>
            </w:r>
          </w:p>
        </w:tc>
      </w:tr>
      <w:tr>
        <w:trPr>
          <w:cantSplit/>
        </w:trPr>
        <w:tc>
          <w:tcPr>
            <w:tcW w:type="dxa" w:w="2232"/>
            <w:vAlign w:val="top"/>
          </w:tcPr>
          <w:p>
            <w:pPr>
              <w:spacing w:after="40" w:before="0" w:line="259" w:lineRule="auto"/>
            </w:pPr>
            <w:r>
              <w:rPr>
                <w:rFonts w:ascii="Calibri" w:hAnsi="Calibri"/>
                <w:b/>
                <w:i w:val="0"/>
                <w:color w:val="212121"/>
                <w:sz w:val="19"/>
              </w:rPr>
              <w:t>Vitamin B12 deficiency &amp; hypothyroidism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treatable contributors to cognitive impairment that must be excluded.</w:t>
            </w:r>
          </w:p>
        </w:tc>
      </w:tr>
      <w:tr>
        <w:trPr>
          <w:cantSplit/>
        </w:trPr>
        <w:tc>
          <w:tcPr>
            <w:tcW w:type="dxa" w:w="2232"/>
            <w:vAlign w:val="top"/>
          </w:tcPr>
          <w:p>
            <w:pPr>
              <w:spacing w:after="40" w:before="0" w:line="259" w:lineRule="auto"/>
            </w:pPr>
            <w:r>
              <w:rPr>
                <w:rFonts w:ascii="Calibri" w:hAnsi="Calibri"/>
                <w:b/>
                <w:i w:val="0"/>
                <w:color w:val="212121"/>
                <w:sz w:val="19"/>
              </w:rPr>
              <w:t>Delirium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Frequently superimposed on dementia during acute illness; accelerates long-term decline.</w:t>
            </w:r>
          </w:p>
        </w:tc>
      </w:tr>
      <w:tr>
        <w:trPr>
          <w:cantSplit/>
        </w:trPr>
        <w:tc>
          <w:tcPr>
            <w:tcW w:type="dxa" w:w="2232"/>
            <w:vAlign w:val="top"/>
          </w:tcPr>
          <w:p>
            <w:pPr>
              <w:spacing w:after="40" w:before="0" w:line="259" w:lineRule="auto"/>
            </w:pPr>
            <w:r>
              <w:rPr>
                <w:rFonts w:ascii="Calibri" w:hAnsi="Calibri"/>
                <w:b/>
                <w:i w:val="0"/>
                <w:color w:val="212121"/>
                <w:sz w:val="19"/>
              </w:rPr>
              <w:t>Vision loss (untreated)</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Late-life modifiable risk factor for dementia.</w:t>
            </w:r>
          </w:p>
          <w:p>
            <w:pPr>
              <w:spacing w:after="40" w:before="0" w:line="259" w:lineRule="auto"/>
            </w:pPr>
            <w:r>
              <w:rPr>
                <w:rFonts w:ascii="Calibri" w:hAnsi="Calibri"/>
                <w:b/>
                <w:i w:val="0"/>
                <w:color w:val="212121"/>
                <w:sz w:val="19"/>
              </w:rPr>
              <w:t>PAF ~2%</w:t>
            </w:r>
          </w:p>
        </w:tc>
      </w:tr>
      <w:tr>
        <w:trPr>
          <w:cantSplit/>
        </w:trPr>
        <w:tc>
          <w:tcPr>
            <w:tcW w:type="dxa" w:w="2232"/>
            <w:vAlign w:val="top"/>
          </w:tcPr>
          <w:p>
            <w:pPr>
              <w:spacing w:after="40" w:before="0" w:line="259" w:lineRule="auto"/>
            </w:pPr>
            <w:r>
              <w:rPr>
                <w:rFonts w:ascii="Calibri" w:hAnsi="Calibri"/>
                <w:b/>
                <w:i w:val="0"/>
                <w:color w:val="212121"/>
                <w:sz w:val="19"/>
              </w:rPr>
              <w:t>Parkinson's disease / Lewy-body pathology</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Overlapping neurodegeneration; may co-occur and complicate diagnosis and treatment.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substantial share of dementia risk (up to ~45%) is potentially preventable by acting on modifiable factors across life — education, hearing, blood pressure, smoking, obesity, depression, physical inactivity, diabetes, alcohol, head injury, air pollution, social isolation, cholesterol and 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progressive recent-memory loss, repeating questions, getting lost, difficulty managing money/medications, word-finding trouble and personality change — and seek timely assessment rather than dismissing them as normal ageing.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hearing and vision checked and corrected, and control blood pressure, blood sugar and cholesterol from midlife, as these are among the most impactful modifiable factors.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cognitively, socially and physically active throughout life to build 'cognitive reserve'; pursue learning, hobbies and community engagement.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head (helmets, fall prevention) and reduce exposure to air pollution and indoor biomass smoke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ahead after diagnosis — legal/financial arrangements, advance care wishes, safety at home, and caregiver support and respite.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Midlife adults with 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Low-education &amp; rural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minutes/week of moderate aerobic activity (brisk walking, cycling, swimming), which is associated with a 41–45% lower dementia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2–3 days/week and balance work to preserve muscle, function and reduce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with regular movement; even light activity helps.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Individualise intensity for older or frail adults and progress gradually and safely.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Midlife &amp; 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vascular risk factors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people already living with dementia, maintain a regular, supervised activity routine (walking, chair exercises, simple games) to support mood, sleep, mobility and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activity to reduce agitation and improve day–night rhythm as part of non-pharmacological 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safe environment and appropriate supervision to prevent falls and wandering.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mild–moderate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Care-home &amp; home-care settings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brain-protective Mediterranean/MIND-style pattern: plenty of leafy greens and vegetables, fruit/berries, whole grains (millets, brown rice), pulses, nuts, fish and olive/mustard oil.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saturated fat, deep-fried foods, refined carbohydrates, added sugar, salt and ultra-processed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(Asian-Indian BMI targets) and good glycaemic and lipid control through diet.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B12 (relevant for vegetarian Indian diets) and correct deficiencies.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Midlife &amp; 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at risk of B12 deficiency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7–8 hours of good-quality sleep per night to support glymphatic clearance of amyloid.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practise good sleep hygiene (limit late caffeine, screens and daytime naps).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especially with snoring, obesity or daytime sleepiness.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poor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snoring/OSA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sundowning and sleep disturbance in dementia with light exposure, daytime activity, consistent routines and a calm evening environment before considering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pain, full bladder, hunger and environmental triggers that disrupt night-time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dementia and disturbed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managing sundowning</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(cigarettes and bidis) and avoid second-hand smoke; risk of dementia falls after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pharmacotherapy/cessation services to quit and stay quit.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Tobacco/bidi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exposed to second-hand smoke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heavy/harmful drinking (&gt;21 units/week); keep any intake low (≤ 14 units/week) or abstain.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dependence, and ensure thiamine supplementation in heavy drinkers to prevent alcohol-related brain injury.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Heavy/harmful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alcohol dependence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modifiable risk factors and treatable comorbidities (distinguish depressive 'pseudodementia').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Combat social isolation and loneliness through family involvement, community and day-care programmes and meaningful engagement.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 stimulation and structured activities to support function and wellbeing.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behavioural and psychological symptoms with non-pharmacological strategies first; support and educate caregivers and provide respite to prevent burnout.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dementia and behavioural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caregivers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ic.nih.gov/News/GlobalHealthMatters/march-april-2023/Pages/new-estimate-dementia-prevalence-magnitude-india-challenge.aspx" TargetMode="External"/><Relationship Id="rId10" Type="http://schemas.openxmlformats.org/officeDocument/2006/relationships/hyperlink" Target="https://journals.plos.org/plosone/article?id=10.1371/journal.pone.0297220" TargetMode="External"/><Relationship Id="rId11" Type="http://schemas.openxmlformats.org/officeDocument/2006/relationships/hyperlink" Target="https://www.iipsindia.ac.in/sites/default/files/66_AlzheimerPrevalence_of_dementia_in_India.pdf" TargetMode="External"/><Relationship Id="rId12" Type="http://schemas.openxmlformats.org/officeDocument/2006/relationships/hyperlink" Target="https://www.bu.edu/sph/news/articles/2025/mid-and-late-life-physical-activity-may-reduce-dementia-risk-by-up-to-45/" TargetMode="External"/><Relationship Id="rId13" Type="http://schemas.openxmlformats.org/officeDocument/2006/relationships/hyperlink" Target="https://www.alzheimer-europe.org/news/2024-lancet-commission-underscores-potential-dementia-risk-reduction-identifying-14-modifiable?language_content_entity=en" TargetMode="External"/><Relationship Id="rId14" Type="http://schemas.openxmlformats.org/officeDocument/2006/relationships/hyperlink" Target="https://conexiant.com/neurology/articles/14-keys-to-unlocking-dementia-prevention/" TargetMode="External"/><Relationship Id="rId15" Type="http://schemas.openxmlformats.org/officeDocument/2006/relationships/hyperlink" Target="https://www.thelancet.com/journals/lanplh/article/PIIS2542-5196(25)00118-4/fulltext" TargetMode="External"/><Relationship Id="rId16" Type="http://schemas.openxmlformats.org/officeDocument/2006/relationships/hyperlink" Target="https://www.j-alz.com/editors-blog/posts/apoe4-genotype-and-risk-developing-alzheimer%E2%80%99s-disease" TargetMode="External"/><Relationship Id="rId17" Type="http://schemas.openxmlformats.org/officeDocument/2006/relationships/hyperlink" Target="https://pmc.ncbi.nlm.nih.gov/articles/PMC6802692/" TargetMode="External"/><Relationship Id="rId18" Type="http://schemas.openxmlformats.org/officeDocument/2006/relationships/hyperlink" Target="https://www.achievestudy.org/fast-facts-hearing-loss-dementia" TargetMode="External"/><Relationship Id="rId19" Type="http://schemas.openxmlformats.org/officeDocument/2006/relationships/hyperlink" Target="https://www.alzheimers.org.uk/about-dementia/managing-the-risk-of-dementia/reduce-your-risk-of-dementia/diabetes" TargetMode="External"/><Relationship Id="rId20" Type="http://schemas.openxmlformats.org/officeDocument/2006/relationships/hyperlink" Target="https://www.eurekalert.org/news-releases/10529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