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Dementia — Vascular</w:t>
      </w:r>
    </w:p>
    <w:p>
      <w:pPr>
        <w:spacing w:before="0" w:after="160"/>
      </w:pPr>
      <w:r>
        <w:rPr>
          <w:rFonts w:ascii="Calibri" w:hAnsi="Calibri"/>
          <w:b/>
          <w:i w:val="0"/>
          <w:color w:val="212121"/>
          <w:sz w:val="22"/>
        </w:rPr>
        <w:t xml:space="preserve">AKA </w:t>
      </w:r>
      <w:r>
        <w:rPr>
          <w:rFonts w:ascii="Calibri" w:hAnsi="Calibri"/>
          <w:b w:val="0"/>
          <w:i w:val="0"/>
          <w:color w:val="212121"/>
          <w:sz w:val="22"/>
        </w:rPr>
        <w:t>i.e., Vascular dementia (VaD), Vascular cognitive impairment (VCI, major type), Vascular neurocognitive disorder, Multi-infarct dementia, Post-stroke dementia, Arteriosclerotic (small-vessel) dementia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Vascular dementia is a chronic, usually progressive decline in cognition caused by reduced or interrupted blood supply to the brain from cerebrovascular disease — large or small ischaemic strokes, lacunar infarcts, chronic small-vessel (white-matter) disease or haemorrhage. It is the second most common cause of dementia after Alzheimer's disease and very frequently coexists with Alzheimer pathology as “mixed dementia.” Unlike Alzheimer's, deficits typically begin with slowed thinking, poor attention and executive (planning/judgement) dysfunction rather than memory loss, and the course is often stepwise, worsening in jumps that follow successive vascular events.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 estimated 8.8 million Indians aged 60 and above live with dementia (about 7.4%), with prevalence higher in rural areas and among women; vascular dementia is the second most common subtype after Alzheimer's disease, and pure-vascular plus mixed vascular–Alzheimer pathology together account for a large share of cases. India's exceptional vascular-risk burden — roughly two-thirds of older adults are hypertensive, over 77 million adults have diabetes, and stroke deaths rose from 4.5% to 7.4% of all deaths between 1990 and 2019 — makes the vascular contribution to dementia proportionally large and, importantly, largely preventable.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Vascular dementia is a clinical–radiological diagnosis. It requires objective cognitive decline plus imaging or clinical evidence of cerebrovascular disease judged sufficient to explain that decline, applying DSM-5 (major vascular neurocognitive disorder), NINDS-AIREN and VASCOG frameworks and supported by the Hachinski Ischemic Score: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Significant decline from a previous level in ≥ 1 cognitive domain — characteristically processing speed, complex attention and frontal/executive function — severe enough to compromise independence in daily activities, confirmed by history and objective bedside or formal neuropsychological testing (MoCA, MMSE/HMSE).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and/or neuroimaging (CT or MRI) evidence of cerebrovascular disease sufficient to account for the deficits: one or more large-vessel territorial infarcts, a strategically placed single infarct, multiple lacunes in deep grey matter/white matter, or extensive white-matter hyperintensities (leukoaraiosis) and microbleeds.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plausible link between the vascular disease and cognition — either onset of dementia within about three months of a recognised stroke, OR an abrupt/stepwise/fluctuating course with early executive dysfunction and gait disturbance when small-vessel disease dominates.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Hachinski Ischemic Score favouring a vascular cause: abrupt onset, stepwise deterioration, fluctuating course, history of stroke, focal neurological symptoms and signs, and emotional incontinence each add points; higher totals point to vascular rather than degenerative dementia.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delirium and of other reversible or systemic causes of cognitive impairment (hypothyroidism, vitamin B12 deficiency, depression, medication effects), and the deficits are not better explained by another neurodegenerative disorder in isolation.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Vascular dementia is not a single disease but a family of cerebrovascular cognitive disorders, classified by the site, size and mechanism of vascular injury:</w:t>
      </w:r>
    </w:p>
    <w:p>
      <w:pPr>
        <w:spacing w:before="0" w:after="80"/>
      </w:pPr>
      <w:r>
        <w:rPr>
          <w:rFonts w:ascii="Calibri" w:hAnsi="Calibri"/>
          <w:b w:val="0"/>
          <w:i w:val="0"/>
          <w:color w:val="212121"/>
          <w:sz w:val="21"/>
        </w:rPr>
        <w:t>(1) Multi-infarct (cortical) dementia — accumulation of multiple small-to-medium cortical and subcortical infarcts from large-artery atherosclerosis or cardioembolism, producing the classical stepwise decline with focal deficits.</w:t>
      </w:r>
    </w:p>
    <w:p>
      <w:pPr>
        <w:spacing w:before="0" w:after="80"/>
      </w:pPr>
      <w:r>
        <w:rPr>
          <w:rFonts w:ascii="Calibri" w:hAnsi="Calibri"/>
          <w:b w:val="0"/>
          <w:i w:val="0"/>
          <w:color w:val="212121"/>
          <w:sz w:val="21"/>
        </w:rPr>
        <w:t>(2) Subcortical / small-vessel vascular dementia — the most common form in practice; chronic hypertensive/diabetic damage to small penetrating arteries causes lacunes and diffuse white-matter ischaemia (including Binswanger disease), giving insidious slowing, executive and attention loss, gait disturbance, urinary urgency and mood change.</w:t>
      </w:r>
    </w:p>
    <w:p>
      <w:pPr>
        <w:spacing w:before="0" w:after="80"/>
      </w:pPr>
      <w:r>
        <w:rPr>
          <w:rFonts w:ascii="Calibri" w:hAnsi="Calibri"/>
          <w:b w:val="0"/>
          <w:i w:val="0"/>
          <w:color w:val="212121"/>
          <w:sz w:val="21"/>
        </w:rPr>
        <w:t>(3) Strategic single-infarct dementia — a single infarct in a critical location (thalamus, angular gyrus, caudate, genu of internal capsule, medial temporal/hippocampus) produces cognitive impairment out of proportion to lesion size.</w:t>
      </w:r>
    </w:p>
    <w:p>
      <w:pPr>
        <w:spacing w:before="0" w:after="80"/>
      </w:pPr>
      <w:r>
        <w:rPr>
          <w:rFonts w:ascii="Calibri" w:hAnsi="Calibri"/>
          <w:b w:val="0"/>
          <w:i w:val="0"/>
          <w:color w:val="212121"/>
          <w:sz w:val="21"/>
        </w:rPr>
        <w:t>(4) Post-stroke and hypoperfusion dementia — cognitive decline that emerges after a symptomatic stroke or after global cerebral hypoperfusion (e.g., cardiac arrest, severe hypotension, watershed infarction).</w:t>
      </w:r>
    </w:p>
    <w:p>
      <w:pPr>
        <w:spacing w:before="0" w:after="80"/>
      </w:pPr>
      <w:r>
        <w:rPr>
          <w:rFonts w:ascii="Calibri" w:hAnsi="Calibri"/>
          <w:b w:val="0"/>
          <w:i w:val="0"/>
          <w:color w:val="212121"/>
          <w:sz w:val="21"/>
        </w:rPr>
        <w:t>(5) Haemorrhagic and hereditary forms — dementia due to intracerebral haemorrhage, cerebral amyloid angiopathy, and monogenic small-vessel diseases such as CADASIL (NOTCH3 mutation).</w:t>
      </w:r>
    </w:p>
    <w:p>
      <w:pPr>
        <w:spacing w:before="0" w:after="80"/>
      </w:pPr>
      <w:r>
        <w:rPr>
          <w:rFonts w:ascii="Calibri" w:hAnsi="Calibri"/>
          <w:b w:val="0"/>
          <w:i w:val="0"/>
          <w:color w:val="212121"/>
          <w:sz w:val="21"/>
        </w:rPr>
        <w:t>(6) Mixed dementia — coexisting cerebrovascular and Alzheimer (or other neurodegenerative) pathology, which is very common in older people and often produces greater impairment than either pathology alone.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Cerebrovascular disease: Ischaemic stroke, lacunar infarcts, chronic small-vessel white-matter disease and intracerebral haemorrhage directly destroy or disconnect brain tissue — the final common pathway of all vascular dementia.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Hypertension: The single most important modifiable cause; sustained high pressure stiffens and damages small penetrating arteries, driving lacunes, white-matter ischaemia and haemorrhage. Around two-thirds of older Indians are hypertensive.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Diabetes mellitus: Accelerates atherosclerosis and microvascular injury, promotes lacunar strokes and doubles dementia risk; India carries one of the world's largest diabetes burdens.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Atherosclerosis and cardioembolism: Carotid/large-artery disease, atrial fibrillation and ischaemic heart disease generate territorial and embolic infarcts and silent brain injury.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Smoking and dyslipidaemia: Tobacco (including bidi and smokeless forms) and high LDL cholesterol cause endothelial dysfunction and atherogenesis, raising stroke and small-vessel disease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Hereditary and other vascular disorders: CADASIL (NOTCH3), cerebral amyloid angiopathy and vasculitides cause early or familial vascular cognitive impairment.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Age-related arterial stiffening with mixed neurodegeneration: Advancing age combines vascular and Alzheimer pathology, lowering the threshold for clinical dementia.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(midlife, 45–64 years)</w:t>
            </w:r>
          </w:p>
        </w:tc>
        <w:tc>
          <w:tcPr>
            <w:tcW w:type="dxa" w:w="4276"/>
            <w:vAlign w:val="top"/>
          </w:tcPr>
          <w:p>
            <w:pPr>
              <w:spacing w:after="60" w:line="259" w:lineRule="auto"/>
            </w:pPr>
            <w:r>
              <w:rPr>
                <w:rFonts w:ascii="Calibri" w:hAnsi="Calibri"/>
                <w:b w:val="0"/>
                <w:i w:val="0"/>
                <w:color w:val="212121"/>
                <w:sz w:val="19"/>
              </w:rPr>
              <w:t>Midlife is when the vascular risk factors that later cause vascular dementia take hold — hypertension, diabetes, dyslipidaemia, smoking and central obesity. Damage to small cerebral vessels accumulates silently for years before cognition declines.</w:t>
            </w:r>
          </w:p>
          <w:p>
            <w:pPr>
              <w:spacing w:after="40" w:before="60" w:line="259" w:lineRule="auto"/>
            </w:pPr>
            <w:r>
              <w:rPr>
                <w:rFonts w:ascii="Calibri" w:hAnsi="Calibri"/>
                <w:b w:val="0"/>
                <w:i w:val="0"/>
                <w:color w:val="212121"/>
                <w:sz w:val="19"/>
              </w:rPr>
              <w:t>The 2024 Lancet Commission estimates up to 45% of dementia is potentially preventable by modifying 14 risk factors, most of which (hypertension, diabetes, smoking, obesity, physical inactivity, high LDL) are midlife vascular factors.</w:t>
            </w:r>
          </w:p>
          <w:p>
            <w:pPr>
              <w:spacing w:after="40" w:line="252" w:lineRule="auto"/>
            </w:pPr>
            <w:hyperlink r:id="rId9">
              <w:r>
                <w:rPr>
                  <w:rFonts w:ascii="Calibri" w:hAnsi="Calibri" w:cs="Calibri"/>
                  <w:sz w:val="18"/>
                  <w:color w:val="1155CC"/>
                  <w:u w:val="single"/>
                </w:rPr>
                <w:t xml:space="preserve">alzheimer-europe.org — 2024 Lancet Commission (45% preventable)</w:t>
              </w:r>
            </w:hyperlink>
          </w:p>
          <w:p>
            <w:pPr>
              <w:spacing w:before="60" w:after="40"/>
            </w:pPr>
            <w:r>
              <w:rPr>
                <w:rFonts w:ascii="Calibri" w:hAnsi="Calibri"/>
                <w:b w:val="0"/>
                <w:i w:val="0"/>
                <w:color w:val="5A5A5A"/>
                <w:sz w:val="18"/>
              </w:rPr>
              <w:t>#midlife  #hypertension  #modifiable  #smallvesseldisease  #prevention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(65+ years)</w:t>
            </w:r>
          </w:p>
        </w:tc>
        <w:tc>
          <w:tcPr>
            <w:tcW w:type="dxa" w:w="4276"/>
            <w:vAlign w:val="top"/>
          </w:tcPr>
          <w:p>
            <w:pPr>
              <w:spacing w:after="60" w:line="259" w:lineRule="auto"/>
            </w:pPr>
            <w:r>
              <w:rPr>
                <w:rFonts w:ascii="Calibri" w:hAnsi="Calibri"/>
                <w:b w:val="0"/>
                <w:i w:val="0"/>
                <w:color w:val="212121"/>
                <w:sz w:val="19"/>
              </w:rPr>
              <w:t>Risk rises steeply with age as cumulative vascular injury, arterial stiffening and coexisting Alzheimer pathology combine. The elderly also have the highest stroke incidence, the trigger for post-stroke vascular dementia.</w:t>
            </w:r>
          </w:p>
          <w:p>
            <w:pPr>
              <w:spacing w:after="40" w:before="60" w:line="259" w:lineRule="auto"/>
            </w:pPr>
            <w:r>
              <w:rPr>
                <w:rFonts w:ascii="Calibri" w:hAnsi="Calibri"/>
                <w:b w:val="0"/>
                <w:i w:val="0"/>
                <w:color w:val="212121"/>
                <w:sz w:val="19"/>
              </w:rPr>
              <w:t>About 8.8 million Indians aged 60+ (≈7.4%) live with dementia, with higher prevalence in rural areas and among women; vascular dementia is the second most common subtype.</w:t>
            </w:r>
          </w:p>
          <w:p>
            <w:pPr>
              <w:spacing w:after="40" w:line="252" w:lineRule="auto"/>
            </w:pPr>
            <w:hyperlink r:id="rId10">
              <w:r>
                <w:rPr>
                  <w:rFonts w:ascii="Calibri" w:hAnsi="Calibri" w:cs="Calibri"/>
                  <w:sz w:val="18"/>
                  <w:color w:val="1155CC"/>
                  <w:u w:val="single"/>
                </w:rPr>
                <w:t xml:space="preserve">fic.nih.gov — India dementia prevalence (8.8 million, 7.4%)</w:t>
              </w:r>
            </w:hyperlink>
          </w:p>
          <w:p>
            <w:pPr>
              <w:spacing w:before="60" w:after="40"/>
            </w:pPr>
            <w:r>
              <w:rPr>
                <w:rFonts w:ascii="Calibri" w:hAnsi="Calibri"/>
                <w:b w:val="0"/>
                <w:i w:val="0"/>
                <w:color w:val="5A5A5A"/>
                <w:sz w:val="18"/>
              </w:rPr>
              <w:t>#elderly  #ageing  #8point8million  #ruralindia  #mixeddementia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higher rates of midlife stroke, large-vessel atherosclerosis, smoking and alcohol use, which raises their share of pure vascular and multi-infarct dementia, even though overall dementia is commoner in women because they live longer.</w:t>
            </w:r>
          </w:p>
          <w:p>
            <w:pPr>
              <w:spacing w:after="40" w:before="60" w:line="259" w:lineRule="auto"/>
            </w:pPr>
            <w:r>
              <w:rPr>
                <w:rFonts w:ascii="Calibri" w:hAnsi="Calibri"/>
                <w:b w:val="0"/>
                <w:i w:val="0"/>
                <w:color w:val="212121"/>
                <w:sz w:val="19"/>
              </w:rPr>
              <w:t>Vascular dementia carries high mortality — 5-year survival is about 39% versus roughly 75% in age-matched controls, largely from co-existing atherosclerotic and cardiac disease.</w:t>
            </w:r>
          </w:p>
          <w:p>
            <w:pPr>
              <w:spacing w:after="40" w:line="252" w:lineRule="auto"/>
            </w:pPr>
            <w:hyperlink r:id="rId11">
              <w:r>
                <w:rPr>
                  <w:rFonts w:ascii="Calibri" w:hAnsi="Calibri" w:cs="Calibri"/>
                  <w:sz w:val="18"/>
                  <w:color w:val="1155CC"/>
                  <w:u w:val="single"/>
                </w:rPr>
                <w:t xml:space="preserve">emedicine.medscape.com — vascular dementia (survival, epidemiology)</w:t>
              </w:r>
            </w:hyperlink>
          </w:p>
          <w:p>
            <w:pPr>
              <w:spacing w:before="60" w:after="40"/>
            </w:pPr>
            <w:r>
              <w:rPr>
                <w:rFonts w:ascii="Calibri" w:hAnsi="Calibri"/>
                <w:b w:val="0"/>
                <w:i w:val="0"/>
                <w:color w:val="5A5A5A"/>
                <w:sz w:val="18"/>
              </w:rPr>
              <w:t>#male  #stroke  #atherosclerosis  #mortality  #cardiacrisk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low literacy</w:t>
            </w:r>
          </w:p>
        </w:tc>
        <w:tc>
          <w:tcPr>
            <w:tcW w:type="dxa" w:w="4276"/>
            <w:vAlign w:val="top"/>
          </w:tcPr>
          <w:p>
            <w:pPr>
              <w:spacing w:after="60" w:line="259" w:lineRule="auto"/>
            </w:pPr>
            <w:r>
              <w:rPr>
                <w:rFonts w:ascii="Calibri" w:hAnsi="Calibri"/>
                <w:b w:val="0"/>
                <w:i w:val="0"/>
                <w:color w:val="212121"/>
                <w:sz w:val="19"/>
              </w:rPr>
              <w:t>Low education reduces cognitive reserve, and poverty limits detection and control of hypertension and diabetes, so vascular injury goes unchecked. In India these gaps are wide, especially for women and rural populations.</w:t>
            </w:r>
          </w:p>
          <w:p>
            <w:pPr>
              <w:spacing w:after="40" w:before="60" w:line="259" w:lineRule="auto"/>
            </w:pPr>
            <w:r>
              <w:rPr>
                <w:rFonts w:ascii="Calibri" w:hAnsi="Calibri"/>
                <w:b w:val="0"/>
                <w:i w:val="0"/>
                <w:color w:val="212121"/>
                <w:sz w:val="19"/>
              </w:rPr>
              <w:t>In India, only 40.3% of women over 25 completed primary school versus 62.2% of men; lower education is a recognised, modifiable dementia risk factor.</w:t>
            </w:r>
          </w:p>
          <w:p>
            <w:pPr>
              <w:spacing w:after="40" w:line="252" w:lineRule="auto"/>
            </w:pPr>
            <w:hyperlink r:id="rId12">
              <w:r>
                <w:rPr>
                  <w:rFonts w:ascii="Calibri" w:hAnsi="Calibri" w:cs="Calibri"/>
                  <w:sz w:val="18"/>
                  <w:color w:val="1155CC"/>
                  <w:u w:val="single"/>
                </w:rPr>
                <w:t xml:space="preserve">pmc.ncbi.nlm.nih.gov — changing demography of dementia in India</w:t>
              </w:r>
            </w:hyperlink>
          </w:p>
          <w:p>
            <w:pPr>
              <w:spacing w:before="60" w:after="40"/>
            </w:pPr>
            <w:r>
              <w:rPr>
                <w:rFonts w:ascii="Calibri" w:hAnsi="Calibri"/>
                <w:b w:val="0"/>
                <w:i w:val="0"/>
                <w:color w:val="5A5A5A"/>
                <w:sz w:val="18"/>
              </w:rPr>
              <w:t>#loweducation  #cognitivereserve  #healthaccess  #riskfactorcontrol</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(Indian) populations</w:t>
            </w:r>
          </w:p>
        </w:tc>
        <w:tc>
          <w:tcPr>
            <w:tcW w:type="dxa" w:w="4276"/>
            <w:vAlign w:val="top"/>
          </w:tcPr>
          <w:p>
            <w:pPr>
              <w:spacing w:after="60" w:line="259" w:lineRule="auto"/>
            </w:pPr>
            <w:r>
              <w:rPr>
                <w:rFonts w:ascii="Calibri" w:hAnsi="Calibri"/>
                <w:b w:val="0"/>
                <w:i w:val="0"/>
                <w:color w:val="212121"/>
                <w:sz w:val="19"/>
              </w:rPr>
              <w:t>South Asians develop hypertension, diabetes, central obesity and stroke earlier and at lower BMI than Western populations, giving a high and premature burden of the cerebrovascular disease that underlies vascular dementia.</w:t>
            </w:r>
          </w:p>
          <w:p>
            <w:pPr>
              <w:spacing w:after="40" w:before="60" w:line="259" w:lineRule="auto"/>
            </w:pPr>
            <w:r>
              <w:rPr>
                <w:rFonts w:ascii="Calibri" w:hAnsi="Calibri"/>
                <w:b w:val="0"/>
                <w:i w:val="0"/>
                <w:color w:val="212121"/>
                <w:sz w:val="19"/>
              </w:rPr>
              <w:t>Roughly two-thirds of older Indians are hypertensive and over 77 million adults have diabetes — the dominant modifiable drivers of vascular brain injury.</w:t>
            </w:r>
          </w:p>
          <w:p>
            <w:pPr>
              <w:spacing w:after="40" w:line="252" w:lineRule="auto"/>
            </w:pPr>
            <w:hyperlink r:id="rId12">
              <w:r>
                <w:rPr>
                  <w:rFonts w:ascii="Calibri" w:hAnsi="Calibri" w:cs="Calibri"/>
                  <w:sz w:val="18"/>
                  <w:color w:val="1155CC"/>
                  <w:u w:val="single"/>
                </w:rPr>
                <w:t xml:space="preserve">pmc.ncbi.nlm.nih.gov — hypertension &amp; diabetes burden in India</w:t>
              </w:r>
            </w:hyperlink>
          </w:p>
          <w:p>
            <w:pPr>
              <w:spacing w:before="60" w:after="40"/>
            </w:pPr>
            <w:r>
              <w:rPr>
                <w:rFonts w:ascii="Calibri" w:hAnsi="Calibri"/>
                <w:b w:val="0"/>
                <w:i w:val="0"/>
                <w:color w:val="5A5A5A"/>
                <w:sz w:val="18"/>
              </w:rPr>
              <w:t>#southasian  #prematureCVD  #hypertension  #diabetes  #thinfatindian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India</w:t>
            </w:r>
          </w:p>
        </w:tc>
        <w:tc>
          <w:tcPr>
            <w:tcW w:type="dxa" w:w="4276"/>
            <w:vAlign w:val="top"/>
          </w:tcPr>
          <w:p>
            <w:pPr>
              <w:spacing w:after="60" w:line="259" w:lineRule="auto"/>
            </w:pPr>
            <w:r>
              <w:rPr>
                <w:rFonts w:ascii="Calibri" w:hAnsi="Calibri"/>
                <w:b w:val="0"/>
                <w:i w:val="0"/>
                <w:color w:val="212121"/>
                <w:sz w:val="19"/>
              </w:rPr>
              <w:t>Rural elders show higher dementia prevalence and more white-matter disease on imaging, reflecting untreated hypertension, lower literacy, nutritional deficiency and poor access to stroke care.</w:t>
            </w:r>
          </w:p>
          <w:p>
            <w:pPr>
              <w:spacing w:after="40" w:before="60" w:line="259" w:lineRule="auto"/>
            </w:pPr>
            <w:r>
              <w:rPr>
                <w:rFonts w:ascii="Calibri" w:hAnsi="Calibri"/>
                <w:b w:val="0"/>
                <w:i w:val="0"/>
                <w:color w:val="212121"/>
                <w:sz w:val="19"/>
              </w:rPr>
              <w:t>India's nationwide study found dementia prevalence higher in rural than urban areas among adults 60 and older.</w:t>
            </w:r>
          </w:p>
          <w:p>
            <w:pPr>
              <w:spacing w:after="40" w:line="252" w:lineRule="auto"/>
            </w:pPr>
            <w:hyperlink r:id="rId10">
              <w:r>
                <w:rPr>
                  <w:rFonts w:ascii="Calibri" w:hAnsi="Calibri" w:cs="Calibri"/>
                  <w:sz w:val="18"/>
                  <w:color w:val="1155CC"/>
                  <w:u w:val="single"/>
                </w:rPr>
                <w:t xml:space="preserve">fic.nih.gov — rural &gt; urban dementia prevalence (India)</w:t>
              </w:r>
            </w:hyperlink>
          </w:p>
          <w:p>
            <w:pPr>
              <w:spacing w:before="60" w:after="40"/>
            </w:pPr>
            <w:r>
              <w:rPr>
                <w:rFonts w:ascii="Calibri" w:hAnsi="Calibri"/>
                <w:b w:val="0"/>
                <w:i w:val="0"/>
                <w:color w:val="5A5A5A"/>
                <w:sz w:val="18"/>
              </w:rPr>
              <w:t>#ruralindia  #whitematter  #untreatedHTN  #accessgap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 desk-bound adults</w:t>
            </w:r>
          </w:p>
        </w:tc>
        <w:tc>
          <w:tcPr>
            <w:tcW w:type="dxa" w:w="4276"/>
            <w:vAlign w:val="top"/>
          </w:tcPr>
          <w:p>
            <w:pPr>
              <w:spacing w:after="60" w:line="259" w:lineRule="auto"/>
            </w:pPr>
            <w:r>
              <w:rPr>
                <w:rFonts w:ascii="Calibri" w:hAnsi="Calibri"/>
                <w:b w:val="0"/>
                <w:i w:val="0"/>
                <w:color w:val="212121"/>
                <w:sz w:val="19"/>
              </w:rPr>
              <w:t>Physical inactivity worsens hypertension, diabetes, obesity and endothelial function, accelerating small-vessel disease. Exercise improves cerebral perfusion and vascular health and slows cognitive decline.</w:t>
            </w:r>
          </w:p>
          <w:p>
            <w:pPr>
              <w:spacing w:after="40" w:before="60" w:line="259" w:lineRule="auto"/>
            </w:pPr>
            <w:r>
              <w:rPr>
                <w:rFonts w:ascii="Calibri" w:hAnsi="Calibri"/>
                <w:b w:val="0"/>
                <w:i w:val="0"/>
                <w:color w:val="212121"/>
                <w:sz w:val="19"/>
              </w:rPr>
              <w:t>The 2024 Lancet Commission lists physical inactivity among the 14 modifiable factors that together account for up to 45% of dementia risk.</w:t>
            </w:r>
          </w:p>
          <w:p>
            <w:pPr>
              <w:spacing w:after="40" w:line="252" w:lineRule="auto"/>
            </w:pPr>
            <w:hyperlink r:id="rId9">
              <w:r>
                <w:rPr>
                  <w:rFonts w:ascii="Calibri" w:hAnsi="Calibri" w:cs="Calibri"/>
                  <w:sz w:val="18"/>
                  <w:color w:val="1155CC"/>
                  <w:u w:val="single"/>
                </w:rPr>
                <w:t xml:space="preserve">alzheimer-europe.org — physical inactivity as modifiable factor</w:t>
              </w:r>
            </w:hyperlink>
          </w:p>
          <w:p>
            <w:pPr>
              <w:spacing w:before="60" w:after="40"/>
            </w:pPr>
            <w:r>
              <w:rPr>
                <w:rFonts w:ascii="Calibri" w:hAnsi="Calibri"/>
                <w:b w:val="0"/>
                <w:i w:val="0"/>
                <w:color w:val="5A5A5A"/>
                <w:sz w:val="18"/>
              </w:rPr>
              <w:t>#sedentary  #inactivity  #cerebralperfusion  #deskbound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users (cigarette, bidi, smokeless)</w:t>
            </w:r>
          </w:p>
        </w:tc>
        <w:tc>
          <w:tcPr>
            <w:tcW w:type="dxa" w:w="4276"/>
            <w:vAlign w:val="top"/>
          </w:tcPr>
          <w:p>
            <w:pPr>
              <w:spacing w:after="60" w:line="259" w:lineRule="auto"/>
            </w:pPr>
            <w:r>
              <w:rPr>
                <w:rFonts w:ascii="Calibri" w:hAnsi="Calibri"/>
                <w:b w:val="0"/>
                <w:i w:val="0"/>
                <w:color w:val="212121"/>
                <w:sz w:val="19"/>
              </w:rPr>
              <w:t>Smoking causes endothelial injury, accelerates atherosclerosis and roughly doubles stroke risk, directly promoting the infarcts and small-vessel disease that cause vascular dementia. India's smokeless-tobacco use adds to the burden.</w:t>
            </w:r>
          </w:p>
          <w:p>
            <w:pPr>
              <w:spacing w:after="40" w:before="60" w:line="259" w:lineRule="auto"/>
            </w:pPr>
            <w:r>
              <w:rPr>
                <w:rFonts w:ascii="Calibri" w:hAnsi="Calibri"/>
                <w:b w:val="0"/>
                <w:i w:val="0"/>
                <w:color w:val="212121"/>
                <w:sz w:val="19"/>
              </w:rPr>
              <w:t>Tobacco use is one of the modifiable risk factors highlighted by the WHO and the Lancet Commission as contributing to preventable dementia.</w:t>
            </w:r>
          </w:p>
          <w:p>
            <w:pPr>
              <w:spacing w:after="40" w:line="252" w:lineRule="auto"/>
            </w:pPr>
            <w:hyperlink r:id="rId13">
              <w:r>
                <w:rPr>
                  <w:rFonts w:ascii="Calibri" w:hAnsi="Calibri" w:cs="Calibri"/>
                  <w:sz w:val="18"/>
                  <w:color w:val="1155CC"/>
                  <w:u w:val="single"/>
                </w:rPr>
                <w:t xml:space="preserve">who.int — dementia risk factors (tobacco)</w:t>
              </w:r>
            </w:hyperlink>
          </w:p>
          <w:p>
            <w:pPr>
              <w:spacing w:before="60" w:after="40"/>
            </w:pPr>
            <w:r>
              <w:rPr>
                <w:rFonts w:ascii="Calibri" w:hAnsi="Calibri"/>
                <w:b w:val="0"/>
                <w:i w:val="0"/>
                <w:color w:val="5A5A5A"/>
                <w:sz w:val="18"/>
              </w:rPr>
              <w:t>#smoking  #bidi  #smokeless  #stroke  #endothelium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harmful drinkers</w:t>
            </w:r>
          </w:p>
        </w:tc>
        <w:tc>
          <w:tcPr>
            <w:tcW w:type="dxa" w:w="4276"/>
            <w:vAlign w:val="top"/>
          </w:tcPr>
          <w:p>
            <w:pPr>
              <w:spacing w:after="60" w:line="259" w:lineRule="auto"/>
            </w:pPr>
            <w:r>
              <w:rPr>
                <w:rFonts w:ascii="Calibri" w:hAnsi="Calibri"/>
                <w:b w:val="0"/>
                <w:i w:val="0"/>
                <w:color w:val="212121"/>
                <w:sz w:val="19"/>
              </w:rPr>
              <w:t>Heavy alcohol use raises blood pressure and the risk of haemorrhagic and ischaemic stroke, causes cardiac arrhythmia (atrial fibrillation) and directly damages brain tissue, compounding vascular cognitive decline.</w:t>
            </w:r>
          </w:p>
          <w:p>
            <w:pPr>
              <w:spacing w:after="40" w:before="60" w:line="259" w:lineRule="auto"/>
            </w:pPr>
            <w:r>
              <w:rPr>
                <w:rFonts w:ascii="Calibri" w:hAnsi="Calibri"/>
                <w:b w:val="0"/>
                <w:i w:val="0"/>
                <w:color w:val="212121"/>
                <w:sz w:val="19"/>
              </w:rPr>
              <w:t>Excessive alcohol consumption is one of the 14 modifiable dementia risk factors in the 2024 Lancet Commission report.</w:t>
            </w:r>
          </w:p>
          <w:p>
            <w:pPr>
              <w:spacing w:after="40" w:line="252" w:lineRule="auto"/>
            </w:pPr>
            <w:hyperlink r:id="rId9">
              <w:r>
                <w:rPr>
                  <w:rFonts w:ascii="Calibri" w:hAnsi="Calibri" w:cs="Calibri"/>
                  <w:sz w:val="18"/>
                  <w:color w:val="1155CC"/>
                  <w:u w:val="single"/>
                </w:rPr>
                <w:t xml:space="preserve">alzheimer-europe.org — alcohol as modifiable factor</w:t>
              </w:r>
            </w:hyperlink>
          </w:p>
          <w:p>
            <w:pPr>
              <w:spacing w:before="60" w:after="40"/>
            </w:pPr>
            <w:r>
              <w:rPr>
                <w:rFonts w:ascii="Calibri" w:hAnsi="Calibri"/>
                <w:b w:val="0"/>
                <w:i w:val="0"/>
                <w:color w:val="5A5A5A"/>
                <w:sz w:val="18"/>
              </w:rPr>
              <w:t>#alcohol  #hypertension  #haemorrhage  #atrialfibrillation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 BMI ≥ 23)</w:t>
            </w:r>
          </w:p>
        </w:tc>
        <w:tc>
          <w:tcPr>
            <w:tcW w:type="dxa" w:w="4276"/>
            <w:vAlign w:val="top"/>
          </w:tcPr>
          <w:p>
            <w:pPr>
              <w:spacing w:after="60" w:line="259" w:lineRule="auto"/>
            </w:pPr>
            <w:r>
              <w:rPr>
                <w:rFonts w:ascii="Calibri" w:hAnsi="Calibri"/>
                <w:b w:val="0"/>
                <w:i w:val="0"/>
                <w:color w:val="212121"/>
                <w:sz w:val="19"/>
              </w:rPr>
              <w:t>Excess weight, even at BMI levels considered normal in the West, drives insulin resistance, hypertension and dyslipidaemia in South Asians, increasing cerebrovascular risk.</w:t>
            </w:r>
          </w:p>
          <w:p>
            <w:pPr>
              <w:spacing w:after="40" w:before="60" w:line="259" w:lineRule="auto"/>
            </w:pPr>
            <w:r>
              <w:rPr>
                <w:rFonts w:ascii="Calibri" w:hAnsi="Calibri"/>
                <w:b w:val="0"/>
                <w:i w:val="0"/>
                <w:color w:val="212121"/>
                <w:sz w:val="19"/>
              </w:rPr>
              <w:t>Obesity/high BMI is among the 14 modifiable factors underlying up to 45% of preventable dementia; Asian BMI thresholds are lower (≥ 23 overweight, ≥ 25 obese).</w:t>
            </w:r>
          </w:p>
          <w:p>
            <w:pPr>
              <w:spacing w:after="40" w:line="252" w:lineRule="auto"/>
            </w:pPr>
            <w:hyperlink r:id="rId9">
              <w:r>
                <w:rPr>
                  <w:rFonts w:ascii="Calibri" w:hAnsi="Calibri" w:cs="Calibri"/>
                  <w:sz w:val="18"/>
                  <w:color w:val="1155CC"/>
                  <w:u w:val="single"/>
                </w:rPr>
                <w:t xml:space="preserve">alzheimer-europe.org — obesity as modifiable factor</w:t>
              </w:r>
            </w:hyperlink>
          </w:p>
          <w:p>
            <w:pPr>
              <w:spacing w:before="60" w:after="40"/>
            </w:pPr>
            <w:r>
              <w:rPr>
                <w:rFonts w:ascii="Calibri" w:hAnsi="Calibri"/>
                <w:b w:val="0"/>
                <w:i w:val="0"/>
                <w:color w:val="5A5A5A"/>
                <w:sz w:val="18"/>
              </w:rPr>
              <w:t>#overweight  #asianBMI  #insulinresistance  #metabolicsyndrome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Central / abdominal obesity</w:t>
            </w:r>
          </w:p>
        </w:tc>
        <w:tc>
          <w:tcPr>
            <w:tcW w:type="dxa" w:w="4276"/>
            <w:vAlign w:val="top"/>
          </w:tcPr>
          <w:p>
            <w:pPr>
              <w:spacing w:after="60" w:line="259" w:lineRule="auto"/>
            </w:pPr>
            <w:r>
              <w:rPr>
                <w:rFonts w:ascii="Calibri" w:hAnsi="Calibri"/>
                <w:b w:val="0"/>
                <w:i w:val="0"/>
                <w:color w:val="212121"/>
                <w:sz w:val="19"/>
              </w:rPr>
              <w:t>Visceral adiposity produces a pro-inflammatory, pro-thrombotic state with hypertension and diabetes, all of which injure cerebral small vessels and raise stroke risk.</w:t>
            </w:r>
          </w:p>
          <w:p>
            <w:pPr>
              <w:spacing w:after="40" w:before="60" w:line="259" w:lineRule="auto"/>
            </w:pPr>
            <w:r>
              <w:rPr>
                <w:rFonts w:ascii="Calibri" w:hAnsi="Calibri"/>
                <w:b w:val="0"/>
                <w:i w:val="0"/>
                <w:color w:val="212121"/>
                <w:sz w:val="19"/>
              </w:rPr>
              <w:t>Central obesity clusters with hypertension, diabetes and dyslipidaemia (metabolic syndrome), the core drivers of vascular brain injury.</w:t>
            </w:r>
          </w:p>
          <w:p>
            <w:pPr>
              <w:spacing w:before="60" w:after="40"/>
            </w:pPr>
            <w:r>
              <w:rPr>
                <w:rFonts w:ascii="Calibri" w:hAnsi="Calibri"/>
                <w:b w:val="0"/>
                <w:i w:val="0"/>
                <w:color w:val="5A5A5A"/>
                <w:sz w:val="18"/>
              </w:rPr>
              <w:t>#obesity  #visceralfat  #inflammation  #metabolicsyndrome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High-salt, high refined-carb, low fruit/veg diets</w:t>
            </w:r>
          </w:p>
        </w:tc>
        <w:tc>
          <w:tcPr>
            <w:tcW w:type="dxa" w:w="4276"/>
            <w:vAlign w:val="top"/>
          </w:tcPr>
          <w:p>
            <w:pPr>
              <w:spacing w:after="60" w:line="259" w:lineRule="auto"/>
            </w:pPr>
            <w:r>
              <w:rPr>
                <w:rFonts w:ascii="Calibri" w:hAnsi="Calibri"/>
                <w:b w:val="0"/>
                <w:i w:val="0"/>
                <w:color w:val="212121"/>
                <w:sz w:val="19"/>
              </w:rPr>
              <w:t>Diets high in salt and refined carbohydrates and low in fruit, vegetables and fibre raise blood pressure, glucose and lipids — the very factors that damage cerebral vessels. Typical urban Indian diets are high in salt, sugar and fried food.</w:t>
            </w:r>
          </w:p>
          <w:p>
            <w:pPr>
              <w:spacing w:after="40" w:before="60" w:line="259" w:lineRule="auto"/>
            </w:pPr>
            <w:r>
              <w:rPr>
                <w:rFonts w:ascii="Calibri" w:hAnsi="Calibri"/>
                <w:b w:val="0"/>
                <w:i w:val="0"/>
                <w:color w:val="212121"/>
                <w:sz w:val="19"/>
              </w:rPr>
              <w:t>WHO identifies unhealthy diet and the resulting hypertension, diabetes and high cholesterol as modifiable contributors to dementia risk.</w:t>
            </w:r>
          </w:p>
          <w:p>
            <w:pPr>
              <w:spacing w:after="40" w:line="252" w:lineRule="auto"/>
            </w:pPr>
            <w:hyperlink r:id="rId13">
              <w:r>
                <w:rPr>
                  <w:rFonts w:ascii="Calibri" w:hAnsi="Calibri" w:cs="Calibri"/>
                  <w:sz w:val="18"/>
                  <w:color w:val="1155CC"/>
                  <w:u w:val="single"/>
                </w:rPr>
                <w:t xml:space="preserve">who.int — diet, hypertension &amp; cholesterol as risk factors</w:t>
              </w:r>
            </w:hyperlink>
          </w:p>
          <w:p>
            <w:pPr>
              <w:spacing w:before="60" w:after="40"/>
            </w:pPr>
            <w:r>
              <w:rPr>
                <w:rFonts w:ascii="Calibri" w:hAnsi="Calibri"/>
                <w:b w:val="0"/>
                <w:i w:val="0"/>
                <w:color w:val="5A5A5A"/>
                <w:sz w:val="18"/>
              </w:rPr>
              <w:t>#highsalt  #refinedcarbs  #lowfibre  #friedfood  #DASHdiet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stroke or dementia</w:t>
            </w:r>
          </w:p>
        </w:tc>
        <w:tc>
          <w:tcPr>
            <w:tcW w:type="dxa" w:w="4276"/>
            <w:vAlign w:val="top"/>
          </w:tcPr>
          <w:p>
            <w:pPr>
              <w:spacing w:after="60" w:line="259" w:lineRule="auto"/>
            </w:pPr>
            <w:r>
              <w:rPr>
                <w:rFonts w:ascii="Calibri" w:hAnsi="Calibri"/>
                <w:b w:val="0"/>
                <w:i w:val="0"/>
                <w:color w:val="212121"/>
                <w:sz w:val="19"/>
              </w:rPr>
              <w:t>A family history of stroke, hypertension, diabetes or early vascular dementia reflects shared genetic susceptibility to vascular disease and to cognitive vulnerability, raising an individual's risk.</w:t>
            </w:r>
          </w:p>
          <w:p>
            <w:pPr>
              <w:spacing w:after="40" w:before="60" w:line="259" w:lineRule="auto"/>
            </w:pPr>
            <w:r>
              <w:rPr>
                <w:rFonts w:ascii="Calibri" w:hAnsi="Calibri"/>
                <w:b w:val="0"/>
                <w:i w:val="0"/>
                <w:color w:val="212121"/>
                <w:sz w:val="19"/>
              </w:rPr>
              <w:t>Familial clustering of hypertension, diabetes and premature cardiovascular disease is well established in South Asian families and compounds inherited stroke risk.</w:t>
            </w:r>
          </w:p>
          <w:p>
            <w:pPr>
              <w:spacing w:before="60" w:after="40"/>
            </w:pPr>
            <w:r>
              <w:rPr>
                <w:rFonts w:ascii="Calibri" w:hAnsi="Calibri"/>
                <w:b w:val="0"/>
                <w:i w:val="0"/>
                <w:color w:val="5A5A5A"/>
                <w:sz w:val="18"/>
              </w:rPr>
              <w:t>#familyhistory  #inherited  #strokegenetics  #vascularrisk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Monogenic small-vessel disease</w:t>
            </w:r>
          </w:p>
        </w:tc>
        <w:tc>
          <w:tcPr>
            <w:tcW w:type="dxa" w:w="2160"/>
            <w:vAlign w:val="top"/>
          </w:tcPr>
          <w:p>
            <w:pPr>
              <w:spacing w:after="40" w:before="0" w:line="259" w:lineRule="auto"/>
            </w:pPr>
            <w:r>
              <w:rPr>
                <w:rFonts w:ascii="Calibri" w:hAnsi="Calibri"/>
                <w:b w:val="0"/>
                <w:i w:val="0"/>
                <w:color w:val="212121"/>
                <w:sz w:val="19"/>
              </w:rPr>
              <w:t>CADASIL (NOTCH3) and hereditary SVD</w:t>
            </w:r>
          </w:p>
        </w:tc>
        <w:tc>
          <w:tcPr>
            <w:tcW w:type="dxa" w:w="4276"/>
            <w:vAlign w:val="top"/>
          </w:tcPr>
          <w:p>
            <w:pPr>
              <w:spacing w:after="60" w:line="259" w:lineRule="auto"/>
            </w:pPr>
            <w:r>
              <w:rPr>
                <w:rFonts w:ascii="Calibri" w:hAnsi="Calibri"/>
                <w:b w:val="0"/>
                <w:i w:val="0"/>
                <w:color w:val="212121"/>
                <w:sz w:val="19"/>
              </w:rPr>
              <w:t>CADASIL, caused by NOTCH3 mutations, is the commonest inherited cause of subcortical vascular dementia, producing migraine with aura, recurrent lacunar strokes, mood change and early dementia — often before age 60 and without classic vascular risk factors.</w:t>
            </w:r>
          </w:p>
          <w:p>
            <w:pPr>
              <w:spacing w:after="40" w:before="60" w:line="259" w:lineRule="auto"/>
            </w:pPr>
            <w:r>
              <w:rPr>
                <w:rFonts w:ascii="Calibri" w:hAnsi="Calibri"/>
                <w:b w:val="0"/>
                <w:i w:val="0"/>
                <w:color w:val="212121"/>
                <w:sz w:val="19"/>
              </w:rPr>
              <w:t>CADASIL is an autosomal-dominant small-vessel arteriopathy and the most recognised monogenic cause of vascular cognitive impairment.</w:t>
            </w:r>
          </w:p>
          <w:p>
            <w:pPr>
              <w:spacing w:before="60" w:after="40"/>
            </w:pPr>
            <w:r>
              <w:rPr>
                <w:rFonts w:ascii="Calibri" w:hAnsi="Calibri"/>
                <w:b w:val="0"/>
                <w:i w:val="0"/>
                <w:color w:val="5A5A5A"/>
                <w:sz w:val="18"/>
              </w:rPr>
              <w:t>#CADASIL  #NOTCH3  #hereditarySVD  #earlyonset  #migraineaura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Adults with chronic / poorly controlled hypertension</w:t>
            </w:r>
          </w:p>
        </w:tc>
        <w:tc>
          <w:tcPr>
            <w:tcW w:type="dxa" w:w="4276"/>
            <w:vAlign w:val="top"/>
          </w:tcPr>
          <w:p>
            <w:pPr>
              <w:spacing w:after="60" w:line="259" w:lineRule="auto"/>
            </w:pPr>
            <w:r>
              <w:rPr>
                <w:rFonts w:ascii="Calibri" w:hAnsi="Calibri"/>
                <w:b w:val="0"/>
                <w:i w:val="0"/>
                <w:color w:val="212121"/>
                <w:sz w:val="19"/>
              </w:rPr>
              <w:t>Hypertension is the strongest modifiable cause of vascular dementia, damaging small penetrating arteries to produce lacunes, white-matter disease and haemorrhage; midlife hypertension is especially damaging.</w:t>
            </w:r>
          </w:p>
          <w:p>
            <w:pPr>
              <w:spacing w:after="40" w:before="60" w:line="259" w:lineRule="auto"/>
            </w:pPr>
            <w:r>
              <w:rPr>
                <w:rFonts w:ascii="Calibri" w:hAnsi="Calibri"/>
                <w:b w:val="0"/>
                <w:i w:val="0"/>
                <w:color w:val="212121"/>
                <w:sz w:val="19"/>
              </w:rPr>
              <w:t>About two-thirds of older Indians are hypertensive; in the SPRINT MIND trial, intensive blood-pressure control (systolic &lt; 120) significantly reduced mild cognitive impairment and the combined risk of MCI plus dementia.</w:t>
            </w:r>
          </w:p>
          <w:p>
            <w:pPr>
              <w:spacing w:after="40" w:line="252" w:lineRule="auto"/>
            </w:pPr>
            <w:hyperlink r:id="rId14">
              <w:r>
                <w:rPr>
                  <w:rFonts w:ascii="Calibri" w:hAnsi="Calibri" w:cs="Calibri"/>
                  <w:sz w:val="18"/>
                  <w:color w:val="1155CC"/>
                  <w:u w:val="single"/>
                </w:rPr>
                <w:t xml:space="preserve">nia.nih.gov — SPRINT MIND (intensive BP control &amp; cognition)</w:t>
              </w:r>
            </w:hyperlink>
          </w:p>
          <w:p>
            <w:pPr>
              <w:spacing w:before="60" w:after="40"/>
            </w:pPr>
            <w:r>
              <w:rPr>
                <w:rFonts w:ascii="Calibri" w:hAnsi="Calibri"/>
                <w:b w:val="0"/>
                <w:i w:val="0"/>
                <w:color w:val="5A5A5A"/>
                <w:sz w:val="18"/>
              </w:rPr>
              <w:t>#hypertension  #SPRINTMIND  #lacunes  #whitematter  #BPcontrol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type 2 diabetes</w:t>
            </w:r>
          </w:p>
        </w:tc>
        <w:tc>
          <w:tcPr>
            <w:tcW w:type="dxa" w:w="4276"/>
            <w:vAlign w:val="top"/>
          </w:tcPr>
          <w:p>
            <w:pPr>
              <w:spacing w:after="60" w:line="259" w:lineRule="auto"/>
            </w:pPr>
            <w:r>
              <w:rPr>
                <w:rFonts w:ascii="Calibri" w:hAnsi="Calibri"/>
                <w:b w:val="0"/>
                <w:i w:val="0"/>
                <w:color w:val="212121"/>
                <w:sz w:val="19"/>
              </w:rPr>
              <w:t>Chronic hyperglycaemia damages both large and small cerebral vessels, promotes lacunar stroke and accelerates atherosclerosis, roughly doubling dementia risk and contributing to mixed pathology.</w:t>
            </w:r>
          </w:p>
          <w:p>
            <w:pPr>
              <w:spacing w:after="40" w:before="60" w:line="259" w:lineRule="auto"/>
            </w:pPr>
            <w:r>
              <w:rPr>
                <w:rFonts w:ascii="Calibri" w:hAnsi="Calibri"/>
                <w:b w:val="0"/>
                <w:i w:val="0"/>
                <w:color w:val="212121"/>
                <w:sz w:val="19"/>
              </w:rPr>
              <w:t>India has over 77 million adults with diabetes — one of the largest such burdens globally — amplifying the population risk of vascular cognitive impairment.</w:t>
            </w:r>
          </w:p>
          <w:p>
            <w:pPr>
              <w:spacing w:after="40" w:line="252" w:lineRule="auto"/>
            </w:pPr>
            <w:hyperlink r:id="rId12">
              <w:r>
                <w:rPr>
                  <w:rFonts w:ascii="Calibri" w:hAnsi="Calibri" w:cs="Calibri"/>
                  <w:sz w:val="18"/>
                  <w:color w:val="1155CC"/>
                  <w:u w:val="single"/>
                </w:rPr>
                <w:t xml:space="preserve">pmc.ncbi.nlm.nih.gov — diabetes burden in India (77 million)</w:t>
              </w:r>
            </w:hyperlink>
          </w:p>
          <w:p>
            <w:pPr>
              <w:spacing w:before="60" w:after="40"/>
            </w:pPr>
            <w:r>
              <w:rPr>
                <w:rFonts w:ascii="Calibri" w:hAnsi="Calibri"/>
                <w:b w:val="0"/>
                <w:i w:val="0"/>
                <w:color w:val="5A5A5A"/>
                <w:sz w:val="18"/>
              </w:rPr>
              <w:t>#diabetes  #hyperglycaemia  #microvascular  #lacunarstroke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Stroke / TIA</w:t>
            </w:r>
          </w:p>
        </w:tc>
        <w:tc>
          <w:tcPr>
            <w:tcW w:type="dxa" w:w="2160"/>
            <w:vAlign w:val="top"/>
          </w:tcPr>
          <w:p>
            <w:pPr>
              <w:spacing w:after="40" w:before="0" w:line="259" w:lineRule="auto"/>
            </w:pPr>
            <w:r>
              <w:rPr>
                <w:rFonts w:ascii="Calibri" w:hAnsi="Calibri"/>
                <w:b w:val="0"/>
                <w:i w:val="0"/>
                <w:color w:val="212121"/>
                <w:sz w:val="19"/>
              </w:rPr>
              <w:t>Stroke and TIA survivors</w:t>
            </w:r>
          </w:p>
        </w:tc>
        <w:tc>
          <w:tcPr>
            <w:tcW w:type="dxa" w:w="4276"/>
            <w:vAlign w:val="top"/>
          </w:tcPr>
          <w:p>
            <w:pPr>
              <w:spacing w:after="60" w:line="259" w:lineRule="auto"/>
            </w:pPr>
            <w:r>
              <w:rPr>
                <w:rFonts w:ascii="Calibri" w:hAnsi="Calibri"/>
                <w:b w:val="0"/>
                <w:i w:val="0"/>
                <w:color w:val="212121"/>
                <w:sz w:val="19"/>
              </w:rPr>
              <w:t>Stroke is the archetypal trigger of vascular dementia; a symptomatic infarct — or accumulating silent infarcts — can precipitate a step-down in cognition, and recurrent strokes multiply the risk.</w:t>
            </w:r>
          </w:p>
          <w:p>
            <w:pPr>
              <w:spacing w:after="40" w:before="60" w:line="259" w:lineRule="auto"/>
            </w:pPr>
            <w:r>
              <w:rPr>
                <w:rFonts w:ascii="Calibri" w:hAnsi="Calibri"/>
                <w:b w:val="0"/>
                <w:i w:val="0"/>
                <w:color w:val="212121"/>
                <w:sz w:val="19"/>
              </w:rPr>
              <w:t>Roughly 25% of patients develop new-onset dementia within one year of a stroke, and stroke markedly increases long-term dementia risk.</w:t>
            </w:r>
          </w:p>
          <w:p>
            <w:pPr>
              <w:spacing w:after="40" w:line="252" w:lineRule="auto"/>
            </w:pPr>
            <w:hyperlink r:id="rId11">
              <w:r>
                <w:rPr>
                  <w:rFonts w:ascii="Calibri" w:hAnsi="Calibri" w:cs="Calibri"/>
                  <w:sz w:val="18"/>
                  <w:color w:val="1155CC"/>
                  <w:u w:val="single"/>
                </w:rPr>
                <w:t xml:space="preserve">emedicine.medscape.com — post-stroke dementia (≈25% within 1 year)</w:t>
              </w:r>
            </w:hyperlink>
          </w:p>
          <w:p>
            <w:pPr>
              <w:spacing w:before="60" w:after="40"/>
            </w:pPr>
            <w:r>
              <w:rPr>
                <w:rFonts w:ascii="Calibri" w:hAnsi="Calibri"/>
                <w:b w:val="0"/>
                <w:i w:val="0"/>
                <w:color w:val="5A5A5A"/>
                <w:sz w:val="18"/>
              </w:rPr>
              <w:t>#poststroke  #TIA  #recurrentstroke  #stepwise  #silentinfarct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Atrial fibrillation</w:t>
            </w:r>
          </w:p>
        </w:tc>
        <w:tc>
          <w:tcPr>
            <w:tcW w:type="dxa" w:w="2160"/>
            <w:vAlign w:val="top"/>
          </w:tcPr>
          <w:p>
            <w:pPr>
              <w:spacing w:after="40" w:before="0" w:line="259" w:lineRule="auto"/>
            </w:pPr>
            <w:r>
              <w:rPr>
                <w:rFonts w:ascii="Calibri" w:hAnsi="Calibri"/>
                <w:b w:val="0"/>
                <w:i w:val="0"/>
                <w:color w:val="212121"/>
                <w:sz w:val="19"/>
              </w:rPr>
              <w:t>Patients with atrial fibrillation / cardioembolic risk</w:t>
            </w:r>
          </w:p>
        </w:tc>
        <w:tc>
          <w:tcPr>
            <w:tcW w:type="dxa" w:w="4276"/>
            <w:vAlign w:val="top"/>
          </w:tcPr>
          <w:p>
            <w:pPr>
              <w:spacing w:after="60" w:line="259" w:lineRule="auto"/>
            </w:pPr>
            <w:r>
              <w:rPr>
                <w:rFonts w:ascii="Calibri" w:hAnsi="Calibri"/>
                <w:b w:val="0"/>
                <w:i w:val="0"/>
                <w:color w:val="212121"/>
                <w:sz w:val="19"/>
              </w:rPr>
              <w:t>Atrial fibrillation causes cardioembolic strokes and clinically silent brain infarcts and is independently linked to accelerated cognitive decline and vascular dementia.</w:t>
            </w:r>
          </w:p>
          <w:p>
            <w:pPr>
              <w:spacing w:after="40" w:before="60" w:line="259" w:lineRule="auto"/>
            </w:pPr>
            <w:r>
              <w:rPr>
                <w:rFonts w:ascii="Calibri" w:hAnsi="Calibri"/>
                <w:b w:val="0"/>
                <w:i w:val="0"/>
                <w:color w:val="212121"/>
                <w:sz w:val="19"/>
              </w:rPr>
              <w:t>Atrial fibrillation is a major source of embolic and silent cerebral infarction contributing to multi-infarct dementia; anticoagulation reduces stroke risk.</w:t>
            </w:r>
          </w:p>
          <w:p>
            <w:pPr>
              <w:spacing w:before="60" w:after="40"/>
            </w:pPr>
            <w:r>
              <w:rPr>
                <w:rFonts w:ascii="Calibri" w:hAnsi="Calibri"/>
                <w:b w:val="0"/>
                <w:i w:val="0"/>
                <w:color w:val="5A5A5A"/>
                <w:sz w:val="18"/>
              </w:rPr>
              <w:t>#atrialfibrillation  #cardioembolism  #silentinfarct  #anticoagulation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Dyslipidaemia / carotid disease</w:t>
            </w:r>
          </w:p>
        </w:tc>
        <w:tc>
          <w:tcPr>
            <w:tcW w:type="dxa" w:w="2160"/>
            <w:vAlign w:val="top"/>
          </w:tcPr>
          <w:p>
            <w:pPr>
              <w:spacing w:after="40" w:before="0" w:line="259" w:lineRule="auto"/>
            </w:pPr>
            <w:r>
              <w:rPr>
                <w:rFonts w:ascii="Calibri" w:hAnsi="Calibri"/>
                <w:b w:val="0"/>
                <w:i w:val="0"/>
                <w:color w:val="212121"/>
                <w:sz w:val="19"/>
              </w:rPr>
              <w:t>Adults with high LDL or carotid atherosclerosis</w:t>
            </w:r>
          </w:p>
        </w:tc>
        <w:tc>
          <w:tcPr>
            <w:tcW w:type="dxa" w:w="4276"/>
            <w:vAlign w:val="top"/>
          </w:tcPr>
          <w:p>
            <w:pPr>
              <w:spacing w:after="60" w:line="259" w:lineRule="auto"/>
            </w:pPr>
            <w:r>
              <w:rPr>
                <w:rFonts w:ascii="Calibri" w:hAnsi="Calibri"/>
                <w:b w:val="0"/>
                <w:i w:val="0"/>
                <w:color w:val="212121"/>
                <w:sz w:val="19"/>
              </w:rPr>
              <w:t>High LDL cholesterol and carotid atherosclerosis drive large-artery infarcts and chronic hypoperfusion, feeding the cortical and border-zone injury seen in vascular dementia.</w:t>
            </w:r>
          </w:p>
          <w:p>
            <w:pPr>
              <w:spacing w:after="40" w:before="60" w:line="259" w:lineRule="auto"/>
            </w:pPr>
            <w:r>
              <w:rPr>
                <w:rFonts w:ascii="Calibri" w:hAnsi="Calibri"/>
                <w:b w:val="0"/>
                <w:i w:val="0"/>
                <w:color w:val="212121"/>
                <w:sz w:val="19"/>
              </w:rPr>
              <w:t>High midlife LDL cholesterol was added in the 2024 Lancet Commission as a modifiable dementia risk factor contributing about 7% of the preventable fraction.</w:t>
            </w:r>
          </w:p>
          <w:p>
            <w:pPr>
              <w:spacing w:after="40" w:line="252" w:lineRule="auto"/>
            </w:pPr>
            <w:hyperlink r:id="rId9">
              <w:r>
                <w:rPr>
                  <w:rFonts w:ascii="Calibri" w:hAnsi="Calibri" w:cs="Calibri"/>
                  <w:sz w:val="18"/>
                  <w:color w:val="1155CC"/>
                  <w:u w:val="single"/>
                </w:rPr>
                <w:t xml:space="preserve">alzheimer-europe.org — high LDL cholesterol (≈7% of preventable dementia)</w:t>
              </w:r>
            </w:hyperlink>
          </w:p>
          <w:p>
            <w:pPr>
              <w:spacing w:before="60" w:after="40"/>
            </w:pPr>
            <w:r>
              <w:rPr>
                <w:rFonts w:ascii="Calibri" w:hAnsi="Calibri"/>
                <w:b w:val="0"/>
                <w:i w:val="0"/>
                <w:color w:val="5A5A5A"/>
                <w:sz w:val="18"/>
              </w:rPr>
              <w:t>#dyslipidaemia  #LDL  #carotidstenosis  #atherosclerosis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activity lowers blood pressure, improves glucose, lipids and endothelial function and enhances cerebral perfusion; physical inactivity is one of the 14 modifiable factors behind up to 45% of dementia (Lancet Commission 2024).</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High-salt, high-sugar, low-fibre diets raise blood pressure, glucose and LDL, driving cerebrovascular disease; Mediterranean/DASH-style eating lowers stroke and vascular-cognitive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Obstructive sleep apnoea and short/fragmented sleep raise blood pressure, promote atrial fibrillation and silent infarcts and are associated with white-matter disease and cognitive decline.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(including bidi and smokeless tobacco) causes endothelial injury and roughly doubles stroke risk; it is a WHO- and Lancet-listed modifiable dementia risk factor.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drinking raises blood pressure, causes atrial fibrillation and haemorrhagic/ischaemic stroke and directly injures the brain; it is a recognised modifiable dementia factor.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is bidirectionally linked with vascular disease (‘vascular depression’), shares risk factors and is one of the 14 modifiable dementia factors; apathy and depression are common early features of subcortical VaD.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avoids haemoconcentration and hypotensive cerebral hypoperfusion, but direct evidence linking water intake to vascular dementia prevention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coffee/tea intake has inconsistent, possibly neutral-to-mildly-favourable associations with vascular risk; effects on vascular dementia are not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periodontal disease and poor oral hygiene are weakly associated with systemic inflammation and stroke risk; the link to vascular dementia is indirect.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stroke or TIA, hypertensive crisis, cardiac events, atrial fibrillation, severe hypotension, sepsis and general anaesthesia can precipitate a sudden stepwise decline or acute-on-chronic confusion in vulnerable patients.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Orthostatic hypotension and postural blood-pressure instability can transiently reduce cerebral perfusion and worsen subcortical vascular symptoms, though it is a minor contributor overall.</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elderly, high vascular risk</w:t>
            </w:r>
          </w:p>
        </w:tc>
        <w:tc>
          <w:tcPr>
            <w:tcW w:type="dxa" w:w="1512"/>
            <w:vAlign w:val="top"/>
          </w:tcPr>
          <w:p>
            <w:pPr>
              <w:spacing w:after="40" w:before="0" w:line="259" w:lineRule="auto"/>
            </w:pPr>
            <w:r>
              <w:rPr>
                <w:rFonts w:ascii="Calibri" w:hAnsi="Calibri"/>
                <w:b w:val="0"/>
                <w:i w:val="0"/>
                <w:color w:val="212121"/>
                <w:sz w:val="19"/>
              </w:rPr>
              <w:t>≥ 150 min/week + resistance training 2–3 days/week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Activity lowers BP and improves cerebral vascular health</w:t>
            </w:r>
          </w:p>
          <w:p>
            <w:pPr>
              <w:spacing w:after="40" w:line="252" w:lineRule="auto"/>
            </w:pPr>
            <w:hyperlink r:id="rId9">
              <w:r>
                <w:rPr>
                  <w:rFonts w:ascii="Calibri" w:hAnsi="Calibri" w:cs="Calibri"/>
                  <w:sz w:val="18"/>
                  <w:color w:val="1155CC"/>
                  <w:u w:val="single"/>
                </w:rPr>
                <w:t xml:space="preserve">https://www.alzheimer-europe.org/news/2024-lancet-commission-underscores-potential-dementia-risk-reduction-identifying-14-modifiable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South Asian 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Lower Asian thresholds reflect earlier cardiometabolic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with central obesity</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 obesity clusters with hypertension and diabetes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Hypertensive adults, elderly</w:t>
            </w:r>
          </w:p>
        </w:tc>
        <w:tc>
          <w:tcPr>
            <w:tcW w:type="dxa" w:w="1512"/>
            <w:vAlign w:val="top"/>
          </w:tcPr>
          <w:p>
            <w:pPr>
              <w:spacing w:after="40" w:before="0" w:line="259" w:lineRule="auto"/>
            </w:pPr>
            <w:r>
              <w:rPr>
                <w:rFonts w:ascii="Calibri" w:hAnsi="Calibri"/>
                <w:b w:val="0"/>
                <w:i w:val="0"/>
                <w:color w:val="212121"/>
                <w:sz w:val="19"/>
              </w:rPr>
              <w:t>&lt; 130/80 mmHg (individualised in frail elderly)</w:t>
            </w:r>
          </w:p>
        </w:tc>
        <w:tc>
          <w:tcPr>
            <w:tcW w:type="dxa" w:w="1512"/>
            <w:vAlign w:val="top"/>
          </w:tcPr>
          <w:p>
            <w:pPr>
              <w:spacing w:after="40" w:before="0" w:line="259" w:lineRule="auto"/>
            </w:pPr>
            <w:r>
              <w:rPr>
                <w:rFonts w:ascii="Calibri" w:hAnsi="Calibri"/>
                <w:b w:val="0"/>
                <w:i w:val="0"/>
                <w:color w:val="212121"/>
                <w:sz w:val="19"/>
              </w:rPr>
              <w:t>≥ 140/90 mmHg sustained</w:t>
            </w:r>
          </w:p>
        </w:tc>
        <w:tc>
          <w:tcPr>
            <w:tcW w:type="dxa" w:w="1468"/>
            <w:vAlign w:val="top"/>
          </w:tcPr>
          <w:p>
            <w:pPr>
              <w:spacing w:after="60" w:line="259" w:lineRule="auto"/>
            </w:pPr>
            <w:r>
              <w:rPr>
                <w:rFonts w:ascii="Calibri" w:hAnsi="Calibri"/>
                <w:b w:val="0"/>
                <w:i w:val="0"/>
                <w:color w:val="212121"/>
                <w:sz w:val="19"/>
              </w:rPr>
              <w:t>Strongest modifiable driver; intensive control reduced MCI in SPRINT MIND</w:t>
            </w:r>
          </w:p>
          <w:p>
            <w:pPr>
              <w:spacing w:after="40" w:line="252" w:lineRule="auto"/>
            </w:pPr>
            <w:hyperlink r:id="rId14">
              <w:r>
                <w:rPr>
                  <w:rFonts w:ascii="Calibri" w:hAnsi="Calibri" w:cs="Calibri"/>
                  <w:sz w:val="18"/>
                  <w:color w:val="1155CC"/>
                  <w:u w:val="single"/>
                </w:rPr>
                <w:t xml:space="preserve">https://www.nia.nih.gov/news/does-intensive-blood-pressure-control-reduce-dementia</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with/at risk of diabetes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 5.7–6.4% (pre-diabetes)</w:t>
            </w:r>
          </w:p>
        </w:tc>
        <w:tc>
          <w:tcPr>
            <w:tcW w:type="dxa" w:w="1468"/>
            <w:vAlign w:val="top"/>
          </w:tcPr>
          <w:p>
            <w:pPr>
              <w:spacing w:after="40" w:before="0" w:line="259" w:lineRule="auto"/>
            </w:pPr>
            <w:r>
              <w:rPr>
                <w:rFonts w:ascii="Calibri" w:hAnsi="Calibri"/>
                <w:b w:val="0"/>
                <w:i w:val="0"/>
                <w:color w:val="212121"/>
                <w:sz w:val="19"/>
              </w:rPr>
              <w:t>Chronic hyperglycaemia doubles dementia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LDL cholesterol (mg/dL)</w:t>
            </w:r>
          </w:p>
        </w:tc>
        <w:tc>
          <w:tcPr>
            <w:tcW w:type="dxa" w:w="1655"/>
            <w:vAlign w:val="top"/>
          </w:tcPr>
          <w:p>
            <w:pPr>
              <w:spacing w:after="40" w:before="0" w:line="259" w:lineRule="auto"/>
            </w:pPr>
            <w:r>
              <w:rPr>
                <w:rFonts w:ascii="Calibri" w:hAnsi="Calibri"/>
                <w:b w:val="0"/>
                <w:i w:val="0"/>
                <w:color w:val="212121"/>
                <w:sz w:val="19"/>
              </w:rPr>
              <w:t>Adults with vascular risk</w:t>
            </w:r>
          </w:p>
        </w:tc>
        <w:tc>
          <w:tcPr>
            <w:tcW w:type="dxa" w:w="1512"/>
            <w:vAlign w:val="top"/>
          </w:tcPr>
          <w:p>
            <w:pPr>
              <w:spacing w:after="40" w:before="0" w:line="259" w:lineRule="auto"/>
            </w:pPr>
            <w:r>
              <w:rPr>
                <w:rFonts w:ascii="Calibri" w:hAnsi="Calibri"/>
                <w:b w:val="0"/>
                <w:i w:val="0"/>
                <w:color w:val="212121"/>
                <w:sz w:val="19"/>
              </w:rPr>
              <w:t>&lt; 100 mg/dL (&lt; 70 if high risk)</w:t>
            </w:r>
          </w:p>
        </w:tc>
        <w:tc>
          <w:tcPr>
            <w:tcW w:type="dxa" w:w="1512"/>
            <w:vAlign w:val="top"/>
          </w:tcPr>
          <w:p>
            <w:pPr>
              <w:spacing w:after="40" w:before="0" w:line="259" w:lineRule="auto"/>
            </w:pPr>
            <w:r>
              <w:rPr>
                <w:rFonts w:ascii="Calibri" w:hAnsi="Calibri"/>
                <w:b w:val="0"/>
                <w:i w:val="0"/>
                <w:color w:val="212121"/>
                <w:sz w:val="19"/>
              </w:rPr>
              <w:t>≥ 130 mg/dL</w:t>
            </w:r>
          </w:p>
        </w:tc>
        <w:tc>
          <w:tcPr>
            <w:tcW w:type="dxa" w:w="1468"/>
            <w:vAlign w:val="top"/>
          </w:tcPr>
          <w:p>
            <w:pPr>
              <w:spacing w:after="60" w:line="259" w:lineRule="auto"/>
            </w:pPr>
            <w:r>
              <w:rPr>
                <w:rFonts w:ascii="Calibri" w:hAnsi="Calibri"/>
                <w:b w:val="0"/>
                <w:i w:val="0"/>
                <w:color w:val="212121"/>
                <w:sz w:val="19"/>
              </w:rPr>
              <w:t>High midlife LDL is a modifiable dementia factor (~7%)</w:t>
            </w:r>
          </w:p>
          <w:p>
            <w:pPr>
              <w:spacing w:after="40" w:line="252" w:lineRule="auto"/>
            </w:pPr>
            <w:hyperlink r:id="rId9">
              <w:r>
                <w:rPr>
                  <w:rFonts w:ascii="Calibri" w:hAnsi="Calibri" w:cs="Calibri"/>
                  <w:sz w:val="18"/>
                  <w:color w:val="1155CC"/>
                  <w:u w:val="single"/>
                </w:rPr>
                <w:t xml:space="preserve">https://www.alzheimer-europe.org/news/2024-lancet-commission-underscores-potential-dementia-risk-reduction-identifying-14-modifiable</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(any form) per day</w:t>
            </w:r>
          </w:p>
        </w:tc>
        <w:tc>
          <w:tcPr>
            <w:tcW w:type="dxa" w:w="1655"/>
            <w:vAlign w:val="top"/>
          </w:tcPr>
          <w:p>
            <w:pPr>
              <w:spacing w:after="40" w:before="0" w:line="259" w:lineRule="auto"/>
            </w:pPr>
            <w:r>
              <w:rPr>
                <w:rFonts w:ascii="Calibri" w:hAnsi="Calibri"/>
                <w:b w:val="0"/>
                <w:i w:val="0"/>
                <w:color w:val="212121"/>
                <w:sz w:val="19"/>
              </w:rPr>
              <w:t>Smokers, bidi/smokeless users</w:t>
            </w:r>
          </w:p>
        </w:tc>
        <w:tc>
          <w:tcPr>
            <w:tcW w:type="dxa" w:w="1512"/>
            <w:vAlign w:val="top"/>
          </w:tcPr>
          <w:p>
            <w:pPr>
              <w:spacing w:after="40" w:before="0" w:line="259" w:lineRule="auto"/>
            </w:pPr>
            <w:r>
              <w:rPr>
                <w:rFonts w:ascii="Calibri" w:hAnsi="Calibri"/>
                <w:b w:val="0"/>
                <w:i w:val="0"/>
                <w:color w:val="212121"/>
                <w:sz w:val="19"/>
              </w:rPr>
              <w:t>0 (complete cessation)</w:t>
            </w:r>
          </w:p>
        </w:tc>
        <w:tc>
          <w:tcPr>
            <w:tcW w:type="dxa" w:w="1512"/>
            <w:vAlign w:val="top"/>
          </w:tcPr>
          <w:p>
            <w:pPr>
              <w:spacing w:after="40" w:before="0" w:line="259" w:lineRule="auto"/>
            </w:pPr>
            <w:r>
              <w:rPr>
                <w:rFonts w:ascii="Calibri" w:hAnsi="Calibri"/>
                <w:b w:val="0"/>
                <w:i w:val="0"/>
                <w:color w:val="212121"/>
                <w:sz w:val="19"/>
              </w:rPr>
              <w:t>≥ 1 use/day</w:t>
            </w:r>
          </w:p>
        </w:tc>
        <w:tc>
          <w:tcPr>
            <w:tcW w:type="dxa" w:w="1468"/>
            <w:vAlign w:val="top"/>
          </w:tcPr>
          <w:p>
            <w:pPr>
              <w:spacing w:after="40" w:before="0" w:line="259" w:lineRule="auto"/>
            </w:pPr>
            <w:r>
              <w:rPr>
                <w:rFonts w:ascii="Calibri" w:hAnsi="Calibri"/>
                <w:b w:val="0"/>
                <w:i w:val="0"/>
                <w:color w:val="212121"/>
                <w:sz w:val="19"/>
              </w:rPr>
              <w:t>Any tobacco accelerates atherosclerosis and stroke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 minimal / abstinence</w:t>
            </w:r>
          </w:p>
        </w:tc>
        <w:tc>
          <w:tcPr>
            <w:tcW w:type="dxa" w:w="1512"/>
            <w:vAlign w:val="top"/>
          </w:tcPr>
          <w:p>
            <w:pPr>
              <w:spacing w:after="40" w:before="0" w:line="259" w:lineRule="auto"/>
            </w:pPr>
            <w:r>
              <w:rPr>
                <w:rFonts w:ascii="Calibri" w:hAnsi="Calibri"/>
                <w:b w:val="0"/>
                <w:i w:val="0"/>
                <w:color w:val="212121"/>
                <w:sz w:val="19"/>
              </w:rPr>
              <w:t>&gt; 14 drinks/week or binge pattern</w:t>
            </w:r>
          </w:p>
        </w:tc>
        <w:tc>
          <w:tcPr>
            <w:tcW w:type="dxa" w:w="1468"/>
            <w:vAlign w:val="top"/>
          </w:tcPr>
          <w:p>
            <w:pPr>
              <w:spacing w:after="40" w:before="0" w:line="259" w:lineRule="auto"/>
            </w:pPr>
            <w:r>
              <w:rPr>
                <w:rFonts w:ascii="Calibri" w:hAnsi="Calibri"/>
                <w:b w:val="0"/>
                <w:i w:val="0"/>
                <w:color w:val="212121"/>
                <w:sz w:val="19"/>
              </w:rPr>
              <w:t>Heavy use raises BP and haemorrhagic-stroke risk</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apnoea</w:t>
            </w:r>
          </w:p>
        </w:tc>
        <w:tc>
          <w:tcPr>
            <w:tcW w:type="dxa" w:w="1655"/>
            <w:vAlign w:val="top"/>
          </w:tcPr>
          <w:p>
            <w:pPr>
              <w:spacing w:after="40" w:before="0" w:line="259" w:lineRule="auto"/>
            </w:pPr>
            <w:r>
              <w:rPr>
                <w:rFonts w:ascii="Calibri" w:hAnsi="Calibri"/>
                <w:b w:val="0"/>
                <w:i w:val="0"/>
                <w:color w:val="212121"/>
                <w:sz w:val="19"/>
              </w:rPr>
              <w:t>Adults, snorers, obese</w:t>
            </w:r>
          </w:p>
        </w:tc>
        <w:tc>
          <w:tcPr>
            <w:tcW w:type="dxa" w:w="1512"/>
            <w:vAlign w:val="top"/>
          </w:tcPr>
          <w:p>
            <w:pPr>
              <w:spacing w:after="40" w:before="0" w:line="259" w:lineRule="auto"/>
            </w:pPr>
            <w:r>
              <w:rPr>
                <w:rFonts w:ascii="Calibri" w:hAnsi="Calibri"/>
                <w:b w:val="0"/>
                <w:i w:val="0"/>
                <w:color w:val="212121"/>
                <w:sz w:val="19"/>
              </w:rPr>
              <w:t>7–8 h/night; treated OSA</w:t>
            </w:r>
          </w:p>
        </w:tc>
        <w:tc>
          <w:tcPr>
            <w:tcW w:type="dxa" w:w="1512"/>
            <w:vAlign w:val="top"/>
          </w:tcPr>
          <w:p>
            <w:pPr>
              <w:spacing w:after="40" w:before="0" w:line="259" w:lineRule="auto"/>
            </w:pPr>
            <w:r>
              <w:rPr>
                <w:rFonts w:ascii="Calibri" w:hAnsi="Calibri"/>
                <w:b w:val="0"/>
                <w:i w:val="0"/>
                <w:color w:val="212121"/>
                <w:sz w:val="19"/>
              </w:rPr>
              <w:t>&lt; 6 h, fragmented sleep, untreated OSA</w:t>
            </w:r>
          </w:p>
        </w:tc>
        <w:tc>
          <w:tcPr>
            <w:tcW w:type="dxa" w:w="1468"/>
            <w:vAlign w:val="top"/>
          </w:tcPr>
          <w:p>
            <w:pPr>
              <w:spacing w:after="40" w:before="0" w:line="259" w:lineRule="auto"/>
            </w:pPr>
            <w:r>
              <w:rPr>
                <w:rFonts w:ascii="Calibri" w:hAnsi="Calibri"/>
                <w:b w:val="0"/>
                <w:i w:val="0"/>
                <w:color w:val="212121"/>
                <w:sz w:val="19"/>
              </w:rPr>
              <w:t>OSA raises BP and silent-infarct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 / GDS)</w:t>
            </w:r>
          </w:p>
        </w:tc>
        <w:tc>
          <w:tcPr>
            <w:tcW w:type="dxa" w:w="1655"/>
            <w:vAlign w:val="top"/>
          </w:tcPr>
          <w:p>
            <w:pPr>
              <w:spacing w:after="40" w:before="0" w:line="259" w:lineRule="auto"/>
            </w:pPr>
            <w:r>
              <w:rPr>
                <w:rFonts w:ascii="Calibri" w:hAnsi="Calibri"/>
                <w:b w:val="0"/>
                <w:i w:val="0"/>
                <w:color w:val="212121"/>
                <w:sz w:val="19"/>
              </w:rPr>
              <w:t>Older adults, post-stroke</w:t>
            </w:r>
          </w:p>
        </w:tc>
        <w:tc>
          <w:tcPr>
            <w:tcW w:type="dxa" w:w="1512"/>
            <w:vAlign w:val="top"/>
          </w:tcPr>
          <w:p>
            <w:pPr>
              <w:spacing w:after="40" w:before="0" w:line="259" w:lineRule="auto"/>
            </w:pPr>
            <w:r>
              <w:rPr>
                <w:rFonts w:ascii="Calibri" w:hAnsi="Calibri"/>
                <w:b w:val="0"/>
                <w:i w:val="0"/>
                <w:color w:val="212121"/>
                <w:sz w:val="19"/>
              </w:rPr>
              <w:t>PHQ-9 &lt; 5 / GDS low</w:t>
            </w:r>
          </w:p>
        </w:tc>
        <w:tc>
          <w:tcPr>
            <w:tcW w:type="dxa" w:w="1512"/>
            <w:vAlign w:val="top"/>
          </w:tcPr>
          <w:p>
            <w:pPr>
              <w:spacing w:after="40" w:before="0" w:line="259" w:lineRule="auto"/>
            </w:pPr>
            <w:r>
              <w:rPr>
                <w:rFonts w:ascii="Calibri" w:hAnsi="Calibri"/>
                <w:b w:val="0"/>
                <w:i w:val="0"/>
                <w:color w:val="212121"/>
                <w:sz w:val="19"/>
              </w:rPr>
              <w:t>PHQ-9 ≥ 10 / elevated GDS</w:t>
            </w:r>
          </w:p>
        </w:tc>
        <w:tc>
          <w:tcPr>
            <w:tcW w:type="dxa" w:w="1468"/>
            <w:vAlign w:val="top"/>
          </w:tcPr>
          <w:p>
            <w:pPr>
              <w:spacing w:after="40" w:before="0" w:line="259" w:lineRule="auto"/>
            </w:pPr>
            <w:r>
              <w:rPr>
                <w:rFonts w:ascii="Calibri" w:hAnsi="Calibri"/>
                <w:b w:val="0"/>
                <w:i w:val="0"/>
                <w:color w:val="212121"/>
                <w:sz w:val="19"/>
              </w:rPr>
              <w:t>Depression is bidirectional with vascular cognitive decline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Infarcts, lacunes, white-matter hyperintensities, microbleeds</w:t>
            </w:r>
          </w:p>
        </w:tc>
        <w:tc>
          <w:tcPr>
            <w:tcW w:type="dxa" w:w="892"/>
            <w:vAlign w:val="top"/>
          </w:tcPr>
          <w:p>
            <w:pPr>
              <w:spacing w:after="40" w:before="0" w:line="259" w:lineRule="auto"/>
            </w:pPr>
            <w:r>
              <w:rPr>
                <w:rFonts w:ascii="Calibri" w:hAnsi="Calibri"/>
                <w:b w:val="0"/>
                <w:i w:val="0"/>
                <w:color w:val="212121"/>
                <w:sz w:val="16"/>
              </w:rPr>
              <w:t>MRI brain (preferred) / CT brain</w:t>
            </w:r>
          </w:p>
        </w:tc>
        <w:tc>
          <w:tcPr>
            <w:tcW w:type="dxa" w:w="950"/>
            <w:vAlign w:val="top"/>
          </w:tcPr>
          <w:p>
            <w:pPr>
              <w:spacing w:after="40" w:before="0" w:line="259" w:lineRule="auto"/>
            </w:pPr>
            <w:r>
              <w:rPr>
                <w:rFonts w:ascii="Calibri" w:hAnsi="Calibri"/>
                <w:b w:val="0"/>
                <w:i w:val="0"/>
                <w:color w:val="212121"/>
                <w:sz w:val="16"/>
              </w:rPr>
              <w:t>No significant vascular lesions</w:t>
            </w:r>
          </w:p>
        </w:tc>
        <w:tc>
          <w:tcPr>
            <w:tcW w:type="dxa" w:w="950"/>
            <w:vAlign w:val="top"/>
          </w:tcPr>
          <w:p>
            <w:pPr>
              <w:spacing w:after="40" w:before="0" w:line="259" w:lineRule="auto"/>
            </w:pPr>
            <w:r>
              <w:rPr>
                <w:rFonts w:ascii="Calibri" w:hAnsi="Calibri"/>
                <w:b w:val="0"/>
                <w:i w:val="0"/>
                <w:color w:val="212121"/>
                <w:sz w:val="16"/>
              </w:rPr>
              <w:t>Territorial/lacunar infarcts, extensive leukoaraiosis, microbleeds, atrophy</w:t>
            </w:r>
          </w:p>
        </w:tc>
        <w:tc>
          <w:tcPr>
            <w:tcW w:type="dxa" w:w="1036"/>
            <w:vAlign w:val="top"/>
          </w:tcPr>
          <w:p>
            <w:pPr>
              <w:spacing w:after="40" w:before="0" w:line="259" w:lineRule="auto"/>
            </w:pPr>
            <w:r>
              <w:rPr>
                <w:rFonts w:ascii="Calibri" w:hAnsi="Calibri"/>
                <w:b w:val="0"/>
                <w:i w:val="0"/>
                <w:color w:val="212121"/>
                <w:sz w:val="16"/>
              </w:rPr>
              <w:t>Confirms and characterises cerebrovascular substrate; central to diagnosis</w:t>
            </w:r>
          </w:p>
        </w:tc>
        <w:tc>
          <w:tcPr>
            <w:tcW w:type="dxa" w:w="1036"/>
            <w:vAlign w:val="top"/>
          </w:tcPr>
          <w:p>
            <w:pPr>
              <w:spacing w:after="40" w:before="0" w:line="259" w:lineRule="auto"/>
            </w:pPr>
            <w:r>
              <w:rPr>
                <w:rFonts w:ascii="Calibri" w:hAnsi="Calibri"/>
                <w:b w:val="0"/>
                <w:i w:val="0"/>
                <w:color w:val="212121"/>
                <w:sz w:val="16"/>
              </w:rPr>
              <w:t>Suspected VaD, post-stroke, stepwise decline</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MRI (FLAIR, SWI, DWI) far more sensitive than CT for small-vessel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 rhythm</w:t>
            </w:r>
          </w:p>
        </w:tc>
        <w:tc>
          <w:tcPr>
            <w:tcW w:type="dxa" w:w="1036"/>
            <w:vAlign w:val="top"/>
          </w:tcPr>
          <w:p>
            <w:pPr>
              <w:spacing w:after="40" w:before="0" w:line="259" w:lineRule="auto"/>
            </w:pPr>
            <w:r>
              <w:rPr>
                <w:rFonts w:ascii="Calibri" w:hAnsi="Calibri"/>
                <w:b w:val="0"/>
                <w:i w:val="0"/>
                <w:color w:val="212121"/>
                <w:sz w:val="16"/>
              </w:rPr>
              <w:t>Atrial fibrillation, ischaemia</w:t>
            </w:r>
          </w:p>
        </w:tc>
        <w:tc>
          <w:tcPr>
            <w:tcW w:type="dxa" w:w="892"/>
            <w:vAlign w:val="top"/>
          </w:tcPr>
          <w:p>
            <w:pPr>
              <w:spacing w:after="40" w:before="0" w:line="259" w:lineRule="auto"/>
            </w:pPr>
            <w:r>
              <w:rPr>
                <w:rFonts w:ascii="Calibri" w:hAnsi="Calibri"/>
                <w:b w:val="0"/>
                <w:i w:val="0"/>
                <w:color w:val="212121"/>
                <w:sz w:val="16"/>
              </w:rPr>
              <w:t>ECG ± Holter monitor</w:t>
            </w:r>
          </w:p>
        </w:tc>
        <w:tc>
          <w:tcPr>
            <w:tcW w:type="dxa" w:w="950"/>
            <w:vAlign w:val="top"/>
          </w:tcPr>
          <w:p>
            <w:pPr>
              <w:spacing w:after="40" w:before="0" w:line="259" w:lineRule="auto"/>
            </w:pPr>
            <w:r>
              <w:rPr>
                <w:rFonts w:ascii="Calibri" w:hAnsi="Calibri"/>
                <w:b w:val="0"/>
                <w:i w:val="0"/>
                <w:color w:val="212121"/>
                <w:sz w:val="16"/>
              </w:rPr>
              <w:t>Sinus rhythm, no ischaemia</w:t>
            </w:r>
          </w:p>
        </w:tc>
        <w:tc>
          <w:tcPr>
            <w:tcW w:type="dxa" w:w="950"/>
            <w:vAlign w:val="top"/>
          </w:tcPr>
          <w:p>
            <w:pPr>
              <w:spacing w:after="40" w:before="0" w:line="259" w:lineRule="auto"/>
            </w:pPr>
            <w:r>
              <w:rPr>
                <w:rFonts w:ascii="Calibri" w:hAnsi="Calibri"/>
                <w:b w:val="0"/>
                <w:i w:val="0"/>
                <w:color w:val="212121"/>
                <w:sz w:val="16"/>
              </w:rPr>
              <w:t>Atrial fibrillation, prior MI, arrhythmia</w:t>
            </w:r>
          </w:p>
        </w:tc>
        <w:tc>
          <w:tcPr>
            <w:tcW w:type="dxa" w:w="1036"/>
            <w:vAlign w:val="top"/>
          </w:tcPr>
          <w:p>
            <w:pPr>
              <w:spacing w:after="40" w:before="0" w:line="259" w:lineRule="auto"/>
            </w:pPr>
            <w:r>
              <w:rPr>
                <w:rFonts w:ascii="Calibri" w:hAnsi="Calibri"/>
                <w:b w:val="0"/>
                <w:i w:val="0"/>
                <w:color w:val="212121"/>
                <w:sz w:val="16"/>
              </w:rPr>
              <w:t>Identifies cardioembolic source of infarcts</w:t>
            </w:r>
          </w:p>
        </w:tc>
        <w:tc>
          <w:tcPr>
            <w:tcW w:type="dxa" w:w="1036"/>
            <w:vAlign w:val="top"/>
          </w:tcPr>
          <w:p>
            <w:pPr>
              <w:spacing w:after="40" w:before="0" w:line="259" w:lineRule="auto"/>
            </w:pPr>
            <w:r>
              <w:rPr>
                <w:rFonts w:ascii="Calibri" w:hAnsi="Calibri"/>
                <w:b w:val="0"/>
                <w:i w:val="0"/>
                <w:color w:val="212121"/>
                <w:sz w:val="16"/>
              </w:rPr>
              <w:t>Multi-infarct pattern, palpitations, embolic stroke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Prolonged monitoring may be needed to catch paroxysmal AF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Vascular imaging</w:t>
            </w:r>
          </w:p>
        </w:tc>
        <w:tc>
          <w:tcPr>
            <w:tcW w:type="dxa" w:w="1036"/>
            <w:vAlign w:val="top"/>
          </w:tcPr>
          <w:p>
            <w:pPr>
              <w:spacing w:after="40" w:before="0" w:line="259" w:lineRule="auto"/>
            </w:pPr>
            <w:r>
              <w:rPr>
                <w:rFonts w:ascii="Calibri" w:hAnsi="Calibri"/>
                <w:b w:val="0"/>
                <w:i w:val="0"/>
                <w:color w:val="212121"/>
                <w:sz w:val="16"/>
              </w:rPr>
              <w:t>Carotid/vertebral stenosis, plaque</w:t>
            </w:r>
          </w:p>
        </w:tc>
        <w:tc>
          <w:tcPr>
            <w:tcW w:type="dxa" w:w="892"/>
            <w:vAlign w:val="top"/>
          </w:tcPr>
          <w:p>
            <w:pPr>
              <w:spacing w:after="40" w:before="0" w:line="259" w:lineRule="auto"/>
            </w:pPr>
            <w:r>
              <w:rPr>
                <w:rFonts w:ascii="Calibri" w:hAnsi="Calibri"/>
                <w:b w:val="0"/>
                <w:i w:val="0"/>
                <w:color w:val="212121"/>
                <w:sz w:val="16"/>
              </w:rPr>
              <w:t>Carotid Doppler / CT or MR angiography</w:t>
            </w:r>
          </w:p>
        </w:tc>
        <w:tc>
          <w:tcPr>
            <w:tcW w:type="dxa" w:w="950"/>
            <w:vAlign w:val="top"/>
          </w:tcPr>
          <w:p>
            <w:pPr>
              <w:spacing w:after="40" w:before="0" w:line="259" w:lineRule="auto"/>
            </w:pPr>
            <w:r>
              <w:rPr>
                <w:rFonts w:ascii="Calibri" w:hAnsi="Calibri"/>
                <w:b w:val="0"/>
                <w:i w:val="0"/>
                <w:color w:val="212121"/>
                <w:sz w:val="16"/>
              </w:rPr>
              <w:t>&lt; 50% stenosis, no significant plaque</w:t>
            </w:r>
          </w:p>
        </w:tc>
        <w:tc>
          <w:tcPr>
            <w:tcW w:type="dxa" w:w="950"/>
            <w:vAlign w:val="top"/>
          </w:tcPr>
          <w:p>
            <w:pPr>
              <w:spacing w:after="40" w:before="0" w:line="259" w:lineRule="auto"/>
            </w:pPr>
            <w:r>
              <w:rPr>
                <w:rFonts w:ascii="Calibri" w:hAnsi="Calibri"/>
                <w:b w:val="0"/>
                <w:i w:val="0"/>
                <w:color w:val="212121"/>
                <w:sz w:val="16"/>
              </w:rPr>
              <w:t>Significant stenosis or unstable plaque</w:t>
            </w:r>
          </w:p>
        </w:tc>
        <w:tc>
          <w:tcPr>
            <w:tcW w:type="dxa" w:w="1036"/>
            <w:vAlign w:val="top"/>
          </w:tcPr>
          <w:p>
            <w:pPr>
              <w:spacing w:after="40" w:before="0" w:line="259" w:lineRule="auto"/>
            </w:pPr>
            <w:r>
              <w:rPr>
                <w:rFonts w:ascii="Calibri" w:hAnsi="Calibri"/>
                <w:b w:val="0"/>
                <w:i w:val="0"/>
                <w:color w:val="212121"/>
                <w:sz w:val="16"/>
              </w:rPr>
              <w:t>Detects large-artery source amenable to treatment</w:t>
            </w:r>
          </w:p>
        </w:tc>
        <w:tc>
          <w:tcPr>
            <w:tcW w:type="dxa" w:w="1036"/>
            <w:vAlign w:val="top"/>
          </w:tcPr>
          <w:p>
            <w:pPr>
              <w:spacing w:after="40" w:before="0" w:line="259" w:lineRule="auto"/>
            </w:pPr>
            <w:r>
              <w:rPr>
                <w:rFonts w:ascii="Calibri" w:hAnsi="Calibri"/>
                <w:b w:val="0"/>
                <w:i w:val="0"/>
                <w:color w:val="212121"/>
                <w:sz w:val="16"/>
              </w:rPr>
              <w:t>Cortical infarcts, carotid bruit, TIA</w:t>
            </w:r>
          </w:p>
        </w:tc>
        <w:tc>
          <w:tcPr>
            <w:tcW w:type="dxa" w:w="720"/>
            <w:vAlign w:val="top"/>
          </w:tcPr>
          <w:p>
            <w:pPr>
              <w:spacing w:after="40" w:before="0" w:line="259" w:lineRule="auto"/>
            </w:pPr>
            <w:r>
              <w:rPr>
                <w:rFonts w:ascii="Calibri" w:hAnsi="Calibri"/>
                <w:b w:val="0"/>
                <w:i w:val="0"/>
                <w:color w:val="212121"/>
                <w:sz w:val="16"/>
              </w:rPr>
              <w:t>Food; Smoking</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antiplatelet, statin or revascularisation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FPG 70–99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Identifies diabetes as a treatable vascular driver</w:t>
            </w:r>
          </w:p>
        </w:tc>
        <w:tc>
          <w:tcPr>
            <w:tcW w:type="dxa" w:w="1036"/>
            <w:vAlign w:val="top"/>
          </w:tcPr>
          <w:p>
            <w:pPr>
              <w:spacing w:after="40" w:before="0" w:line="259" w:lineRule="auto"/>
            </w:pPr>
            <w:r>
              <w:rPr>
                <w:rFonts w:ascii="Calibri" w:hAnsi="Calibri"/>
                <w:b w:val="0"/>
                <w:i w:val="0"/>
                <w:color w:val="212121"/>
                <w:sz w:val="16"/>
              </w:rPr>
              <w:t>All patients, diabetics,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Tight yet safe control; avoid hypoglycaemia in elderly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Lipid profile</w:t>
            </w:r>
          </w:p>
        </w:tc>
        <w:tc>
          <w:tcPr>
            <w:tcW w:type="dxa" w:w="892"/>
            <w:vAlign w:val="top"/>
          </w:tcPr>
          <w:p>
            <w:pPr>
              <w:spacing w:after="40" w:before="0" w:line="259" w:lineRule="auto"/>
            </w:pPr>
            <w:r>
              <w:rPr>
                <w:rFonts w:ascii="Calibri" w:hAnsi="Calibri"/>
                <w:b w:val="0"/>
                <w:i w:val="0"/>
                <w:color w:val="212121"/>
                <w:sz w:val="16"/>
              </w:rPr>
              <w:t>Fasting lipids</w:t>
            </w:r>
          </w:p>
        </w:tc>
        <w:tc>
          <w:tcPr>
            <w:tcW w:type="dxa" w:w="950"/>
            <w:vAlign w:val="top"/>
          </w:tcPr>
          <w:p>
            <w:pPr>
              <w:spacing w:after="40" w:before="0" w:line="259" w:lineRule="auto"/>
            </w:pPr>
            <w:r>
              <w:rPr>
                <w:rFonts w:ascii="Calibri" w:hAnsi="Calibri"/>
                <w:b w:val="0"/>
                <w:i w:val="0"/>
                <w:color w:val="212121"/>
                <w:sz w:val="16"/>
              </w:rPr>
              <w:t>LDL &lt; 100 mg/dL; TG &lt; 150</w:t>
            </w:r>
          </w:p>
        </w:tc>
        <w:tc>
          <w:tcPr>
            <w:tcW w:type="dxa" w:w="950"/>
            <w:vAlign w:val="top"/>
          </w:tcPr>
          <w:p>
            <w:pPr>
              <w:spacing w:after="40" w:before="0" w:line="259" w:lineRule="auto"/>
            </w:pPr>
            <w:r>
              <w:rPr>
                <w:rFonts w:ascii="Calibri" w:hAnsi="Calibri"/>
                <w:b w:val="0"/>
                <w:i w:val="0"/>
                <w:color w:val="212121"/>
                <w:sz w:val="16"/>
              </w:rPr>
              <w:t>LDL ≥ 130; low HDL; high TG</w:t>
            </w:r>
          </w:p>
        </w:tc>
        <w:tc>
          <w:tcPr>
            <w:tcW w:type="dxa" w:w="1036"/>
            <w:vAlign w:val="top"/>
          </w:tcPr>
          <w:p>
            <w:pPr>
              <w:spacing w:after="40" w:before="0" w:line="259" w:lineRule="auto"/>
            </w:pPr>
            <w:r>
              <w:rPr>
                <w:rFonts w:ascii="Calibri" w:hAnsi="Calibri"/>
                <w:b w:val="0"/>
                <w:i w:val="0"/>
                <w:color w:val="212121"/>
                <w:sz w:val="16"/>
              </w:rPr>
              <w:t>Quantifies atherogenic risk; statin target</w:t>
            </w:r>
          </w:p>
        </w:tc>
        <w:tc>
          <w:tcPr>
            <w:tcW w:type="dxa" w:w="1036"/>
            <w:vAlign w:val="top"/>
          </w:tcPr>
          <w:p>
            <w:pPr>
              <w:spacing w:after="40" w:before="0" w:line="259" w:lineRule="auto"/>
            </w:pPr>
            <w:r>
              <w:rPr>
                <w:rFonts w:ascii="Calibri" w:hAnsi="Calibri"/>
                <w:b w:val="0"/>
                <w:i w:val="0"/>
                <w:color w:val="212121"/>
                <w:sz w:val="16"/>
              </w:rPr>
              <w:t>Atherosclerosis, carotid disease, high risk</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Statins reduce recurrent ischaemic events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Reversible-cause screen</w:t>
            </w:r>
          </w:p>
        </w:tc>
        <w:tc>
          <w:tcPr>
            <w:tcW w:type="dxa" w:w="1036"/>
            <w:vAlign w:val="top"/>
          </w:tcPr>
          <w:p>
            <w:pPr>
              <w:spacing w:after="40" w:before="0" w:line="259" w:lineRule="auto"/>
            </w:pPr>
            <w:r>
              <w:rPr>
                <w:rFonts w:ascii="Calibri" w:hAnsi="Calibri"/>
                <w:b w:val="0"/>
                <w:i w:val="0"/>
                <w:color w:val="212121"/>
                <w:sz w:val="16"/>
              </w:rPr>
              <w:t>B12, TSH, CBC, renal/hepatic, electrolytes</w:t>
            </w:r>
          </w:p>
        </w:tc>
        <w:tc>
          <w:tcPr>
            <w:tcW w:type="dxa" w:w="892"/>
            <w:vAlign w:val="top"/>
          </w:tcPr>
          <w:p>
            <w:pPr>
              <w:spacing w:after="40" w:before="0" w:line="259" w:lineRule="auto"/>
            </w:pPr>
            <w:r>
              <w:rPr>
                <w:rFonts w:ascii="Calibri" w:hAnsi="Calibri"/>
                <w:b w:val="0"/>
                <w:i w:val="0"/>
                <w:color w:val="212121"/>
                <w:sz w:val="16"/>
              </w:rPr>
              <w:t>Bloods for treatable mimics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Low B12, hypothyroidism, anaemia, uraemia</w:t>
            </w:r>
          </w:p>
        </w:tc>
        <w:tc>
          <w:tcPr>
            <w:tcW w:type="dxa" w:w="1036"/>
            <w:vAlign w:val="top"/>
          </w:tcPr>
          <w:p>
            <w:pPr>
              <w:spacing w:after="40" w:before="0" w:line="259" w:lineRule="auto"/>
            </w:pPr>
            <w:r>
              <w:rPr>
                <w:rFonts w:ascii="Calibri" w:hAnsi="Calibri"/>
                <w:b w:val="0"/>
                <w:i w:val="0"/>
                <w:color w:val="212121"/>
                <w:sz w:val="16"/>
              </w:rPr>
              <w:t>Excludes/treats reversible contributors to cognitive decline</w:t>
            </w:r>
          </w:p>
        </w:tc>
        <w:tc>
          <w:tcPr>
            <w:tcW w:type="dxa" w:w="1036"/>
            <w:vAlign w:val="top"/>
          </w:tcPr>
          <w:p>
            <w:pPr>
              <w:spacing w:after="40" w:before="0" w:line="259" w:lineRule="auto"/>
            </w:pPr>
            <w:r>
              <w:rPr>
                <w:rFonts w:ascii="Calibri" w:hAnsi="Calibri"/>
                <w:b w:val="0"/>
                <w:i w:val="0"/>
                <w:color w:val="212121"/>
                <w:sz w:val="16"/>
              </w:rPr>
              <w:t>All new dementia work-ups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Correctable deficiencies can worsen cognition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(selected)</w:t>
            </w:r>
          </w:p>
        </w:tc>
        <w:tc>
          <w:tcPr>
            <w:tcW w:type="dxa" w:w="1036"/>
            <w:vAlign w:val="top"/>
          </w:tcPr>
          <w:p>
            <w:pPr>
              <w:spacing w:after="40" w:before="0" w:line="259" w:lineRule="auto"/>
            </w:pPr>
            <w:r>
              <w:rPr>
                <w:rFonts w:ascii="Calibri" w:hAnsi="Calibri"/>
                <w:b w:val="0"/>
                <w:i w:val="0"/>
                <w:color w:val="212121"/>
                <w:sz w:val="16"/>
              </w:rPr>
              <w:t>Homocysteine, hs-CRP</w:t>
            </w:r>
          </w:p>
        </w:tc>
        <w:tc>
          <w:tcPr>
            <w:tcW w:type="dxa" w:w="892"/>
            <w:vAlign w:val="top"/>
          </w:tcPr>
          <w:p>
            <w:pPr>
              <w:spacing w:after="40" w:before="0" w:line="259" w:lineRule="auto"/>
            </w:pPr>
            <w:r>
              <w:rPr>
                <w:rFonts w:ascii="Calibri" w:hAnsi="Calibri"/>
                <w:b w:val="0"/>
                <w:i w:val="0"/>
                <w:color w:val="212121"/>
                <w:sz w:val="16"/>
              </w:rPr>
              <w:t>Vascular-risk markers</w:t>
            </w:r>
          </w:p>
        </w:tc>
        <w:tc>
          <w:tcPr>
            <w:tcW w:type="dxa" w:w="950"/>
            <w:vAlign w:val="top"/>
          </w:tcPr>
          <w:p>
            <w:pPr>
              <w:spacing w:after="40" w:before="0" w:line="259" w:lineRule="auto"/>
            </w:pPr>
            <w:r>
              <w:rPr>
                <w:rFonts w:ascii="Calibri" w:hAnsi="Calibri"/>
                <w:b w:val="0"/>
                <w:i w:val="0"/>
                <w:color w:val="212121"/>
                <w:sz w:val="16"/>
              </w:rPr>
              <w:t>Normal homocysteine/CRP</w:t>
            </w:r>
          </w:p>
        </w:tc>
        <w:tc>
          <w:tcPr>
            <w:tcW w:type="dxa" w:w="950"/>
            <w:vAlign w:val="top"/>
          </w:tcPr>
          <w:p>
            <w:pPr>
              <w:spacing w:after="40" w:before="0" w:line="259" w:lineRule="auto"/>
            </w:pPr>
            <w:r>
              <w:rPr>
                <w:rFonts w:ascii="Calibri" w:hAnsi="Calibri"/>
                <w:b w:val="0"/>
                <w:i w:val="0"/>
                <w:color w:val="212121"/>
                <w:sz w:val="16"/>
              </w:rPr>
              <w:t>Hyperhomocysteinaemia, raised inflammatory markers</w:t>
            </w:r>
          </w:p>
        </w:tc>
        <w:tc>
          <w:tcPr>
            <w:tcW w:type="dxa" w:w="1036"/>
            <w:vAlign w:val="top"/>
          </w:tcPr>
          <w:p>
            <w:pPr>
              <w:spacing w:after="40" w:before="0" w:line="259" w:lineRule="auto"/>
            </w:pPr>
            <w:r>
              <w:rPr>
                <w:rFonts w:ascii="Calibri" w:hAnsi="Calibri"/>
                <w:b w:val="0"/>
                <w:i w:val="0"/>
                <w:color w:val="212121"/>
                <w:sz w:val="16"/>
              </w:rPr>
              <w:t>Support markers of vascular risk in selected patients</w:t>
            </w:r>
          </w:p>
        </w:tc>
        <w:tc>
          <w:tcPr>
            <w:tcW w:type="dxa" w:w="1036"/>
            <w:vAlign w:val="top"/>
          </w:tcPr>
          <w:p>
            <w:pPr>
              <w:spacing w:after="40" w:before="0" w:line="259" w:lineRule="auto"/>
            </w:pPr>
            <w:r>
              <w:rPr>
                <w:rFonts w:ascii="Calibri" w:hAnsi="Calibri"/>
                <w:b w:val="0"/>
                <w:i w:val="0"/>
                <w:color w:val="212121"/>
                <w:sz w:val="16"/>
              </w:rPr>
              <w:t>Young/early or unexplained SVD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routine; consider in atypical/early-onset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 (selected)</w:t>
            </w:r>
          </w:p>
        </w:tc>
        <w:tc>
          <w:tcPr>
            <w:tcW w:type="dxa" w:w="1036"/>
            <w:vAlign w:val="top"/>
          </w:tcPr>
          <w:p>
            <w:pPr>
              <w:spacing w:after="40" w:before="0" w:line="259" w:lineRule="auto"/>
            </w:pPr>
            <w:r>
              <w:rPr>
                <w:rFonts w:ascii="Calibri" w:hAnsi="Calibri"/>
                <w:b w:val="0"/>
                <w:i w:val="0"/>
                <w:color w:val="212121"/>
                <w:sz w:val="16"/>
              </w:rPr>
              <w:t>NOTCH3 mutation</w:t>
            </w:r>
          </w:p>
        </w:tc>
        <w:tc>
          <w:tcPr>
            <w:tcW w:type="dxa" w:w="892"/>
            <w:vAlign w:val="top"/>
          </w:tcPr>
          <w:p>
            <w:pPr>
              <w:spacing w:after="40" w:before="0" w:line="259" w:lineRule="auto"/>
            </w:pPr>
            <w:r>
              <w:rPr>
                <w:rFonts w:ascii="Calibri" w:hAnsi="Calibri"/>
                <w:b w:val="0"/>
                <w:i w:val="0"/>
                <w:color w:val="212121"/>
                <w:sz w:val="16"/>
              </w:rPr>
              <w:t>CADASIL genetic testing / skin biopsy</w:t>
            </w:r>
          </w:p>
        </w:tc>
        <w:tc>
          <w:tcPr>
            <w:tcW w:type="dxa" w:w="950"/>
            <w:vAlign w:val="top"/>
          </w:tcPr>
          <w:p>
            <w:pPr>
              <w:spacing w:after="40" w:before="0" w:line="259" w:lineRule="auto"/>
            </w:pPr>
            <w:r>
              <w:rPr>
                <w:rFonts w:ascii="Calibri" w:hAnsi="Calibri"/>
                <w:b w:val="0"/>
                <w:i w:val="0"/>
                <w:color w:val="212121"/>
                <w:sz w:val="16"/>
              </w:rPr>
              <w:t>No pathogenic variant</w:t>
            </w:r>
          </w:p>
        </w:tc>
        <w:tc>
          <w:tcPr>
            <w:tcW w:type="dxa" w:w="950"/>
            <w:vAlign w:val="top"/>
          </w:tcPr>
          <w:p>
            <w:pPr>
              <w:spacing w:after="40" w:before="0" w:line="259" w:lineRule="auto"/>
            </w:pPr>
            <w:r>
              <w:rPr>
                <w:rFonts w:ascii="Calibri" w:hAnsi="Calibri"/>
                <w:b w:val="0"/>
                <w:i w:val="0"/>
                <w:color w:val="212121"/>
                <w:sz w:val="16"/>
              </w:rPr>
              <w:t>NOTCH3 mutation / GOM on biopsy</w:t>
            </w:r>
          </w:p>
        </w:tc>
        <w:tc>
          <w:tcPr>
            <w:tcW w:type="dxa" w:w="1036"/>
            <w:vAlign w:val="top"/>
          </w:tcPr>
          <w:p>
            <w:pPr>
              <w:spacing w:after="40" w:before="0" w:line="259" w:lineRule="auto"/>
            </w:pPr>
            <w:r>
              <w:rPr>
                <w:rFonts w:ascii="Calibri" w:hAnsi="Calibri"/>
                <w:b w:val="0"/>
                <w:i w:val="0"/>
                <w:color w:val="212121"/>
                <w:sz w:val="16"/>
              </w:rPr>
              <w:t>Confirms hereditary small-vessel disease</w:t>
            </w:r>
          </w:p>
        </w:tc>
        <w:tc>
          <w:tcPr>
            <w:tcW w:type="dxa" w:w="1036"/>
            <w:vAlign w:val="top"/>
          </w:tcPr>
          <w:p>
            <w:pPr>
              <w:spacing w:after="40" w:before="0" w:line="259" w:lineRule="auto"/>
            </w:pPr>
            <w:r>
              <w:rPr>
                <w:rFonts w:ascii="Calibri" w:hAnsi="Calibri"/>
                <w:b w:val="0"/>
                <w:i w:val="0"/>
                <w:color w:val="212121"/>
                <w:sz w:val="16"/>
              </w:rPr>
              <w:t>Early-onset, familial SVD, migraine with aura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 for young/familial cases without usual risk factors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&amp; course</w:t>
            </w:r>
          </w:p>
        </w:tc>
        <w:tc>
          <w:tcPr>
            <w:tcW w:type="dxa" w:w="979"/>
            <w:vAlign w:val="top"/>
          </w:tcPr>
          <w:p>
            <w:pPr>
              <w:spacing w:after="40" w:before="0" w:line="259" w:lineRule="auto"/>
            </w:pPr>
            <w:r>
              <w:rPr>
                <w:rFonts w:ascii="Calibri" w:hAnsi="Calibri"/>
                <w:b w:val="0"/>
                <w:i w:val="0"/>
                <w:color w:val="212121"/>
                <w:sz w:val="16"/>
              </w:rPr>
              <w:t>Slowed thinking, executive/attention loss, stepwise decline</w:t>
            </w:r>
          </w:p>
        </w:tc>
        <w:tc>
          <w:tcPr>
            <w:tcW w:type="dxa" w:w="950"/>
            <w:vAlign w:val="top"/>
          </w:tcPr>
          <w:p>
            <w:pPr>
              <w:spacing w:after="40" w:before="0" w:line="259" w:lineRule="auto"/>
            </w:pPr>
            <w:r>
              <w:rPr>
                <w:rFonts w:ascii="Calibri" w:hAnsi="Calibri"/>
                <w:b w:val="0"/>
                <w:i w:val="0"/>
                <w:color w:val="212121"/>
                <w:sz w:val="16"/>
              </w:rPr>
              <w:t>Stable cognition</w:t>
            </w:r>
          </w:p>
        </w:tc>
        <w:tc>
          <w:tcPr>
            <w:tcW w:type="dxa" w:w="950"/>
            <w:vAlign w:val="top"/>
          </w:tcPr>
          <w:p>
            <w:pPr>
              <w:spacing w:after="40" w:before="0" w:line="259" w:lineRule="auto"/>
            </w:pPr>
            <w:r>
              <w:rPr>
                <w:rFonts w:ascii="Calibri" w:hAnsi="Calibri"/>
                <w:b w:val="0"/>
                <w:i w:val="0"/>
                <w:color w:val="212121"/>
                <w:sz w:val="16"/>
              </w:rPr>
              <w:t>Stepwise or fluctuating decline, early executive dysfunction</w:t>
            </w:r>
          </w:p>
        </w:tc>
        <w:tc>
          <w:tcPr>
            <w:tcW w:type="dxa" w:w="1036"/>
            <w:vAlign w:val="top"/>
          </w:tcPr>
          <w:p>
            <w:pPr>
              <w:spacing w:after="40" w:before="0" w:line="259" w:lineRule="auto"/>
            </w:pPr>
            <w:r>
              <w:rPr>
                <w:rFonts w:ascii="Calibri" w:hAnsi="Calibri"/>
                <w:b w:val="0"/>
                <w:i w:val="0"/>
                <w:color w:val="212121"/>
                <w:sz w:val="16"/>
              </w:rPr>
              <w:t>Pattern and tempo distinguish vascular from Alzheimer dementia</w:t>
            </w:r>
          </w:p>
        </w:tc>
        <w:tc>
          <w:tcPr>
            <w:tcW w:type="dxa" w:w="1036"/>
            <w:vAlign w:val="top"/>
          </w:tcPr>
          <w:p>
            <w:pPr>
              <w:spacing w:after="40" w:before="0" w:line="259" w:lineRule="auto"/>
            </w:pPr>
            <w:r>
              <w:rPr>
                <w:rFonts w:ascii="Calibri" w:hAnsi="Calibri"/>
                <w:b w:val="0"/>
                <w:i w:val="0"/>
                <w:color w:val="212121"/>
                <w:sz w:val="16"/>
              </w:rPr>
              <w:t>Suspected VaD, post-stroke, small-vessel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carers for timeline relative to vascular events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Vascular risk &amp; event history</w:t>
            </w:r>
          </w:p>
        </w:tc>
        <w:tc>
          <w:tcPr>
            <w:tcW w:type="dxa" w:w="979"/>
            <w:vAlign w:val="top"/>
          </w:tcPr>
          <w:p>
            <w:pPr>
              <w:spacing w:after="40" w:before="0" w:line="259" w:lineRule="auto"/>
            </w:pPr>
            <w:r>
              <w:rPr>
                <w:rFonts w:ascii="Calibri" w:hAnsi="Calibri"/>
                <w:b w:val="0"/>
                <w:i w:val="0"/>
                <w:color w:val="212121"/>
                <w:sz w:val="16"/>
              </w:rPr>
              <w:t>Hypertension, diabetes, smoking, stroke/TIA, AF</w:t>
            </w:r>
          </w:p>
        </w:tc>
        <w:tc>
          <w:tcPr>
            <w:tcW w:type="dxa" w:w="950"/>
            <w:vAlign w:val="top"/>
          </w:tcPr>
          <w:p>
            <w:pPr>
              <w:spacing w:after="40" w:before="0" w:line="259" w:lineRule="auto"/>
            </w:pPr>
            <w:r>
              <w:rPr>
                <w:rFonts w:ascii="Calibri" w:hAnsi="Calibri"/>
                <w:b w:val="0"/>
                <w:i w:val="0"/>
                <w:color w:val="212121"/>
                <w:sz w:val="16"/>
              </w:rPr>
              <w:t>No vascular risk factors</w:t>
            </w:r>
          </w:p>
        </w:tc>
        <w:tc>
          <w:tcPr>
            <w:tcW w:type="dxa" w:w="950"/>
            <w:vAlign w:val="top"/>
          </w:tcPr>
          <w:p>
            <w:pPr>
              <w:spacing w:after="40" w:before="0" w:line="259" w:lineRule="auto"/>
            </w:pPr>
            <w:r>
              <w:rPr>
                <w:rFonts w:ascii="Calibri" w:hAnsi="Calibri"/>
                <w:b w:val="0"/>
                <w:i w:val="0"/>
                <w:color w:val="212121"/>
                <w:sz w:val="16"/>
              </w:rPr>
              <w:t>One or more vascular risk factors / prior stroke</w:t>
            </w:r>
          </w:p>
        </w:tc>
        <w:tc>
          <w:tcPr>
            <w:tcW w:type="dxa" w:w="1036"/>
            <w:vAlign w:val="top"/>
          </w:tcPr>
          <w:p>
            <w:pPr>
              <w:spacing w:after="40" w:before="0" w:line="259" w:lineRule="auto"/>
            </w:pPr>
            <w:r>
              <w:rPr>
                <w:rFonts w:ascii="Calibri" w:hAnsi="Calibri"/>
                <w:b w:val="0"/>
                <w:i w:val="0"/>
                <w:color w:val="212121"/>
                <w:sz w:val="16"/>
              </w:rPr>
              <w:t>Establishes causal cerebrovascular burden</w:t>
            </w:r>
          </w:p>
        </w:tc>
        <w:tc>
          <w:tcPr>
            <w:tcW w:type="dxa" w:w="1036"/>
            <w:vAlign w:val="top"/>
          </w:tcPr>
          <w:p>
            <w:pPr>
              <w:spacing w:after="40" w:before="0" w:line="259" w:lineRule="auto"/>
            </w:pPr>
            <w:r>
              <w:rPr>
                <w:rFonts w:ascii="Calibri" w:hAnsi="Calibri"/>
                <w:b w:val="0"/>
                <w:i w:val="0"/>
                <w:color w:val="212121"/>
                <w:sz w:val="16"/>
              </w:rPr>
              <w:t>Hypertensives, diabetics, stroke survivors</w:t>
            </w:r>
          </w:p>
        </w:tc>
        <w:tc>
          <w:tcPr>
            <w:tcW w:type="dxa" w:w="720"/>
            <w:vAlign w:val="top"/>
          </w:tcPr>
          <w:p>
            <w:pPr>
              <w:spacing w:after="40" w:before="0" w:line="259" w:lineRule="auto"/>
            </w:pPr>
            <w:r>
              <w:rPr>
                <w:rFonts w:ascii="Calibri" w:hAnsi="Calibri"/>
                <w:b w:val="0"/>
                <w:i w:val="0"/>
                <w:color w:val="212121"/>
                <w:sz w:val="16"/>
              </w:rPr>
              <w:t>Food; Smoking;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control and treatment adherence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Cognitive testing</w:t>
            </w:r>
          </w:p>
        </w:tc>
        <w:tc>
          <w:tcPr>
            <w:tcW w:type="dxa" w:w="950"/>
            <w:vAlign w:val="top"/>
          </w:tcPr>
          <w:p>
            <w:pPr>
              <w:spacing w:after="40" w:before="0" w:line="259" w:lineRule="auto"/>
            </w:pPr>
            <w:r>
              <w:rPr>
                <w:rFonts w:ascii="Calibri" w:hAnsi="Calibri"/>
                <w:b w:val="0"/>
                <w:i w:val="0"/>
                <w:color w:val="212121"/>
                <w:sz w:val="16"/>
              </w:rPr>
              <w:t>Bedside cognitive screen</w:t>
            </w:r>
          </w:p>
        </w:tc>
        <w:tc>
          <w:tcPr>
            <w:tcW w:type="dxa" w:w="979"/>
            <w:vAlign w:val="top"/>
          </w:tcPr>
          <w:p>
            <w:pPr>
              <w:spacing w:after="40" w:before="0" w:line="259" w:lineRule="auto"/>
            </w:pPr>
            <w:r>
              <w:rPr>
                <w:rFonts w:ascii="Calibri" w:hAnsi="Calibri"/>
                <w:b w:val="0"/>
                <w:i w:val="0"/>
                <w:color w:val="212121"/>
                <w:sz w:val="16"/>
              </w:rPr>
              <w:t>MoCA / MMSE / Hindi Mental State Exam (HMSE)</w:t>
            </w:r>
          </w:p>
        </w:tc>
        <w:tc>
          <w:tcPr>
            <w:tcW w:type="dxa" w:w="950"/>
            <w:vAlign w:val="top"/>
          </w:tcPr>
          <w:p>
            <w:pPr>
              <w:spacing w:after="40" w:before="0" w:line="259" w:lineRule="auto"/>
            </w:pPr>
            <w:r>
              <w:rPr>
                <w:rFonts w:ascii="Calibri" w:hAnsi="Calibri"/>
                <w:b w:val="0"/>
                <w:i w:val="0"/>
                <w:color w:val="212121"/>
                <w:sz w:val="16"/>
              </w:rPr>
              <w:t>MoCA ≥ 26</w:t>
            </w:r>
          </w:p>
        </w:tc>
        <w:tc>
          <w:tcPr>
            <w:tcW w:type="dxa" w:w="950"/>
            <w:vAlign w:val="top"/>
          </w:tcPr>
          <w:p>
            <w:pPr>
              <w:spacing w:after="40" w:before="0" w:line="259" w:lineRule="auto"/>
            </w:pPr>
            <w:r>
              <w:rPr>
                <w:rFonts w:ascii="Calibri" w:hAnsi="Calibri"/>
                <w:b w:val="0"/>
                <w:i w:val="0"/>
                <w:color w:val="212121"/>
                <w:sz w:val="16"/>
              </w:rPr>
              <w:t>Low scores, esp. attention/executive/processing items</w:t>
            </w:r>
          </w:p>
        </w:tc>
        <w:tc>
          <w:tcPr>
            <w:tcW w:type="dxa" w:w="1036"/>
            <w:vAlign w:val="top"/>
          </w:tcPr>
          <w:p>
            <w:pPr>
              <w:spacing w:after="40" w:before="0" w:line="259" w:lineRule="auto"/>
            </w:pPr>
            <w:r>
              <w:rPr>
                <w:rFonts w:ascii="Calibri" w:hAnsi="Calibri"/>
                <w:b w:val="0"/>
                <w:i w:val="0"/>
                <w:color w:val="212121"/>
                <w:sz w:val="16"/>
              </w:rPr>
              <w:t>Quantifies deficits; MoCA more sensitive to executive/vascular pattern</w:t>
            </w:r>
          </w:p>
        </w:tc>
        <w:tc>
          <w:tcPr>
            <w:tcW w:type="dxa" w:w="1036"/>
            <w:vAlign w:val="top"/>
          </w:tcPr>
          <w:p>
            <w:pPr>
              <w:spacing w:after="40" w:before="0" w:line="259" w:lineRule="auto"/>
            </w:pPr>
            <w:r>
              <w:rPr>
                <w:rFonts w:ascii="Calibri" w:hAnsi="Calibri"/>
                <w:b w:val="0"/>
                <w:i w:val="0"/>
                <w:color w:val="212121"/>
                <w:sz w:val="16"/>
              </w:rPr>
              <w:t>All suspected dementia; low-literacy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validated, education- and language-adjusted tools (HMSE)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Scoring</w:t>
            </w:r>
          </w:p>
        </w:tc>
        <w:tc>
          <w:tcPr>
            <w:tcW w:type="dxa" w:w="950"/>
            <w:vAlign w:val="top"/>
          </w:tcPr>
          <w:p>
            <w:pPr>
              <w:spacing w:after="40" w:before="0" w:line="259" w:lineRule="auto"/>
            </w:pPr>
            <w:r>
              <w:rPr>
                <w:rFonts w:ascii="Calibri" w:hAnsi="Calibri"/>
                <w:b w:val="0"/>
                <w:i w:val="0"/>
                <w:color w:val="212121"/>
                <w:sz w:val="16"/>
              </w:rPr>
              <w:t>Hachinski Ischemic Score</w:t>
            </w:r>
          </w:p>
        </w:tc>
        <w:tc>
          <w:tcPr>
            <w:tcW w:type="dxa" w:w="979"/>
            <w:vAlign w:val="top"/>
          </w:tcPr>
          <w:p>
            <w:pPr>
              <w:spacing w:after="40" w:before="0" w:line="259" w:lineRule="auto"/>
            </w:pPr>
            <w:r>
              <w:rPr>
                <w:rFonts w:ascii="Calibri" w:hAnsi="Calibri"/>
                <w:b w:val="0"/>
                <w:i w:val="0"/>
                <w:color w:val="212121"/>
                <w:sz w:val="16"/>
              </w:rPr>
              <w:t>Abrupt onset, stepwise course, focal signs, stroke history, emotional incontinence</w:t>
            </w:r>
          </w:p>
        </w:tc>
        <w:tc>
          <w:tcPr>
            <w:tcW w:type="dxa" w:w="950"/>
            <w:vAlign w:val="top"/>
          </w:tcPr>
          <w:p>
            <w:pPr>
              <w:spacing w:after="40" w:before="0" w:line="259" w:lineRule="auto"/>
            </w:pPr>
            <w:r>
              <w:rPr>
                <w:rFonts w:ascii="Calibri" w:hAnsi="Calibri"/>
                <w:b w:val="0"/>
                <w:i w:val="0"/>
                <w:color w:val="212121"/>
                <w:sz w:val="16"/>
              </w:rPr>
              <w:t>Low score (favours Alzheimer)</w:t>
            </w:r>
          </w:p>
        </w:tc>
        <w:tc>
          <w:tcPr>
            <w:tcW w:type="dxa" w:w="950"/>
            <w:vAlign w:val="top"/>
          </w:tcPr>
          <w:p>
            <w:pPr>
              <w:spacing w:after="40" w:before="0" w:line="259" w:lineRule="auto"/>
            </w:pPr>
            <w:r>
              <w:rPr>
                <w:rFonts w:ascii="Calibri" w:hAnsi="Calibri"/>
                <w:b w:val="0"/>
                <w:i w:val="0"/>
                <w:color w:val="212121"/>
                <w:sz w:val="16"/>
              </w:rPr>
              <w:t>High score (favours vascular)</w:t>
            </w:r>
          </w:p>
        </w:tc>
        <w:tc>
          <w:tcPr>
            <w:tcW w:type="dxa" w:w="1036"/>
            <w:vAlign w:val="top"/>
          </w:tcPr>
          <w:p>
            <w:pPr>
              <w:spacing w:after="40" w:before="0" w:line="259" w:lineRule="auto"/>
            </w:pPr>
            <w:r>
              <w:rPr>
                <w:rFonts w:ascii="Calibri" w:hAnsi="Calibri"/>
                <w:b w:val="0"/>
                <w:i w:val="0"/>
                <w:color w:val="212121"/>
                <w:sz w:val="16"/>
              </w:rPr>
              <w:t>Bedside tool separating vascular from degenerative dementia</w:t>
            </w:r>
          </w:p>
        </w:tc>
        <w:tc>
          <w:tcPr>
            <w:tcW w:type="dxa" w:w="1036"/>
            <w:vAlign w:val="top"/>
          </w:tcPr>
          <w:p>
            <w:pPr>
              <w:spacing w:after="40" w:before="0" w:line="259" w:lineRule="auto"/>
            </w:pPr>
            <w:r>
              <w:rPr>
                <w:rFonts w:ascii="Calibri" w:hAnsi="Calibri"/>
                <w:b w:val="0"/>
                <w:i w:val="0"/>
                <w:color w:val="212121"/>
                <w:sz w:val="16"/>
              </w:rPr>
              <w:t>Differentiating VaD vs AD vs mixed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Supports but does not replace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Focal deficits &amp; pyramidal signs</w:t>
            </w:r>
          </w:p>
        </w:tc>
        <w:tc>
          <w:tcPr>
            <w:tcW w:type="dxa" w:w="979"/>
            <w:vAlign w:val="top"/>
          </w:tcPr>
          <w:p>
            <w:pPr>
              <w:spacing w:after="40" w:before="0" w:line="259" w:lineRule="auto"/>
            </w:pPr>
            <w:r>
              <w:rPr>
                <w:rFonts w:ascii="Calibri" w:hAnsi="Calibri"/>
                <w:b w:val="0"/>
                <w:i w:val="0"/>
                <w:color w:val="212121"/>
                <w:sz w:val="16"/>
              </w:rPr>
              <w:t>Hemiparesis, hemisensory loss, hyperreflexia, extensor plantar</w:t>
            </w:r>
          </w:p>
        </w:tc>
        <w:tc>
          <w:tcPr>
            <w:tcW w:type="dxa" w:w="950"/>
            <w:vAlign w:val="top"/>
          </w:tcPr>
          <w:p>
            <w:pPr>
              <w:spacing w:after="40" w:before="0" w:line="259" w:lineRule="auto"/>
            </w:pPr>
            <w:r>
              <w:rPr>
                <w:rFonts w:ascii="Calibri" w:hAnsi="Calibri"/>
                <w:b w:val="0"/>
                <w:i w:val="0"/>
                <w:color w:val="212121"/>
                <w:sz w:val="16"/>
              </w:rPr>
              <w:t>No focal deficit</w:t>
            </w:r>
          </w:p>
        </w:tc>
        <w:tc>
          <w:tcPr>
            <w:tcW w:type="dxa" w:w="950"/>
            <w:vAlign w:val="top"/>
          </w:tcPr>
          <w:p>
            <w:pPr>
              <w:spacing w:after="40" w:before="0" w:line="259" w:lineRule="auto"/>
            </w:pPr>
            <w:r>
              <w:rPr>
                <w:rFonts w:ascii="Calibri" w:hAnsi="Calibri"/>
                <w:b w:val="0"/>
                <w:i w:val="0"/>
                <w:color w:val="212121"/>
                <w:sz w:val="16"/>
              </w:rPr>
              <w:t>Focal/asymmetric deficits, pyramidal signs</w:t>
            </w:r>
          </w:p>
        </w:tc>
        <w:tc>
          <w:tcPr>
            <w:tcW w:type="dxa" w:w="1036"/>
            <w:vAlign w:val="top"/>
          </w:tcPr>
          <w:p>
            <w:pPr>
              <w:spacing w:after="40" w:before="0" w:line="259" w:lineRule="auto"/>
            </w:pPr>
            <w:r>
              <w:rPr>
                <w:rFonts w:ascii="Calibri" w:hAnsi="Calibri"/>
                <w:b w:val="0"/>
                <w:i w:val="0"/>
                <w:color w:val="212121"/>
                <w:sz w:val="16"/>
              </w:rPr>
              <w:t>Corroborates cerebrovascular lesions</w:t>
            </w:r>
          </w:p>
        </w:tc>
        <w:tc>
          <w:tcPr>
            <w:tcW w:type="dxa" w:w="1036"/>
            <w:vAlign w:val="top"/>
          </w:tcPr>
          <w:p>
            <w:pPr>
              <w:spacing w:after="40" w:before="0" w:line="259" w:lineRule="auto"/>
            </w:pPr>
            <w:r>
              <w:rPr>
                <w:rFonts w:ascii="Calibri" w:hAnsi="Calibri"/>
                <w:b w:val="0"/>
                <w:i w:val="0"/>
                <w:color w:val="212121"/>
                <w:sz w:val="16"/>
              </w:rPr>
              <w:t>Post-stroke, multi-infarct dementia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Signs often localise to imaged lesions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Gait &amp; pseudobulbar exam</w:t>
            </w:r>
          </w:p>
        </w:tc>
        <w:tc>
          <w:tcPr>
            <w:tcW w:type="dxa" w:w="950"/>
            <w:vAlign w:val="top"/>
          </w:tcPr>
          <w:p>
            <w:pPr>
              <w:spacing w:after="40" w:before="0" w:line="259" w:lineRule="auto"/>
            </w:pPr>
            <w:r>
              <w:rPr>
                <w:rFonts w:ascii="Calibri" w:hAnsi="Calibri"/>
                <w:b w:val="0"/>
                <w:i w:val="0"/>
                <w:color w:val="212121"/>
                <w:sz w:val="16"/>
              </w:rPr>
              <w:t>Gait, balance and bulbar function</w:t>
            </w:r>
          </w:p>
        </w:tc>
        <w:tc>
          <w:tcPr>
            <w:tcW w:type="dxa" w:w="979"/>
            <w:vAlign w:val="top"/>
          </w:tcPr>
          <w:p>
            <w:pPr>
              <w:spacing w:after="40" w:before="0" w:line="259" w:lineRule="auto"/>
            </w:pPr>
            <w:r>
              <w:rPr>
                <w:rFonts w:ascii="Calibri" w:hAnsi="Calibri"/>
                <w:b w:val="0"/>
                <w:i w:val="0"/>
                <w:color w:val="212121"/>
                <w:sz w:val="16"/>
              </w:rPr>
              <w:t>Small-stepped/shuffling gait, imbalance, dysarthria, emotional lability</w:t>
            </w:r>
          </w:p>
        </w:tc>
        <w:tc>
          <w:tcPr>
            <w:tcW w:type="dxa" w:w="950"/>
            <w:vAlign w:val="top"/>
          </w:tcPr>
          <w:p>
            <w:pPr>
              <w:spacing w:after="40" w:before="0" w:line="259" w:lineRule="auto"/>
            </w:pPr>
            <w:r>
              <w:rPr>
                <w:rFonts w:ascii="Calibri" w:hAnsi="Calibri"/>
                <w:b w:val="0"/>
                <w:i w:val="0"/>
                <w:color w:val="212121"/>
                <w:sz w:val="16"/>
              </w:rPr>
              <w:t>Normal gait and affect</w:t>
            </w:r>
          </w:p>
        </w:tc>
        <w:tc>
          <w:tcPr>
            <w:tcW w:type="dxa" w:w="950"/>
            <w:vAlign w:val="top"/>
          </w:tcPr>
          <w:p>
            <w:pPr>
              <w:spacing w:after="40" w:before="0" w:line="259" w:lineRule="auto"/>
            </w:pPr>
            <w:r>
              <w:rPr>
                <w:rFonts w:ascii="Calibri" w:hAnsi="Calibri"/>
                <w:b w:val="0"/>
                <w:i w:val="0"/>
                <w:color w:val="212121"/>
                <w:sz w:val="16"/>
              </w:rPr>
              <w:t>Gait apraxia, falls, pseudobulbar affect</w:t>
            </w:r>
          </w:p>
        </w:tc>
        <w:tc>
          <w:tcPr>
            <w:tcW w:type="dxa" w:w="1036"/>
            <w:vAlign w:val="top"/>
          </w:tcPr>
          <w:p>
            <w:pPr>
              <w:spacing w:after="40" w:before="0" w:line="259" w:lineRule="auto"/>
            </w:pPr>
            <w:r>
              <w:rPr>
                <w:rFonts w:ascii="Calibri" w:hAnsi="Calibri"/>
                <w:b w:val="0"/>
                <w:i w:val="0"/>
                <w:color w:val="212121"/>
                <w:sz w:val="16"/>
              </w:rPr>
              <w:t>Hallmarks of subcortical small-vessel VaD</w:t>
            </w:r>
          </w:p>
        </w:tc>
        <w:tc>
          <w:tcPr>
            <w:tcW w:type="dxa" w:w="1036"/>
            <w:vAlign w:val="top"/>
          </w:tcPr>
          <w:p>
            <w:pPr>
              <w:spacing w:after="40" w:before="0" w:line="259" w:lineRule="auto"/>
            </w:pPr>
            <w:r>
              <w:rPr>
                <w:rFonts w:ascii="Calibri" w:hAnsi="Calibri"/>
                <w:b w:val="0"/>
                <w:i w:val="0"/>
                <w:color w:val="212121"/>
                <w:sz w:val="16"/>
              </w:rPr>
              <w:t>Binswanger/subcortical VaD, elderly fallers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Early gait disturbance favours vascular over Alzheimer dementia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&amp; mood assessment</w:t>
            </w:r>
          </w:p>
        </w:tc>
        <w:tc>
          <w:tcPr>
            <w:tcW w:type="dxa" w:w="950"/>
            <w:vAlign w:val="top"/>
          </w:tcPr>
          <w:p>
            <w:pPr>
              <w:spacing w:after="40" w:before="0" w:line="259" w:lineRule="auto"/>
            </w:pPr>
            <w:r>
              <w:rPr>
                <w:rFonts w:ascii="Calibri" w:hAnsi="Calibri"/>
                <w:b w:val="0"/>
                <w:i w:val="0"/>
                <w:color w:val="212121"/>
                <w:sz w:val="16"/>
              </w:rPr>
              <w:t>ADL/IADL and depression screen</w:t>
            </w:r>
          </w:p>
        </w:tc>
        <w:tc>
          <w:tcPr>
            <w:tcW w:type="dxa" w:w="979"/>
            <w:vAlign w:val="top"/>
          </w:tcPr>
          <w:p>
            <w:pPr>
              <w:spacing w:after="40" w:before="0" w:line="259" w:lineRule="auto"/>
            </w:pPr>
            <w:r>
              <w:rPr>
                <w:rFonts w:ascii="Calibri" w:hAnsi="Calibri"/>
                <w:b w:val="0"/>
                <w:i w:val="0"/>
                <w:color w:val="212121"/>
                <w:sz w:val="16"/>
              </w:rPr>
              <w:t>Independence in daily activities; GDS/PHQ-9</w:t>
            </w:r>
          </w:p>
        </w:tc>
        <w:tc>
          <w:tcPr>
            <w:tcW w:type="dxa" w:w="950"/>
            <w:vAlign w:val="top"/>
          </w:tcPr>
          <w:p>
            <w:pPr>
              <w:spacing w:after="40" w:before="0" w:line="259" w:lineRule="auto"/>
            </w:pPr>
            <w:r>
              <w:rPr>
                <w:rFonts w:ascii="Calibri" w:hAnsi="Calibri"/>
                <w:b w:val="0"/>
                <w:i w:val="0"/>
                <w:color w:val="212121"/>
                <w:sz w:val="16"/>
              </w:rPr>
              <w:t>Independent; no depression</w:t>
            </w:r>
          </w:p>
        </w:tc>
        <w:tc>
          <w:tcPr>
            <w:tcW w:type="dxa" w:w="950"/>
            <w:vAlign w:val="top"/>
          </w:tcPr>
          <w:p>
            <w:pPr>
              <w:spacing w:after="40" w:before="0" w:line="259" w:lineRule="auto"/>
            </w:pPr>
            <w:r>
              <w:rPr>
                <w:rFonts w:ascii="Calibri" w:hAnsi="Calibri"/>
                <w:b w:val="0"/>
                <w:i w:val="0"/>
                <w:color w:val="212121"/>
                <w:sz w:val="16"/>
              </w:rPr>
              <w:t>Loss of independence; depression/apathy</w:t>
            </w:r>
          </w:p>
        </w:tc>
        <w:tc>
          <w:tcPr>
            <w:tcW w:type="dxa" w:w="1036"/>
            <w:vAlign w:val="top"/>
          </w:tcPr>
          <w:p>
            <w:pPr>
              <w:spacing w:after="40" w:before="0" w:line="259" w:lineRule="auto"/>
            </w:pPr>
            <w:r>
              <w:rPr>
                <w:rFonts w:ascii="Calibri" w:hAnsi="Calibri"/>
                <w:b w:val="0"/>
                <w:i w:val="0"/>
                <w:color w:val="212121"/>
                <w:sz w:val="16"/>
              </w:rPr>
              <w:t>Grades severity and detects treatable depression</w:t>
            </w:r>
          </w:p>
        </w:tc>
        <w:tc>
          <w:tcPr>
            <w:tcW w:type="dxa" w:w="1036"/>
            <w:vAlign w:val="top"/>
          </w:tcPr>
          <w:p>
            <w:pPr>
              <w:spacing w:after="40" w:before="0" w:line="259" w:lineRule="auto"/>
            </w:pPr>
            <w:r>
              <w:rPr>
                <w:rFonts w:ascii="Calibri" w:hAnsi="Calibri"/>
                <w:b w:val="0"/>
                <w:i w:val="0"/>
                <w:color w:val="212121"/>
                <w:sz w:val="16"/>
              </w:rPr>
              <w:t>All patients, carers, post-stroke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Depression is common, treatable and worsens cognition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Cardiovascular exam</w:t>
            </w:r>
          </w:p>
        </w:tc>
        <w:tc>
          <w:tcPr>
            <w:tcW w:type="dxa" w:w="950"/>
            <w:vAlign w:val="top"/>
          </w:tcPr>
          <w:p>
            <w:pPr>
              <w:spacing w:after="40" w:before="0" w:line="259" w:lineRule="auto"/>
            </w:pPr>
            <w:r>
              <w:rPr>
                <w:rFonts w:ascii="Calibri" w:hAnsi="Calibri"/>
                <w:b w:val="0"/>
                <w:i w:val="0"/>
                <w:color w:val="212121"/>
                <w:sz w:val="16"/>
              </w:rPr>
              <w:t>BP, pulse and vascular exam</w:t>
            </w:r>
          </w:p>
        </w:tc>
        <w:tc>
          <w:tcPr>
            <w:tcW w:type="dxa" w:w="979"/>
            <w:vAlign w:val="top"/>
          </w:tcPr>
          <w:p>
            <w:pPr>
              <w:spacing w:after="40" w:before="0" w:line="259" w:lineRule="auto"/>
            </w:pPr>
            <w:r>
              <w:rPr>
                <w:rFonts w:ascii="Calibri" w:hAnsi="Calibri"/>
                <w:b w:val="0"/>
                <w:i w:val="0"/>
                <w:color w:val="212121"/>
                <w:sz w:val="16"/>
              </w:rPr>
              <w:t>Blood pressure, irregular pulse, carotid bruit, fundoscopy</w:t>
            </w:r>
          </w:p>
        </w:tc>
        <w:tc>
          <w:tcPr>
            <w:tcW w:type="dxa" w:w="950"/>
            <w:vAlign w:val="top"/>
          </w:tcPr>
          <w:p>
            <w:pPr>
              <w:spacing w:after="40" w:before="0" w:line="259" w:lineRule="auto"/>
            </w:pPr>
            <w:r>
              <w:rPr>
                <w:rFonts w:ascii="Calibri" w:hAnsi="Calibri"/>
                <w:b w:val="0"/>
                <w:i w:val="0"/>
                <w:color w:val="212121"/>
                <w:sz w:val="16"/>
              </w:rPr>
              <w:t>Normal BP/pulse, no bruit</w:t>
            </w:r>
          </w:p>
        </w:tc>
        <w:tc>
          <w:tcPr>
            <w:tcW w:type="dxa" w:w="950"/>
            <w:vAlign w:val="top"/>
          </w:tcPr>
          <w:p>
            <w:pPr>
              <w:spacing w:after="40" w:before="0" w:line="259" w:lineRule="auto"/>
            </w:pPr>
            <w:r>
              <w:rPr>
                <w:rFonts w:ascii="Calibri" w:hAnsi="Calibri"/>
                <w:b w:val="0"/>
                <w:i w:val="0"/>
                <w:color w:val="212121"/>
                <w:sz w:val="16"/>
              </w:rPr>
              <w:t>Hypertension, AF, carotid bruit, hypertensive retinopathy</w:t>
            </w:r>
          </w:p>
        </w:tc>
        <w:tc>
          <w:tcPr>
            <w:tcW w:type="dxa" w:w="1036"/>
            <w:vAlign w:val="top"/>
          </w:tcPr>
          <w:p>
            <w:pPr>
              <w:spacing w:after="40" w:before="0" w:line="259" w:lineRule="auto"/>
            </w:pPr>
            <w:r>
              <w:rPr>
                <w:rFonts w:ascii="Calibri" w:hAnsi="Calibri"/>
                <w:b w:val="0"/>
                <w:i w:val="0"/>
                <w:color w:val="212121"/>
                <w:sz w:val="16"/>
              </w:rPr>
              <w:t>Detects modifiable drivers at the bedside</w:t>
            </w:r>
          </w:p>
        </w:tc>
        <w:tc>
          <w:tcPr>
            <w:tcW w:type="dxa" w:w="1036"/>
            <w:vAlign w:val="top"/>
          </w:tcPr>
          <w:p>
            <w:pPr>
              <w:spacing w:after="40" w:before="0" w:line="259" w:lineRule="auto"/>
            </w:pPr>
            <w:r>
              <w:rPr>
                <w:rFonts w:ascii="Calibri" w:hAnsi="Calibri"/>
                <w:b w:val="0"/>
                <w:i w:val="0"/>
                <w:color w:val="212121"/>
                <w:sz w:val="16"/>
              </w:rPr>
              <w:t>Hypertensives, AF, carotid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Check lying/standing BP for orthostatic hypotension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Slowed thinking / reduced processing speed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Bradyphrenia — patients think and respond more slowly; a hallmark of subcortical vascular dementia.</w:t>
            </w:r>
          </w:p>
        </w:tc>
      </w:tr>
      <w:tr>
        <w:trPr>
          <w:cantSplit/>
        </w:trPr>
        <w:tc>
          <w:tcPr>
            <w:tcW w:type="dxa" w:w="2304"/>
            <w:vAlign w:val="top"/>
          </w:tcPr>
          <w:p>
            <w:pPr>
              <w:spacing w:after="40" w:before="0" w:line="259" w:lineRule="auto"/>
            </w:pPr>
            <w:r>
              <w:rPr>
                <w:rFonts w:ascii="Calibri" w:hAnsi="Calibri"/>
                <w:b/>
                <w:i w:val="0"/>
                <w:color w:val="212121"/>
                <w:sz w:val="19"/>
              </w:rPr>
              <w:t>Executive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planning, organising, judging and multitasking, often more prominent than memory loss early on.</w:t>
            </w:r>
          </w:p>
        </w:tc>
      </w:tr>
      <w:tr>
        <w:trPr>
          <w:cantSplit/>
        </w:trPr>
        <w:tc>
          <w:tcPr>
            <w:tcW w:type="dxa" w:w="2304"/>
            <w:vAlign w:val="top"/>
          </w:tcPr>
          <w:p>
            <w:pPr>
              <w:spacing w:after="40" w:before="0" w:line="259" w:lineRule="auto"/>
            </w:pPr>
            <w:r>
              <w:rPr>
                <w:rFonts w:ascii="Calibri" w:hAnsi="Calibri"/>
                <w:b/>
                <w:i w:val="0"/>
                <w:color w:val="212121"/>
                <w:sz w:val="19"/>
              </w:rPr>
              <w:t>Impaired attention and concentration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Fluctuating attention and easy distractibility, worse than in early Alzheimer's disease.</w:t>
            </w:r>
          </w:p>
        </w:tc>
      </w:tr>
      <w:tr>
        <w:trPr>
          <w:cantSplit/>
        </w:trPr>
        <w:tc>
          <w:tcPr>
            <w:tcW w:type="dxa" w:w="2304"/>
            <w:vAlign w:val="top"/>
          </w:tcPr>
          <w:p>
            <w:pPr>
              <w:spacing w:after="40" w:before="0" w:line="259" w:lineRule="auto"/>
            </w:pPr>
            <w:r>
              <w:rPr>
                <w:rFonts w:ascii="Calibri" w:hAnsi="Calibri"/>
                <w:b/>
                <w:i w:val="0"/>
                <w:color w:val="212121"/>
                <w:sz w:val="19"/>
              </w:rPr>
              <w:t>Memory difficulty (retrieval type)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Forgetfulness with better response to cueing than in Alzheimer's; storage is relatively preserved early.</w:t>
            </w:r>
          </w:p>
        </w:tc>
      </w:tr>
      <w:tr>
        <w:trPr>
          <w:cantSplit/>
        </w:trPr>
        <w:tc>
          <w:tcPr>
            <w:tcW w:type="dxa" w:w="2304"/>
            <w:vAlign w:val="top"/>
          </w:tcPr>
          <w:p>
            <w:pPr>
              <w:spacing w:after="40" w:before="0" w:line="259" w:lineRule="auto"/>
            </w:pPr>
            <w:r>
              <w:rPr>
                <w:rFonts w:ascii="Calibri" w:hAnsi="Calibri"/>
                <w:b/>
                <w:i w:val="0"/>
                <w:color w:val="212121"/>
                <w:sz w:val="19"/>
              </w:rPr>
              <w:t>Stepwise / fluctuating decline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Cognition worsens in sudden steps after vascular events, with plateaus and day-to-day fluctuation.</w:t>
            </w:r>
          </w:p>
        </w:tc>
      </w:tr>
      <w:tr>
        <w:trPr>
          <w:cantSplit/>
        </w:trPr>
        <w:tc>
          <w:tcPr>
            <w:tcW w:type="dxa" w:w="2304"/>
            <w:vAlign w:val="top"/>
          </w:tcPr>
          <w:p>
            <w:pPr>
              <w:spacing w:after="40" w:before="0" w:line="259" w:lineRule="auto"/>
            </w:pPr>
            <w:r>
              <w:rPr>
                <w:rFonts w:ascii="Calibri" w:hAnsi="Calibri"/>
                <w:b/>
                <w:i w:val="0"/>
                <w:color w:val="212121"/>
                <w:sz w:val="19"/>
              </w:rPr>
              <w:t>Depression, apathy and mood change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‘Vascular depression’, low motivation and emotional flattening are frequent and treatable.</w:t>
            </w:r>
          </w:p>
        </w:tc>
      </w:tr>
      <w:tr>
        <w:trPr>
          <w:cantSplit/>
        </w:trPr>
        <w:tc>
          <w:tcPr>
            <w:tcW w:type="dxa" w:w="2304"/>
            <w:vAlign w:val="top"/>
          </w:tcPr>
          <w:p>
            <w:pPr>
              <w:spacing w:after="40" w:before="0" w:line="259" w:lineRule="auto"/>
            </w:pPr>
            <w:r>
              <w:rPr>
                <w:rFonts w:ascii="Calibri" w:hAnsi="Calibri"/>
                <w:b/>
                <w:i w:val="0"/>
                <w:color w:val="212121"/>
                <w:sz w:val="19"/>
              </w:rPr>
              <w:t>Emotional lability / pseudobulbar affect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Uncontrollable crying or laughing out of proportion to mood, from bilateral corticobulbar damage.</w:t>
            </w:r>
          </w:p>
        </w:tc>
      </w:tr>
      <w:tr>
        <w:trPr>
          <w:cantSplit/>
        </w:trPr>
        <w:tc>
          <w:tcPr>
            <w:tcW w:type="dxa" w:w="2304"/>
            <w:vAlign w:val="top"/>
          </w:tcPr>
          <w:p>
            <w:pPr>
              <w:spacing w:after="40" w:before="0" w:line="259" w:lineRule="auto"/>
            </w:pPr>
            <w:r>
              <w:rPr>
                <w:rFonts w:ascii="Calibri" w:hAnsi="Calibri"/>
                <w:b/>
                <w:i w:val="0"/>
                <w:color w:val="212121"/>
                <w:sz w:val="19"/>
              </w:rPr>
              <w:t>Gait disturbance and unsteadiness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Small-stepped, shuffling or broad-based gait with early falls — typical of small-vessel disease.</w:t>
            </w:r>
          </w:p>
        </w:tc>
      </w:tr>
      <w:tr>
        <w:trPr>
          <w:cantSplit/>
        </w:trPr>
        <w:tc>
          <w:tcPr>
            <w:tcW w:type="dxa" w:w="2304"/>
            <w:vAlign w:val="top"/>
          </w:tcPr>
          <w:p>
            <w:pPr>
              <w:spacing w:after="40" w:before="0" w:line="259" w:lineRule="auto"/>
            </w:pPr>
            <w:r>
              <w:rPr>
                <w:rFonts w:ascii="Calibri" w:hAnsi="Calibri"/>
                <w:b/>
                <w:i w:val="0"/>
                <w:color w:val="212121"/>
                <w:sz w:val="19"/>
              </w:rPr>
              <w:t>Urinary urgency / incontinence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urinary symptoms accompany subcortical vascular dementia, unlike early Alzheimer's.</w:t>
            </w:r>
          </w:p>
        </w:tc>
      </w:tr>
      <w:tr>
        <w:trPr>
          <w:cantSplit/>
        </w:trPr>
        <w:tc>
          <w:tcPr>
            <w:tcW w:type="dxa" w:w="2304"/>
            <w:vAlign w:val="top"/>
          </w:tcPr>
          <w:p>
            <w:pPr>
              <w:spacing w:after="40" w:before="0" w:line="259" w:lineRule="auto"/>
            </w:pPr>
            <w:r>
              <w:rPr>
                <w:rFonts w:ascii="Calibri" w:hAnsi="Calibri"/>
                <w:b/>
                <w:i w:val="0"/>
                <w:color w:val="212121"/>
                <w:sz w:val="19"/>
              </w:rPr>
              <w:t>Word-finding and language difficulty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Dysarthria and mild aphasia, especially after cortical or strategic infarcts.</w:t>
            </w:r>
          </w:p>
        </w:tc>
      </w:tr>
      <w:tr>
        <w:trPr>
          <w:cantSplit/>
        </w:trPr>
        <w:tc>
          <w:tcPr>
            <w:tcW w:type="dxa" w:w="2304"/>
            <w:vAlign w:val="top"/>
          </w:tcPr>
          <w:p>
            <w:pPr>
              <w:spacing w:after="40" w:before="0" w:line="259" w:lineRule="auto"/>
            </w:pPr>
            <w:r>
              <w:rPr>
                <w:rFonts w:ascii="Calibri" w:hAnsi="Calibri"/>
                <w:b/>
                <w:i w:val="0"/>
                <w:color w:val="212121"/>
                <w:sz w:val="19"/>
              </w:rPr>
              <w:t>Focal weakness or numbness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Transient or persistent limb/face weakness or sensory loss reflecting the underlying strokes.</w:t>
            </w:r>
          </w:p>
        </w:tc>
      </w:tr>
      <w:tr>
        <w:trPr>
          <w:cantSplit/>
        </w:trPr>
        <w:tc>
          <w:tcPr>
            <w:tcW w:type="dxa" w:w="2304"/>
            <w:vAlign w:val="top"/>
          </w:tcPr>
          <w:p>
            <w:pPr>
              <w:spacing w:after="40" w:before="0" w:line="259" w:lineRule="auto"/>
            </w:pPr>
            <w:r>
              <w:rPr>
                <w:rFonts w:ascii="Calibri" w:hAnsi="Calibri"/>
                <w:b/>
                <w:i w:val="0"/>
                <w:color w:val="212121"/>
                <w:sz w:val="19"/>
              </w:rPr>
              <w:t>Visuospatial disorientation / getting lost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Difficulty with navigation and spatial tasks after parietal or strategic infarcts.</w:t>
            </w:r>
          </w:p>
        </w:tc>
      </w:tr>
      <w:tr>
        <w:trPr>
          <w:cantSplit/>
        </w:trPr>
        <w:tc>
          <w:tcPr>
            <w:tcW w:type="dxa" w:w="2304"/>
            <w:vAlign w:val="top"/>
          </w:tcPr>
          <w:p>
            <w:pPr>
              <w:spacing w:after="40" w:before="0" w:line="259" w:lineRule="auto"/>
            </w:pPr>
            <w:r>
              <w:rPr>
                <w:rFonts w:ascii="Calibri" w:hAnsi="Calibri"/>
                <w:b/>
                <w:i w:val="0"/>
                <w:color w:val="212121"/>
                <w:sz w:val="19"/>
              </w:rPr>
              <w:t>Nocturnal confusion / sundowning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Worsening confusion in the evening, sometimes with disturbed sleep.</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follow cortical infarction or extensive vascular damage.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Focal neurological deficits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Hemiparesis, hemisensory loss or visual-field defect corresponding to prior infarcts.</w:t>
            </w:r>
          </w:p>
        </w:tc>
      </w:tr>
      <w:tr>
        <w:trPr>
          <w:cantSplit/>
        </w:trPr>
        <w:tc>
          <w:tcPr>
            <w:tcW w:type="dxa" w:w="3456"/>
            <w:vAlign w:val="top"/>
          </w:tcPr>
          <w:p>
            <w:pPr>
              <w:spacing w:after="40" w:before="0" w:line="259" w:lineRule="auto"/>
            </w:pPr>
            <w:r>
              <w:rPr>
                <w:rFonts w:ascii="Calibri" w:hAnsi="Calibri"/>
                <w:b/>
                <w:i w:val="0"/>
                <w:color w:val="212121"/>
                <w:sz w:val="19"/>
              </w:rPr>
              <w:t>Exaggerated reflexes with extensor plantar (Babinski)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Pyramidal signs from corticospinal-tract involvement in small-vessel or multi-infarct disease.</w:t>
            </w:r>
          </w:p>
        </w:tc>
      </w:tr>
      <w:tr>
        <w:trPr>
          <w:cantSplit/>
        </w:trPr>
        <w:tc>
          <w:tcPr>
            <w:tcW w:type="dxa" w:w="3456"/>
            <w:vAlign w:val="top"/>
          </w:tcPr>
          <w:p>
            <w:pPr>
              <w:spacing w:after="40" w:before="0" w:line="259" w:lineRule="auto"/>
            </w:pPr>
            <w:r>
              <w:rPr>
                <w:rFonts w:ascii="Calibri" w:hAnsi="Calibri"/>
                <w:b/>
                <w:i w:val="0"/>
                <w:color w:val="212121"/>
                <w:sz w:val="19"/>
              </w:rPr>
              <w:t>Small-stepped / shuffling gait (marche à petits pas)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Gait apraxia and imbalance are early, characteristic signs of subcortical VaD.</w:t>
            </w:r>
          </w:p>
        </w:tc>
      </w:tr>
      <w:tr>
        <w:trPr>
          <w:cantSplit/>
        </w:trPr>
        <w:tc>
          <w:tcPr>
            <w:tcW w:type="dxa" w:w="3456"/>
            <w:vAlign w:val="top"/>
          </w:tcPr>
          <w:p>
            <w:pPr>
              <w:spacing w:after="40" w:before="0" w:line="259" w:lineRule="auto"/>
            </w:pPr>
            <w:r>
              <w:rPr>
                <w:rFonts w:ascii="Calibri" w:hAnsi="Calibri"/>
                <w:b/>
                <w:i w:val="0"/>
                <w:color w:val="212121"/>
                <w:sz w:val="19"/>
              </w:rPr>
              <w:t>Pseudobulbar palsy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Dysarthria, dysphagia, brisk jaw jerk and emotional incontinence from bilateral corticobulbar lesions.</w:t>
            </w:r>
          </w:p>
        </w:tc>
      </w:tr>
      <w:tr>
        <w:trPr>
          <w:cantSplit/>
        </w:trPr>
        <w:tc>
          <w:tcPr>
            <w:tcW w:type="dxa" w:w="3456"/>
            <w:vAlign w:val="top"/>
          </w:tcPr>
          <w:p>
            <w:pPr>
              <w:spacing w:after="40" w:before="0" w:line="259" w:lineRule="auto"/>
            </w:pPr>
            <w:r>
              <w:rPr>
                <w:rFonts w:ascii="Calibri" w:hAnsi="Calibri"/>
                <w:b/>
                <w:i w:val="0"/>
                <w:color w:val="212121"/>
                <w:sz w:val="19"/>
              </w:rPr>
              <w:t>Frontal release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Grasp, snout and palmomental reflexes reflecting frontal-subcortical disconnection.</w:t>
            </w:r>
          </w:p>
        </w:tc>
      </w:tr>
      <w:tr>
        <w:trPr>
          <w:cantSplit/>
        </w:trPr>
        <w:tc>
          <w:tcPr>
            <w:tcW w:type="dxa" w:w="3456"/>
            <w:vAlign w:val="top"/>
          </w:tcPr>
          <w:p>
            <w:pPr>
              <w:spacing w:after="40" w:before="0" w:line="259" w:lineRule="auto"/>
            </w:pPr>
            <w:r>
              <w:rPr>
                <w:rFonts w:ascii="Calibri" w:hAnsi="Calibri"/>
                <w:b/>
                <w:i w:val="0"/>
                <w:color w:val="212121"/>
                <w:sz w:val="19"/>
              </w:rPr>
              <w:t>Elevated blood pressure / hypertensive retinopathy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the chronic hypertension that drives small-vessel disease; seen on measurement and fundoscopy.</w:t>
            </w:r>
          </w:p>
        </w:tc>
      </w:tr>
      <w:tr>
        <w:trPr>
          <w:cantSplit/>
        </w:trPr>
        <w:tc>
          <w:tcPr>
            <w:tcW w:type="dxa" w:w="3456"/>
            <w:vAlign w:val="top"/>
          </w:tcPr>
          <w:p>
            <w:pPr>
              <w:spacing w:after="40" w:before="0" w:line="259" w:lineRule="auto"/>
            </w:pPr>
            <w:r>
              <w:rPr>
                <w:rFonts w:ascii="Calibri" w:hAnsi="Calibri"/>
                <w:b/>
                <w:i w:val="0"/>
                <w:color w:val="212121"/>
                <w:sz w:val="19"/>
              </w:rPr>
              <w:t>Impaired executive performance on bedside tests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Poor clock-drawing, trail-making and verbal-fluency reflecting frontal dysfunction.</w:t>
            </w:r>
          </w:p>
        </w:tc>
      </w:tr>
      <w:tr>
        <w:trPr>
          <w:cantSplit/>
        </w:trPr>
        <w:tc>
          <w:tcPr>
            <w:tcW w:type="dxa" w:w="3456"/>
            <w:vAlign w:val="top"/>
          </w:tcPr>
          <w:p>
            <w:pPr>
              <w:spacing w:after="40" w:before="0" w:line="259" w:lineRule="auto"/>
            </w:pPr>
            <w:r>
              <w:rPr>
                <w:rFonts w:ascii="Calibri" w:hAnsi="Calibri"/>
                <w:b/>
                <w:i w:val="0"/>
                <w:color w:val="212121"/>
                <w:sz w:val="19"/>
              </w:rPr>
              <w:t>Irregularly irregular pulse (atrial fibrillation)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Points to a cardioembolic source of cortical infarcts.</w:t>
            </w:r>
          </w:p>
        </w:tc>
      </w:tr>
      <w:tr>
        <w:trPr>
          <w:cantSplit/>
        </w:trPr>
        <w:tc>
          <w:tcPr>
            <w:tcW w:type="dxa" w:w="3456"/>
            <w:vAlign w:val="top"/>
          </w:tcPr>
          <w:p>
            <w:pPr>
              <w:spacing w:after="40" w:before="0" w:line="259" w:lineRule="auto"/>
            </w:pPr>
            <w:r>
              <w:rPr>
                <w:rFonts w:ascii="Calibri" w:hAnsi="Calibri"/>
                <w:b/>
                <w:i w:val="0"/>
                <w:color w:val="212121"/>
                <w:sz w:val="19"/>
              </w:rPr>
              <w:t>Carotid bruit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large-artery atherosclerosis and embolic/hypoperfusion risk.</w:t>
            </w:r>
          </w:p>
        </w:tc>
      </w:tr>
      <w:tr>
        <w:trPr>
          <w:cantSplit/>
        </w:trPr>
        <w:tc>
          <w:tcPr>
            <w:tcW w:type="dxa" w:w="3456"/>
            <w:vAlign w:val="top"/>
          </w:tcPr>
          <w:p>
            <w:pPr>
              <w:spacing w:after="40" w:before="0" w:line="259" w:lineRule="auto"/>
            </w:pPr>
            <w:r>
              <w:rPr>
                <w:rFonts w:ascii="Calibri" w:hAnsi="Calibri"/>
                <w:b/>
                <w:i w:val="0"/>
                <w:color w:val="212121"/>
                <w:sz w:val="19"/>
              </w:rPr>
              <w:t>Orthostatic blood-pressure drop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Postural hypotension can worsen cerebral hypoperfusion and subcortical symptoms.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stroke and transient ischaemic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stepwise cognitive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confusional states (delirium) superimposed on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seizures</w:t>
            </w:r>
          </w:p>
        </w:tc>
        <w:tc>
          <w:tcPr>
            <w:tcW w:type="dxa" w:w="2980"/>
            <w:vAlign w:val="top"/>
          </w:tcPr>
          <w:p>
            <w:pPr>
              <w:spacing w:after="40" w:before="0" w:line="259" w:lineRule="auto"/>
            </w:pPr>
            <w:r>
              <w:rPr>
                <w:rFonts w:ascii="Calibri" w:hAnsi="Calibri"/>
                <w:b w:val="0"/>
                <w:i w:val="0"/>
                <w:color w:val="212121"/>
                <w:sz w:val="19"/>
              </w:rPr>
              <w:t>Direct consequences of ongoing cerebrovascular injury and its acute events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fractures and immobility from gait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with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incontinence and recurrent urinary 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apathy and behavioural &amp; psychological symptoms of dementia (BPSD)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weight loss and pressure sores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Medication and polypharmacy problems</w:t>
            </w:r>
          </w:p>
        </w:tc>
        <w:tc>
          <w:tcPr>
            <w:tcW w:type="dxa" w:w="2980"/>
            <w:vAlign w:val="top"/>
          </w:tcPr>
          <w:p>
            <w:pPr>
              <w:spacing w:after="40" w:before="0" w:line="259" w:lineRule="auto"/>
            </w:pPr>
            <w:r>
              <w:rPr>
                <w:rFonts w:ascii="Calibri" w:hAnsi="Calibri"/>
                <w:b w:val="0"/>
                <w:i w:val="0"/>
                <w:color w:val="212121"/>
                <w:sz w:val="19"/>
              </w:rPr>
              <w:t>Downstream effects of accumulating neurological deficit, immobility and dependency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Total functional dependence and bedbound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Institutionalisation / need for full-time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carer burden, stress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 5-year survival around 39% versus ~75% in age-matched controls</w:t>
            </w:r>
          </w:p>
        </w:tc>
        <w:tc>
          <w:tcPr>
            <w:tcW w:type="dxa" w:w="2980"/>
            <w:vAlign w:val="top"/>
          </w:tcPr>
          <w:p>
            <w:pPr>
              <w:spacing w:after="40" w:before="0" w:line="259" w:lineRule="auto"/>
            </w:pPr>
            <w:r>
              <w:rPr>
                <w:rFonts w:ascii="Calibri" w:hAnsi="Calibri"/>
                <w:b w:val="0"/>
                <w:i w:val="0"/>
                <w:color w:val="212121"/>
                <w:sz w:val="19"/>
              </w:rPr>
              <w:t>Irreversible end-stage outcomes of longstanding, progressive vascular dementia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dominant modifiable driver of small-vessel injury and stroke.</w:t>
            </w:r>
          </w:p>
          <w:p>
            <w:pPr>
              <w:spacing w:after="40" w:before="0" w:line="259" w:lineRule="auto"/>
            </w:pPr>
            <w:r>
              <w:rPr>
                <w:rFonts w:ascii="Calibri" w:hAnsi="Calibri"/>
                <w:b/>
                <w:i w:val="0"/>
                <w:color w:val="212121"/>
                <w:sz w:val="19"/>
              </w:rPr>
              <w:t>~two-thirds of older Indians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Accelerates micro- and macrovascular brain injury; roughly doubles dementia risk.</w:t>
            </w:r>
          </w:p>
        </w:tc>
      </w:tr>
      <w:tr>
        <w:trPr>
          <w:cantSplit/>
        </w:trPr>
        <w:tc>
          <w:tcPr>
            <w:tcW w:type="dxa" w:w="2232"/>
            <w:vAlign w:val="top"/>
          </w:tcPr>
          <w:p>
            <w:pPr>
              <w:spacing w:after="40" w:before="0" w:line="259" w:lineRule="auto"/>
            </w:pPr>
            <w:r>
              <w:rPr>
                <w:rFonts w:ascii="Calibri" w:hAnsi="Calibri"/>
                <w:b/>
                <w:i w:val="0"/>
                <w:color w:val="212121"/>
                <w:sz w:val="19"/>
              </w:rPr>
              <w:t>Prior stroke / TIA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Archetypal trigger; new dementia in about 25% within a year of stroke.</w:t>
            </w:r>
          </w:p>
          <w:p>
            <w:pPr>
              <w:spacing w:after="40" w:before="0" w:line="259" w:lineRule="auto"/>
            </w:pPr>
            <w:r>
              <w:rPr>
                <w:rFonts w:ascii="Calibri" w:hAnsi="Calibri"/>
                <w:b/>
                <w:i w:val="0"/>
                <w:color w:val="212121"/>
                <w:sz w:val="19"/>
              </w:rPr>
              <w:t>~25% within 1 year</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Cardioembolic and silent infarcts accelerate cognitive decline.</w:t>
            </w:r>
          </w:p>
        </w:tc>
      </w:tr>
      <w:tr>
        <w:trPr>
          <w:cantSplit/>
        </w:trPr>
        <w:tc>
          <w:tcPr>
            <w:tcW w:type="dxa" w:w="2232"/>
            <w:vAlign w:val="top"/>
          </w:tcPr>
          <w:p>
            <w:pPr>
              <w:spacing w:after="40" w:before="0" w:line="259" w:lineRule="auto"/>
            </w:pPr>
            <w:r>
              <w:rPr>
                <w:rFonts w:ascii="Calibri" w:hAnsi="Calibri"/>
                <w:b/>
                <w:i w:val="0"/>
                <w:color w:val="212121"/>
                <w:sz w:val="19"/>
              </w:rPr>
              <w:t>Dyslipidaemia / carotid atherosclerosis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Drives large-artery infarction and chronic hypoperfusion.</w:t>
            </w:r>
          </w:p>
        </w:tc>
      </w:tr>
      <w:tr>
        <w:trPr>
          <w:cantSplit/>
        </w:trPr>
        <w:tc>
          <w:tcPr>
            <w:tcW w:type="dxa" w:w="2232"/>
            <w:vAlign w:val="top"/>
          </w:tcPr>
          <w:p>
            <w:pPr>
              <w:spacing w:after="40" w:before="0" w:line="259" w:lineRule="auto"/>
            </w:pPr>
            <w:r>
              <w:rPr>
                <w:rFonts w:ascii="Calibri" w:hAnsi="Calibri"/>
                <w:b/>
                <w:i w:val="0"/>
                <w:color w:val="212121"/>
                <w:sz w:val="19"/>
              </w:rPr>
              <w:t>Alzheimer's disease (mixed dementia)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Alzheimer pathology is very common and worsens impairment.</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‘vascular depression’; common, treatable and worsens cognition.</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vascular risk factors and is linked to white-matter disease and cognitive decline.</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Raises blood pressure and promotes silent cerebral infarction.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vascular dementia is largely preventable by controlling blood pressure, diabetes, cholesterol and avoiding tobacco — the same measures that prevent stroke and heart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stroke warning signs (FAST: Face drooping, Arm weakness, Speech difficulty, Time to call emergency) and seek immediate care, because rapid stroke treatment protects the brain.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blood pressure, blood sugar and cholesterol checked regularly from midlife, and take prescribed medicines consistently.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cognitive warning signs — slowed thinking, poor concentration, difficulty planning, mood change, unsteady gait — and seek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mentally, socially and physically active and treat hearing and vision loss, all of which lower dementia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midlife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 and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Stroke/TIA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Low-literacy and rural populations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lower blood pressure and improve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and reduce prolonged sitting.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and gait training in older adults to reduce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targeting central (abdominal) fat.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 and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at risk of falls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stroke survivors in structured, supervised rehabilitation and physiotherapy to maintain mobility and slow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individualised, safe exercise even in established dementia to preserve function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physiotherapy-led gait and balance programmes to reduce falls and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carer-supported daily walking and activity routines.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vascular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Subcortical VaD with gait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DASH/Mediterranean-style, largely plant-based diet rich in vegetables, fruit, whole grains (millets, brown rice), pulses, nuts and fish.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salt to under 5 g/day to control blood pressure — limit pickles, papad, processed and restaurant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sugar, refined carbohydrates, fried and ultra-processed foods to control glucose and lipids.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healthy oils in moderation and limit saturated/trans fats; prefer whole fruit over juices.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individualised targets — blood pressure &lt; 130/80 (safely), HbA1c and LDL to guideline goals — with diet plus medication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vitamin B12 and hydration; correct nutritional deficiencies common in rural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swallowing difficulty with texture-modified diets to prevent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a dietitian for tailored, culturally appropriate meal planning.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VaD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regular, good-quality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especially in snorers and obese patients, as it raises blood pressure and stroke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sleep hygiene and manage nocturia and restless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disturbed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cigarettes, bidis and smokeless products — as it roughly doubles stroke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quit-lines and pharmacotherapy (nicotine replacement, bupropion, varenicline) to aid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and 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which raise blood pressure and the risk of haemorrhagic stroke and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well within low-risk limits; abstinence is safest for those with hypertension or prior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alcohol-use disorder where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Heavy/harmful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Stroke survivors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apathy, which are common, treatable and worsen cognition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structured routine and social engagement to patients and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behavioural and psychological symptoms (BPSD) with non-drug strategies first; use medication cautiously.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carer education, respite and support to reduce carer burnout.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VaD with BPSD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carers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lzheimer-europe.org/news/2024-lancet-commission-underscores-potential-dementia-risk-reduction-identifying-14-modifiable" TargetMode="External"/><Relationship Id="rId10" Type="http://schemas.openxmlformats.org/officeDocument/2006/relationships/hyperlink" Target="https://www.fic.nih.gov/News/GlobalHealthMatters/march-april-2023/Pages/new-estimate-dementia-prevalence-magnitude-india-challenge.aspx" TargetMode="External"/><Relationship Id="rId11" Type="http://schemas.openxmlformats.org/officeDocument/2006/relationships/hyperlink" Target="https://emedicine.medscape.com/article/292105-overview" TargetMode="External"/><Relationship Id="rId12" Type="http://schemas.openxmlformats.org/officeDocument/2006/relationships/hyperlink" Target="https://pmc.ncbi.nlm.nih.gov/articles/PMC8522537/" TargetMode="External"/><Relationship Id="rId13" Type="http://schemas.openxmlformats.org/officeDocument/2006/relationships/hyperlink" Target="https://www.who.int/news-room/fact-sheets/detail/dementia" TargetMode="External"/><Relationship Id="rId14" Type="http://schemas.openxmlformats.org/officeDocument/2006/relationships/hyperlink" Target="https://www.nia.nih.gov/news/does-intensive-blood-pressure-control-reduce-dement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