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Dementia — Lewy Body / Frontotemporal</w:t>
      </w:r>
    </w:p>
    <w:p>
      <w:pPr>
        <w:spacing w:before="0" w:after="160"/>
      </w:pPr>
      <w:r>
        <w:rPr>
          <w:rFonts w:ascii="Calibri" w:hAnsi="Calibri"/>
          <w:b/>
          <w:i w:val="0"/>
          <w:color w:val="212121"/>
          <w:sz w:val="22"/>
        </w:rPr>
        <w:t xml:space="preserve">AKA </w:t>
      </w:r>
      <w:r>
        <w:rPr>
          <w:rFonts w:ascii="Calibri" w:hAnsi="Calibri"/>
          <w:b w:val="0"/>
          <w:i w:val="0"/>
          <w:color w:val="212121"/>
          <w:sz w:val="22"/>
        </w:rPr>
        <w:t>i.e., Dementia with Lewy bodies (DLB), Lewy body dementia (LBD), Lewy body spectrum (incl. Parkinson's disease dementia); Frontotemporal dementia (FTD), Frontotemporal lobar degeneration (FTLD), Frontotemporal degeneration, Pick's disease, Behavioural-variant FTD (bvFTD), Primary progressive aphasia (PPA)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This profile covers two distinct non-Alzheimer neurodegenerative dementias that are frequently grouped together because both are commonly misdiagnosed and both damage brain regions and networks outside the classic Alzheimer memory circuit. Dementia with Lewy bodies (DLB) is an alpha-synucleinopathy in which Lewy bodies (intraneuronal alpha-synuclein/ubiquitin aggregates) accumulate in cortical and brainstem neurons, producing fluctuating cognition, recurrent visual hallucinations, spontaneous parkinsonism and REM sleep behaviour disorder (RBD), with a dangerous hypersensitivity to antipsychotic drugs; it is one of the most common neurodegenerative dementias after Alzheimer's disease. Frontotemporal dementia (FTD) is a family of frontotemporal-lobar degenerations (tau, TDP-43 or FUS proteinopathies) that strike the frontal and temporal lobes, typically in midlife (45–64 years), causing early personality, behaviour and language change with relative sparing of memory; it is the commonest cause of dementia under the age of 60 and is strongly genetic in about a third of cases.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 estimated 8.8 million Indians aged 60 and above live with dementia (about 7.4%), higher in rural areas and among women (LASI-DAD). Within this burden, the Lewy body and frontotemporal subtypes are important but under-recognised. Indian systematic-review data report DLB/Lewy body dementia in roughly 1.0–8.9% of dementia diagnoses, while broader (autopsy-inclusive) estimates place Lewy body pathology in up to 20–30% of dementia, making it the second or third most common neurodegenerative dementia. Frontotemporal dementia accounted for about 7% of dementia (mean age ~58 years) in a large North Indian hospital cohort, and for as much as 27% of young-onset dementia in an Eastern-India series — where it was the second most common cause and where patients presented around a mean age of 56 years. Both subtypes are heavily misdiagnosed (as Alzheimer's, Parkinson's, depression or psychiatric illness) and, internationally, FTD takes on average about 3.6 years to diagnose.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Lewy body and frontotemporal dementias are clinical–biomarker diagnoses that require objective cognitive/behavioural decline plus a characteristic syndrome and, where available, supportive imaging. DLB uses the 2017 McKeith (DLB Consortium) criteria; frontotemporal dementia uses the Rascovsky international criteria for behavioural-variant FTD and the Gorno-Tempini criteria for primary progressive aphasia: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Establish dementia — a progressive decline from previous level in one or more cognitive/behavioural domains severe enough to impair independence — confirmed by history, collateral (carer) account and objective testing (MoCA, MMSE, or the education/language-adjusted Hindi Mental State Examination, HMSE, in India).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Probable DLB (McKeith 2017): dementia plus TWO or more core features — (a) fluctuating cognition with pronounced variation in attention and alertness, (b) recurrent, well-formed visual hallucinations, (c) REM sleep behaviour disorder (dream-enactment), and (d) spontaneous parkinsonism (bradykinesia, rigidity, rest tremor) — OR ONE core feature plus at least one indicative biomarker.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Indicative DLB biomarkers: reduced dopamine-transporter uptake in basal ganglia on DaT-SPECT/PET, abnormal (low-uptake) MIBG cardiac scintigraphy, and polysomnography confirming REM sleep without atonia; supportive features include occipital hypometabolism with the ‘cingulate island sign’ and posterior EEG slowing.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Behavioural-variant FTD (Rascovsky): early, progressive change in personality and conduct with at least three of — behavioural disinhibition, apathy/inertia, loss of sympathy/empathy, perseverative/compulsive or ritualistic behaviour, hyperorality/dietary change, and a dysexecutive profile with relative sparing of memory and visuospatial function; ‘probable’ bvFTD additionally requires functional decline and frontal/anterior-temporal atrophy or hypometabolism on imaging.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Primary progressive aphasia (Gorno-Tempini): an insidious, language-led decline — the nonfluent/agrammatic variant (effortful, halting speech, agrammatism, apraxia of speech) or the semantic variant (loss of word and object meaning with fluent, empty speech) — as the most prominent early deficit.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Neuroimaging: MRI showing focal frontal and/or anterior-temporal atrophy supports FTD, whereas relatively preserved medial-temporal structures with functional (DaT/MIBG) abnormality supports DLB; FDG-PET shows frontotemporal hypometabolism in FTD and occipital hypometabolism in DLB.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delirium and reversible/systemic contributors (vitamin B12 deficiency, hypothyroidism, depression, medication effects, structural or vascular lesions), and note that Lewy and Alzheimer or vascular pathologies frequently coexist as mixed dementia.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Lewy body and frontotemporal dementias are not a single disease but two proteinopathy families, each with several clinico-pathological forms:</w:t>
      </w:r>
    </w:p>
    <w:p>
      <w:pPr>
        <w:spacing w:before="0" w:after="80"/>
      </w:pPr>
      <w:r>
        <w:rPr>
          <w:rFonts w:ascii="Calibri" w:hAnsi="Calibri"/>
          <w:b w:val="0"/>
          <w:i w:val="0"/>
          <w:color w:val="212121"/>
          <w:sz w:val="21"/>
        </w:rPr>
        <w:t>(1) Dementia with Lewy bodies (DLB) — a cortical/brainstem alpha-synucleinopathy in which dementia begins before, or within one year of, the onset of parkinsonism; dominated by fluctuating cognition, visual hallucinations, RBD and neuroleptic sensitivity.</w:t>
      </w:r>
    </w:p>
    <w:p>
      <w:pPr>
        <w:spacing w:before="0" w:after="80"/>
      </w:pPr>
      <w:r>
        <w:rPr>
          <w:rFonts w:ascii="Calibri" w:hAnsi="Calibri"/>
          <w:b w:val="0"/>
          <w:i w:val="0"/>
          <w:color w:val="212121"/>
          <w:sz w:val="21"/>
        </w:rPr>
        <w:t>(2) Parkinson's disease dementia (PDD) — the same Lewy body pathology in which dementia emerges more than a year after well-established Parkinson's disease (the ‘one-year rule’); DLB and PDD together form the Lewy body dementia spectrum.</w:t>
      </w:r>
    </w:p>
    <w:p>
      <w:pPr>
        <w:spacing w:before="0" w:after="80"/>
      </w:pPr>
      <w:r>
        <w:rPr>
          <w:rFonts w:ascii="Calibri" w:hAnsi="Calibri"/>
          <w:b w:val="0"/>
          <w:i w:val="0"/>
          <w:color w:val="212121"/>
          <w:sz w:val="21"/>
        </w:rPr>
        <w:t>(3) Behavioural-variant FTD (bvFTD) — the commonest frontotemporal form; progressive disinhibition, apathy, loss of empathy, compulsive behaviour and dietary change from frontal and anterior-temporal degeneration.</w:t>
      </w:r>
    </w:p>
    <w:p>
      <w:pPr>
        <w:spacing w:before="0" w:after="80"/>
      </w:pPr>
      <w:r>
        <w:rPr>
          <w:rFonts w:ascii="Calibri" w:hAnsi="Calibri"/>
          <w:b w:val="0"/>
          <w:i w:val="0"/>
          <w:color w:val="212121"/>
          <w:sz w:val="21"/>
        </w:rPr>
        <w:t>(4) Primary progressive aphasia (PPA) — the language-led frontotemporal forms: the nonfluent/agrammatic variant and the semantic variant (the logopenic variant is usually Alzheimer, not FTLD, pathology).</w:t>
      </w:r>
    </w:p>
    <w:p>
      <w:pPr>
        <w:spacing w:before="0" w:after="80"/>
      </w:pPr>
      <w:r>
        <w:rPr>
          <w:rFonts w:ascii="Calibri" w:hAnsi="Calibri"/>
          <w:b w:val="0"/>
          <w:i w:val="0"/>
          <w:color w:val="212121"/>
          <w:sz w:val="21"/>
        </w:rPr>
        <w:t>(5) FTD with motor involvement — overlap syndromes combining FTD with motor neuron disease (FTD–ALS), corticobasal syndrome, and progressive supranuclear palsy, reflecting shared tau/TDP-43 pathology.</w:t>
      </w:r>
    </w:p>
    <w:p>
      <w:pPr>
        <w:spacing w:before="0" w:after="80"/>
      </w:pPr>
      <w:r>
        <w:rPr>
          <w:rFonts w:ascii="Calibri" w:hAnsi="Calibri"/>
          <w:b w:val="0"/>
          <w:i w:val="0"/>
          <w:color w:val="212121"/>
          <w:sz w:val="21"/>
        </w:rPr>
        <w:t>(6) Genetic / familial FTLD — the roughly one-third of FTD that is inherited (usually autosomal dominant), most often from C9orf72 hexanucleotide expansions or MAPT (tau) and GRN (progranulin) mutations.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Alpha-synuclein (Lewy body) pathology: In DLB, misfolded alpha-synuclein aggregates as Lewy bodies in cortical and brainstem neurons, disrupting dopaminergic, cholinergic and other networks and driving cognition, hallucinations, parkinsonism and autonomic failure.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Frontotemporal lobar degeneration (FTLD) proteinopathy: In FTD, abnormal tau, TDP-43 or FUS proteins accumulate and destroy frontal and anterior-temporal neurons, producing behaviour, personality and language change.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mutations: About one-third of FTD is inherited, usually autosomal dominant, most commonly from C9orf72, MAPT and GRN; DLB has weaker genetic links (e.g., GBA, SNCA and APOE variants) and familial clustering.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 DLB is a disease of older adults (usually &gt;65 years), whereas FTD characteristically strikes midlife (45–64 years), making it a leading cause of young-onset dementia.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REM sleep behaviour disorder (prodromal synucleinopathy): Dream-enactment RBD frequently precedes DLB (and Parkinson's disease) by years and is a strong prodromal marker of underlying Lewy body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Male sex and neurochemical vulnerability: Both DLB and FTD show a modest male predominance; profound cortical cholinergic deficit in DLB and frontal-network failure in FTD underlie the clinical syndromes.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Coexisting and other factors: Traumatic brain injury and coexisting Alzheimer/vascular pathology (mixed dementia) lower the threshold for clinical dementia; most modifiable-risk evidence relates to overall dementia rather than to the primary neurodegeneration of DLB/FTD.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(midlife, 45–64 years)</w:t>
            </w:r>
          </w:p>
        </w:tc>
        <w:tc>
          <w:tcPr>
            <w:tcW w:type="dxa" w:w="4276"/>
            <w:vAlign w:val="top"/>
          </w:tcPr>
          <w:p>
            <w:pPr>
              <w:spacing w:after="60" w:line="259" w:lineRule="auto"/>
            </w:pPr>
            <w:r>
              <w:rPr>
                <w:rFonts w:ascii="Calibri" w:hAnsi="Calibri"/>
                <w:b w:val="0"/>
                <w:i w:val="0"/>
                <w:color w:val="212121"/>
                <w:sz w:val="19"/>
              </w:rPr>
              <w:t>Frontotemporal dementia characteristically begins in midlife, striking people at the peak of working and family life. Frontal- and temporal-lobe degeneration presents as personality, behaviour and language change rather than memory loss, so it is often mistaken for a psychiatric illness.</w:t>
            </w:r>
          </w:p>
          <w:p>
            <w:pPr>
              <w:spacing w:after="40" w:before="60" w:line="259" w:lineRule="auto"/>
            </w:pPr>
            <w:r>
              <w:rPr>
                <w:rFonts w:ascii="Calibri" w:hAnsi="Calibri"/>
                <w:b w:val="0"/>
                <w:i w:val="0"/>
                <w:color w:val="212121"/>
                <w:sz w:val="19"/>
              </w:rPr>
              <w:t>Roughly 60% of people with FTD are aged 45–64, and FTD is the most common form of dementia in people under 60.</w:t>
            </w:r>
          </w:p>
          <w:p>
            <w:pPr>
              <w:spacing w:after="40" w:line="252" w:lineRule="auto"/>
            </w:pPr>
            <w:hyperlink r:id="rId9">
              <w:r>
                <w:rPr>
                  <w:rFonts w:ascii="Calibri" w:hAnsi="Calibri" w:cs="Calibri"/>
                  <w:sz w:val="18"/>
                  <w:color w:val="1155CC"/>
                  <w:u w:val="single"/>
                </w:rPr>
                <w:t xml:space="preserve">nia.nih.gov — frontotemporal disorders (60% aged 45–64)</w:t>
              </w:r>
            </w:hyperlink>
          </w:p>
          <w:p>
            <w:pPr>
              <w:spacing w:before="60" w:after="40"/>
            </w:pPr>
            <w:r>
              <w:rPr>
                <w:rFonts w:ascii="Calibri" w:hAnsi="Calibri"/>
                <w:b w:val="0"/>
                <w:i w:val="0"/>
                <w:color w:val="5A5A5A"/>
                <w:sz w:val="18"/>
              </w:rPr>
              <w:t>#FTD  #youngonset  #midlife  #behaviouralchange  #prime-of-life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(65+ years)</w:t>
            </w:r>
          </w:p>
        </w:tc>
        <w:tc>
          <w:tcPr>
            <w:tcW w:type="dxa" w:w="4276"/>
            <w:vAlign w:val="top"/>
          </w:tcPr>
          <w:p>
            <w:pPr>
              <w:spacing w:after="60" w:line="259" w:lineRule="auto"/>
            </w:pPr>
            <w:r>
              <w:rPr>
                <w:rFonts w:ascii="Calibri" w:hAnsi="Calibri"/>
                <w:b w:val="0"/>
                <w:i w:val="0"/>
                <w:color w:val="212121"/>
                <w:sz w:val="19"/>
              </w:rPr>
              <w:t>Dementia with Lewy bodies is a disease of older adults, with incidence rising steeply with age as cortical and brainstem Lewy body pathology accumulates and frequently mixes with Alzheimer and vascular change.</w:t>
            </w:r>
          </w:p>
          <w:p>
            <w:pPr>
              <w:spacing w:after="40" w:before="60" w:line="259" w:lineRule="auto"/>
            </w:pPr>
            <w:r>
              <w:rPr>
                <w:rFonts w:ascii="Calibri" w:hAnsi="Calibri"/>
                <w:b w:val="0"/>
                <w:i w:val="0"/>
                <w:color w:val="212121"/>
                <w:sz w:val="19"/>
              </w:rPr>
              <w:t>About 8.8 million Indians aged 60+ (≈7.4%) live with dementia; Lewy body dementia is among the most common neurodegenerative subtypes, reported in up to 20–30% of dementia when autopsy series are included.</w:t>
            </w:r>
          </w:p>
          <w:p>
            <w:pPr>
              <w:spacing w:after="40" w:line="252" w:lineRule="auto"/>
            </w:pPr>
            <w:hyperlink r:id="rId10">
              <w:r>
                <w:rPr>
                  <w:rFonts w:ascii="Calibri" w:hAnsi="Calibri" w:cs="Calibri"/>
                  <w:sz w:val="18"/>
                  <w:color w:val="1155CC"/>
                  <w:u w:val="single"/>
                </w:rPr>
                <w:t xml:space="preserve">fic.nih.gov — India dementia prevalence (8.8 million, 7.4%)</w:t>
              </w:r>
            </w:hyperlink>
          </w:p>
          <w:p>
            <w:pPr>
              <w:spacing w:before="60" w:after="40"/>
            </w:pPr>
            <w:r>
              <w:rPr>
                <w:rFonts w:ascii="Calibri" w:hAnsi="Calibri"/>
                <w:b w:val="0"/>
                <w:i w:val="0"/>
                <w:color w:val="5A5A5A"/>
                <w:sz w:val="18"/>
              </w:rPr>
              <w:t>#elderly  #DLB  #Lewybody  #ageing  #mixeddementia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Both DLB and FTD show a modest male predominance. Men present more often with the hallucination-and-parkinsonism DLB phenotype and with behavioural-variant FTD, and Indian dementia clinics are male-skewed partly through referral and care-seeking patterns.</w:t>
            </w:r>
          </w:p>
          <w:p>
            <w:pPr>
              <w:spacing w:after="40" w:before="60" w:line="259" w:lineRule="auto"/>
            </w:pPr>
            <w:r>
              <w:rPr>
                <w:rFonts w:ascii="Calibri" w:hAnsi="Calibri"/>
                <w:b w:val="0"/>
                <w:i w:val="0"/>
                <w:color w:val="212121"/>
                <w:sz w:val="19"/>
              </w:rPr>
              <w:t>In a large North Indian hospital dementia cohort, 63% of patients were male; frontotemporal dementia had the youngest mean age (~58 years) of all subtypes.</w:t>
            </w:r>
          </w:p>
          <w:p>
            <w:pPr>
              <w:spacing w:after="40" w:line="252" w:lineRule="auto"/>
            </w:pPr>
            <w:hyperlink r:id="rId11">
              <w:r>
                <w:rPr>
                  <w:rFonts w:ascii="Calibri" w:hAnsi="Calibri" w:cs="Calibri"/>
                  <w:sz w:val="18"/>
                  <w:color w:val="1155CC"/>
                  <w:u w:val="single"/>
                </w:rPr>
                <w:t xml:space="preserve">pmc.ncbi.nlm.nih.gov — North India dementia subtypes (63% male; FTD ~58 y)</w:t>
              </w:r>
            </w:hyperlink>
          </w:p>
          <w:p>
            <w:pPr>
              <w:spacing w:before="60" w:after="40"/>
            </w:pPr>
            <w:r>
              <w:rPr>
                <w:rFonts w:ascii="Calibri" w:hAnsi="Calibri"/>
                <w:b w:val="0"/>
                <w:i w:val="0"/>
                <w:color w:val="5A5A5A"/>
                <w:sz w:val="18"/>
              </w:rPr>
              <w:t>#male  #DLB  #bvFTD  #referralbias  #youngage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low health-literacy</w:t>
            </w:r>
          </w:p>
        </w:tc>
        <w:tc>
          <w:tcPr>
            <w:tcW w:type="dxa" w:w="4276"/>
            <w:vAlign w:val="top"/>
          </w:tcPr>
          <w:p>
            <w:pPr>
              <w:spacing w:after="60" w:line="259" w:lineRule="auto"/>
            </w:pPr>
            <w:r>
              <w:rPr>
                <w:rFonts w:ascii="Calibri" w:hAnsi="Calibri"/>
                <w:b w:val="0"/>
                <w:i w:val="0"/>
                <w:color w:val="212121"/>
                <w:sz w:val="19"/>
              </w:rPr>
              <w:t>Poverty and low health-literacy delay recognition of non-memory dementias, so behavioural (FTD) and fluctuating/hallucinatory (DLB) presentations are missed or attributed to psychiatric illness, ageing or possession, worsening outcomes and carer strain.</w:t>
            </w:r>
          </w:p>
          <w:p>
            <w:pPr>
              <w:spacing w:after="40" w:before="60" w:line="259" w:lineRule="auto"/>
            </w:pPr>
            <w:r>
              <w:rPr>
                <w:rFonts w:ascii="Calibri" w:hAnsi="Calibri"/>
                <w:b w:val="0"/>
                <w:i w:val="0"/>
                <w:color w:val="212121"/>
                <w:sz w:val="19"/>
              </w:rPr>
              <w:t>India's dementia prevalence is higher in rural and less-educated populations; diagnostic delay is marked, and FTD/DLB are especially prone to misdiagnosis as psychiatric disorders.</w:t>
            </w:r>
          </w:p>
          <w:p>
            <w:pPr>
              <w:spacing w:after="40" w:line="252" w:lineRule="auto"/>
            </w:pPr>
            <w:hyperlink r:id="rId10">
              <w:r>
                <w:rPr>
                  <w:rFonts w:ascii="Calibri" w:hAnsi="Calibri" w:cs="Calibri"/>
                  <w:sz w:val="18"/>
                  <w:color w:val="1155CC"/>
                  <w:u w:val="single"/>
                </w:rPr>
                <w:t xml:space="preserve">fic.nih.gov — higher dementia burden with rural/low education</w:t>
              </w:r>
            </w:hyperlink>
          </w:p>
          <w:p>
            <w:pPr>
              <w:spacing w:before="60" w:after="40"/>
            </w:pPr>
            <w:r>
              <w:rPr>
                <w:rFonts w:ascii="Calibri" w:hAnsi="Calibri"/>
                <w:b w:val="0"/>
                <w:i w:val="0"/>
                <w:color w:val="5A5A5A"/>
                <w:sz w:val="18"/>
              </w:rPr>
              <w:t>#healthliteracy  #misdiagnosis  #stigma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Asian (Indian) populations</w:t>
            </w:r>
          </w:p>
        </w:tc>
        <w:tc>
          <w:tcPr>
            <w:tcW w:type="dxa" w:w="4276"/>
            <w:vAlign w:val="top"/>
          </w:tcPr>
          <w:p>
            <w:pPr>
              <w:spacing w:after="60" w:line="259" w:lineRule="auto"/>
            </w:pPr>
            <w:r>
              <w:rPr>
                <w:rFonts w:ascii="Calibri" w:hAnsi="Calibri"/>
                <w:b w:val="0"/>
                <w:i w:val="0"/>
                <w:color w:val="212121"/>
                <w:sz w:val="19"/>
              </w:rPr>
              <w:t>DLB and FTD occur across all populations, but in India limited access to DaT-SPECT, MIBG scintigraphy, polysomnography and specialist cognitive services means many cases are unrecognised or labelled as Alzheimer's, Parkinson's or psychiatric illness.</w:t>
            </w:r>
          </w:p>
          <w:p>
            <w:pPr>
              <w:spacing w:after="40" w:before="60" w:line="259" w:lineRule="auto"/>
            </w:pPr>
            <w:r>
              <w:rPr>
                <w:rFonts w:ascii="Calibri" w:hAnsi="Calibri"/>
                <w:b w:val="0"/>
                <w:i w:val="0"/>
                <w:color w:val="212121"/>
                <w:sz w:val="19"/>
              </w:rPr>
              <w:t>Indian systematic-review data report Lewy body dementia in about 1.0–8.9% of dementia diagnoses, with the authors highlighting a paucity of representative epidemiological research.</w:t>
            </w:r>
          </w:p>
          <w:p>
            <w:pPr>
              <w:spacing w:after="40" w:line="252" w:lineRule="auto"/>
            </w:pPr>
            <w:hyperlink r:id="rId12">
              <w:r>
                <w:rPr>
                  <w:rFonts w:ascii="Calibri" w:hAnsi="Calibri" w:cs="Calibri"/>
                  <w:sz w:val="18"/>
                  <w:color w:val="1155CC"/>
                  <w:u w:val="single"/>
                </w:rPr>
                <w:t xml:space="preserve">accscience.com — Lewy body dementia in India (1.0–8.9%)</w:t>
              </w:r>
            </w:hyperlink>
          </w:p>
          <w:p>
            <w:pPr>
              <w:spacing w:before="60" w:after="40"/>
            </w:pPr>
            <w:r>
              <w:rPr>
                <w:rFonts w:ascii="Calibri" w:hAnsi="Calibri"/>
                <w:b w:val="0"/>
                <w:i w:val="0"/>
                <w:color w:val="5A5A5A"/>
                <w:sz w:val="18"/>
              </w:rPr>
              <w:t>#India  #southasian  #underdiagnosis  #biomarkeraccess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India</w:t>
            </w:r>
          </w:p>
        </w:tc>
        <w:tc>
          <w:tcPr>
            <w:tcW w:type="dxa" w:w="4276"/>
            <w:vAlign w:val="top"/>
          </w:tcPr>
          <w:p>
            <w:pPr>
              <w:spacing w:after="60" w:line="259" w:lineRule="auto"/>
            </w:pPr>
            <w:r>
              <w:rPr>
                <w:rFonts w:ascii="Calibri" w:hAnsi="Calibri"/>
                <w:b w:val="0"/>
                <w:i w:val="0"/>
                <w:color w:val="212121"/>
                <w:sz w:val="19"/>
              </w:rPr>
              <w:t>Rural elders face the longest diagnostic delays and least access to neuroimaging and specialist care, so fluctuating cognition, visual hallucinations and behavioural change are frequently normalised, mismanaged or treated with harmful antipsychotics.</w:t>
            </w:r>
          </w:p>
          <w:p>
            <w:pPr>
              <w:spacing w:after="40" w:before="60" w:line="259" w:lineRule="auto"/>
            </w:pPr>
            <w:r>
              <w:rPr>
                <w:rFonts w:ascii="Calibri" w:hAnsi="Calibri"/>
                <w:b w:val="0"/>
                <w:i w:val="0"/>
                <w:color w:val="212121"/>
                <w:sz w:val="19"/>
              </w:rPr>
              <w:t>India's LASI-DAD study found dementia prevalence higher in rural than urban areas and among women.</w:t>
            </w:r>
          </w:p>
          <w:p>
            <w:pPr>
              <w:spacing w:after="40" w:line="252" w:lineRule="auto"/>
            </w:pPr>
            <w:hyperlink r:id="rId10">
              <w:r>
                <w:rPr>
                  <w:rFonts w:ascii="Calibri" w:hAnsi="Calibri" w:cs="Calibri"/>
                  <w:sz w:val="18"/>
                  <w:color w:val="1155CC"/>
                  <w:u w:val="single"/>
                </w:rPr>
                <w:t xml:space="preserve">fic.nih.gov — rural &gt; urban dementia prevalence (India)</w:t>
              </w:r>
            </w:hyperlink>
          </w:p>
          <w:p>
            <w:pPr>
              <w:spacing w:before="60" w:after="40"/>
            </w:pPr>
            <w:r>
              <w:rPr>
                <w:rFonts w:ascii="Calibri" w:hAnsi="Calibri"/>
                <w:b w:val="0"/>
                <w:i w:val="0"/>
                <w:color w:val="5A5A5A"/>
                <w:sz w:val="18"/>
              </w:rPr>
              <w:t>#ruralindia  #diagnosticdelay  #antipsychoticrisk  #accessgap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Physical inactivity is a recognised modifiable risk factor for dementia overall and for the co-existing vascular and Alzheimer pathology that commonly accompanies Lewy body disease; regular activity supports brain and vascular health, though DLB/FTD are predominantly neurodegenerative.</w:t>
            </w:r>
          </w:p>
          <w:p>
            <w:pPr>
              <w:spacing w:after="40" w:before="60" w:line="259" w:lineRule="auto"/>
            </w:pPr>
            <w:r>
              <w:rPr>
                <w:rFonts w:ascii="Calibri" w:hAnsi="Calibri"/>
                <w:b w:val="0"/>
                <w:i w:val="0"/>
                <w:color w:val="212121"/>
                <w:sz w:val="19"/>
              </w:rPr>
              <w:t>The 2024 Lancet Commission lists physical inactivity among 14 modifiable factors that together account for up to 45% of all-cause dementia risk.</w:t>
            </w:r>
          </w:p>
          <w:p>
            <w:pPr>
              <w:spacing w:after="40" w:line="252" w:lineRule="auto"/>
            </w:pPr>
            <w:hyperlink r:id="rId13">
              <w:r>
                <w:rPr>
                  <w:rFonts w:ascii="Calibri" w:hAnsi="Calibri" w:cs="Calibri"/>
                  <w:sz w:val="18"/>
                  <w:color w:val="1155CC"/>
                  <w:u w:val="single"/>
                </w:rPr>
                <w:t xml:space="preserve">alzheimer-europe.org — 2024 Lancet Commission (physical inactivity)</w:t>
              </w:r>
            </w:hyperlink>
          </w:p>
          <w:p>
            <w:pPr>
              <w:spacing w:before="60" w:after="40"/>
            </w:pPr>
            <w:r>
              <w:rPr>
                <w:rFonts w:ascii="Calibri" w:hAnsi="Calibri"/>
                <w:b w:val="0"/>
                <w:i w:val="0"/>
                <w:color w:val="5A5A5A"/>
                <w:sz w:val="18"/>
              </w:rPr>
              <w:t>#sedentary  #modifiable  #brainhealth  #mixedpathology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users (cigarette, bidi, smokeless)</w:t>
            </w:r>
          </w:p>
        </w:tc>
        <w:tc>
          <w:tcPr>
            <w:tcW w:type="dxa" w:w="4276"/>
            <w:vAlign w:val="top"/>
          </w:tcPr>
          <w:p>
            <w:pPr>
              <w:spacing w:after="60" w:line="259" w:lineRule="auto"/>
            </w:pPr>
            <w:r>
              <w:rPr>
                <w:rFonts w:ascii="Calibri" w:hAnsi="Calibri"/>
                <w:b w:val="0"/>
                <w:i w:val="0"/>
                <w:color w:val="212121"/>
                <w:sz w:val="19"/>
              </w:rPr>
              <w:t>Smoking is a modifiable dementia risk factor that promotes the vascular and Alzheimer changes often mixed with Lewy body pathology; its role in the primary neurodegeneration of DLB/FTD is smaller but avoidance still benefits overall brain health.</w:t>
            </w:r>
          </w:p>
          <w:p>
            <w:pPr>
              <w:spacing w:after="40" w:before="60" w:line="259" w:lineRule="auto"/>
            </w:pPr>
            <w:r>
              <w:rPr>
                <w:rFonts w:ascii="Calibri" w:hAnsi="Calibri"/>
                <w:b w:val="0"/>
                <w:i w:val="0"/>
                <w:color w:val="212121"/>
                <w:sz w:val="19"/>
              </w:rPr>
              <w:t>Smoking is one of the 14 modifiable risk factors in the 2024 Lancet Commission on dementia prevention.</w:t>
            </w:r>
          </w:p>
          <w:p>
            <w:pPr>
              <w:spacing w:after="40" w:line="252" w:lineRule="auto"/>
            </w:pPr>
            <w:hyperlink r:id="rId13">
              <w:r>
                <w:rPr>
                  <w:rFonts w:ascii="Calibri" w:hAnsi="Calibri" w:cs="Calibri"/>
                  <w:sz w:val="18"/>
                  <w:color w:val="1155CC"/>
                  <w:u w:val="single"/>
                </w:rPr>
                <w:t xml:space="preserve">alzheimer-europe.org — smoking as modifiable factor</w:t>
              </w:r>
            </w:hyperlink>
          </w:p>
          <w:p>
            <w:pPr>
              <w:spacing w:before="60" w:after="40"/>
            </w:pPr>
            <w:r>
              <w:rPr>
                <w:rFonts w:ascii="Calibri" w:hAnsi="Calibri"/>
                <w:b w:val="0"/>
                <w:i w:val="0"/>
                <w:color w:val="5A5A5A"/>
                <w:sz w:val="18"/>
              </w:rPr>
              <w:t>#smoking  #bidi  #smokeless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harmful drinkers</w:t>
            </w:r>
          </w:p>
        </w:tc>
        <w:tc>
          <w:tcPr>
            <w:tcW w:type="dxa" w:w="4276"/>
            <w:vAlign w:val="top"/>
          </w:tcPr>
          <w:p>
            <w:pPr>
              <w:spacing w:after="60" w:line="259" w:lineRule="auto"/>
            </w:pPr>
            <w:r>
              <w:rPr>
                <w:rFonts w:ascii="Calibri" w:hAnsi="Calibri"/>
                <w:b w:val="0"/>
                <w:i w:val="0"/>
                <w:color w:val="212121"/>
                <w:sz w:val="19"/>
              </w:rPr>
              <w:t>Heavy alcohol use is an independent, modifiable dementia risk factor and can cause its own alcohol-related cognitive impairment; it worsens falls, sleep and mood in patients who already have parkinsonism or behavioural change.</w:t>
            </w:r>
          </w:p>
          <w:p>
            <w:pPr>
              <w:spacing w:after="40" w:before="60" w:line="259" w:lineRule="auto"/>
            </w:pPr>
            <w:r>
              <w:rPr>
                <w:rFonts w:ascii="Calibri" w:hAnsi="Calibri"/>
                <w:b w:val="0"/>
                <w:i w:val="0"/>
                <w:color w:val="212121"/>
                <w:sz w:val="19"/>
              </w:rPr>
              <w:t>Excessive alcohol consumption is one of the 14 modifiable dementia risk factors in the 2024 Lancet Commission report.</w:t>
            </w:r>
          </w:p>
          <w:p>
            <w:pPr>
              <w:spacing w:after="40" w:line="252" w:lineRule="auto"/>
            </w:pPr>
            <w:hyperlink r:id="rId13">
              <w:r>
                <w:rPr>
                  <w:rFonts w:ascii="Calibri" w:hAnsi="Calibri" w:cs="Calibri"/>
                  <w:sz w:val="18"/>
                  <w:color w:val="1155CC"/>
                  <w:u w:val="single"/>
                </w:rPr>
                <w:t xml:space="preserve">alzheimer-europe.org — alcohol as modifiable factor</w:t>
              </w:r>
            </w:hyperlink>
          </w:p>
          <w:p>
            <w:pPr>
              <w:spacing w:before="60" w:after="40"/>
            </w:pPr>
            <w:r>
              <w:rPr>
                <w:rFonts w:ascii="Calibri" w:hAnsi="Calibri"/>
                <w:b w:val="0"/>
                <w:i w:val="0"/>
                <w:color w:val="5A5A5A"/>
                <w:sz w:val="18"/>
              </w:rPr>
              <w:t>#alcohol  #falls  #modifiable  #sleep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Traumatic brain injury</w:t>
            </w:r>
          </w:p>
        </w:tc>
        <w:tc>
          <w:tcPr>
            <w:tcW w:type="dxa" w:w="2160"/>
            <w:vAlign w:val="top"/>
          </w:tcPr>
          <w:p>
            <w:pPr>
              <w:spacing w:after="40" w:before="0" w:line="259" w:lineRule="auto"/>
            </w:pPr>
            <w:r>
              <w:rPr>
                <w:rFonts w:ascii="Calibri" w:hAnsi="Calibri"/>
                <w:b w:val="0"/>
                <w:i w:val="0"/>
                <w:color w:val="212121"/>
                <w:sz w:val="19"/>
              </w:rPr>
              <w:t>Adults with repeated head injury</w:t>
            </w:r>
          </w:p>
        </w:tc>
        <w:tc>
          <w:tcPr>
            <w:tcW w:type="dxa" w:w="4276"/>
            <w:vAlign w:val="top"/>
          </w:tcPr>
          <w:p>
            <w:pPr>
              <w:spacing w:after="60" w:line="259" w:lineRule="auto"/>
            </w:pPr>
            <w:r>
              <w:rPr>
                <w:rFonts w:ascii="Calibri" w:hAnsi="Calibri"/>
                <w:b w:val="0"/>
                <w:i w:val="0"/>
                <w:color w:val="212121"/>
                <w:sz w:val="19"/>
              </w:rPr>
              <w:t>Traumatic brain injury is a modifiable dementia risk factor and is epidemiologically linked to both frontotemporal degeneration and Lewy body/synuclein pathology, plausibly by triggering or accelerating abnormal protein aggregation.</w:t>
            </w:r>
          </w:p>
          <w:p>
            <w:pPr>
              <w:spacing w:after="40" w:before="60" w:line="259" w:lineRule="auto"/>
            </w:pPr>
            <w:r>
              <w:rPr>
                <w:rFonts w:ascii="Calibri" w:hAnsi="Calibri"/>
                <w:b w:val="0"/>
                <w:i w:val="0"/>
                <w:color w:val="212121"/>
                <w:sz w:val="19"/>
              </w:rPr>
              <w:t>Traumatic brain injury was retained among the 14 modifiable risk factors in the 2024 Lancet Commission on dementia.</w:t>
            </w:r>
          </w:p>
          <w:p>
            <w:pPr>
              <w:spacing w:after="40" w:line="252" w:lineRule="auto"/>
            </w:pPr>
            <w:hyperlink r:id="rId13">
              <w:r>
                <w:rPr>
                  <w:rFonts w:ascii="Calibri" w:hAnsi="Calibri" w:cs="Calibri"/>
                  <w:sz w:val="18"/>
                  <w:color w:val="1155CC"/>
                  <w:u w:val="single"/>
                </w:rPr>
                <w:t xml:space="preserve">alzheimer-europe.org — traumatic brain injury as modifiable factor</w:t>
              </w:r>
            </w:hyperlink>
          </w:p>
          <w:p>
            <w:pPr>
              <w:spacing w:before="60" w:after="40"/>
            </w:pPr>
            <w:r>
              <w:rPr>
                <w:rFonts w:ascii="Calibri" w:hAnsi="Calibri"/>
                <w:b w:val="0"/>
                <w:i w:val="0"/>
                <w:color w:val="5A5A5A"/>
                <w:sz w:val="18"/>
              </w:rPr>
              <w:t>#TBI  #headinjury  #proteinopathy  #modifiable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Low-quality, high refined-carb diets</w:t>
            </w:r>
          </w:p>
        </w:tc>
        <w:tc>
          <w:tcPr>
            <w:tcW w:type="dxa" w:w="4276"/>
            <w:vAlign w:val="top"/>
          </w:tcPr>
          <w:p>
            <w:pPr>
              <w:spacing w:after="60" w:line="259" w:lineRule="auto"/>
            </w:pPr>
            <w:r>
              <w:rPr>
                <w:rFonts w:ascii="Calibri" w:hAnsi="Calibri"/>
                <w:b w:val="0"/>
                <w:i w:val="0"/>
                <w:color w:val="212121"/>
                <w:sz w:val="19"/>
              </w:rPr>
              <w:t>A diet low in vegetables, fruit, whole grains and healthy fats and high in salt, sugar and ultra-processed foods promotes the vascular and metabolic disease that adds to mixed dementia; a Mediterranean/DASH-style pattern supports general brain health.</w:t>
            </w:r>
          </w:p>
          <w:p>
            <w:pPr>
              <w:spacing w:after="40" w:before="60" w:line="259" w:lineRule="auto"/>
            </w:pPr>
            <w:r>
              <w:rPr>
                <w:rFonts w:ascii="Calibri" w:hAnsi="Calibri"/>
                <w:b w:val="0"/>
                <w:i w:val="0"/>
                <w:color w:val="212121"/>
                <w:sz w:val="19"/>
              </w:rPr>
              <w:t>Diet-driven hypertension, diabetes and high LDL are among the modifiable contributors highlighted for overall dementia prevention by the WHO and the 2024 Lancet Commission.</w:t>
            </w:r>
          </w:p>
          <w:p>
            <w:pPr>
              <w:spacing w:after="40" w:line="252" w:lineRule="auto"/>
            </w:pPr>
            <w:hyperlink r:id="rId13">
              <w:r>
                <w:rPr>
                  <w:rFonts w:ascii="Calibri" w:hAnsi="Calibri" w:cs="Calibri"/>
                  <w:sz w:val="18"/>
                  <w:color w:val="1155CC"/>
                  <w:u w:val="single"/>
                </w:rPr>
                <w:t xml:space="preserve">alzheimer-europe.org — diet-related vascular/metabolic risk</w:t>
              </w:r>
            </w:hyperlink>
          </w:p>
          <w:p>
            <w:pPr>
              <w:spacing w:before="60" w:after="40"/>
            </w:pPr>
            <w:r>
              <w:rPr>
                <w:rFonts w:ascii="Calibri" w:hAnsi="Calibri"/>
                <w:b w:val="0"/>
                <w:i w:val="0"/>
                <w:color w:val="5A5A5A"/>
                <w:sz w:val="18"/>
              </w:rPr>
              <w:t>#diet  #refinedcarbs  #MedDiet  #mixedpathology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FTD/ALS or dementia</w:t>
            </w:r>
          </w:p>
        </w:tc>
        <w:tc>
          <w:tcPr>
            <w:tcW w:type="dxa" w:w="4276"/>
            <w:vAlign w:val="top"/>
          </w:tcPr>
          <w:p>
            <w:pPr>
              <w:spacing w:after="60" w:line="259" w:lineRule="auto"/>
            </w:pPr>
            <w:r>
              <w:rPr>
                <w:rFonts w:ascii="Calibri" w:hAnsi="Calibri"/>
                <w:b w:val="0"/>
                <w:i w:val="0"/>
                <w:color w:val="212121"/>
                <w:sz w:val="19"/>
              </w:rPr>
              <w:t>Frontotemporal dementia is strongly heritable: a family history of FTD, early dementia or motor neuron disease markedly raises risk, and inheritance is usually autosomal dominant, so first-degree relatives may carry a 50% chance of the mutation.</w:t>
            </w:r>
          </w:p>
          <w:p>
            <w:pPr>
              <w:spacing w:after="40" w:before="60" w:line="259" w:lineRule="auto"/>
            </w:pPr>
            <w:r>
              <w:rPr>
                <w:rFonts w:ascii="Calibri" w:hAnsi="Calibri"/>
                <w:b w:val="0"/>
                <w:i w:val="0"/>
                <w:color w:val="212121"/>
                <w:sz w:val="19"/>
              </w:rPr>
              <w:t>An estimated one-third of FTD cases are inherited, most often from C9orf72, MAPT (tau) or GRN (progranulin) mutations.</w:t>
            </w:r>
          </w:p>
          <w:p>
            <w:pPr>
              <w:spacing w:after="40" w:line="252" w:lineRule="auto"/>
            </w:pPr>
            <w:hyperlink r:id="rId9">
              <w:r>
                <w:rPr>
                  <w:rFonts w:ascii="Calibri" w:hAnsi="Calibri" w:cs="Calibri"/>
                  <w:sz w:val="18"/>
                  <w:color w:val="1155CC"/>
                  <w:u w:val="single"/>
                </w:rPr>
                <w:t xml:space="preserve">nia.nih.gov — one-third of FTD is inherited (MAPT, GRN, C9orf72)</w:t>
              </w:r>
            </w:hyperlink>
          </w:p>
          <w:p>
            <w:pPr>
              <w:spacing w:before="60" w:after="40"/>
            </w:pPr>
            <w:r>
              <w:rPr>
                <w:rFonts w:ascii="Calibri" w:hAnsi="Calibri"/>
                <w:b w:val="0"/>
                <w:i w:val="0"/>
                <w:color w:val="5A5A5A"/>
                <w:sz w:val="18"/>
              </w:rPr>
              <w:t>#familyhistory  #autosomaldominant  #C9orf72  #MAPT  #GRN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C9orf72 / MAPT / GRN mutation carriers</w:t>
            </w:r>
          </w:p>
        </w:tc>
        <w:tc>
          <w:tcPr>
            <w:tcW w:type="dxa" w:w="2160"/>
            <w:vAlign w:val="top"/>
          </w:tcPr>
          <w:p>
            <w:pPr>
              <w:spacing w:after="40" w:before="0" w:line="259" w:lineRule="auto"/>
            </w:pPr>
            <w:r>
              <w:rPr>
                <w:rFonts w:ascii="Calibri" w:hAnsi="Calibri"/>
                <w:b w:val="0"/>
                <w:i w:val="0"/>
                <w:color w:val="212121"/>
                <w:sz w:val="19"/>
              </w:rPr>
              <w:t>Carriers of FTLD-causing mutations</w:t>
            </w:r>
          </w:p>
        </w:tc>
        <w:tc>
          <w:tcPr>
            <w:tcW w:type="dxa" w:w="4276"/>
            <w:vAlign w:val="top"/>
          </w:tcPr>
          <w:p>
            <w:pPr>
              <w:spacing w:after="60" w:line="259" w:lineRule="auto"/>
            </w:pPr>
            <w:r>
              <w:rPr>
                <w:rFonts w:ascii="Calibri" w:hAnsi="Calibri"/>
                <w:b w:val="0"/>
                <w:i w:val="0"/>
                <w:color w:val="212121"/>
                <w:sz w:val="19"/>
              </w:rPr>
              <w:t>C9orf72 hexanucleotide expansion is the commonest genetic cause of familial FTD and links FTD with amyotrophic lateral sclerosis; MAPT and GRN mutations cause autosomal-dominant behavioural and language FTD, often with onset in the 40s–50s.</w:t>
            </w:r>
          </w:p>
          <w:p>
            <w:pPr>
              <w:spacing w:after="40" w:before="60" w:line="259" w:lineRule="auto"/>
            </w:pPr>
            <w:r>
              <w:rPr>
                <w:rFonts w:ascii="Calibri" w:hAnsi="Calibri"/>
                <w:b w:val="0"/>
                <w:i w:val="0"/>
                <w:color w:val="212121"/>
                <w:sz w:val="19"/>
              </w:rPr>
              <w:t>C9orf72, MAPT and GRN are the three principal FTD genes; C9orf72 also underlies the FTD–ALS overlap.</w:t>
            </w:r>
          </w:p>
          <w:p>
            <w:pPr>
              <w:spacing w:after="40" w:line="252" w:lineRule="auto"/>
            </w:pPr>
            <w:hyperlink r:id="rId9">
              <w:r>
                <w:rPr>
                  <w:rFonts w:ascii="Calibri" w:hAnsi="Calibri" w:cs="Calibri"/>
                  <w:sz w:val="18"/>
                  <w:color w:val="1155CC"/>
                  <w:u w:val="single"/>
                </w:rPr>
                <w:t xml:space="preserve">nia.nih.gov — principal FTD genes (C9orf72, MAPT, GRN)</w:t>
              </w:r>
            </w:hyperlink>
          </w:p>
          <w:p>
            <w:pPr>
              <w:spacing w:before="60" w:after="40"/>
            </w:pPr>
            <w:r>
              <w:rPr>
                <w:rFonts w:ascii="Calibri" w:hAnsi="Calibri"/>
                <w:b w:val="0"/>
                <w:i w:val="0"/>
                <w:color w:val="5A5A5A"/>
                <w:sz w:val="18"/>
              </w:rPr>
              <w:t>#C9orf72  #MAPT  #GRN  #geneticcounselling  #FTD-ALS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REM sleep behaviour disorder</w:t>
            </w:r>
          </w:p>
        </w:tc>
        <w:tc>
          <w:tcPr>
            <w:tcW w:type="dxa" w:w="2160"/>
            <w:vAlign w:val="top"/>
          </w:tcPr>
          <w:p>
            <w:pPr>
              <w:spacing w:after="40" w:before="0" w:line="259" w:lineRule="auto"/>
            </w:pPr>
            <w:r>
              <w:rPr>
                <w:rFonts w:ascii="Calibri" w:hAnsi="Calibri"/>
                <w:b w:val="0"/>
                <w:i w:val="0"/>
                <w:color w:val="212121"/>
                <w:sz w:val="19"/>
              </w:rPr>
              <w:t>Adults with dream-enactment RBD</w:t>
            </w:r>
          </w:p>
        </w:tc>
        <w:tc>
          <w:tcPr>
            <w:tcW w:type="dxa" w:w="4276"/>
            <w:vAlign w:val="top"/>
          </w:tcPr>
          <w:p>
            <w:pPr>
              <w:spacing w:after="60" w:line="259" w:lineRule="auto"/>
            </w:pPr>
            <w:r>
              <w:rPr>
                <w:rFonts w:ascii="Calibri" w:hAnsi="Calibri"/>
                <w:b w:val="0"/>
                <w:i w:val="0"/>
                <w:color w:val="212121"/>
                <w:sz w:val="19"/>
              </w:rPr>
              <w:t>REM sleep behaviour disorder — acting out vivid dreams with shouting, punching or kicking because of loss of normal sleep paralysis — is a strong prodromal marker of Lewy body disease and frequently precedes DLB (and Parkinson's disease) by years.</w:t>
            </w:r>
          </w:p>
          <w:p>
            <w:pPr>
              <w:spacing w:after="40" w:before="60" w:line="259" w:lineRule="auto"/>
            </w:pPr>
            <w:r>
              <w:rPr>
                <w:rFonts w:ascii="Calibri" w:hAnsi="Calibri"/>
                <w:b w:val="0"/>
                <w:i w:val="0"/>
                <w:color w:val="212121"/>
                <w:sz w:val="19"/>
              </w:rPr>
              <w:t>RBD is a core clinical feature of DLB in the 2017 McKeith criteria and can be confirmed by polysomnography showing REM sleep without atonia.</w:t>
            </w:r>
          </w:p>
          <w:p>
            <w:pPr>
              <w:spacing w:after="40" w:line="252" w:lineRule="auto"/>
            </w:pPr>
            <w:hyperlink r:id="rId14">
              <w:r>
                <w:rPr>
                  <w:rFonts w:ascii="Calibri" w:hAnsi="Calibri" w:cs="Calibri"/>
                  <w:sz w:val="18"/>
                  <w:color w:val="1155CC"/>
                  <w:u w:val="single"/>
                </w:rPr>
                <w:t xml:space="preserve">lbda.org — RBD as core DLB feature (McKeith 2017)</w:t>
              </w:r>
            </w:hyperlink>
          </w:p>
          <w:p>
            <w:pPr>
              <w:spacing w:before="60" w:after="40"/>
            </w:pPr>
            <w:r>
              <w:rPr>
                <w:rFonts w:ascii="Calibri" w:hAnsi="Calibri"/>
                <w:b w:val="0"/>
                <w:i w:val="0"/>
                <w:color w:val="5A5A5A"/>
                <w:sz w:val="18"/>
              </w:rPr>
              <w:t>#RBD  #dreamenactment  #prodrome  #synucleinopathy  #polysomnography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Parkinson's disease / parkinsonism</w:t>
            </w:r>
          </w:p>
        </w:tc>
        <w:tc>
          <w:tcPr>
            <w:tcW w:type="dxa" w:w="2160"/>
            <w:vAlign w:val="top"/>
          </w:tcPr>
          <w:p>
            <w:pPr>
              <w:spacing w:after="40" w:before="0" w:line="259" w:lineRule="auto"/>
            </w:pPr>
            <w:r>
              <w:rPr>
                <w:rFonts w:ascii="Calibri" w:hAnsi="Calibri"/>
                <w:b w:val="0"/>
                <w:i w:val="0"/>
                <w:color w:val="212121"/>
                <w:sz w:val="19"/>
              </w:rPr>
              <w:t>Patients with Parkinson's disease</w:t>
            </w:r>
          </w:p>
        </w:tc>
        <w:tc>
          <w:tcPr>
            <w:tcW w:type="dxa" w:w="4276"/>
            <w:vAlign w:val="top"/>
          </w:tcPr>
          <w:p>
            <w:pPr>
              <w:spacing w:after="60" w:line="259" w:lineRule="auto"/>
            </w:pPr>
            <w:r>
              <w:rPr>
                <w:rFonts w:ascii="Calibri" w:hAnsi="Calibri"/>
                <w:b w:val="0"/>
                <w:i w:val="0"/>
                <w:color w:val="212121"/>
                <w:sz w:val="19"/>
              </w:rPr>
              <w:t>Parkinson's disease and DLB share Lewy body (alpha-synuclein) pathology; most people with long-standing Parkinson's develop dementia (Parkinson's disease dementia), and the two conditions form a single Lewy body spectrum separated only by the timing of dementia relative to motor symptoms.</w:t>
            </w:r>
          </w:p>
          <w:p>
            <w:pPr>
              <w:spacing w:after="40" w:before="60" w:line="259" w:lineRule="auto"/>
            </w:pPr>
            <w:r>
              <w:rPr>
                <w:rFonts w:ascii="Calibri" w:hAnsi="Calibri"/>
                <w:b w:val="0"/>
                <w:i w:val="0"/>
                <w:color w:val="212121"/>
                <w:sz w:val="19"/>
              </w:rPr>
              <w:t>When dementia begins more than a year after established Parkinson's disease it is termed Parkinson's disease dementia; earlier or concurrent dementia with parkinsonism is termed DLB (the one-year rule).</w:t>
            </w:r>
          </w:p>
          <w:p>
            <w:pPr>
              <w:spacing w:after="40" w:line="252" w:lineRule="auto"/>
            </w:pPr>
            <w:hyperlink r:id="rId15">
              <w:r>
                <w:rPr>
                  <w:rFonts w:ascii="Calibri" w:hAnsi="Calibri" w:cs="Calibri"/>
                  <w:sz w:val="18"/>
                  <w:color w:val="1155CC"/>
                  <w:u w:val="single"/>
                </w:rPr>
                <w:t xml:space="preserve">ncbi.nlm.nih.gov (StatPearls) — Lewy body dementia spectrum</w:t>
              </w:r>
            </w:hyperlink>
          </w:p>
          <w:p>
            <w:pPr>
              <w:spacing w:before="60" w:after="40"/>
            </w:pPr>
            <w:r>
              <w:rPr>
                <w:rFonts w:ascii="Calibri" w:hAnsi="Calibri"/>
                <w:b w:val="0"/>
                <w:i w:val="0"/>
                <w:color w:val="5A5A5A"/>
                <w:sz w:val="18"/>
              </w:rPr>
              <w:t>#parkinsonism  #PDD  #alphasynuclein  #Lewyspectrum  #oneyearrule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Motor neuron disease (ALS)</w:t>
            </w:r>
          </w:p>
        </w:tc>
        <w:tc>
          <w:tcPr>
            <w:tcW w:type="dxa" w:w="2160"/>
            <w:vAlign w:val="top"/>
          </w:tcPr>
          <w:p>
            <w:pPr>
              <w:spacing w:after="40" w:before="0" w:line="259" w:lineRule="auto"/>
            </w:pPr>
            <w:r>
              <w:rPr>
                <w:rFonts w:ascii="Calibri" w:hAnsi="Calibri"/>
                <w:b w:val="0"/>
                <w:i w:val="0"/>
                <w:color w:val="212121"/>
                <w:sz w:val="19"/>
              </w:rPr>
              <w:t>Patients with FTD–ALS overlap</w:t>
            </w:r>
          </w:p>
        </w:tc>
        <w:tc>
          <w:tcPr>
            <w:tcW w:type="dxa" w:w="4276"/>
            <w:vAlign w:val="top"/>
          </w:tcPr>
          <w:p>
            <w:pPr>
              <w:spacing w:after="60" w:line="259" w:lineRule="auto"/>
            </w:pPr>
            <w:r>
              <w:rPr>
                <w:rFonts w:ascii="Calibri" w:hAnsi="Calibri"/>
                <w:b w:val="0"/>
                <w:i w:val="0"/>
                <w:color w:val="212121"/>
                <w:sz w:val="19"/>
              </w:rPr>
              <w:t>A substantial subset of FTD, particularly C9orf72 carriers, develops amyotrophic lateral sclerosis (motor neuron disease), with limb/bulbar weakness, wasting and fasciculations; conversely, many ALS patients have frontal cognitive/behavioural change. This overlap accelerates decline and shortens survival.</w:t>
            </w:r>
          </w:p>
          <w:p>
            <w:pPr>
              <w:spacing w:after="40" w:before="60" w:line="259" w:lineRule="auto"/>
            </w:pPr>
            <w:r>
              <w:rPr>
                <w:rFonts w:ascii="Calibri" w:hAnsi="Calibri"/>
                <w:b w:val="0"/>
                <w:i w:val="0"/>
                <w:color w:val="212121"/>
                <w:sz w:val="19"/>
              </w:rPr>
              <w:t>FTD and ALS form a recognised clinical–genetic spectrum linked especially by C9orf72; FTD–ALS carries a poorer prognosis than FTD alone.</w:t>
            </w:r>
          </w:p>
          <w:p>
            <w:pPr>
              <w:spacing w:after="40" w:line="252" w:lineRule="auto"/>
            </w:pPr>
            <w:hyperlink r:id="rId9">
              <w:r>
                <w:rPr>
                  <w:rFonts w:ascii="Calibri" w:hAnsi="Calibri" w:cs="Calibri"/>
                  <w:sz w:val="18"/>
                  <w:color w:val="1155CC"/>
                  <w:u w:val="single"/>
                </w:rPr>
                <w:t xml:space="preserve">nia.nih.gov — FTD with motor (FTD–ALS)</w:t>
              </w:r>
            </w:hyperlink>
          </w:p>
          <w:p>
            <w:pPr>
              <w:spacing w:before="60" w:after="40"/>
            </w:pPr>
            <w:r>
              <w:rPr>
                <w:rFonts w:ascii="Calibri" w:hAnsi="Calibri"/>
                <w:b w:val="0"/>
                <w:i w:val="0"/>
                <w:color w:val="5A5A5A"/>
                <w:sz w:val="18"/>
              </w:rPr>
              <w:t>#ALS  #MND  #FTD-ALS  #C9orf72  #bulbar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psychiatric misdiagnosis</w:t>
            </w:r>
          </w:p>
        </w:tc>
        <w:tc>
          <w:tcPr>
            <w:tcW w:type="dxa" w:w="2160"/>
            <w:vAlign w:val="top"/>
          </w:tcPr>
          <w:p>
            <w:pPr>
              <w:spacing w:after="40" w:before="0" w:line="259" w:lineRule="auto"/>
            </w:pPr>
            <w:r>
              <w:rPr>
                <w:rFonts w:ascii="Calibri" w:hAnsi="Calibri"/>
                <w:b w:val="0"/>
                <w:i w:val="0"/>
                <w:color w:val="212121"/>
                <w:sz w:val="19"/>
              </w:rPr>
              <w:t>Adults labelled with late-onset psychiatric illness</w:t>
            </w:r>
          </w:p>
        </w:tc>
        <w:tc>
          <w:tcPr>
            <w:tcW w:type="dxa" w:w="4276"/>
            <w:vAlign w:val="top"/>
          </w:tcPr>
          <w:p>
            <w:pPr>
              <w:spacing w:after="60" w:line="259" w:lineRule="auto"/>
            </w:pPr>
            <w:r>
              <w:rPr>
                <w:rFonts w:ascii="Calibri" w:hAnsi="Calibri"/>
                <w:b w:val="0"/>
                <w:i w:val="0"/>
                <w:color w:val="212121"/>
                <w:sz w:val="19"/>
              </w:rPr>
              <w:t>Early FTD (apathy, disinhibition, obsessive behaviour) and DLB (hallucinations, delusions, fluctuations) are routinely misdiagnosed as depression, late-onset psychosis, bipolar disorder or personality change, delaying correct treatment and exposing DLB patients to dangerous antipsychotics.</w:t>
            </w:r>
          </w:p>
          <w:p>
            <w:pPr>
              <w:spacing w:after="40" w:before="60" w:line="259" w:lineRule="auto"/>
            </w:pPr>
            <w:r>
              <w:rPr>
                <w:rFonts w:ascii="Calibri" w:hAnsi="Calibri"/>
                <w:b w:val="0"/>
                <w:i w:val="0"/>
                <w:color w:val="212121"/>
                <w:sz w:val="19"/>
              </w:rPr>
              <w:t>FTD is frequently misdiagnosed as Alzheimer's, depression, Parkinson's or a psychiatric condition, and takes on average about 3.6 years to diagnose.</w:t>
            </w:r>
          </w:p>
          <w:p>
            <w:pPr>
              <w:spacing w:after="40" w:line="252" w:lineRule="auto"/>
            </w:pPr>
            <w:hyperlink r:id="rId16">
              <w:r>
                <w:rPr>
                  <w:rFonts w:ascii="Calibri" w:hAnsi="Calibri" w:cs="Calibri"/>
                  <w:sz w:val="18"/>
                  <w:color w:val="1155CC"/>
                  <w:u w:val="single"/>
                </w:rPr>
                <w:t xml:space="preserve">theaftd.org — FTD frequently misdiagnosed (~3.6 y to diagnosis)</w:t>
              </w:r>
            </w:hyperlink>
          </w:p>
          <w:p>
            <w:pPr>
              <w:spacing w:before="60" w:after="40"/>
            </w:pPr>
            <w:r>
              <w:rPr>
                <w:rFonts w:ascii="Calibri" w:hAnsi="Calibri"/>
                <w:b w:val="0"/>
                <w:i w:val="0"/>
                <w:color w:val="5A5A5A"/>
                <w:sz w:val="18"/>
              </w:rPr>
              <w:t>#misdiagnosis  #depression  #psychosis  #diagnosticdelay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Autonomic dysfunction</w:t>
            </w:r>
          </w:p>
        </w:tc>
        <w:tc>
          <w:tcPr>
            <w:tcW w:type="dxa" w:w="2160"/>
            <w:vAlign w:val="top"/>
          </w:tcPr>
          <w:p>
            <w:pPr>
              <w:spacing w:after="40" w:before="0" w:line="259" w:lineRule="auto"/>
            </w:pPr>
            <w:r>
              <w:rPr>
                <w:rFonts w:ascii="Calibri" w:hAnsi="Calibri"/>
                <w:b w:val="0"/>
                <w:i w:val="0"/>
                <w:color w:val="212121"/>
                <w:sz w:val="19"/>
              </w:rPr>
              <w:t>DLB patients with dysautonomia</w:t>
            </w:r>
          </w:p>
        </w:tc>
        <w:tc>
          <w:tcPr>
            <w:tcW w:type="dxa" w:w="4276"/>
            <w:vAlign w:val="top"/>
          </w:tcPr>
          <w:p>
            <w:pPr>
              <w:spacing w:after="60" w:line="259" w:lineRule="auto"/>
            </w:pPr>
            <w:r>
              <w:rPr>
                <w:rFonts w:ascii="Calibri" w:hAnsi="Calibri"/>
                <w:b w:val="0"/>
                <w:i w:val="0"/>
                <w:color w:val="212121"/>
                <w:sz w:val="19"/>
              </w:rPr>
              <w:t>Lewy body disease damages autonomic pathways, causing orthostatic (postural) hypotension, constipation, urinary problems, erectile dysfunction and reduced sweating; orthostatic drops cause falls, faints and transient worsening of cognition.</w:t>
            </w:r>
          </w:p>
          <w:p>
            <w:pPr>
              <w:spacing w:after="40" w:before="60" w:line="259" w:lineRule="auto"/>
            </w:pPr>
            <w:r>
              <w:rPr>
                <w:rFonts w:ascii="Calibri" w:hAnsi="Calibri"/>
                <w:b w:val="0"/>
                <w:i w:val="0"/>
                <w:color w:val="212121"/>
                <w:sz w:val="19"/>
              </w:rPr>
              <w:t>Autonomic failure and orthostatic hypotension are recognised supportive features of DLB and a major cause of falls in the Lewy body dementias.</w:t>
            </w:r>
          </w:p>
          <w:p>
            <w:pPr>
              <w:spacing w:after="40" w:line="252" w:lineRule="auto"/>
            </w:pPr>
            <w:hyperlink r:id="rId15">
              <w:r>
                <w:rPr>
                  <w:rFonts w:ascii="Calibri" w:hAnsi="Calibri" w:cs="Calibri"/>
                  <w:sz w:val="18"/>
                  <w:color w:val="1155CC"/>
                  <w:u w:val="single"/>
                </w:rPr>
                <w:t xml:space="preserve">ncbi.nlm.nih.gov (StatPearls) — Lewy body dementia (autonomic features)</w:t>
              </w:r>
            </w:hyperlink>
          </w:p>
          <w:p>
            <w:pPr>
              <w:spacing w:before="60" w:after="40"/>
            </w:pPr>
            <w:r>
              <w:rPr>
                <w:rFonts w:ascii="Calibri" w:hAnsi="Calibri"/>
                <w:b w:val="0"/>
                <w:i w:val="0"/>
                <w:color w:val="5A5A5A"/>
                <w:sz w:val="18"/>
              </w:rPr>
              <w:t>#dysautonomia  #orthostatichypotension  #falls  #constipation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activity supports general brain and vascular health and reduces the mixed vascular/Alzheimer pathology that accompanies Lewy body disease; in established DLB/FTD it helps maintain mobility, mood and function, though it does not halt the primary neurodegeneration.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Mediterranean/DASH-style diet lowers vascular and metabolic risk and supports overall brain health; adequate nutrition is important because hyperorality then dysphagia threaten weight and safety in FTD and DLB, but diet does not prevent the core proteinopathy.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REM sleep behaviour disorder is a core, often prodromal feature of DLB; disrupted sleep, excessive daytime sleepiness and injurious dream-enactment are prominent, and treating sleep disorders and ensuring bedroom safety materially reduce harm.</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 modifiable dementia risk factor promoting co-existing vascular and Alzheimer pathology; its role in the primary neurodegeneration of DLB/FTD is limited, but cessation benefits overall brain and cardiovascular health.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is an independent modifiable dementia risk factor, can cause its own cognitive impairment, and worsens falls, sleep and behaviour in patients who already have parkinsonism or disinhibition.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Neuropsychiatric symptoms are central to both diseases — visual hallucinations, delusions, depression and anxiety in DLB, and apathy, disinhibition and compulsions in FTD; these drive misdiagnosis, carer burden and the temptation to use hazardous antipsychotics.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helps limit constipation and orthostatic hypotension in DLB and reduces delirium risk, but there is no evidence that water intake prevents Lewy body or frontotemporal degeneration.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may transiently aid alertness during cognitive fluctuations but can worsen sleep and anxiety; there is no established role in preventing or modifying DLB or FTD.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Self-care and oral hygiene decline as apathy, disinhibition and dependency progress; carer-supported hygiene prevents infections (a common trigger of delirium and decline) but does not influence the underlying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Antipsychotic (neuroleptic) drugs can cause severe, sometimes fatal sensitivity reactions in DLB; infections, dehydration, surgery, anaesthesia and new sedatives readily precipitate acute confusion, falls and step-downs in both DLB and FTD.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Orthostatic hypotension and parkinsonian postural instability in DLB cause falls and transient cerebral hypoperfusion; postural/BP management, slow position changes and fall-proofing reduce injury.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Cognitive screen (MoCA / MMSE / HMSE)</w:t>
            </w:r>
          </w:p>
        </w:tc>
        <w:tc>
          <w:tcPr>
            <w:tcW w:type="dxa" w:w="1655"/>
            <w:vAlign w:val="top"/>
          </w:tcPr>
          <w:p>
            <w:pPr>
              <w:spacing w:after="40" w:before="0" w:line="259" w:lineRule="auto"/>
            </w:pPr>
            <w:r>
              <w:rPr>
                <w:rFonts w:ascii="Calibri" w:hAnsi="Calibri"/>
                <w:b w:val="0"/>
                <w:i w:val="0"/>
                <w:color w:val="212121"/>
                <w:sz w:val="19"/>
              </w:rPr>
              <w:t>Suspected DLB/FTD, low-literacy adults</w:t>
            </w:r>
          </w:p>
        </w:tc>
        <w:tc>
          <w:tcPr>
            <w:tcW w:type="dxa" w:w="1512"/>
            <w:vAlign w:val="top"/>
          </w:tcPr>
          <w:p>
            <w:pPr>
              <w:spacing w:after="40" w:before="0" w:line="259" w:lineRule="auto"/>
            </w:pPr>
            <w:r>
              <w:rPr>
                <w:rFonts w:ascii="Calibri" w:hAnsi="Calibri"/>
                <w:b w:val="0"/>
                <w:i w:val="0"/>
                <w:color w:val="212121"/>
                <w:sz w:val="19"/>
              </w:rPr>
              <w:t>MoCA ≥ 26 (education-adjusted)</w:t>
            </w:r>
          </w:p>
        </w:tc>
        <w:tc>
          <w:tcPr>
            <w:tcW w:type="dxa" w:w="1512"/>
            <w:vAlign w:val="top"/>
          </w:tcPr>
          <w:p>
            <w:pPr>
              <w:spacing w:after="40" w:before="0" w:line="259" w:lineRule="auto"/>
            </w:pPr>
            <w:r>
              <w:rPr>
                <w:rFonts w:ascii="Calibri" w:hAnsi="Calibri"/>
                <w:b w:val="0"/>
                <w:i w:val="0"/>
                <w:color w:val="212121"/>
                <w:sz w:val="19"/>
              </w:rPr>
              <w:t>Low scores, esp. attention/executive/visuospatial or language items</w:t>
            </w:r>
          </w:p>
        </w:tc>
        <w:tc>
          <w:tcPr>
            <w:tcW w:type="dxa" w:w="1468"/>
            <w:vAlign w:val="top"/>
          </w:tcPr>
          <w:p>
            <w:pPr>
              <w:spacing w:after="60" w:line="259" w:lineRule="auto"/>
            </w:pPr>
            <w:r>
              <w:rPr>
                <w:rFonts w:ascii="Calibri" w:hAnsi="Calibri"/>
                <w:b w:val="0"/>
                <w:i w:val="0"/>
                <w:color w:val="212121"/>
                <w:sz w:val="19"/>
              </w:rPr>
              <w:t>MoCA is more sensitive than MMSE to executive/visuospatial deficits; use HMSE in India</w:t>
            </w:r>
          </w:p>
          <w:p>
            <w:pPr>
              <w:spacing w:after="40" w:line="252" w:lineRule="auto"/>
            </w:pPr>
            <w:hyperlink r:id="rId15">
              <w:r>
                <w:rPr>
                  <w:rFonts w:ascii="Calibri" w:hAnsi="Calibri" w:cs="Calibri"/>
                  <w:sz w:val="18"/>
                  <w:color w:val="1155CC"/>
                  <w:u w:val="single"/>
                </w:rPr>
                <w:t xml:space="preserve">https://www.ncbi.nlm.nih.gov/books/NBK482441/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REM sleep behaviour disorder screen / PSG</w:t>
            </w:r>
          </w:p>
        </w:tc>
        <w:tc>
          <w:tcPr>
            <w:tcW w:type="dxa" w:w="1655"/>
            <w:vAlign w:val="top"/>
          </w:tcPr>
          <w:p>
            <w:pPr>
              <w:spacing w:after="40" w:before="0" w:line="259" w:lineRule="auto"/>
            </w:pPr>
            <w:r>
              <w:rPr>
                <w:rFonts w:ascii="Calibri" w:hAnsi="Calibri"/>
                <w:b w:val="0"/>
                <w:i w:val="0"/>
                <w:color w:val="212121"/>
                <w:sz w:val="19"/>
              </w:rPr>
              <w:t>Adults with dream-enactment behaviour</w:t>
            </w:r>
          </w:p>
        </w:tc>
        <w:tc>
          <w:tcPr>
            <w:tcW w:type="dxa" w:w="1512"/>
            <w:vAlign w:val="top"/>
          </w:tcPr>
          <w:p>
            <w:pPr>
              <w:spacing w:after="40" w:before="0" w:line="259" w:lineRule="auto"/>
            </w:pPr>
            <w:r>
              <w:rPr>
                <w:rFonts w:ascii="Calibri" w:hAnsi="Calibri"/>
                <w:b w:val="0"/>
                <w:i w:val="0"/>
                <w:color w:val="212121"/>
                <w:sz w:val="19"/>
              </w:rPr>
              <w:t>No dream-enactment; REM atonia preserved</w:t>
            </w:r>
          </w:p>
        </w:tc>
        <w:tc>
          <w:tcPr>
            <w:tcW w:type="dxa" w:w="1512"/>
            <w:vAlign w:val="top"/>
          </w:tcPr>
          <w:p>
            <w:pPr>
              <w:spacing w:after="40" w:before="0" w:line="259" w:lineRule="auto"/>
            </w:pPr>
            <w:r>
              <w:rPr>
                <w:rFonts w:ascii="Calibri" w:hAnsi="Calibri"/>
                <w:b w:val="0"/>
                <w:i w:val="0"/>
                <w:color w:val="212121"/>
                <w:sz w:val="19"/>
              </w:rPr>
              <w:t>Recurrent dream-enactment; REM sleep without atonia on PSG</w:t>
            </w:r>
          </w:p>
        </w:tc>
        <w:tc>
          <w:tcPr>
            <w:tcW w:type="dxa" w:w="1468"/>
            <w:vAlign w:val="top"/>
          </w:tcPr>
          <w:p>
            <w:pPr>
              <w:spacing w:after="60" w:line="259" w:lineRule="auto"/>
            </w:pPr>
            <w:r>
              <w:rPr>
                <w:rFonts w:ascii="Calibri" w:hAnsi="Calibri"/>
                <w:b w:val="0"/>
                <w:i w:val="0"/>
                <w:color w:val="212121"/>
                <w:sz w:val="19"/>
              </w:rPr>
              <w:t>Core DLB feature and a strong prodromal marker of synucleinopathy</w:t>
            </w:r>
          </w:p>
          <w:p>
            <w:pPr>
              <w:spacing w:after="40" w:line="252" w:lineRule="auto"/>
            </w:pPr>
            <w:hyperlink r:id="rId14">
              <w:r>
                <w:rPr>
                  <w:rFonts w:ascii="Calibri" w:hAnsi="Calibri" w:cs="Calibri"/>
                  <w:sz w:val="18"/>
                  <w:color w:val="1155CC"/>
                  <w:u w:val="single"/>
                </w:rPr>
                <w:t xml:space="preserve">https://lbda.org/new-diagnostic-criteria-published-for-dlb</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Orthostatic blood pressure (lying → standing)</w:t>
            </w:r>
          </w:p>
        </w:tc>
        <w:tc>
          <w:tcPr>
            <w:tcW w:type="dxa" w:w="1655"/>
            <w:vAlign w:val="top"/>
          </w:tcPr>
          <w:p>
            <w:pPr>
              <w:spacing w:after="40" w:before="0" w:line="259" w:lineRule="auto"/>
            </w:pPr>
            <w:r>
              <w:rPr>
                <w:rFonts w:ascii="Calibri" w:hAnsi="Calibri"/>
                <w:b w:val="0"/>
                <w:i w:val="0"/>
                <w:color w:val="212121"/>
                <w:sz w:val="19"/>
              </w:rPr>
              <w:t>DLB with autonomic symptoms, fallers</w:t>
            </w:r>
          </w:p>
        </w:tc>
        <w:tc>
          <w:tcPr>
            <w:tcW w:type="dxa" w:w="1512"/>
            <w:vAlign w:val="top"/>
          </w:tcPr>
          <w:p>
            <w:pPr>
              <w:spacing w:after="40" w:before="0" w:line="259" w:lineRule="auto"/>
            </w:pPr>
            <w:r>
              <w:rPr>
                <w:rFonts w:ascii="Calibri" w:hAnsi="Calibri"/>
                <w:b w:val="0"/>
                <w:i w:val="0"/>
                <w:color w:val="212121"/>
                <w:sz w:val="19"/>
              </w:rPr>
              <w:t>Drop &lt; 20 mmHg systolic / &lt; 10 mmHg diastolic</w:t>
            </w:r>
          </w:p>
        </w:tc>
        <w:tc>
          <w:tcPr>
            <w:tcW w:type="dxa" w:w="1512"/>
            <w:vAlign w:val="top"/>
          </w:tcPr>
          <w:p>
            <w:pPr>
              <w:spacing w:after="40" w:before="0" w:line="259" w:lineRule="auto"/>
            </w:pPr>
            <w:r>
              <w:rPr>
                <w:rFonts w:ascii="Calibri" w:hAnsi="Calibri"/>
                <w:b w:val="0"/>
                <w:i w:val="0"/>
                <w:color w:val="212121"/>
                <w:sz w:val="19"/>
              </w:rPr>
              <w:t>Fall ≥ 20/10 mmHg on standing</w:t>
            </w:r>
          </w:p>
        </w:tc>
        <w:tc>
          <w:tcPr>
            <w:tcW w:type="dxa" w:w="1468"/>
            <w:vAlign w:val="top"/>
          </w:tcPr>
          <w:p>
            <w:pPr>
              <w:spacing w:after="40" w:before="0" w:line="259" w:lineRule="auto"/>
            </w:pPr>
            <w:r>
              <w:rPr>
                <w:rFonts w:ascii="Calibri" w:hAnsi="Calibri"/>
                <w:b w:val="0"/>
                <w:i w:val="0"/>
                <w:color w:val="212121"/>
                <w:sz w:val="19"/>
              </w:rPr>
              <w:t>Detects dysautonomia; guides hydration, medication review and fall prevention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Antipsychotic exposure</w:t>
            </w:r>
          </w:p>
        </w:tc>
        <w:tc>
          <w:tcPr>
            <w:tcW w:type="dxa" w:w="1655"/>
            <w:vAlign w:val="top"/>
          </w:tcPr>
          <w:p>
            <w:pPr>
              <w:spacing w:after="40" w:before="0" w:line="259" w:lineRule="auto"/>
            </w:pPr>
            <w:r>
              <w:rPr>
                <w:rFonts w:ascii="Calibri" w:hAnsi="Calibri"/>
                <w:b w:val="0"/>
                <w:i w:val="0"/>
                <w:color w:val="212121"/>
                <w:sz w:val="19"/>
              </w:rPr>
              <w:t>All DLB/Lewy body patients</w:t>
            </w:r>
          </w:p>
        </w:tc>
        <w:tc>
          <w:tcPr>
            <w:tcW w:type="dxa" w:w="1512"/>
            <w:vAlign w:val="top"/>
          </w:tcPr>
          <w:p>
            <w:pPr>
              <w:spacing w:after="40" w:before="0" w:line="259" w:lineRule="auto"/>
            </w:pPr>
            <w:r>
              <w:rPr>
                <w:rFonts w:ascii="Calibri" w:hAnsi="Calibri"/>
                <w:b w:val="0"/>
                <w:i w:val="0"/>
                <w:color w:val="212121"/>
                <w:sz w:val="19"/>
              </w:rPr>
              <w:t>Avoid typical/high-potency antipsychotics entirely</w:t>
            </w:r>
          </w:p>
        </w:tc>
        <w:tc>
          <w:tcPr>
            <w:tcW w:type="dxa" w:w="1512"/>
            <w:vAlign w:val="top"/>
          </w:tcPr>
          <w:p>
            <w:pPr>
              <w:spacing w:after="40" w:before="0" w:line="259" w:lineRule="auto"/>
            </w:pPr>
            <w:r>
              <w:rPr>
                <w:rFonts w:ascii="Calibri" w:hAnsi="Calibri"/>
                <w:b w:val="0"/>
                <w:i w:val="0"/>
                <w:color w:val="212121"/>
                <w:sz w:val="19"/>
              </w:rPr>
              <w:t>Any typical neuroleptic; unnecessary antipsychotic use</w:t>
            </w:r>
          </w:p>
        </w:tc>
        <w:tc>
          <w:tcPr>
            <w:tcW w:type="dxa" w:w="1468"/>
            <w:vAlign w:val="top"/>
          </w:tcPr>
          <w:p>
            <w:pPr>
              <w:spacing w:after="60" w:line="259" w:lineRule="auto"/>
            </w:pPr>
            <w:r>
              <w:rPr>
                <w:rFonts w:ascii="Calibri" w:hAnsi="Calibri"/>
                <w:b w:val="0"/>
                <w:i w:val="0"/>
                <w:color w:val="212121"/>
                <w:sz w:val="19"/>
              </w:rPr>
              <w:t>Severe neuroleptic sensitivity occurs in up to ~50% and can be fatal</w:t>
            </w:r>
          </w:p>
          <w:p>
            <w:pPr>
              <w:spacing w:after="40" w:line="252" w:lineRule="auto"/>
            </w:pPr>
            <w:hyperlink r:id="rId17">
              <w:r>
                <w:rPr>
                  <w:rFonts w:ascii="Calibri" w:hAnsi="Calibri" w:cs="Calibri"/>
                  <w:sz w:val="18"/>
                  <w:color w:val="1155CC"/>
                  <w:u w:val="single"/>
                </w:rPr>
                <w:t xml:space="preserve">https://lbda.org/emergency-room-treatment-of-psychosis</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Adults, elderly, carers-supported</w:t>
            </w:r>
          </w:p>
        </w:tc>
        <w:tc>
          <w:tcPr>
            <w:tcW w:type="dxa" w:w="1512"/>
            <w:vAlign w:val="top"/>
          </w:tcPr>
          <w:p>
            <w:pPr>
              <w:spacing w:after="40" w:before="0" w:line="259" w:lineRule="auto"/>
            </w:pPr>
            <w:r>
              <w:rPr>
                <w:rFonts w:ascii="Calibri" w:hAnsi="Calibri"/>
                <w:b w:val="0"/>
                <w:i w:val="0"/>
                <w:color w:val="212121"/>
                <w:sz w:val="19"/>
              </w:rPr>
              <w:t>≥ 150 min/week as tolerated + balance/gait work</w:t>
            </w:r>
          </w:p>
        </w:tc>
        <w:tc>
          <w:tcPr>
            <w:tcW w:type="dxa" w:w="1512"/>
            <w:vAlign w:val="top"/>
          </w:tcPr>
          <w:p>
            <w:pPr>
              <w:spacing w:after="40" w:before="0" w:line="259" w:lineRule="auto"/>
            </w:pPr>
            <w:r>
              <w:rPr>
                <w:rFonts w:ascii="Calibri" w:hAnsi="Calibri"/>
                <w:b w:val="0"/>
                <w:i w:val="0"/>
                <w:color w:val="212121"/>
                <w:sz w:val="19"/>
              </w:rPr>
              <w:t>&lt; 150 min/week; recurrent falls</w:t>
            </w:r>
          </w:p>
        </w:tc>
        <w:tc>
          <w:tcPr>
            <w:tcW w:type="dxa" w:w="1468"/>
            <w:vAlign w:val="top"/>
          </w:tcPr>
          <w:p>
            <w:pPr>
              <w:spacing w:after="40" w:before="0" w:line="259" w:lineRule="auto"/>
            </w:pPr>
            <w:r>
              <w:rPr>
                <w:rFonts w:ascii="Calibri" w:hAnsi="Calibri"/>
                <w:b w:val="0"/>
                <w:i w:val="0"/>
                <w:color w:val="212121"/>
                <w:sz w:val="19"/>
              </w:rPr>
              <w:t>Maintains mobility and mood; add supervised balance training in parkinsonism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South Asian 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 or unintended weight loss</w:t>
            </w:r>
          </w:p>
        </w:tc>
        <w:tc>
          <w:tcPr>
            <w:tcW w:type="dxa" w:w="1468"/>
            <w:vAlign w:val="top"/>
          </w:tcPr>
          <w:p>
            <w:pPr>
              <w:spacing w:after="40" w:before="0" w:line="259" w:lineRule="auto"/>
            </w:pPr>
            <w:r>
              <w:rPr>
                <w:rFonts w:ascii="Calibri" w:hAnsi="Calibri"/>
                <w:b w:val="0"/>
                <w:i w:val="0"/>
                <w:color w:val="212121"/>
                <w:sz w:val="19"/>
              </w:rPr>
              <w:t>Watch weight loss late (dysphagia) and gain early (FTD hyperorality)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Neuropsychiatric / depression screen (NPI, PHQ-9, GDS)</w:t>
            </w:r>
          </w:p>
        </w:tc>
        <w:tc>
          <w:tcPr>
            <w:tcW w:type="dxa" w:w="1655"/>
            <w:vAlign w:val="top"/>
          </w:tcPr>
          <w:p>
            <w:pPr>
              <w:spacing w:after="40" w:before="0" w:line="259" w:lineRule="auto"/>
            </w:pPr>
            <w:r>
              <w:rPr>
                <w:rFonts w:ascii="Calibri" w:hAnsi="Calibri"/>
                <w:b w:val="0"/>
                <w:i w:val="0"/>
                <w:color w:val="212121"/>
                <w:sz w:val="19"/>
              </w:rPr>
              <w:t>DLB with hallucinations, FTD with behaviour change</w:t>
            </w:r>
          </w:p>
        </w:tc>
        <w:tc>
          <w:tcPr>
            <w:tcW w:type="dxa" w:w="1512"/>
            <w:vAlign w:val="top"/>
          </w:tcPr>
          <w:p>
            <w:pPr>
              <w:spacing w:after="40" w:before="0" w:line="259" w:lineRule="auto"/>
            </w:pPr>
            <w:r>
              <w:rPr>
                <w:rFonts w:ascii="Calibri" w:hAnsi="Calibri"/>
                <w:b w:val="0"/>
                <w:i w:val="0"/>
                <w:color w:val="212121"/>
                <w:sz w:val="19"/>
              </w:rPr>
              <w:t>Low symptom burden</w:t>
            </w:r>
          </w:p>
        </w:tc>
        <w:tc>
          <w:tcPr>
            <w:tcW w:type="dxa" w:w="1512"/>
            <w:vAlign w:val="top"/>
          </w:tcPr>
          <w:p>
            <w:pPr>
              <w:spacing w:after="40" w:before="0" w:line="259" w:lineRule="auto"/>
            </w:pPr>
            <w:r>
              <w:rPr>
                <w:rFonts w:ascii="Calibri" w:hAnsi="Calibri"/>
                <w:b w:val="0"/>
                <w:i w:val="0"/>
                <w:color w:val="212121"/>
                <w:sz w:val="19"/>
              </w:rPr>
              <w:t>Hallucinations, delusions, apathy, disinhibition, PHQ-9 ≥ 10</w:t>
            </w:r>
          </w:p>
        </w:tc>
        <w:tc>
          <w:tcPr>
            <w:tcW w:type="dxa" w:w="1468"/>
            <w:vAlign w:val="top"/>
          </w:tcPr>
          <w:p>
            <w:pPr>
              <w:spacing w:after="40" w:before="0" w:line="259" w:lineRule="auto"/>
            </w:pPr>
            <w:r>
              <w:rPr>
                <w:rFonts w:ascii="Calibri" w:hAnsi="Calibri"/>
                <w:b w:val="0"/>
                <w:i w:val="0"/>
                <w:color w:val="212121"/>
                <w:sz w:val="19"/>
              </w:rPr>
              <w:t>Quantifies BPSD; guides non-drug management and carer support</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Swallowing / nutrition assessment</w:t>
            </w:r>
          </w:p>
        </w:tc>
        <w:tc>
          <w:tcPr>
            <w:tcW w:type="dxa" w:w="1655"/>
            <w:vAlign w:val="top"/>
          </w:tcPr>
          <w:p>
            <w:pPr>
              <w:spacing w:after="40" w:before="0" w:line="259" w:lineRule="auto"/>
            </w:pPr>
            <w:r>
              <w:rPr>
                <w:rFonts w:ascii="Calibri" w:hAnsi="Calibri"/>
                <w:b w:val="0"/>
                <w:i w:val="0"/>
                <w:color w:val="212121"/>
                <w:sz w:val="19"/>
              </w:rPr>
              <w:t>Advancing DLB/FTD</w:t>
            </w:r>
          </w:p>
        </w:tc>
        <w:tc>
          <w:tcPr>
            <w:tcW w:type="dxa" w:w="1512"/>
            <w:vAlign w:val="top"/>
          </w:tcPr>
          <w:p>
            <w:pPr>
              <w:spacing w:after="40" w:before="0" w:line="259" w:lineRule="auto"/>
            </w:pPr>
            <w:r>
              <w:rPr>
                <w:rFonts w:ascii="Calibri" w:hAnsi="Calibri"/>
                <w:b w:val="0"/>
                <w:i w:val="0"/>
                <w:color w:val="212121"/>
                <w:sz w:val="19"/>
              </w:rPr>
              <w:t>Safe swallow; stable weight</w:t>
            </w:r>
          </w:p>
        </w:tc>
        <w:tc>
          <w:tcPr>
            <w:tcW w:type="dxa" w:w="1512"/>
            <w:vAlign w:val="top"/>
          </w:tcPr>
          <w:p>
            <w:pPr>
              <w:spacing w:after="40" w:before="0" w:line="259" w:lineRule="auto"/>
            </w:pPr>
            <w:r>
              <w:rPr>
                <w:rFonts w:ascii="Calibri" w:hAnsi="Calibri"/>
                <w:b w:val="0"/>
                <w:i w:val="0"/>
                <w:color w:val="212121"/>
                <w:sz w:val="19"/>
              </w:rPr>
              <w:t>Coughing on food/fluids; weight loss; hyperoral overeating</w:t>
            </w:r>
          </w:p>
        </w:tc>
        <w:tc>
          <w:tcPr>
            <w:tcW w:type="dxa" w:w="1468"/>
            <w:vAlign w:val="top"/>
          </w:tcPr>
          <w:p>
            <w:pPr>
              <w:spacing w:after="40" w:before="0" w:line="259" w:lineRule="auto"/>
            </w:pPr>
            <w:r>
              <w:rPr>
                <w:rFonts w:ascii="Calibri" w:hAnsi="Calibri"/>
                <w:b w:val="0"/>
                <w:i w:val="0"/>
                <w:color w:val="212121"/>
                <w:sz w:val="19"/>
              </w:rPr>
              <w:t>Prevents aspiration and malnutrition; texture-modify as advised</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(any form) per day</w:t>
            </w:r>
          </w:p>
        </w:tc>
        <w:tc>
          <w:tcPr>
            <w:tcW w:type="dxa" w:w="1655"/>
            <w:vAlign w:val="top"/>
          </w:tcPr>
          <w:p>
            <w:pPr>
              <w:spacing w:after="40" w:before="0" w:line="259" w:lineRule="auto"/>
            </w:pPr>
            <w:r>
              <w:rPr>
                <w:rFonts w:ascii="Calibri" w:hAnsi="Calibri"/>
                <w:b w:val="0"/>
                <w:i w:val="0"/>
                <w:color w:val="212121"/>
                <w:sz w:val="19"/>
              </w:rPr>
              <w:t>Smokers, bidi/smokeless users</w:t>
            </w:r>
          </w:p>
        </w:tc>
        <w:tc>
          <w:tcPr>
            <w:tcW w:type="dxa" w:w="1512"/>
            <w:vAlign w:val="top"/>
          </w:tcPr>
          <w:p>
            <w:pPr>
              <w:spacing w:after="40" w:before="0" w:line="259" w:lineRule="auto"/>
            </w:pPr>
            <w:r>
              <w:rPr>
                <w:rFonts w:ascii="Calibri" w:hAnsi="Calibri"/>
                <w:b w:val="0"/>
                <w:i w:val="0"/>
                <w:color w:val="212121"/>
                <w:sz w:val="19"/>
              </w:rPr>
              <w:t>0 (complete cessation)</w:t>
            </w:r>
          </w:p>
        </w:tc>
        <w:tc>
          <w:tcPr>
            <w:tcW w:type="dxa" w:w="1512"/>
            <w:vAlign w:val="top"/>
          </w:tcPr>
          <w:p>
            <w:pPr>
              <w:spacing w:after="40" w:before="0" w:line="259" w:lineRule="auto"/>
            </w:pPr>
            <w:r>
              <w:rPr>
                <w:rFonts w:ascii="Calibri" w:hAnsi="Calibri"/>
                <w:b w:val="0"/>
                <w:i w:val="0"/>
                <w:color w:val="212121"/>
                <w:sz w:val="19"/>
              </w:rPr>
              <w:t>≥ 1 use/day</w:t>
            </w:r>
          </w:p>
        </w:tc>
        <w:tc>
          <w:tcPr>
            <w:tcW w:type="dxa" w:w="1468"/>
            <w:vAlign w:val="top"/>
          </w:tcPr>
          <w:p>
            <w:pPr>
              <w:spacing w:after="40" w:before="0" w:line="259" w:lineRule="auto"/>
            </w:pPr>
            <w:r>
              <w:rPr>
                <w:rFonts w:ascii="Calibri" w:hAnsi="Calibri"/>
                <w:b w:val="0"/>
                <w:i w:val="0"/>
                <w:color w:val="212121"/>
                <w:sz w:val="19"/>
              </w:rPr>
              <w:t>Reduces co-existing vascular/AD pathology and overall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 minimal / abstinence</w:t>
            </w:r>
          </w:p>
        </w:tc>
        <w:tc>
          <w:tcPr>
            <w:tcW w:type="dxa" w:w="1512"/>
            <w:vAlign w:val="top"/>
          </w:tcPr>
          <w:p>
            <w:pPr>
              <w:spacing w:after="40" w:before="0" w:line="259" w:lineRule="auto"/>
            </w:pPr>
            <w:r>
              <w:rPr>
                <w:rFonts w:ascii="Calibri" w:hAnsi="Calibri"/>
                <w:b w:val="0"/>
                <w:i w:val="0"/>
                <w:color w:val="212121"/>
                <w:sz w:val="19"/>
              </w:rPr>
              <w:t>&gt; 14 drinks/week or binge pattern</w:t>
            </w:r>
          </w:p>
        </w:tc>
        <w:tc>
          <w:tcPr>
            <w:tcW w:type="dxa" w:w="1468"/>
            <w:vAlign w:val="top"/>
          </w:tcPr>
          <w:p>
            <w:pPr>
              <w:spacing w:after="40" w:before="0" w:line="259" w:lineRule="auto"/>
            </w:pPr>
            <w:r>
              <w:rPr>
                <w:rFonts w:ascii="Calibri" w:hAnsi="Calibri"/>
                <w:b w:val="0"/>
                <w:i w:val="0"/>
                <w:color w:val="212121"/>
                <w:sz w:val="19"/>
              </w:rPr>
              <w:t>Heavy use worsens falls, sleep and cognition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 (structural)</w:t>
            </w:r>
          </w:p>
        </w:tc>
        <w:tc>
          <w:tcPr>
            <w:tcW w:type="dxa" w:w="1036"/>
            <w:vAlign w:val="top"/>
          </w:tcPr>
          <w:p>
            <w:pPr>
              <w:spacing w:after="40" w:before="0" w:line="259" w:lineRule="auto"/>
            </w:pPr>
            <w:r>
              <w:rPr>
                <w:rFonts w:ascii="Calibri" w:hAnsi="Calibri"/>
                <w:b w:val="0"/>
                <w:i w:val="0"/>
                <w:color w:val="212121"/>
                <w:sz w:val="16"/>
              </w:rPr>
              <w:t>Focal frontal/temporal atrophy vs preserved medial temporal</w:t>
            </w:r>
          </w:p>
        </w:tc>
        <w:tc>
          <w:tcPr>
            <w:tcW w:type="dxa" w:w="892"/>
            <w:vAlign w:val="top"/>
          </w:tcPr>
          <w:p>
            <w:pPr>
              <w:spacing w:after="40" w:before="0" w:line="259" w:lineRule="auto"/>
            </w:pPr>
            <w:r>
              <w:rPr>
                <w:rFonts w:ascii="Calibri" w:hAnsi="Calibri"/>
                <w:b w:val="0"/>
                <w:i w:val="0"/>
                <w:color w:val="212121"/>
                <w:sz w:val="16"/>
              </w:rPr>
              <w:t>MRI brain</w:t>
            </w:r>
          </w:p>
        </w:tc>
        <w:tc>
          <w:tcPr>
            <w:tcW w:type="dxa" w:w="950"/>
            <w:vAlign w:val="top"/>
          </w:tcPr>
          <w:p>
            <w:pPr>
              <w:spacing w:after="40" w:before="0" w:line="259" w:lineRule="auto"/>
            </w:pPr>
            <w:r>
              <w:rPr>
                <w:rFonts w:ascii="Calibri" w:hAnsi="Calibri"/>
                <w:b w:val="0"/>
                <w:i w:val="0"/>
                <w:color w:val="212121"/>
                <w:sz w:val="16"/>
              </w:rPr>
              <w:t>No focal lobar atrophy</w:t>
            </w:r>
          </w:p>
        </w:tc>
        <w:tc>
          <w:tcPr>
            <w:tcW w:type="dxa" w:w="950"/>
            <w:vAlign w:val="top"/>
          </w:tcPr>
          <w:p>
            <w:pPr>
              <w:spacing w:after="40" w:before="0" w:line="259" w:lineRule="auto"/>
            </w:pPr>
            <w:r>
              <w:rPr>
                <w:rFonts w:ascii="Calibri" w:hAnsi="Calibri"/>
                <w:b w:val="0"/>
                <w:i w:val="0"/>
                <w:color w:val="212121"/>
                <w:sz w:val="16"/>
              </w:rPr>
              <w:t>Frontal/anterior-temporal atrophy (FTD); relatively preserved hippocampus with cortical change (DLB)</w:t>
            </w:r>
          </w:p>
        </w:tc>
        <w:tc>
          <w:tcPr>
            <w:tcW w:type="dxa" w:w="1036"/>
            <w:vAlign w:val="top"/>
          </w:tcPr>
          <w:p>
            <w:pPr>
              <w:spacing w:after="40" w:before="0" w:line="259" w:lineRule="auto"/>
            </w:pPr>
            <w:r>
              <w:rPr>
                <w:rFonts w:ascii="Calibri" w:hAnsi="Calibri"/>
                <w:b w:val="0"/>
                <w:i w:val="0"/>
                <w:color w:val="212121"/>
                <w:sz w:val="16"/>
              </w:rPr>
              <w:t>Focal frontotemporal atrophy supports FTD; preserved medial temporal lobes help distinguish DLB from Alzheimer's</w:t>
            </w:r>
          </w:p>
        </w:tc>
        <w:tc>
          <w:tcPr>
            <w:tcW w:type="dxa" w:w="1036"/>
            <w:vAlign w:val="top"/>
          </w:tcPr>
          <w:p>
            <w:pPr>
              <w:spacing w:after="40" w:before="0" w:line="259" w:lineRule="auto"/>
            </w:pPr>
            <w:r>
              <w:rPr>
                <w:rFonts w:ascii="Calibri" w:hAnsi="Calibri"/>
                <w:b w:val="0"/>
                <w:i w:val="0"/>
                <w:color w:val="212121"/>
                <w:sz w:val="16"/>
              </w:rPr>
              <w:t>Suspected FTD/DLB, young-onset dementia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Also excludes tumour, hydrocephalus and vascular lesions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 dopaminergic imaging</w:t>
            </w:r>
          </w:p>
        </w:tc>
        <w:tc>
          <w:tcPr>
            <w:tcW w:type="dxa" w:w="1036"/>
            <w:vAlign w:val="top"/>
          </w:tcPr>
          <w:p>
            <w:pPr>
              <w:spacing w:after="40" w:before="0" w:line="259" w:lineRule="auto"/>
            </w:pPr>
            <w:r>
              <w:rPr>
                <w:rFonts w:ascii="Calibri" w:hAnsi="Calibri"/>
                <w:b w:val="0"/>
                <w:i w:val="0"/>
                <w:color w:val="212121"/>
                <w:sz w:val="16"/>
              </w:rPr>
              <w:t>Nigrostriatal dopamine-transporter uptake</w:t>
            </w:r>
          </w:p>
        </w:tc>
        <w:tc>
          <w:tcPr>
            <w:tcW w:type="dxa" w:w="892"/>
            <w:vAlign w:val="top"/>
          </w:tcPr>
          <w:p>
            <w:pPr>
              <w:spacing w:after="40" w:before="0" w:line="259" w:lineRule="auto"/>
            </w:pPr>
            <w:r>
              <w:rPr>
                <w:rFonts w:ascii="Calibri" w:hAnsi="Calibri"/>
                <w:b w:val="0"/>
                <w:i w:val="0"/>
                <w:color w:val="212121"/>
                <w:sz w:val="16"/>
              </w:rPr>
              <w:t>DaT-SPECT (¹²³I-FP-CIT) / PET</w:t>
            </w:r>
          </w:p>
        </w:tc>
        <w:tc>
          <w:tcPr>
            <w:tcW w:type="dxa" w:w="950"/>
            <w:vAlign w:val="top"/>
          </w:tcPr>
          <w:p>
            <w:pPr>
              <w:spacing w:after="40" w:before="0" w:line="259" w:lineRule="auto"/>
            </w:pPr>
            <w:r>
              <w:rPr>
                <w:rFonts w:ascii="Calibri" w:hAnsi="Calibri"/>
                <w:b w:val="0"/>
                <w:i w:val="0"/>
                <w:color w:val="212121"/>
                <w:sz w:val="16"/>
              </w:rPr>
              <w:t>Normal striatal uptake</w:t>
            </w:r>
          </w:p>
        </w:tc>
        <w:tc>
          <w:tcPr>
            <w:tcW w:type="dxa" w:w="950"/>
            <w:vAlign w:val="top"/>
          </w:tcPr>
          <w:p>
            <w:pPr>
              <w:spacing w:after="40" w:before="0" w:line="259" w:lineRule="auto"/>
            </w:pPr>
            <w:r>
              <w:rPr>
                <w:rFonts w:ascii="Calibri" w:hAnsi="Calibri"/>
                <w:b w:val="0"/>
                <w:i w:val="0"/>
                <w:color w:val="212121"/>
                <w:sz w:val="16"/>
              </w:rPr>
              <w:t>Reduced basal-ganglia dopamine-transporter uptake</w:t>
            </w:r>
          </w:p>
        </w:tc>
        <w:tc>
          <w:tcPr>
            <w:tcW w:type="dxa" w:w="1036"/>
            <w:vAlign w:val="top"/>
          </w:tcPr>
          <w:p>
            <w:pPr>
              <w:spacing w:after="40" w:before="0" w:line="259" w:lineRule="auto"/>
            </w:pPr>
            <w:r>
              <w:rPr>
                <w:rFonts w:ascii="Calibri" w:hAnsi="Calibri"/>
                <w:b w:val="0"/>
                <w:i w:val="0"/>
                <w:color w:val="212121"/>
                <w:sz w:val="16"/>
              </w:rPr>
              <w:t>Low uptake is an indicative biomarker of DLB and helps separate it from Alzheimer's and non-degenerative dementia</w:t>
            </w:r>
          </w:p>
        </w:tc>
        <w:tc>
          <w:tcPr>
            <w:tcW w:type="dxa" w:w="1036"/>
            <w:vAlign w:val="top"/>
          </w:tcPr>
          <w:p>
            <w:pPr>
              <w:spacing w:after="40" w:before="0" w:line="259" w:lineRule="auto"/>
            </w:pPr>
            <w:r>
              <w:rPr>
                <w:rFonts w:ascii="Calibri" w:hAnsi="Calibri"/>
                <w:b w:val="0"/>
                <w:i w:val="0"/>
                <w:color w:val="212121"/>
                <w:sz w:val="16"/>
              </w:rPr>
              <w:t>Suspected DLB, parkinsonism with dementia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Indicative biomarker</w:t>
            </w:r>
          </w:p>
        </w:tc>
        <w:tc>
          <w:tcPr>
            <w:tcW w:type="dxa" w:w="720"/>
            <w:vAlign w:val="top"/>
          </w:tcPr>
          <w:p>
            <w:pPr>
              <w:spacing w:after="40" w:before="0" w:line="259" w:lineRule="auto"/>
            </w:pPr>
            <w:r>
              <w:rPr>
                <w:rFonts w:ascii="Calibri" w:hAnsi="Calibri"/>
                <w:b w:val="0"/>
                <w:i w:val="0"/>
                <w:color w:val="212121"/>
                <w:sz w:val="16"/>
              </w:rPr>
              <w:t>Supports probable DLB when one core feature is present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autonomic imaging</w:t>
            </w:r>
          </w:p>
        </w:tc>
        <w:tc>
          <w:tcPr>
            <w:tcW w:type="dxa" w:w="1036"/>
            <w:vAlign w:val="top"/>
          </w:tcPr>
          <w:p>
            <w:pPr>
              <w:spacing w:after="40" w:before="0" w:line="259" w:lineRule="auto"/>
            </w:pPr>
            <w:r>
              <w:rPr>
                <w:rFonts w:ascii="Calibri" w:hAnsi="Calibri"/>
                <w:b w:val="0"/>
                <w:i w:val="0"/>
                <w:color w:val="212121"/>
                <w:sz w:val="16"/>
              </w:rPr>
              <w:t>Cardiac sympathetic (MIBG) uptake</w:t>
            </w:r>
          </w:p>
        </w:tc>
        <w:tc>
          <w:tcPr>
            <w:tcW w:type="dxa" w:w="892"/>
            <w:vAlign w:val="top"/>
          </w:tcPr>
          <w:p>
            <w:pPr>
              <w:spacing w:after="40" w:before="0" w:line="259" w:lineRule="auto"/>
            </w:pPr>
            <w:r>
              <w:rPr>
                <w:rFonts w:ascii="Calibri" w:hAnsi="Calibri"/>
                <w:b w:val="0"/>
                <w:i w:val="0"/>
                <w:color w:val="212121"/>
                <w:sz w:val="16"/>
              </w:rPr>
              <w:t>MIBG myocardial scintigraphy</w:t>
            </w:r>
          </w:p>
        </w:tc>
        <w:tc>
          <w:tcPr>
            <w:tcW w:type="dxa" w:w="950"/>
            <w:vAlign w:val="top"/>
          </w:tcPr>
          <w:p>
            <w:pPr>
              <w:spacing w:after="40" w:before="0" w:line="259" w:lineRule="auto"/>
            </w:pPr>
            <w:r>
              <w:rPr>
                <w:rFonts w:ascii="Calibri" w:hAnsi="Calibri"/>
                <w:b w:val="0"/>
                <w:i w:val="0"/>
                <w:color w:val="212121"/>
                <w:sz w:val="16"/>
              </w:rPr>
              <w:t>Normal heart-to-mediastinum uptake</w:t>
            </w:r>
          </w:p>
        </w:tc>
        <w:tc>
          <w:tcPr>
            <w:tcW w:type="dxa" w:w="950"/>
            <w:vAlign w:val="top"/>
          </w:tcPr>
          <w:p>
            <w:pPr>
              <w:spacing w:after="40" w:before="0" w:line="259" w:lineRule="auto"/>
            </w:pPr>
            <w:r>
              <w:rPr>
                <w:rFonts w:ascii="Calibri" w:hAnsi="Calibri"/>
                <w:b w:val="0"/>
                <w:i w:val="0"/>
                <w:color w:val="212121"/>
                <w:sz w:val="16"/>
              </w:rPr>
              <w:t>Reduced cardiac MIBG uptake</w:t>
            </w:r>
          </w:p>
        </w:tc>
        <w:tc>
          <w:tcPr>
            <w:tcW w:type="dxa" w:w="1036"/>
            <w:vAlign w:val="top"/>
          </w:tcPr>
          <w:p>
            <w:pPr>
              <w:spacing w:after="40" w:before="0" w:line="259" w:lineRule="auto"/>
            </w:pPr>
            <w:r>
              <w:rPr>
                <w:rFonts w:ascii="Calibri" w:hAnsi="Calibri"/>
                <w:b w:val="0"/>
                <w:i w:val="0"/>
                <w:color w:val="212121"/>
                <w:sz w:val="16"/>
              </w:rPr>
              <w:t>Low cardiac uptake reflects post-ganglionic sympathetic denervation and is an indicative DLB biomarker</w:t>
            </w:r>
          </w:p>
        </w:tc>
        <w:tc>
          <w:tcPr>
            <w:tcW w:type="dxa" w:w="1036"/>
            <w:vAlign w:val="top"/>
          </w:tcPr>
          <w:p>
            <w:pPr>
              <w:spacing w:after="40" w:before="0" w:line="259" w:lineRule="auto"/>
            </w:pPr>
            <w:r>
              <w:rPr>
                <w:rFonts w:ascii="Calibri" w:hAnsi="Calibri"/>
                <w:b w:val="0"/>
                <w:i w:val="0"/>
                <w:color w:val="212121"/>
                <w:sz w:val="16"/>
              </w:rPr>
              <w:t>Suspected DLB</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Indicative biomarker</w:t>
            </w:r>
          </w:p>
        </w:tc>
        <w:tc>
          <w:tcPr>
            <w:tcW w:type="dxa" w:w="720"/>
            <w:vAlign w:val="top"/>
          </w:tcPr>
          <w:p>
            <w:pPr>
              <w:spacing w:after="40" w:before="0" w:line="259" w:lineRule="auto"/>
            </w:pPr>
            <w:r>
              <w:rPr>
                <w:rFonts w:ascii="Calibri" w:hAnsi="Calibri"/>
                <w:b w:val="0"/>
                <w:i w:val="0"/>
                <w:color w:val="212121"/>
                <w:sz w:val="16"/>
              </w:rPr>
              <w:t>Useful where DaT imaging is equivocal or unavailable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Sleep study</w:t>
            </w:r>
          </w:p>
        </w:tc>
        <w:tc>
          <w:tcPr>
            <w:tcW w:type="dxa" w:w="1036"/>
            <w:vAlign w:val="top"/>
          </w:tcPr>
          <w:p>
            <w:pPr>
              <w:spacing w:after="40" w:before="0" w:line="259" w:lineRule="auto"/>
            </w:pPr>
            <w:r>
              <w:rPr>
                <w:rFonts w:ascii="Calibri" w:hAnsi="Calibri"/>
                <w:b w:val="0"/>
                <w:i w:val="0"/>
                <w:color w:val="212121"/>
                <w:sz w:val="16"/>
              </w:rPr>
              <w:t>REM sleep without atonia</w:t>
            </w:r>
          </w:p>
        </w:tc>
        <w:tc>
          <w:tcPr>
            <w:tcW w:type="dxa" w:w="892"/>
            <w:vAlign w:val="top"/>
          </w:tcPr>
          <w:p>
            <w:pPr>
              <w:spacing w:after="40" w:before="0" w:line="259" w:lineRule="auto"/>
            </w:pPr>
            <w:r>
              <w:rPr>
                <w:rFonts w:ascii="Calibri" w:hAnsi="Calibri"/>
                <w:b w:val="0"/>
                <w:i w:val="0"/>
                <w:color w:val="212121"/>
                <w:sz w:val="16"/>
              </w:rPr>
              <w:t>Polysomnography</w:t>
            </w:r>
          </w:p>
        </w:tc>
        <w:tc>
          <w:tcPr>
            <w:tcW w:type="dxa" w:w="950"/>
            <w:vAlign w:val="top"/>
          </w:tcPr>
          <w:p>
            <w:pPr>
              <w:spacing w:after="40" w:before="0" w:line="259" w:lineRule="auto"/>
            </w:pPr>
            <w:r>
              <w:rPr>
                <w:rFonts w:ascii="Calibri" w:hAnsi="Calibri"/>
                <w:b w:val="0"/>
                <w:i w:val="0"/>
                <w:color w:val="212121"/>
                <w:sz w:val="16"/>
              </w:rPr>
              <w:t>Normal REM atonia</w:t>
            </w:r>
          </w:p>
        </w:tc>
        <w:tc>
          <w:tcPr>
            <w:tcW w:type="dxa" w:w="950"/>
            <w:vAlign w:val="top"/>
          </w:tcPr>
          <w:p>
            <w:pPr>
              <w:spacing w:after="40" w:before="0" w:line="259" w:lineRule="auto"/>
            </w:pPr>
            <w:r>
              <w:rPr>
                <w:rFonts w:ascii="Calibri" w:hAnsi="Calibri"/>
                <w:b w:val="0"/>
                <w:i w:val="0"/>
                <w:color w:val="212121"/>
                <w:sz w:val="16"/>
              </w:rPr>
              <w:t>REM sleep without atonia / dream-enactment</w:t>
            </w:r>
          </w:p>
        </w:tc>
        <w:tc>
          <w:tcPr>
            <w:tcW w:type="dxa" w:w="1036"/>
            <w:vAlign w:val="top"/>
          </w:tcPr>
          <w:p>
            <w:pPr>
              <w:spacing w:after="40" w:before="0" w:line="259" w:lineRule="auto"/>
            </w:pPr>
            <w:r>
              <w:rPr>
                <w:rFonts w:ascii="Calibri" w:hAnsi="Calibri"/>
                <w:b w:val="0"/>
                <w:i w:val="0"/>
                <w:color w:val="212121"/>
                <w:sz w:val="16"/>
              </w:rPr>
              <w:t>Confirms RBD, a core DLB feature and prodromal synucleinopathy marker</w:t>
            </w:r>
          </w:p>
        </w:tc>
        <w:tc>
          <w:tcPr>
            <w:tcW w:type="dxa" w:w="1036"/>
            <w:vAlign w:val="top"/>
          </w:tcPr>
          <w:p>
            <w:pPr>
              <w:spacing w:after="40" w:before="0" w:line="259" w:lineRule="auto"/>
            </w:pPr>
            <w:r>
              <w:rPr>
                <w:rFonts w:ascii="Calibri" w:hAnsi="Calibri"/>
                <w:b w:val="0"/>
                <w:i w:val="0"/>
                <w:color w:val="212121"/>
                <w:sz w:val="16"/>
              </w:rPr>
              <w:t>Dream-enactment behaviour, suspected DLB</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Indicative biomarker</w:t>
            </w:r>
          </w:p>
        </w:tc>
        <w:tc>
          <w:tcPr>
            <w:tcW w:type="dxa" w:w="720"/>
            <w:vAlign w:val="top"/>
          </w:tcPr>
          <w:p>
            <w:pPr>
              <w:spacing w:after="40" w:before="0" w:line="259" w:lineRule="auto"/>
            </w:pPr>
            <w:r>
              <w:rPr>
                <w:rFonts w:ascii="Calibri" w:hAnsi="Calibri"/>
                <w:b w:val="0"/>
                <w:i w:val="0"/>
                <w:color w:val="212121"/>
                <w:sz w:val="16"/>
              </w:rPr>
              <w:t>Also assesses for obstructive sleep apnoea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 metabolic imaging</w:t>
            </w:r>
          </w:p>
        </w:tc>
        <w:tc>
          <w:tcPr>
            <w:tcW w:type="dxa" w:w="1036"/>
            <w:vAlign w:val="top"/>
          </w:tcPr>
          <w:p>
            <w:pPr>
              <w:spacing w:after="40" w:before="0" w:line="259" w:lineRule="auto"/>
            </w:pPr>
            <w:r>
              <w:rPr>
                <w:rFonts w:ascii="Calibri" w:hAnsi="Calibri"/>
                <w:b w:val="0"/>
                <w:i w:val="0"/>
                <w:color w:val="212121"/>
                <w:sz w:val="16"/>
              </w:rPr>
              <w:t>Regional cerebral glucose metabolism</w:t>
            </w:r>
          </w:p>
        </w:tc>
        <w:tc>
          <w:tcPr>
            <w:tcW w:type="dxa" w:w="892"/>
            <w:vAlign w:val="top"/>
          </w:tcPr>
          <w:p>
            <w:pPr>
              <w:spacing w:after="40" w:before="0" w:line="259" w:lineRule="auto"/>
            </w:pPr>
            <w:r>
              <w:rPr>
                <w:rFonts w:ascii="Calibri" w:hAnsi="Calibri"/>
                <w:b w:val="0"/>
                <w:i w:val="0"/>
                <w:color w:val="212121"/>
                <w:sz w:val="16"/>
              </w:rPr>
              <w:t>FDG-PET brain</w:t>
            </w:r>
          </w:p>
        </w:tc>
        <w:tc>
          <w:tcPr>
            <w:tcW w:type="dxa" w:w="950"/>
            <w:vAlign w:val="top"/>
          </w:tcPr>
          <w:p>
            <w:pPr>
              <w:spacing w:after="40" w:before="0" w:line="259" w:lineRule="auto"/>
            </w:pPr>
            <w:r>
              <w:rPr>
                <w:rFonts w:ascii="Calibri" w:hAnsi="Calibri"/>
                <w:b w:val="0"/>
                <w:i w:val="0"/>
                <w:color w:val="212121"/>
                <w:sz w:val="16"/>
              </w:rPr>
              <w:t>Normal metabolic pattern</w:t>
            </w:r>
          </w:p>
        </w:tc>
        <w:tc>
          <w:tcPr>
            <w:tcW w:type="dxa" w:w="950"/>
            <w:vAlign w:val="top"/>
          </w:tcPr>
          <w:p>
            <w:pPr>
              <w:spacing w:after="40" w:before="0" w:line="259" w:lineRule="auto"/>
            </w:pPr>
            <w:r>
              <w:rPr>
                <w:rFonts w:ascii="Calibri" w:hAnsi="Calibri"/>
                <w:b w:val="0"/>
                <w:i w:val="0"/>
                <w:color w:val="212121"/>
                <w:sz w:val="16"/>
              </w:rPr>
              <w:t>Frontotemporal hypometabolism (FTD); occipital hypometabolism with cingulate-island sign (DLB)</w:t>
            </w:r>
          </w:p>
        </w:tc>
        <w:tc>
          <w:tcPr>
            <w:tcW w:type="dxa" w:w="1036"/>
            <w:vAlign w:val="top"/>
          </w:tcPr>
          <w:p>
            <w:pPr>
              <w:spacing w:after="40" w:before="0" w:line="259" w:lineRule="auto"/>
            </w:pPr>
            <w:r>
              <w:rPr>
                <w:rFonts w:ascii="Calibri" w:hAnsi="Calibri"/>
                <w:b w:val="0"/>
                <w:i w:val="0"/>
                <w:color w:val="212121"/>
                <w:sz w:val="16"/>
              </w:rPr>
              <w:t>Distinct hypometabolic patterns support and differentiate FTD and DLB</w:t>
            </w:r>
          </w:p>
        </w:tc>
        <w:tc>
          <w:tcPr>
            <w:tcW w:type="dxa" w:w="1036"/>
            <w:vAlign w:val="top"/>
          </w:tcPr>
          <w:p>
            <w:pPr>
              <w:spacing w:after="40" w:before="0" w:line="259" w:lineRule="auto"/>
            </w:pPr>
            <w:r>
              <w:rPr>
                <w:rFonts w:ascii="Calibri" w:hAnsi="Calibri"/>
                <w:b w:val="0"/>
                <w:i w:val="0"/>
                <w:color w:val="212121"/>
                <w:sz w:val="16"/>
              </w:rPr>
              <w:t>Uncertain early or young-onset dementia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Helpful when MRI is equivocal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Reversible-cause screen</w:t>
            </w:r>
          </w:p>
        </w:tc>
        <w:tc>
          <w:tcPr>
            <w:tcW w:type="dxa" w:w="1036"/>
            <w:vAlign w:val="top"/>
          </w:tcPr>
          <w:p>
            <w:pPr>
              <w:spacing w:after="40" w:before="0" w:line="259" w:lineRule="auto"/>
            </w:pPr>
            <w:r>
              <w:rPr>
                <w:rFonts w:ascii="Calibri" w:hAnsi="Calibri"/>
                <w:b w:val="0"/>
                <w:i w:val="0"/>
                <w:color w:val="212121"/>
                <w:sz w:val="16"/>
              </w:rPr>
              <w:t>B12, folate, TSH, CBC, renal/hepatic, electrolytes, calcium</w:t>
            </w:r>
          </w:p>
        </w:tc>
        <w:tc>
          <w:tcPr>
            <w:tcW w:type="dxa" w:w="892"/>
            <w:vAlign w:val="top"/>
          </w:tcPr>
          <w:p>
            <w:pPr>
              <w:spacing w:after="40" w:before="0" w:line="259" w:lineRule="auto"/>
            </w:pPr>
            <w:r>
              <w:rPr>
                <w:rFonts w:ascii="Calibri" w:hAnsi="Calibri"/>
                <w:b w:val="0"/>
                <w:i w:val="0"/>
                <w:color w:val="212121"/>
                <w:sz w:val="16"/>
              </w:rPr>
              <w:t>Bloods for treatable mimics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Low B12, hypothyroidism, anaemia, metabolic derangement</w:t>
            </w:r>
          </w:p>
        </w:tc>
        <w:tc>
          <w:tcPr>
            <w:tcW w:type="dxa" w:w="1036"/>
            <w:vAlign w:val="top"/>
          </w:tcPr>
          <w:p>
            <w:pPr>
              <w:spacing w:after="40" w:before="0" w:line="259" w:lineRule="auto"/>
            </w:pPr>
            <w:r>
              <w:rPr>
                <w:rFonts w:ascii="Calibri" w:hAnsi="Calibri"/>
                <w:b w:val="0"/>
                <w:i w:val="0"/>
                <w:color w:val="212121"/>
                <w:sz w:val="16"/>
              </w:rPr>
              <w:t>Excludes/treats reversible contributors to cognitive and behavioural change</w:t>
            </w:r>
          </w:p>
        </w:tc>
        <w:tc>
          <w:tcPr>
            <w:tcW w:type="dxa" w:w="1036"/>
            <w:vAlign w:val="top"/>
          </w:tcPr>
          <w:p>
            <w:pPr>
              <w:spacing w:after="40" w:before="0" w:line="259" w:lineRule="auto"/>
            </w:pPr>
            <w:r>
              <w:rPr>
                <w:rFonts w:ascii="Calibri" w:hAnsi="Calibri"/>
                <w:b w:val="0"/>
                <w:i w:val="0"/>
                <w:color w:val="212121"/>
                <w:sz w:val="16"/>
              </w:rPr>
              <w:t>All new dementia work-ups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Correctable deficiencies can mimic or worsen dementia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 (selected)</w:t>
            </w:r>
          </w:p>
        </w:tc>
        <w:tc>
          <w:tcPr>
            <w:tcW w:type="dxa" w:w="1036"/>
            <w:vAlign w:val="top"/>
          </w:tcPr>
          <w:p>
            <w:pPr>
              <w:spacing w:after="40" w:before="0" w:line="259" w:lineRule="auto"/>
            </w:pPr>
            <w:r>
              <w:rPr>
                <w:rFonts w:ascii="Calibri" w:hAnsi="Calibri"/>
                <w:b w:val="0"/>
                <w:i w:val="0"/>
                <w:color w:val="212121"/>
                <w:sz w:val="16"/>
              </w:rPr>
              <w:t>C9orf72 expansion; MAPT, GRN mutations</w:t>
            </w:r>
          </w:p>
        </w:tc>
        <w:tc>
          <w:tcPr>
            <w:tcW w:type="dxa" w:w="892"/>
            <w:vAlign w:val="top"/>
          </w:tcPr>
          <w:p>
            <w:pPr>
              <w:spacing w:after="40" w:before="0" w:line="259" w:lineRule="auto"/>
            </w:pPr>
            <w:r>
              <w:rPr>
                <w:rFonts w:ascii="Calibri" w:hAnsi="Calibri"/>
                <w:b w:val="0"/>
                <w:i w:val="0"/>
                <w:color w:val="212121"/>
                <w:sz w:val="16"/>
              </w:rPr>
              <w:t>FTD gene panel / targeted testing</w:t>
            </w:r>
          </w:p>
        </w:tc>
        <w:tc>
          <w:tcPr>
            <w:tcW w:type="dxa" w:w="950"/>
            <w:vAlign w:val="top"/>
          </w:tcPr>
          <w:p>
            <w:pPr>
              <w:spacing w:after="40" w:before="0" w:line="259" w:lineRule="auto"/>
            </w:pPr>
            <w:r>
              <w:rPr>
                <w:rFonts w:ascii="Calibri" w:hAnsi="Calibri"/>
                <w:b w:val="0"/>
                <w:i w:val="0"/>
                <w:color w:val="212121"/>
                <w:sz w:val="16"/>
              </w:rPr>
              <w:t>No pathogenic variant</w:t>
            </w:r>
          </w:p>
        </w:tc>
        <w:tc>
          <w:tcPr>
            <w:tcW w:type="dxa" w:w="950"/>
            <w:vAlign w:val="top"/>
          </w:tcPr>
          <w:p>
            <w:pPr>
              <w:spacing w:after="40" w:before="0" w:line="259" w:lineRule="auto"/>
            </w:pPr>
            <w:r>
              <w:rPr>
                <w:rFonts w:ascii="Calibri" w:hAnsi="Calibri"/>
                <w:b w:val="0"/>
                <w:i w:val="0"/>
                <w:color w:val="212121"/>
                <w:sz w:val="16"/>
              </w:rPr>
              <w:t>Pathogenic C9orf72, MAPT or GRN variant</w:t>
            </w:r>
          </w:p>
        </w:tc>
        <w:tc>
          <w:tcPr>
            <w:tcW w:type="dxa" w:w="1036"/>
            <w:vAlign w:val="top"/>
          </w:tcPr>
          <w:p>
            <w:pPr>
              <w:spacing w:after="40" w:before="0" w:line="259" w:lineRule="auto"/>
            </w:pPr>
            <w:r>
              <w:rPr>
                <w:rFonts w:ascii="Calibri" w:hAnsi="Calibri"/>
                <w:b w:val="0"/>
                <w:i w:val="0"/>
                <w:color w:val="212121"/>
                <w:sz w:val="16"/>
              </w:rPr>
              <w:t>Confirms hereditary FTLD and enables cascade genetic counselling</w:t>
            </w:r>
          </w:p>
        </w:tc>
        <w:tc>
          <w:tcPr>
            <w:tcW w:type="dxa" w:w="1036"/>
            <w:vAlign w:val="top"/>
          </w:tcPr>
          <w:p>
            <w:pPr>
              <w:spacing w:after="40" w:before="0" w:line="259" w:lineRule="auto"/>
            </w:pPr>
            <w:r>
              <w:rPr>
                <w:rFonts w:ascii="Calibri" w:hAnsi="Calibri"/>
                <w:b w:val="0"/>
                <w:i w:val="0"/>
                <w:color w:val="212121"/>
                <w:sz w:val="16"/>
              </w:rPr>
              <w:t>Familial or young-onset FTD, FTD–ALS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 for familial/young cases with informed consent and counselling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 (selected)</w:t>
            </w:r>
          </w:p>
        </w:tc>
        <w:tc>
          <w:tcPr>
            <w:tcW w:type="dxa" w:w="1036"/>
            <w:vAlign w:val="top"/>
          </w:tcPr>
          <w:p>
            <w:pPr>
              <w:spacing w:after="40" w:before="0" w:line="259" w:lineRule="auto"/>
            </w:pPr>
            <w:r>
              <w:rPr>
                <w:rFonts w:ascii="Calibri" w:hAnsi="Calibri"/>
                <w:b w:val="0"/>
                <w:i w:val="0"/>
                <w:color w:val="212121"/>
                <w:sz w:val="16"/>
              </w:rPr>
              <w:t>Posterior EEG slowing; EMG for motor neuron involvement</w:t>
            </w:r>
          </w:p>
        </w:tc>
        <w:tc>
          <w:tcPr>
            <w:tcW w:type="dxa" w:w="892"/>
            <w:vAlign w:val="top"/>
          </w:tcPr>
          <w:p>
            <w:pPr>
              <w:spacing w:after="40" w:before="0" w:line="259" w:lineRule="auto"/>
            </w:pPr>
            <w:r>
              <w:rPr>
                <w:rFonts w:ascii="Calibri" w:hAnsi="Calibri"/>
                <w:b w:val="0"/>
                <w:i w:val="0"/>
                <w:color w:val="212121"/>
                <w:sz w:val="16"/>
              </w:rPr>
              <w:t>EEG / EMG–NCS</w:t>
            </w:r>
          </w:p>
        </w:tc>
        <w:tc>
          <w:tcPr>
            <w:tcW w:type="dxa" w:w="950"/>
            <w:vAlign w:val="top"/>
          </w:tcPr>
          <w:p>
            <w:pPr>
              <w:spacing w:after="40" w:before="0" w:line="259" w:lineRule="auto"/>
            </w:pPr>
            <w:r>
              <w:rPr>
                <w:rFonts w:ascii="Calibri" w:hAnsi="Calibri"/>
                <w:b w:val="0"/>
                <w:i w:val="0"/>
                <w:color w:val="212121"/>
                <w:sz w:val="16"/>
              </w:rPr>
              <w:t>Normal EEG; no denervation</w:t>
            </w:r>
          </w:p>
        </w:tc>
        <w:tc>
          <w:tcPr>
            <w:tcW w:type="dxa" w:w="950"/>
            <w:vAlign w:val="top"/>
          </w:tcPr>
          <w:p>
            <w:pPr>
              <w:spacing w:after="40" w:before="0" w:line="259" w:lineRule="auto"/>
            </w:pPr>
            <w:r>
              <w:rPr>
                <w:rFonts w:ascii="Calibri" w:hAnsi="Calibri"/>
                <w:b w:val="0"/>
                <w:i w:val="0"/>
                <w:color w:val="212121"/>
                <w:sz w:val="16"/>
              </w:rPr>
              <w:t>Prominent posterior slow-wave activity (DLB); denervation/fasciculation (FTD–ALS)</w:t>
            </w:r>
          </w:p>
        </w:tc>
        <w:tc>
          <w:tcPr>
            <w:tcW w:type="dxa" w:w="1036"/>
            <w:vAlign w:val="top"/>
          </w:tcPr>
          <w:p>
            <w:pPr>
              <w:spacing w:after="40" w:before="0" w:line="259" w:lineRule="auto"/>
            </w:pPr>
            <w:r>
              <w:rPr>
                <w:rFonts w:ascii="Calibri" w:hAnsi="Calibri"/>
                <w:b w:val="0"/>
                <w:i w:val="0"/>
                <w:color w:val="212121"/>
                <w:sz w:val="16"/>
              </w:rPr>
              <w:t>Supports DLB and detects motor neuron disease in FTD–ALS overlap</w:t>
            </w:r>
          </w:p>
        </w:tc>
        <w:tc>
          <w:tcPr>
            <w:tcW w:type="dxa" w:w="1036"/>
            <w:vAlign w:val="top"/>
          </w:tcPr>
          <w:p>
            <w:pPr>
              <w:spacing w:after="40" w:before="0" w:line="259" w:lineRule="auto"/>
            </w:pPr>
            <w:r>
              <w:rPr>
                <w:rFonts w:ascii="Calibri" w:hAnsi="Calibri"/>
                <w:b w:val="0"/>
                <w:i w:val="0"/>
                <w:color w:val="212121"/>
                <w:sz w:val="16"/>
              </w:rPr>
              <w:t>Fluctuating cognition; suspected FTD–ALS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EMG indicated where limb wasting, weakness or fasciculations are present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 (collateral)</w:t>
            </w:r>
          </w:p>
        </w:tc>
        <w:tc>
          <w:tcPr>
            <w:tcW w:type="dxa" w:w="950"/>
            <w:vAlign w:val="top"/>
          </w:tcPr>
          <w:p>
            <w:pPr>
              <w:spacing w:after="40" w:before="0" w:line="259" w:lineRule="auto"/>
            </w:pPr>
            <w:r>
              <w:rPr>
                <w:rFonts w:ascii="Calibri" w:hAnsi="Calibri"/>
                <w:b w:val="0"/>
                <w:i w:val="0"/>
                <w:color w:val="212121"/>
                <w:sz w:val="16"/>
              </w:rPr>
              <w:t>Behaviour, personality &amp; conduct change</w:t>
            </w:r>
          </w:p>
        </w:tc>
        <w:tc>
          <w:tcPr>
            <w:tcW w:type="dxa" w:w="979"/>
            <w:vAlign w:val="top"/>
          </w:tcPr>
          <w:p>
            <w:pPr>
              <w:spacing w:after="40" w:before="0" w:line="259" w:lineRule="auto"/>
            </w:pPr>
            <w:r>
              <w:rPr>
                <w:rFonts w:ascii="Calibri" w:hAnsi="Calibri"/>
                <w:b w:val="0"/>
                <w:i w:val="0"/>
                <w:color w:val="212121"/>
                <w:sz w:val="16"/>
              </w:rPr>
              <w:t>Disinhibition, apathy, loss of empathy, compulsive behaviour, dietary/oral change</w:t>
            </w:r>
          </w:p>
        </w:tc>
        <w:tc>
          <w:tcPr>
            <w:tcW w:type="dxa" w:w="950"/>
            <w:vAlign w:val="top"/>
          </w:tcPr>
          <w:p>
            <w:pPr>
              <w:spacing w:after="40" w:before="0" w:line="259" w:lineRule="auto"/>
            </w:pPr>
            <w:r>
              <w:rPr>
                <w:rFonts w:ascii="Calibri" w:hAnsi="Calibri"/>
                <w:b w:val="0"/>
                <w:i w:val="0"/>
                <w:color w:val="212121"/>
                <w:sz w:val="16"/>
              </w:rPr>
              <w:t>Stable personality and social conduct</w:t>
            </w:r>
          </w:p>
        </w:tc>
        <w:tc>
          <w:tcPr>
            <w:tcW w:type="dxa" w:w="950"/>
            <w:vAlign w:val="top"/>
          </w:tcPr>
          <w:p>
            <w:pPr>
              <w:spacing w:after="40" w:before="0" w:line="259" w:lineRule="auto"/>
            </w:pPr>
            <w:r>
              <w:rPr>
                <w:rFonts w:ascii="Calibri" w:hAnsi="Calibri"/>
                <w:b w:val="0"/>
                <w:i w:val="0"/>
                <w:color w:val="212121"/>
                <w:sz w:val="16"/>
              </w:rPr>
              <w:t>≥ 3 behavioural features with preserved memory (bvFTD pattern)</w:t>
            </w:r>
          </w:p>
        </w:tc>
        <w:tc>
          <w:tcPr>
            <w:tcW w:type="dxa" w:w="1036"/>
            <w:vAlign w:val="top"/>
          </w:tcPr>
          <w:p>
            <w:pPr>
              <w:spacing w:after="40" w:before="0" w:line="259" w:lineRule="auto"/>
            </w:pPr>
            <w:r>
              <w:rPr>
                <w:rFonts w:ascii="Calibri" w:hAnsi="Calibri"/>
                <w:b w:val="0"/>
                <w:i w:val="0"/>
                <w:color w:val="212121"/>
                <w:sz w:val="16"/>
              </w:rPr>
              <w:t>Early behavioural change with spared memory points to behavioural-variant FTD</w:t>
            </w:r>
          </w:p>
        </w:tc>
        <w:tc>
          <w:tcPr>
            <w:tcW w:type="dxa" w:w="1036"/>
            <w:vAlign w:val="top"/>
          </w:tcPr>
          <w:p>
            <w:pPr>
              <w:spacing w:after="40" w:before="0" w:line="259" w:lineRule="auto"/>
            </w:pPr>
            <w:r>
              <w:rPr>
                <w:rFonts w:ascii="Calibri" w:hAnsi="Calibri"/>
                <w:b w:val="0"/>
                <w:i w:val="0"/>
                <w:color w:val="212121"/>
                <w:sz w:val="16"/>
              </w:rPr>
              <w:t>Suspected bvFTD, midlife behaviour change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Carer/informant account is essential; patients often lack insight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Fluctuations, hallucinations &amp; sleep</w:t>
            </w:r>
          </w:p>
        </w:tc>
        <w:tc>
          <w:tcPr>
            <w:tcW w:type="dxa" w:w="979"/>
            <w:vAlign w:val="top"/>
          </w:tcPr>
          <w:p>
            <w:pPr>
              <w:spacing w:after="40" w:before="0" w:line="259" w:lineRule="auto"/>
            </w:pPr>
            <w:r>
              <w:rPr>
                <w:rFonts w:ascii="Calibri" w:hAnsi="Calibri"/>
                <w:b w:val="0"/>
                <w:i w:val="0"/>
                <w:color w:val="212121"/>
                <w:sz w:val="16"/>
              </w:rPr>
              <w:t>Cognitive fluctuation, visual hallucinations, dream-enactment (RBD), daytime somnolence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Two or more DLB core features present</w:t>
            </w:r>
          </w:p>
        </w:tc>
        <w:tc>
          <w:tcPr>
            <w:tcW w:type="dxa" w:w="1036"/>
            <w:vAlign w:val="top"/>
          </w:tcPr>
          <w:p>
            <w:pPr>
              <w:spacing w:after="40" w:before="0" w:line="259" w:lineRule="auto"/>
            </w:pPr>
            <w:r>
              <w:rPr>
                <w:rFonts w:ascii="Calibri" w:hAnsi="Calibri"/>
                <w:b w:val="0"/>
                <w:i w:val="0"/>
                <w:color w:val="212121"/>
                <w:sz w:val="16"/>
              </w:rPr>
              <w:t>Core clinical features establishing probable DLB (McKeith 2017)</w:t>
            </w:r>
          </w:p>
        </w:tc>
        <w:tc>
          <w:tcPr>
            <w:tcW w:type="dxa" w:w="1036"/>
            <w:vAlign w:val="top"/>
          </w:tcPr>
          <w:p>
            <w:pPr>
              <w:spacing w:after="40" w:before="0" w:line="259" w:lineRule="auto"/>
            </w:pPr>
            <w:r>
              <w:rPr>
                <w:rFonts w:ascii="Calibri" w:hAnsi="Calibri"/>
                <w:b w:val="0"/>
                <w:i w:val="0"/>
                <w:color w:val="212121"/>
                <w:sz w:val="16"/>
              </w:rPr>
              <w:t>Suspected DLB, parkinsonism with dementia</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Ask specifically about vivid hallucinations, day-to-day variability and acting out dreams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Cognitive &amp; language testing</w:t>
            </w:r>
          </w:p>
        </w:tc>
        <w:tc>
          <w:tcPr>
            <w:tcW w:type="dxa" w:w="950"/>
            <w:vAlign w:val="top"/>
          </w:tcPr>
          <w:p>
            <w:pPr>
              <w:spacing w:after="40" w:before="0" w:line="259" w:lineRule="auto"/>
            </w:pPr>
            <w:r>
              <w:rPr>
                <w:rFonts w:ascii="Calibri" w:hAnsi="Calibri"/>
                <w:b w:val="0"/>
                <w:i w:val="0"/>
                <w:color w:val="212121"/>
                <w:sz w:val="16"/>
              </w:rPr>
              <w:t>Domain-specific bedside testing</w:t>
            </w:r>
          </w:p>
        </w:tc>
        <w:tc>
          <w:tcPr>
            <w:tcW w:type="dxa" w:w="979"/>
            <w:vAlign w:val="top"/>
          </w:tcPr>
          <w:p>
            <w:pPr>
              <w:spacing w:after="40" w:before="0" w:line="259" w:lineRule="auto"/>
            </w:pPr>
            <w:r>
              <w:rPr>
                <w:rFonts w:ascii="Calibri" w:hAnsi="Calibri"/>
                <w:b w:val="0"/>
                <w:i w:val="0"/>
                <w:color w:val="212121"/>
                <w:sz w:val="16"/>
              </w:rPr>
              <w:t>Attention/executive, visuospatial (clock, pentagons), language fluency and naming</w:t>
            </w:r>
          </w:p>
        </w:tc>
        <w:tc>
          <w:tcPr>
            <w:tcW w:type="dxa" w:w="950"/>
            <w:vAlign w:val="top"/>
          </w:tcPr>
          <w:p>
            <w:pPr>
              <w:spacing w:after="40" w:before="0" w:line="259" w:lineRule="auto"/>
            </w:pPr>
            <w:r>
              <w:rPr>
                <w:rFonts w:ascii="Calibri" w:hAnsi="Calibri"/>
                <w:b w:val="0"/>
                <w:i w:val="0"/>
                <w:color w:val="212121"/>
                <w:sz w:val="16"/>
              </w:rPr>
              <w:t>Age/education-appropriate performance</w:t>
            </w:r>
          </w:p>
        </w:tc>
        <w:tc>
          <w:tcPr>
            <w:tcW w:type="dxa" w:w="950"/>
            <w:vAlign w:val="top"/>
          </w:tcPr>
          <w:p>
            <w:pPr>
              <w:spacing w:after="40" w:before="0" w:line="259" w:lineRule="auto"/>
            </w:pPr>
            <w:r>
              <w:rPr>
                <w:rFonts w:ascii="Calibri" w:hAnsi="Calibri"/>
                <w:b w:val="0"/>
                <w:i w:val="0"/>
                <w:color w:val="212121"/>
                <w:sz w:val="16"/>
              </w:rPr>
              <w:t>Executive/visuospatial loss (DLB) or aphasia/agrammatism (PPA)</w:t>
            </w:r>
          </w:p>
        </w:tc>
        <w:tc>
          <w:tcPr>
            <w:tcW w:type="dxa" w:w="1036"/>
            <w:vAlign w:val="top"/>
          </w:tcPr>
          <w:p>
            <w:pPr>
              <w:spacing w:after="40" w:before="0" w:line="259" w:lineRule="auto"/>
            </w:pPr>
            <w:r>
              <w:rPr>
                <w:rFonts w:ascii="Calibri" w:hAnsi="Calibri"/>
                <w:b w:val="0"/>
                <w:i w:val="0"/>
                <w:color w:val="212121"/>
                <w:sz w:val="16"/>
              </w:rPr>
              <w:t>Profiles the deficit — visuospatial/attention in DLB, language in PPA, executive in bvFTD</w:t>
            </w:r>
          </w:p>
        </w:tc>
        <w:tc>
          <w:tcPr>
            <w:tcW w:type="dxa" w:w="1036"/>
            <w:vAlign w:val="top"/>
          </w:tcPr>
          <w:p>
            <w:pPr>
              <w:spacing w:after="40" w:before="0" w:line="259" w:lineRule="auto"/>
            </w:pPr>
            <w:r>
              <w:rPr>
                <w:rFonts w:ascii="Calibri" w:hAnsi="Calibri"/>
                <w:b w:val="0"/>
                <w:i w:val="0"/>
                <w:color w:val="212121"/>
                <w:sz w:val="16"/>
              </w:rPr>
              <w:t>All suspected DLB/FTD; low-literacy adults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 validated, language-adjusted tools (e.g., HMSE)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Motor / parkinsonism exam</w:t>
            </w:r>
          </w:p>
        </w:tc>
        <w:tc>
          <w:tcPr>
            <w:tcW w:type="dxa" w:w="950"/>
            <w:vAlign w:val="top"/>
          </w:tcPr>
          <w:p>
            <w:pPr>
              <w:spacing w:after="40" w:before="0" w:line="259" w:lineRule="auto"/>
            </w:pPr>
            <w:r>
              <w:rPr>
                <w:rFonts w:ascii="Calibri" w:hAnsi="Calibri"/>
                <w:b w:val="0"/>
                <w:i w:val="0"/>
                <w:color w:val="212121"/>
                <w:sz w:val="16"/>
              </w:rPr>
              <w:t>Extrapyramidal and motor neuron signs</w:t>
            </w:r>
          </w:p>
        </w:tc>
        <w:tc>
          <w:tcPr>
            <w:tcW w:type="dxa" w:w="979"/>
            <w:vAlign w:val="top"/>
          </w:tcPr>
          <w:p>
            <w:pPr>
              <w:spacing w:after="40" w:before="0" w:line="259" w:lineRule="auto"/>
            </w:pPr>
            <w:r>
              <w:rPr>
                <w:rFonts w:ascii="Calibri" w:hAnsi="Calibri"/>
                <w:b w:val="0"/>
                <w:i w:val="0"/>
                <w:color w:val="212121"/>
                <w:sz w:val="16"/>
              </w:rPr>
              <w:t>Bradykinesia, rigidity, rest tremor; wasting, fasciculations, brisk reflexes</w:t>
            </w:r>
          </w:p>
        </w:tc>
        <w:tc>
          <w:tcPr>
            <w:tcW w:type="dxa" w:w="950"/>
            <w:vAlign w:val="top"/>
          </w:tcPr>
          <w:p>
            <w:pPr>
              <w:spacing w:after="40" w:before="0" w:line="259" w:lineRule="auto"/>
            </w:pPr>
            <w:r>
              <w:rPr>
                <w:rFonts w:ascii="Calibri" w:hAnsi="Calibri"/>
                <w:b w:val="0"/>
                <w:i w:val="0"/>
                <w:color w:val="212121"/>
                <w:sz w:val="16"/>
              </w:rPr>
              <w:t>No parkinsonism or motor neuron signs</w:t>
            </w:r>
          </w:p>
        </w:tc>
        <w:tc>
          <w:tcPr>
            <w:tcW w:type="dxa" w:w="950"/>
            <w:vAlign w:val="top"/>
          </w:tcPr>
          <w:p>
            <w:pPr>
              <w:spacing w:after="40" w:before="0" w:line="259" w:lineRule="auto"/>
            </w:pPr>
            <w:r>
              <w:rPr>
                <w:rFonts w:ascii="Calibri" w:hAnsi="Calibri"/>
                <w:b w:val="0"/>
                <w:i w:val="0"/>
                <w:color w:val="212121"/>
                <w:sz w:val="16"/>
              </w:rPr>
              <w:t>Symmetric parkinsonism (DLB); mixed upper/lower motor signs (FTD–ALS)</w:t>
            </w:r>
          </w:p>
        </w:tc>
        <w:tc>
          <w:tcPr>
            <w:tcW w:type="dxa" w:w="1036"/>
            <w:vAlign w:val="top"/>
          </w:tcPr>
          <w:p>
            <w:pPr>
              <w:spacing w:after="40" w:before="0" w:line="259" w:lineRule="auto"/>
            </w:pPr>
            <w:r>
              <w:rPr>
                <w:rFonts w:ascii="Calibri" w:hAnsi="Calibri"/>
                <w:b w:val="0"/>
                <w:i w:val="0"/>
                <w:color w:val="212121"/>
                <w:sz w:val="16"/>
              </w:rPr>
              <w:t>Parkinsonism supports DLB; motor neuron signs indicate FTD–ALS overlap</w:t>
            </w:r>
          </w:p>
        </w:tc>
        <w:tc>
          <w:tcPr>
            <w:tcW w:type="dxa" w:w="1036"/>
            <w:vAlign w:val="top"/>
          </w:tcPr>
          <w:p>
            <w:pPr>
              <w:spacing w:after="40" w:before="0" w:line="259" w:lineRule="auto"/>
            </w:pPr>
            <w:r>
              <w:rPr>
                <w:rFonts w:ascii="Calibri" w:hAnsi="Calibri"/>
                <w:b w:val="0"/>
                <w:i w:val="0"/>
                <w:color w:val="212121"/>
                <w:sz w:val="16"/>
              </w:rPr>
              <w:t>DLB, FTD with motor features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DLB parkinsonism is typically symmetric with less rest tremor than Parkinson's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Autonomic / cardiovascular exam</w:t>
            </w:r>
          </w:p>
        </w:tc>
        <w:tc>
          <w:tcPr>
            <w:tcW w:type="dxa" w:w="950"/>
            <w:vAlign w:val="top"/>
          </w:tcPr>
          <w:p>
            <w:pPr>
              <w:spacing w:after="40" w:before="0" w:line="259" w:lineRule="auto"/>
            </w:pPr>
            <w:r>
              <w:rPr>
                <w:rFonts w:ascii="Calibri" w:hAnsi="Calibri"/>
                <w:b w:val="0"/>
                <w:i w:val="0"/>
                <w:color w:val="212121"/>
                <w:sz w:val="16"/>
              </w:rPr>
              <w:t>Orthostatic blood pressure &amp; autonomic review</w:t>
            </w:r>
          </w:p>
        </w:tc>
        <w:tc>
          <w:tcPr>
            <w:tcW w:type="dxa" w:w="979"/>
            <w:vAlign w:val="top"/>
          </w:tcPr>
          <w:p>
            <w:pPr>
              <w:spacing w:after="40" w:before="0" w:line="259" w:lineRule="auto"/>
            </w:pPr>
            <w:r>
              <w:rPr>
                <w:rFonts w:ascii="Calibri" w:hAnsi="Calibri"/>
                <w:b w:val="0"/>
                <w:i w:val="0"/>
                <w:color w:val="212121"/>
                <w:sz w:val="16"/>
              </w:rPr>
              <w:t>Lying/standing BP, constipation, urinary and sexual dysfunction</w:t>
            </w:r>
          </w:p>
        </w:tc>
        <w:tc>
          <w:tcPr>
            <w:tcW w:type="dxa" w:w="950"/>
            <w:vAlign w:val="top"/>
          </w:tcPr>
          <w:p>
            <w:pPr>
              <w:spacing w:after="40" w:before="0" w:line="259" w:lineRule="auto"/>
            </w:pPr>
            <w:r>
              <w:rPr>
                <w:rFonts w:ascii="Calibri" w:hAnsi="Calibri"/>
                <w:b w:val="0"/>
                <w:i w:val="0"/>
                <w:color w:val="212121"/>
                <w:sz w:val="16"/>
              </w:rPr>
              <w:t>No orthostatic drop; intact autonomic function</w:t>
            </w:r>
          </w:p>
        </w:tc>
        <w:tc>
          <w:tcPr>
            <w:tcW w:type="dxa" w:w="950"/>
            <w:vAlign w:val="top"/>
          </w:tcPr>
          <w:p>
            <w:pPr>
              <w:spacing w:after="40" w:before="0" w:line="259" w:lineRule="auto"/>
            </w:pPr>
            <w:r>
              <w:rPr>
                <w:rFonts w:ascii="Calibri" w:hAnsi="Calibri"/>
                <w:b w:val="0"/>
                <w:i w:val="0"/>
                <w:color w:val="212121"/>
                <w:sz w:val="16"/>
              </w:rPr>
              <w:t>Orthostatic hypotension; autonomic failure</w:t>
            </w:r>
          </w:p>
        </w:tc>
        <w:tc>
          <w:tcPr>
            <w:tcW w:type="dxa" w:w="1036"/>
            <w:vAlign w:val="top"/>
          </w:tcPr>
          <w:p>
            <w:pPr>
              <w:spacing w:after="40" w:before="0" w:line="259" w:lineRule="auto"/>
            </w:pPr>
            <w:r>
              <w:rPr>
                <w:rFonts w:ascii="Calibri" w:hAnsi="Calibri"/>
                <w:b w:val="0"/>
                <w:i w:val="0"/>
                <w:color w:val="212121"/>
                <w:sz w:val="16"/>
              </w:rPr>
              <w:t>Detects dysautonomia that causes falls and fluctuating cognition in DLB</w:t>
            </w:r>
          </w:p>
        </w:tc>
        <w:tc>
          <w:tcPr>
            <w:tcW w:type="dxa" w:w="1036"/>
            <w:vAlign w:val="top"/>
          </w:tcPr>
          <w:p>
            <w:pPr>
              <w:spacing w:after="40" w:before="0" w:line="259" w:lineRule="auto"/>
            </w:pPr>
            <w:r>
              <w:rPr>
                <w:rFonts w:ascii="Calibri" w:hAnsi="Calibri"/>
                <w:b w:val="0"/>
                <w:i w:val="0"/>
                <w:color w:val="212121"/>
                <w:sz w:val="16"/>
              </w:rPr>
              <w:t>DLB, fallers, elderly</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hydration and culprit-medication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Neuropsychiatric assessment</w:t>
            </w:r>
          </w:p>
        </w:tc>
        <w:tc>
          <w:tcPr>
            <w:tcW w:type="dxa" w:w="950"/>
            <w:vAlign w:val="top"/>
          </w:tcPr>
          <w:p>
            <w:pPr>
              <w:spacing w:after="40" w:before="0" w:line="259" w:lineRule="auto"/>
            </w:pPr>
            <w:r>
              <w:rPr>
                <w:rFonts w:ascii="Calibri" w:hAnsi="Calibri"/>
                <w:b w:val="0"/>
                <w:i w:val="0"/>
                <w:color w:val="212121"/>
                <w:sz w:val="16"/>
              </w:rPr>
              <w:t>Hallucinations, delusions &amp; mood</w:t>
            </w:r>
          </w:p>
        </w:tc>
        <w:tc>
          <w:tcPr>
            <w:tcW w:type="dxa" w:w="979"/>
            <w:vAlign w:val="top"/>
          </w:tcPr>
          <w:p>
            <w:pPr>
              <w:spacing w:after="40" w:before="0" w:line="259" w:lineRule="auto"/>
            </w:pPr>
            <w:r>
              <w:rPr>
                <w:rFonts w:ascii="Calibri" w:hAnsi="Calibri"/>
                <w:b w:val="0"/>
                <w:i w:val="0"/>
                <w:color w:val="212121"/>
                <w:sz w:val="16"/>
              </w:rPr>
              <w:t>Visual hallucinations, delusions (e.g., Capgras), depression, anxiety, apathy</w:t>
            </w:r>
          </w:p>
        </w:tc>
        <w:tc>
          <w:tcPr>
            <w:tcW w:type="dxa" w:w="950"/>
            <w:vAlign w:val="top"/>
          </w:tcPr>
          <w:p>
            <w:pPr>
              <w:spacing w:after="40" w:before="0" w:line="259" w:lineRule="auto"/>
            </w:pPr>
            <w:r>
              <w:rPr>
                <w:rFonts w:ascii="Calibri" w:hAnsi="Calibri"/>
                <w:b w:val="0"/>
                <w:i w:val="0"/>
                <w:color w:val="212121"/>
                <w:sz w:val="16"/>
              </w:rPr>
              <w:t>No psychiatric features</w:t>
            </w:r>
          </w:p>
        </w:tc>
        <w:tc>
          <w:tcPr>
            <w:tcW w:type="dxa" w:w="950"/>
            <w:vAlign w:val="top"/>
          </w:tcPr>
          <w:p>
            <w:pPr>
              <w:spacing w:after="40" w:before="0" w:line="259" w:lineRule="auto"/>
            </w:pPr>
            <w:r>
              <w:rPr>
                <w:rFonts w:ascii="Calibri" w:hAnsi="Calibri"/>
                <w:b w:val="0"/>
                <w:i w:val="0"/>
                <w:color w:val="212121"/>
                <w:sz w:val="16"/>
              </w:rPr>
              <w:t>Hallucinations/delusions (DLB); apathy/compulsions (FTD); depression</w:t>
            </w:r>
          </w:p>
        </w:tc>
        <w:tc>
          <w:tcPr>
            <w:tcW w:type="dxa" w:w="1036"/>
            <w:vAlign w:val="top"/>
          </w:tcPr>
          <w:p>
            <w:pPr>
              <w:spacing w:after="40" w:before="0" w:line="259" w:lineRule="auto"/>
            </w:pPr>
            <w:r>
              <w:rPr>
                <w:rFonts w:ascii="Calibri" w:hAnsi="Calibri"/>
                <w:b w:val="0"/>
                <w:i w:val="0"/>
                <w:color w:val="212121"/>
                <w:sz w:val="16"/>
              </w:rPr>
              <w:t>Characterises BPSD and, crucially, flags DLB before any antipsychotic is considered</w:t>
            </w:r>
          </w:p>
        </w:tc>
        <w:tc>
          <w:tcPr>
            <w:tcW w:type="dxa" w:w="1036"/>
            <w:vAlign w:val="top"/>
          </w:tcPr>
          <w:p>
            <w:pPr>
              <w:spacing w:after="40" w:before="0" w:line="259" w:lineRule="auto"/>
            </w:pPr>
            <w:r>
              <w:rPr>
                <w:rFonts w:ascii="Calibri" w:hAnsi="Calibri"/>
                <w:b w:val="0"/>
                <w:i w:val="0"/>
                <w:color w:val="212121"/>
                <w:sz w:val="16"/>
              </w:rPr>
              <w:t>DLB with psychosis, FTD with behaviour change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Identifying DLB prevents dangerous neuroleptic prescribing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Family &amp; genetic history</w:t>
            </w:r>
          </w:p>
        </w:tc>
        <w:tc>
          <w:tcPr>
            <w:tcW w:type="dxa" w:w="950"/>
            <w:vAlign w:val="top"/>
          </w:tcPr>
          <w:p>
            <w:pPr>
              <w:spacing w:after="40" w:before="0" w:line="259" w:lineRule="auto"/>
            </w:pPr>
            <w:r>
              <w:rPr>
                <w:rFonts w:ascii="Calibri" w:hAnsi="Calibri"/>
                <w:b w:val="0"/>
                <w:i w:val="0"/>
                <w:color w:val="212121"/>
                <w:sz w:val="16"/>
              </w:rPr>
              <w:t>Pedigree for FTD/ALS/dementia</w:t>
            </w:r>
          </w:p>
        </w:tc>
        <w:tc>
          <w:tcPr>
            <w:tcW w:type="dxa" w:w="979"/>
            <w:vAlign w:val="top"/>
          </w:tcPr>
          <w:p>
            <w:pPr>
              <w:spacing w:after="40" w:before="0" w:line="259" w:lineRule="auto"/>
            </w:pPr>
            <w:r>
              <w:rPr>
                <w:rFonts w:ascii="Calibri" w:hAnsi="Calibri"/>
                <w:b w:val="0"/>
                <w:i w:val="0"/>
                <w:color w:val="212121"/>
                <w:sz w:val="16"/>
              </w:rPr>
              <w:t>First-degree relatives with FTD, early dementia or motor neuron disease</w:t>
            </w:r>
          </w:p>
        </w:tc>
        <w:tc>
          <w:tcPr>
            <w:tcW w:type="dxa" w:w="950"/>
            <w:vAlign w:val="top"/>
          </w:tcPr>
          <w:p>
            <w:pPr>
              <w:spacing w:after="40" w:before="0" w:line="259" w:lineRule="auto"/>
            </w:pPr>
            <w:r>
              <w:rPr>
                <w:rFonts w:ascii="Calibri" w:hAnsi="Calibri"/>
                <w:b w:val="0"/>
                <w:i w:val="0"/>
                <w:color w:val="212121"/>
                <w:sz w:val="16"/>
              </w:rPr>
              <w:t>No relevant family history</w:t>
            </w:r>
          </w:p>
        </w:tc>
        <w:tc>
          <w:tcPr>
            <w:tcW w:type="dxa" w:w="950"/>
            <w:vAlign w:val="top"/>
          </w:tcPr>
          <w:p>
            <w:pPr>
              <w:spacing w:after="40" w:before="0" w:line="259" w:lineRule="auto"/>
            </w:pPr>
            <w:r>
              <w:rPr>
                <w:rFonts w:ascii="Calibri" w:hAnsi="Calibri"/>
                <w:b w:val="0"/>
                <w:i w:val="0"/>
                <w:color w:val="212121"/>
                <w:sz w:val="16"/>
              </w:rPr>
              <w:t>Autosomal-dominant pattern of FTD/ALS</w:t>
            </w:r>
          </w:p>
        </w:tc>
        <w:tc>
          <w:tcPr>
            <w:tcW w:type="dxa" w:w="1036"/>
            <w:vAlign w:val="top"/>
          </w:tcPr>
          <w:p>
            <w:pPr>
              <w:spacing w:after="40" w:before="0" w:line="259" w:lineRule="auto"/>
            </w:pPr>
            <w:r>
              <w:rPr>
                <w:rFonts w:ascii="Calibri" w:hAnsi="Calibri"/>
                <w:b w:val="0"/>
                <w:i w:val="0"/>
                <w:color w:val="212121"/>
                <w:sz w:val="16"/>
              </w:rPr>
              <w:t>Suggests hereditary FTLD and the need for genetic counselling/testing</w:t>
            </w:r>
          </w:p>
        </w:tc>
        <w:tc>
          <w:tcPr>
            <w:tcW w:type="dxa" w:w="1036"/>
            <w:vAlign w:val="top"/>
          </w:tcPr>
          <w:p>
            <w:pPr>
              <w:spacing w:after="40" w:before="0" w:line="259" w:lineRule="auto"/>
            </w:pPr>
            <w:r>
              <w:rPr>
                <w:rFonts w:ascii="Calibri" w:hAnsi="Calibri"/>
                <w:b w:val="0"/>
                <w:i w:val="0"/>
                <w:color w:val="212121"/>
                <w:sz w:val="16"/>
              </w:rPr>
              <w:t>Young-onset/familial FTD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age at onset and phenotype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&amp; carer assessment</w:t>
            </w:r>
          </w:p>
        </w:tc>
        <w:tc>
          <w:tcPr>
            <w:tcW w:type="dxa" w:w="950"/>
            <w:vAlign w:val="top"/>
          </w:tcPr>
          <w:p>
            <w:pPr>
              <w:spacing w:after="40" w:before="0" w:line="259" w:lineRule="auto"/>
            </w:pPr>
            <w:r>
              <w:rPr>
                <w:rFonts w:ascii="Calibri" w:hAnsi="Calibri"/>
                <w:b w:val="0"/>
                <w:i w:val="0"/>
                <w:color w:val="212121"/>
                <w:sz w:val="16"/>
              </w:rPr>
              <w:t>ADL/IADL and carer-burden review</w:t>
            </w:r>
          </w:p>
        </w:tc>
        <w:tc>
          <w:tcPr>
            <w:tcW w:type="dxa" w:w="979"/>
            <w:vAlign w:val="top"/>
          </w:tcPr>
          <w:p>
            <w:pPr>
              <w:spacing w:after="40" w:before="0" w:line="259" w:lineRule="auto"/>
            </w:pPr>
            <w:r>
              <w:rPr>
                <w:rFonts w:ascii="Calibri" w:hAnsi="Calibri"/>
                <w:b w:val="0"/>
                <w:i w:val="0"/>
                <w:color w:val="212121"/>
                <w:sz w:val="16"/>
              </w:rPr>
              <w:t>Independence in daily activities; risk behaviours; carer strain</w:t>
            </w:r>
          </w:p>
        </w:tc>
        <w:tc>
          <w:tcPr>
            <w:tcW w:type="dxa" w:w="950"/>
            <w:vAlign w:val="top"/>
          </w:tcPr>
          <w:p>
            <w:pPr>
              <w:spacing w:after="40" w:before="0" w:line="259" w:lineRule="auto"/>
            </w:pPr>
            <w:r>
              <w:rPr>
                <w:rFonts w:ascii="Calibri" w:hAnsi="Calibri"/>
                <w:b w:val="0"/>
                <w:i w:val="0"/>
                <w:color w:val="212121"/>
                <w:sz w:val="16"/>
              </w:rPr>
              <w:t>Independent; low carer burden</w:t>
            </w:r>
          </w:p>
        </w:tc>
        <w:tc>
          <w:tcPr>
            <w:tcW w:type="dxa" w:w="950"/>
            <w:vAlign w:val="top"/>
          </w:tcPr>
          <w:p>
            <w:pPr>
              <w:spacing w:after="40" w:before="0" w:line="259" w:lineRule="auto"/>
            </w:pPr>
            <w:r>
              <w:rPr>
                <w:rFonts w:ascii="Calibri" w:hAnsi="Calibri"/>
                <w:b w:val="0"/>
                <w:i w:val="0"/>
                <w:color w:val="212121"/>
                <w:sz w:val="16"/>
              </w:rPr>
              <w:t>Loss of independence; unsafe/financial/legal risk behaviour; high carer burden</w:t>
            </w:r>
          </w:p>
        </w:tc>
        <w:tc>
          <w:tcPr>
            <w:tcW w:type="dxa" w:w="1036"/>
            <w:vAlign w:val="top"/>
          </w:tcPr>
          <w:p>
            <w:pPr>
              <w:spacing w:after="40" w:before="0" w:line="259" w:lineRule="auto"/>
            </w:pPr>
            <w:r>
              <w:rPr>
                <w:rFonts w:ascii="Calibri" w:hAnsi="Calibri"/>
                <w:b w:val="0"/>
                <w:i w:val="0"/>
                <w:color w:val="212121"/>
                <w:sz w:val="16"/>
              </w:rPr>
              <w:t>Grades severity and captures the heavy social, financial and safety impact of FTD/DLB</w:t>
            </w:r>
          </w:p>
        </w:tc>
        <w:tc>
          <w:tcPr>
            <w:tcW w:type="dxa" w:w="1036"/>
            <w:vAlign w:val="top"/>
          </w:tcPr>
          <w:p>
            <w:pPr>
              <w:spacing w:after="40" w:before="0" w:line="259" w:lineRule="auto"/>
            </w:pPr>
            <w:r>
              <w:rPr>
                <w:rFonts w:ascii="Calibri" w:hAnsi="Calibri"/>
                <w:b w:val="0"/>
                <w:i w:val="0"/>
                <w:color w:val="212121"/>
                <w:sz w:val="16"/>
              </w:rPr>
              <w:t>All patients and family carers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FTD disinhibition can cause financial and legal harm; early safeguarding matters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Fluctuating cognition and alertness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DLB hallmark — marked day-to-day and hour-to-hour swings in attention, alertness and clarity, sometimes mistaken for delirium.</w:t>
            </w:r>
          </w:p>
        </w:tc>
      </w:tr>
      <w:tr>
        <w:trPr>
          <w:cantSplit/>
        </w:trPr>
        <w:tc>
          <w:tcPr>
            <w:tcW w:type="dxa" w:w="2304"/>
            <w:vAlign w:val="top"/>
          </w:tcPr>
          <w:p>
            <w:pPr>
              <w:spacing w:after="40" w:before="0" w:line="259" w:lineRule="auto"/>
            </w:pPr>
            <w:r>
              <w:rPr>
                <w:rFonts w:ascii="Calibri" w:hAnsi="Calibri"/>
                <w:b/>
                <w:i w:val="0"/>
                <w:color w:val="212121"/>
                <w:sz w:val="19"/>
              </w:rPr>
              <w:t>Recurrent visual hallucinations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DLB — well-formed, detailed hallucinations (people, animals, children) occurring early, often without frightening the patient.</w:t>
            </w:r>
          </w:p>
        </w:tc>
      </w:tr>
      <w:tr>
        <w:trPr>
          <w:cantSplit/>
        </w:trPr>
        <w:tc>
          <w:tcPr>
            <w:tcW w:type="dxa" w:w="2304"/>
            <w:vAlign w:val="top"/>
          </w:tcPr>
          <w:p>
            <w:pPr>
              <w:spacing w:after="40" w:before="0" w:line="259" w:lineRule="auto"/>
            </w:pPr>
            <w:r>
              <w:rPr>
                <w:rFonts w:ascii="Calibri" w:hAnsi="Calibri"/>
                <w:b/>
                <w:i w:val="0"/>
                <w:color w:val="212121"/>
                <w:sz w:val="19"/>
              </w:rPr>
              <w:t>Spontaneous parkinsonism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DLB — bradykinesia, rigidity and sometimes rest tremor, usually symmetric and with less tremor than Parkinson's disease.</w:t>
            </w:r>
          </w:p>
        </w:tc>
      </w:tr>
      <w:tr>
        <w:trPr>
          <w:cantSplit/>
        </w:trPr>
        <w:tc>
          <w:tcPr>
            <w:tcW w:type="dxa" w:w="2304"/>
            <w:vAlign w:val="top"/>
          </w:tcPr>
          <w:p>
            <w:pPr>
              <w:spacing w:after="40" w:before="0" w:line="259" w:lineRule="auto"/>
            </w:pPr>
            <w:r>
              <w:rPr>
                <w:rFonts w:ascii="Calibri" w:hAnsi="Calibri"/>
                <w:b/>
                <w:i w:val="0"/>
                <w:color w:val="212121"/>
                <w:sz w:val="19"/>
              </w:rPr>
              <w:t>REM sleep behaviour disorder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DLB — acting out vivid dreams (shouting, punching, kicking) from loss of REM atonia; may precede dementia by years.</w:t>
            </w:r>
          </w:p>
        </w:tc>
      </w:tr>
      <w:tr>
        <w:trPr>
          <w:cantSplit/>
        </w:trPr>
        <w:tc>
          <w:tcPr>
            <w:tcW w:type="dxa" w:w="2304"/>
            <w:vAlign w:val="top"/>
          </w:tcPr>
          <w:p>
            <w:pPr>
              <w:spacing w:after="40" w:before="0" w:line="259" w:lineRule="auto"/>
            </w:pPr>
            <w:r>
              <w:rPr>
                <w:rFonts w:ascii="Calibri" w:hAnsi="Calibri"/>
                <w:b/>
                <w:i w:val="0"/>
                <w:color w:val="212121"/>
                <w:sz w:val="19"/>
              </w:rPr>
              <w:t>Behavioural change / disinhibition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FTD (bvFTD) — early loss of social tact, impulsivity, inappropriate or reckless behaviour, poor judgement and loss of insight.</w:t>
            </w:r>
          </w:p>
        </w:tc>
      </w:tr>
      <w:tr>
        <w:trPr>
          <w:cantSplit/>
        </w:trPr>
        <w:tc>
          <w:tcPr>
            <w:tcW w:type="dxa" w:w="2304"/>
            <w:vAlign w:val="top"/>
          </w:tcPr>
          <w:p>
            <w:pPr>
              <w:spacing w:after="40" w:before="0" w:line="259" w:lineRule="auto"/>
            </w:pPr>
            <w:r>
              <w:rPr>
                <w:rFonts w:ascii="Calibri" w:hAnsi="Calibri"/>
                <w:b/>
                <w:i w:val="0"/>
                <w:color w:val="212121"/>
                <w:sz w:val="19"/>
              </w:rPr>
              <w:t>Apathy and loss of empathy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FTD — profound loss of motivation, initiative and emotional warmth, often mistaken for depression.</w:t>
            </w:r>
          </w:p>
        </w:tc>
      </w:tr>
      <w:tr>
        <w:trPr>
          <w:cantSplit/>
        </w:trPr>
        <w:tc>
          <w:tcPr>
            <w:tcW w:type="dxa" w:w="2304"/>
            <w:vAlign w:val="top"/>
          </w:tcPr>
          <w:p>
            <w:pPr>
              <w:spacing w:after="40" w:before="0" w:line="259" w:lineRule="auto"/>
            </w:pPr>
            <w:r>
              <w:rPr>
                <w:rFonts w:ascii="Calibri" w:hAnsi="Calibri"/>
                <w:b/>
                <w:i w:val="0"/>
                <w:color w:val="212121"/>
                <w:sz w:val="19"/>
              </w:rPr>
              <w:t>Compulsive / ritualistic behaviour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FTD — repetitive, stereotyped or obsessive routines, hoarding, or fixed daily rituals.</w:t>
            </w:r>
          </w:p>
        </w:tc>
      </w:tr>
      <w:tr>
        <w:trPr>
          <w:cantSplit/>
        </w:trPr>
        <w:tc>
          <w:tcPr>
            <w:tcW w:type="dxa" w:w="2304"/>
            <w:vAlign w:val="top"/>
          </w:tcPr>
          <w:p>
            <w:pPr>
              <w:spacing w:after="40" w:before="0" w:line="259" w:lineRule="auto"/>
            </w:pPr>
            <w:r>
              <w:rPr>
                <w:rFonts w:ascii="Calibri" w:hAnsi="Calibri"/>
                <w:b/>
                <w:i w:val="0"/>
                <w:color w:val="212121"/>
                <w:sz w:val="19"/>
              </w:rPr>
              <w:t>Hyperorality and dietary change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FTD — overeating, craving sweets/carbohydrates, binge-eating or putting non-food items in the mouth.</w:t>
            </w:r>
          </w:p>
        </w:tc>
      </w:tr>
      <w:tr>
        <w:trPr>
          <w:cantSplit/>
        </w:trPr>
        <w:tc>
          <w:tcPr>
            <w:tcW w:type="dxa" w:w="2304"/>
            <w:vAlign w:val="top"/>
          </w:tcPr>
          <w:p>
            <w:pPr>
              <w:spacing w:after="40" w:before="0" w:line="259" w:lineRule="auto"/>
            </w:pPr>
            <w:r>
              <w:rPr>
                <w:rFonts w:ascii="Calibri" w:hAnsi="Calibri"/>
                <w:b/>
                <w:i w:val="0"/>
                <w:color w:val="212121"/>
                <w:sz w:val="19"/>
              </w:rPr>
              <w:t>Progressive language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FTD (PPA) — effortful, halting, agrammatic speech (nonfluent variant) or loss of word/object meaning (semantic variant).</w:t>
            </w:r>
          </w:p>
        </w:tc>
      </w:tr>
      <w:tr>
        <w:trPr>
          <w:cantSplit/>
        </w:trPr>
        <w:tc>
          <w:tcPr>
            <w:tcW w:type="dxa" w:w="2304"/>
            <w:vAlign w:val="top"/>
          </w:tcPr>
          <w:p>
            <w:pPr>
              <w:spacing w:after="40" w:before="0" w:line="259" w:lineRule="auto"/>
            </w:pPr>
            <w:r>
              <w:rPr>
                <w:rFonts w:ascii="Calibri" w:hAnsi="Calibri"/>
                <w:b/>
                <w:i w:val="0"/>
                <w:color w:val="212121"/>
                <w:sz w:val="19"/>
              </w:rPr>
              <w:t>Executive dysfunction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Both — impaired planning, organising, judgement and multitasking, typically out of proportion to memory loss early on.</w:t>
            </w:r>
          </w:p>
        </w:tc>
      </w:tr>
      <w:tr>
        <w:trPr>
          <w:cantSplit/>
        </w:trPr>
        <w:tc>
          <w:tcPr>
            <w:tcW w:type="dxa" w:w="2304"/>
            <w:vAlign w:val="top"/>
          </w:tcPr>
          <w:p>
            <w:pPr>
              <w:spacing w:after="40" w:before="0" w:line="259" w:lineRule="auto"/>
            </w:pPr>
            <w:r>
              <w:rPr>
                <w:rFonts w:ascii="Calibri" w:hAnsi="Calibri"/>
                <w:b/>
                <w:i w:val="0"/>
                <w:color w:val="212121"/>
                <w:sz w:val="19"/>
              </w:rPr>
              <w:t>Autonomic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DLB — postural dizziness/faints, constipation, urinary problems, reduced sweating and erectile dysfunction from dysautonomia.</w:t>
            </w:r>
          </w:p>
        </w:tc>
      </w:tr>
      <w:tr>
        <w:trPr>
          <w:cantSplit/>
        </w:trPr>
        <w:tc>
          <w:tcPr>
            <w:tcW w:type="dxa" w:w="2304"/>
            <w:vAlign w:val="top"/>
          </w:tcPr>
          <w:p>
            <w:pPr>
              <w:spacing w:after="40" w:before="0" w:line="259" w:lineRule="auto"/>
            </w:pPr>
            <w:r>
              <w:rPr>
                <w:rFonts w:ascii="Calibri" w:hAnsi="Calibri"/>
                <w:b/>
                <w:i w:val="0"/>
                <w:color w:val="212121"/>
                <w:sz w:val="19"/>
              </w:rPr>
              <w:t>Delusions (e.g., Capgras)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DLB — systematised delusions, including the belief that a familiar person has been replaced by an impostor.</w:t>
            </w:r>
          </w:p>
        </w:tc>
      </w:tr>
      <w:tr>
        <w:trPr>
          <w:cantSplit/>
        </w:trPr>
        <w:tc>
          <w:tcPr>
            <w:tcW w:type="dxa" w:w="2304"/>
            <w:vAlign w:val="top"/>
          </w:tcPr>
          <w:p>
            <w:pPr>
              <w:spacing w:after="40" w:before="0" w:line="259" w:lineRule="auto"/>
            </w:pPr>
            <w:r>
              <w:rPr>
                <w:rFonts w:ascii="Calibri" w:hAnsi="Calibri"/>
                <w:b/>
                <w:i w:val="0"/>
                <w:color w:val="212121"/>
                <w:sz w:val="19"/>
              </w:rPr>
              <w:t>Excessive daytime sleepiness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DLB — prolonged daytime drowsiness and unrefreshing sleep, contributing to cognitive fluctuation.</w:t>
            </w:r>
          </w:p>
        </w:tc>
      </w:tr>
      <w:tr>
        <w:trPr>
          <w:cantSplit/>
        </w:trPr>
        <w:tc>
          <w:tcPr>
            <w:tcW w:type="dxa" w:w="2304"/>
            <w:vAlign w:val="top"/>
          </w:tcPr>
          <w:p>
            <w:pPr>
              <w:spacing w:after="40" w:before="0" w:line="259" w:lineRule="auto"/>
            </w:pPr>
            <w:r>
              <w:rPr>
                <w:rFonts w:ascii="Calibri" w:hAnsi="Calibri"/>
                <w:b/>
                <w:i w:val="0"/>
                <w:color w:val="212121"/>
                <w:sz w:val="19"/>
              </w:rPr>
              <w:t>Limb weakness, wasting or fasciculations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FTD–ALS overlap — motor neuron features (weakness, muscle wasting, twitching, dysphagia) signalling a poorer prognosis.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Symmetric parkinsonism (bradykinesia, rigidity)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DLB — slowed movement and rigidity, usually symmetric, with masked facies and reduced arm swing; rest tremor less prominent than in Parkinson's disease.</w:t>
            </w:r>
          </w:p>
        </w:tc>
      </w:tr>
      <w:tr>
        <w:trPr>
          <w:cantSplit/>
        </w:trPr>
        <w:tc>
          <w:tcPr>
            <w:tcW w:type="dxa" w:w="3456"/>
            <w:vAlign w:val="top"/>
          </w:tcPr>
          <w:p>
            <w:pPr>
              <w:spacing w:after="40" w:before="0" w:line="259" w:lineRule="auto"/>
            </w:pPr>
            <w:r>
              <w:rPr>
                <w:rFonts w:ascii="Calibri" w:hAnsi="Calibri"/>
                <w:b/>
                <w:i w:val="0"/>
                <w:color w:val="212121"/>
                <w:sz w:val="19"/>
              </w:rPr>
              <w:t>Fluctuating attention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DLB — variable alertness, staring spells and inconsistent bedside test performance within a single assessment.</w:t>
            </w:r>
          </w:p>
        </w:tc>
      </w:tr>
      <w:tr>
        <w:trPr>
          <w:cantSplit/>
        </w:trPr>
        <w:tc>
          <w:tcPr>
            <w:tcW w:type="dxa" w:w="3456"/>
            <w:vAlign w:val="top"/>
          </w:tcPr>
          <w:p>
            <w:pPr>
              <w:spacing w:after="40" w:before="0" w:line="259" w:lineRule="auto"/>
            </w:pPr>
            <w:r>
              <w:rPr>
                <w:rFonts w:ascii="Calibri" w:hAnsi="Calibri"/>
                <w:b/>
                <w:i w:val="0"/>
                <w:color w:val="212121"/>
                <w:sz w:val="19"/>
              </w:rPr>
              <w:t>Frontal release / primitive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FTD — grasp, snout, palmomental and pout reflexes reflecting frontal-lobe degeneration.</w:t>
            </w:r>
          </w:p>
        </w:tc>
      </w:tr>
      <w:tr>
        <w:trPr>
          <w:cantSplit/>
        </w:trPr>
        <w:tc>
          <w:tcPr>
            <w:tcW w:type="dxa" w:w="3456"/>
            <w:vAlign w:val="top"/>
          </w:tcPr>
          <w:p>
            <w:pPr>
              <w:spacing w:after="40" w:before="0" w:line="259" w:lineRule="auto"/>
            </w:pPr>
            <w:r>
              <w:rPr>
                <w:rFonts w:ascii="Calibri" w:hAnsi="Calibri"/>
                <w:b/>
                <w:i w:val="0"/>
                <w:color w:val="212121"/>
                <w:sz w:val="19"/>
              </w:rPr>
              <w:t>Impaired executive performance (clock, fluency, Luria)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Both — poor clock-drawing, reduced verbal fluency and difficulty with sequencing tasks.</w:t>
            </w:r>
          </w:p>
        </w:tc>
      </w:tr>
      <w:tr>
        <w:trPr>
          <w:cantSplit/>
        </w:trPr>
        <w:tc>
          <w:tcPr>
            <w:tcW w:type="dxa" w:w="3456"/>
            <w:vAlign w:val="top"/>
          </w:tcPr>
          <w:p>
            <w:pPr>
              <w:spacing w:after="40" w:before="0" w:line="259" w:lineRule="auto"/>
            </w:pPr>
            <w:r>
              <w:rPr>
                <w:rFonts w:ascii="Calibri" w:hAnsi="Calibri"/>
                <w:b/>
                <w:i w:val="0"/>
                <w:color w:val="212121"/>
                <w:sz w:val="19"/>
              </w:rPr>
              <w:t>Poor social conduct / lack of insight in interview</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FTD — disinhibited, apathetic or facetious behaviour and unconcern about deficits, evident during the consultation.</w:t>
            </w:r>
          </w:p>
        </w:tc>
      </w:tr>
      <w:tr>
        <w:trPr>
          <w:cantSplit/>
        </w:trPr>
        <w:tc>
          <w:tcPr>
            <w:tcW w:type="dxa" w:w="3456"/>
            <w:vAlign w:val="top"/>
          </w:tcPr>
          <w:p>
            <w:pPr>
              <w:spacing w:after="40" w:before="0" w:line="259" w:lineRule="auto"/>
            </w:pPr>
            <w:r>
              <w:rPr>
                <w:rFonts w:ascii="Calibri" w:hAnsi="Calibri"/>
                <w:b/>
                <w:i w:val="0"/>
                <w:color w:val="212121"/>
                <w:sz w:val="19"/>
              </w:rPr>
              <w:t>Language deficit (agrammatism or loss of meaning)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FTD (PPA) — nonfluent, effortful, agrammatic speech or fluent but empty speech with impaired naming/comprehension.</w:t>
            </w:r>
          </w:p>
        </w:tc>
      </w:tr>
      <w:tr>
        <w:trPr>
          <w:cantSplit/>
        </w:trPr>
        <w:tc>
          <w:tcPr>
            <w:tcW w:type="dxa" w:w="3456"/>
            <w:vAlign w:val="top"/>
          </w:tcPr>
          <w:p>
            <w:pPr>
              <w:spacing w:after="40" w:before="0" w:line="259" w:lineRule="auto"/>
            </w:pPr>
            <w:r>
              <w:rPr>
                <w:rFonts w:ascii="Calibri" w:hAnsi="Calibri"/>
                <w:b/>
                <w:i w:val="0"/>
                <w:color w:val="212121"/>
                <w:sz w:val="19"/>
              </w:rPr>
              <w:t>Orthostatic blood-pressure drop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DLB — a sustained fall of ≥20 mmHg systolic on standing indicating autonomic failure and fall risk.</w:t>
            </w:r>
          </w:p>
        </w:tc>
      </w:tr>
      <w:tr>
        <w:trPr>
          <w:cantSplit/>
        </w:trPr>
        <w:tc>
          <w:tcPr>
            <w:tcW w:type="dxa" w:w="3456"/>
            <w:vAlign w:val="top"/>
          </w:tcPr>
          <w:p>
            <w:pPr>
              <w:spacing w:after="40" w:before="0" w:line="259" w:lineRule="auto"/>
            </w:pPr>
            <w:r>
              <w:rPr>
                <w:rFonts w:ascii="Calibri" w:hAnsi="Calibri"/>
                <w:b/>
                <w:i w:val="0"/>
                <w:color w:val="212121"/>
                <w:sz w:val="19"/>
              </w:rPr>
              <w:t>Constructional/visuospatial impairment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DLB — difficulty copying intersecting pentagons or a cube, reflecting posterior/visuospatial dysfunction.</w:t>
            </w:r>
          </w:p>
        </w:tc>
      </w:tr>
      <w:tr>
        <w:trPr>
          <w:cantSplit/>
        </w:trPr>
        <w:tc>
          <w:tcPr>
            <w:tcW w:type="dxa" w:w="3456"/>
            <w:vAlign w:val="top"/>
          </w:tcPr>
          <w:p>
            <w:pPr>
              <w:spacing w:after="40" w:before="0" w:line="259" w:lineRule="auto"/>
            </w:pPr>
            <w:r>
              <w:rPr>
                <w:rFonts w:ascii="Calibri" w:hAnsi="Calibri"/>
                <w:b/>
                <w:i w:val="0"/>
                <w:color w:val="212121"/>
                <w:sz w:val="19"/>
              </w:rPr>
              <w:t>Motor neuron signs (wasting, fasciculations, brisk reflexes)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FTD–ALS — mixed upper and lower motor neuron signs with tongue/limb wasting and fasciculations.</w:t>
            </w:r>
          </w:p>
        </w:tc>
      </w:tr>
      <w:tr>
        <w:trPr>
          <w:cantSplit/>
        </w:trPr>
        <w:tc>
          <w:tcPr>
            <w:tcW w:type="dxa" w:w="3456"/>
            <w:vAlign w:val="top"/>
          </w:tcPr>
          <w:p>
            <w:pPr>
              <w:spacing w:after="40" w:before="0" w:line="259" w:lineRule="auto"/>
            </w:pPr>
            <w:r>
              <w:rPr>
                <w:rFonts w:ascii="Calibri" w:hAnsi="Calibri"/>
                <w:b/>
                <w:i w:val="0"/>
                <w:color w:val="212121"/>
                <w:sz w:val="19"/>
              </w:rPr>
              <w:t>Severe reaction to antipsychotic exposure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DLB — acute worsening of parkinsonism, sedation, confusion or an NMS-like state after even small antipsychotic doses; a diagnostic red flag.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sometimes fatal, neuroleptic (antipsychotic) sensitivity reactions in DLB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falls, faints and fractures from parkinsonism and orthostatic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Injuries to patient or bed-partner from REM sleep behaviour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confusional states (delirium) superimposed on fluctuating cognition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Unsafe, disinhibited or reckless behaviour in FTD (financial, legal and social harm)</w:t>
            </w:r>
          </w:p>
        </w:tc>
        <w:tc>
          <w:tcPr>
            <w:tcW w:type="dxa" w:w="2980"/>
            <w:vAlign w:val="top"/>
          </w:tcPr>
          <w:p>
            <w:pPr>
              <w:spacing w:after="40" w:before="0" w:line="259" w:lineRule="auto"/>
            </w:pPr>
            <w:r>
              <w:rPr>
                <w:rFonts w:ascii="Calibri" w:hAnsi="Calibri"/>
                <w:b w:val="0"/>
                <w:i w:val="0"/>
                <w:color w:val="212121"/>
                <w:sz w:val="19"/>
              </w:rPr>
              <w:t>Direct, often acute consequences of the core neurodegenerative syndromes and their hazards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with 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or, early in FTD, obesity from hyperorality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Behavioural and psychological symptoms of dementia (hallucinations, delusions, agitation, apathy)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psychiatric misdiagnosis with inappropriate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Immobility, incontinence, pressure sores and recurrent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motor disability in FTD–ALS overlap</w:t>
            </w:r>
          </w:p>
        </w:tc>
        <w:tc>
          <w:tcPr>
            <w:tcW w:type="dxa" w:w="2980"/>
            <w:vAlign w:val="top"/>
          </w:tcPr>
          <w:p>
            <w:pPr>
              <w:spacing w:after="40" w:before="0" w:line="259" w:lineRule="auto"/>
            </w:pPr>
            <w:r>
              <w:rPr>
                <w:rFonts w:ascii="Calibri" w:hAnsi="Calibri"/>
                <w:b w:val="0"/>
                <w:i w:val="0"/>
                <w:color w:val="212121"/>
                <w:sz w:val="19"/>
              </w:rPr>
              <w:t>Downstream effects of progressive cognitive, behavioural, motor and autonomic decline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Total functional dependence and bedbound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Institutionalisation and need for full-time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carer burden, stress, depression and financial ruin (especially in young-onset FTD)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 FTD survival is typically about 7–13 years from symptom onset, shorter in FTD–ALS</w:t>
            </w:r>
          </w:p>
        </w:tc>
        <w:tc>
          <w:tcPr>
            <w:tcW w:type="dxa" w:w="2980"/>
            <w:vAlign w:val="top"/>
          </w:tcPr>
          <w:p>
            <w:pPr>
              <w:spacing w:after="40" w:before="0" w:line="259" w:lineRule="auto"/>
            </w:pPr>
            <w:r>
              <w:rPr>
                <w:rFonts w:ascii="Calibri" w:hAnsi="Calibri"/>
                <w:b w:val="0"/>
                <w:i w:val="0"/>
                <w:color w:val="212121"/>
                <w:sz w:val="19"/>
              </w:rPr>
              <w:t>Irreversible end-stage outcomes of longstanding, progressive Lewy body or frontotemporal dementia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Parkinson's disease / parkinsonism</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Lewy body (alpha-synuclein) pathology; DLB and Parkinson's disease dementia form one Lewy body spectrum.</w:t>
            </w:r>
          </w:p>
        </w:tc>
      </w:tr>
      <w:tr>
        <w:trPr>
          <w:cantSplit/>
        </w:trPr>
        <w:tc>
          <w:tcPr>
            <w:tcW w:type="dxa" w:w="2232"/>
            <w:vAlign w:val="top"/>
          </w:tcPr>
          <w:p>
            <w:pPr>
              <w:spacing w:after="40" w:before="0" w:line="259" w:lineRule="auto"/>
            </w:pPr>
            <w:r>
              <w:rPr>
                <w:rFonts w:ascii="Calibri" w:hAnsi="Calibri"/>
                <w:b/>
                <w:i w:val="0"/>
                <w:color w:val="212121"/>
                <w:sz w:val="19"/>
              </w:rPr>
              <w:t>REM sleep behaviour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Core and often prodromal feature of DLB; dream-enactment can precede dementia by years.</w:t>
            </w:r>
          </w:p>
          <w:p>
            <w:pPr>
              <w:spacing w:after="40" w:before="0" w:line="259" w:lineRule="auto"/>
            </w:pPr>
            <w:r>
              <w:rPr>
                <w:rFonts w:ascii="Calibri" w:hAnsi="Calibri"/>
                <w:b/>
                <w:i w:val="0"/>
                <w:color w:val="212121"/>
                <w:sz w:val="19"/>
              </w:rPr>
              <w:t>Core DLB feature</w:t>
            </w:r>
          </w:p>
        </w:tc>
      </w:tr>
      <w:tr>
        <w:trPr>
          <w:cantSplit/>
        </w:trPr>
        <w:tc>
          <w:tcPr>
            <w:tcW w:type="dxa" w:w="2232"/>
            <w:vAlign w:val="top"/>
          </w:tcPr>
          <w:p>
            <w:pPr>
              <w:spacing w:after="40" w:before="0" w:line="259" w:lineRule="auto"/>
            </w:pPr>
            <w:r>
              <w:rPr>
                <w:rFonts w:ascii="Calibri" w:hAnsi="Calibri"/>
                <w:b/>
                <w:i w:val="0"/>
                <w:color w:val="212121"/>
                <w:sz w:val="19"/>
              </w:rPr>
              <w:t>Motor neuron disease (ALS)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FTD–ALS overlap, especially in C9orf72 carriers, accelerates decline and shortens survival.</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both, and a frequent cause of misdiagnosis before the dementia is recognised.</w:t>
            </w:r>
          </w:p>
        </w:tc>
      </w:tr>
      <w:tr>
        <w:trPr>
          <w:cantSplit/>
        </w:trPr>
        <w:tc>
          <w:tcPr>
            <w:tcW w:type="dxa" w:w="2232"/>
            <w:vAlign w:val="top"/>
          </w:tcPr>
          <w:p>
            <w:pPr>
              <w:spacing w:after="40" w:before="0" w:line="259" w:lineRule="auto"/>
            </w:pPr>
            <w:r>
              <w:rPr>
                <w:rFonts w:ascii="Calibri" w:hAnsi="Calibri"/>
                <w:b/>
                <w:i w:val="0"/>
                <w:color w:val="212121"/>
                <w:sz w:val="19"/>
              </w:rPr>
              <w:t>Psychosis (hallucinations, delusions)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Visual hallucinations and delusions are intrinsic to DLB and drive hazardous antipsychotic use.</w:t>
            </w:r>
          </w:p>
        </w:tc>
      </w:tr>
      <w:tr>
        <w:trPr>
          <w:cantSplit/>
        </w:trPr>
        <w:tc>
          <w:tcPr>
            <w:tcW w:type="dxa" w:w="2232"/>
            <w:vAlign w:val="top"/>
          </w:tcPr>
          <w:p>
            <w:pPr>
              <w:spacing w:after="40" w:before="0" w:line="259" w:lineRule="auto"/>
            </w:pPr>
            <w:r>
              <w:rPr>
                <w:rFonts w:ascii="Calibri" w:hAnsi="Calibri"/>
                <w:b/>
                <w:i w:val="0"/>
                <w:color w:val="212121"/>
                <w:sz w:val="19"/>
              </w:rPr>
              <w:t>Autonomic dysfunction / orthostatic hypotension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Lewy body autonomic failure causes falls, faints, constipation and urinary problems.</w:t>
            </w:r>
          </w:p>
        </w:tc>
      </w:tr>
      <w:tr>
        <w:trPr>
          <w:cantSplit/>
        </w:trPr>
        <w:tc>
          <w:tcPr>
            <w:tcW w:type="dxa" w:w="2232"/>
            <w:vAlign w:val="top"/>
          </w:tcPr>
          <w:p>
            <w:pPr>
              <w:spacing w:after="40" w:before="0" w:line="259" w:lineRule="auto"/>
            </w:pPr>
            <w:r>
              <w:rPr>
                <w:rFonts w:ascii="Calibri" w:hAnsi="Calibri"/>
                <w:b/>
                <w:i w:val="0"/>
                <w:color w:val="212121"/>
                <w:sz w:val="19"/>
              </w:rPr>
              <w:t>Severe antipsychotic (neuroleptic) sensitivity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Life-threatening reactions to antipsychotics in DLB — a critical safety issue.</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Alzheimer's / vascular co-pathology (mixed dementia)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Alzheimer or vascular change is common and worsens overall impairment.</w:t>
            </w:r>
          </w:p>
        </w:tc>
      </w:tr>
      <w:tr>
        <w:trPr>
          <w:cantSplit/>
        </w:trPr>
        <w:tc>
          <w:tcPr>
            <w:tcW w:type="dxa" w:w="2232"/>
            <w:vAlign w:val="top"/>
          </w:tcPr>
          <w:p>
            <w:pPr>
              <w:spacing w:after="40" w:before="0" w:line="259" w:lineRule="auto"/>
            </w:pPr>
            <w:r>
              <w:rPr>
                <w:rFonts w:ascii="Calibri" w:hAnsi="Calibri"/>
                <w:b/>
                <w:i w:val="0"/>
                <w:color w:val="212121"/>
                <w:sz w:val="19"/>
              </w:rPr>
              <w:t>Dysphagia and aspiration pneumonia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Swallowing failure in advanced disease is a leading cause of hospitalisation and death.</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DLB and FTD are distinct from Alzheimer's: DLB causes visual hallucinations, fluctuating alertness, parkinsonism and dream-enactment sleep, while FTD causes early personality, behaviour and language change with relatively preserved memory.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single most important safety rule in DLB — avoid typical/high-potency antipsychotics, which can cause severe, sometimes fatal reactions; always tell every doctor about the DLB diagnosis before any sedative or antipsychotic is given.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specialist cognitive assessment early for midlife behaviour change or for parkinsonism with hallucinations, as both conditions are frequently and dangerously misdiagnosed as psychiatric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families with autosomal-dominant FTD or motor neuron disease, seek genetic counselling before any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safe: fall-proof for parkinsonism and orthostatic dizziness, and make the bedroom safe (padding, removing sharp objects, sometimes separate beds) for REM sleep behaviour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general brain-health measures — activity, healthy diet, not smoking, limiting alcohol, treating hearing/vision loss and vascular risk — reduce overall and mixed-dementia risk even though they do not stop the core neurodegeneration.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DLB/FTD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Young-onset (midlife) adults with behaviour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Parkinson's disease and RBD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and primary-care teams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Familial FTD/ALS relatives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supervised, individualised exercise and physiotherapy to maintain mobility, posture and mood despite parkinsonism.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gait and balance training and home fall-proofing to reduce falls from parkinsonism and orthostatic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carer-supported daily walking and a structured activity routine, which help behaviour and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Adapt activity to safety and stamina as the disease progresses, avoiding overexertion in those with orthostatic drops.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DLB with parkinsonism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fallers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FTD with restlessness/pacing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or advancing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swallowing difficulty with texture-modified diets and safe-feeding techniques to prevent 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FTD, manage hyperorality and craving for sweets by controlling access, portioning and supervising meals to prevent obesity and choking.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hydration and micronutrients (including B12); correct deficiencies common in older and rural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a dietitian for tailored, culturally appropriate meal planning as needs change through the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Advancing DLB/FTD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FTD with hyperorality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sleep environment safe for REM sleep behaviour disorder — remove bedside hazards, pad or lower the bed, and consider a separate bed for the partner.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and treat RBD, insomnia and excessive daytime sleepiness (melatonin is commonly used for RBD; specialist-guided) rather than reaching for sedating antipsychotics.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worsens daytime alertness and cognition.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good sleep hygiene to reduce nocturnal confusion.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DLB with RBD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daytime somnolence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Carers/bed-partners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cigarettes, bidis and smokeless products — to reduce co-existing vascular and Alzheimer pathology and overall dementia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behavioural support, quit-lines and pharmacotherapy (nicotine replacement, bupropion, varenicline) for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vascular risk factors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and binge drinking, which independently raise dementia risk and worsen falls, sleep and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within low-risk limits, or abstain, especially with parkinsonism, orthostatic hypotension or sedating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alcohol-use disorder where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Heavy/harmful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DLB with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sedatives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hallucinations, delusions and agitation with non-drug strategies first — reassurance, environmental modification, treating pain, infection and constipation — before any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DLB, NEVER use typical/high-potency antipsychotics; if psychosis is dangerous, use the most cautious specialist-guided options and consider a cholinesterase inhibitor, which can help DLB cognition and hallucinations.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treatable and worsen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structured routine, social engagement and behavioural strategies for FTD disinhibition and apathy.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carer education, respite, financial/legal safeguarding and psychological support — carer burden in young-onset FTD is exceptionally high.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DLB with psychosis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FTD with behavioural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Depressed/anxious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carers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across midlife and later life to support general brain and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balance and strength work to build reserve and reduce future fall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and stay socially and cognitively active.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hearing and vision loss and control vascular risk factors, all of which lower overall dementia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Midlife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vascular risk factors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every patient and carer a clear diagnosis, a written ‘avoid antipsychotics’ alert for DLB, and an emergency plan for acute confusion.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advance-care planning, legal and financial safeguarding early, particularly for disinhibited, young-onset FTD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dementia and FTD/DLB support organisations, respite care and carer support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multidisciplinary care (neurology, geriatrics/psychiatry, physiotherapy, speech and language therapy, dietetics and social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DLB/FTD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Young-onset FTD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and emergency teams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a.nih.gov/health/frontotemporal-disorders/what-are-frontotemporal-disorders-causes-symptoms-and-treatment" TargetMode="External"/><Relationship Id="rId10" Type="http://schemas.openxmlformats.org/officeDocument/2006/relationships/hyperlink" Target="https://www.fic.nih.gov/News/GlobalHealthMatters/march-april-2023/Pages/new-estimate-dementia-prevalence-magnitude-india-challenge.aspx" TargetMode="External"/><Relationship Id="rId11" Type="http://schemas.openxmlformats.org/officeDocument/2006/relationships/hyperlink" Target="https://pmc.ncbi.nlm.nih.gov/articles/PMC5624266/" TargetMode="External"/><Relationship Id="rId12" Type="http://schemas.openxmlformats.org/officeDocument/2006/relationships/hyperlink" Target="https://accscience.com/journal/AN/3/3/10.36922/an.4098" TargetMode="External"/><Relationship Id="rId13" Type="http://schemas.openxmlformats.org/officeDocument/2006/relationships/hyperlink" Target="https://www.alzheimer-europe.org/news/2024-lancet-commission-underscores-potential-dementia-risk-reduction-identifying-14-modifiable" TargetMode="External"/><Relationship Id="rId14" Type="http://schemas.openxmlformats.org/officeDocument/2006/relationships/hyperlink" Target="https://lbda.org/new-diagnostic-criteria-published-for-dlb" TargetMode="External"/><Relationship Id="rId15" Type="http://schemas.openxmlformats.org/officeDocument/2006/relationships/hyperlink" Target="https://www.ncbi.nlm.nih.gov/books/NBK482441/" TargetMode="External"/><Relationship Id="rId16" Type="http://schemas.openxmlformats.org/officeDocument/2006/relationships/hyperlink" Target="https://www.theaftd.org/what-is-ftd/disease-overview/" TargetMode="External"/><Relationship Id="rId17" Type="http://schemas.openxmlformats.org/officeDocument/2006/relationships/hyperlink" Target="https://lbda.org/emergency-room-treatment-of-psych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