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Peripheral Neuropathy (diabetic / alcoholic / B12)</w:t>
      </w:r>
    </w:p>
    <w:p>
      <w:pPr>
        <w:spacing w:before="0" w:after="160"/>
      </w:pPr>
      <w:r>
        <w:rPr>
          <w:rFonts w:ascii="Calibri" w:hAnsi="Calibri"/>
          <w:b/>
          <w:i w:val="0"/>
          <w:color w:val="212121"/>
          <w:sz w:val="22"/>
        </w:rPr>
        <w:t xml:space="preserve">AKA </w:t>
      </w:r>
      <w:r>
        <w:rPr>
          <w:rFonts w:ascii="Calibri" w:hAnsi="Calibri"/>
          <w:b w:val="0"/>
          <w:i w:val="0"/>
          <w:color w:val="212121"/>
          <w:sz w:val="22"/>
        </w:rPr>
        <w:t>i.e., Peripheral polyneuropathy, Distal symmetric (sensorimotor) polyneuropathy (DSPN), Diabetic peripheral neuropathy (DPN), Alcoholic neuropathy, Nutritional / vitamin B12 (cobalamin) deficiency neuropathy, “Nerve damage”, Numbness-tingling of hands and feet</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Peripheral neuropathy is damage to or dysfunction of the peripheral nerves — the sensory, motor and autonomic fibres that lie outside the brain and spinal cord. It most commonly presents as a length-dependent, distal symmetric polyneuropathy in a “stocking-and-glove” distribution, causing numbness, tingling, burning pain and, when advanced, weakness, imbalance, foot ulceration and autonomic disturbance. In India the three leading metabolic-toxic-nutritional causes are diabetes mellitus (diabetic peripheral neuropathy), chronic alcohol use (alcoholic neuropathy) and vitamin B12 (cobalamin) deficiency, though leprosy, chronic kidney disease, thyroid disease, drugs and inflammatory/hereditary causes also contribute.</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Peripheral neuropathy is one of the most common neurological problems in India. In a large multi-zone screening study of 153,354 Indian adults, neuropathy was detected in 75.4% overall (mostly mild), rising to 90.1% among people with diabetes versus 65.3% without — with the Eastern zone carrying the highest burden. Diabetes, now affecting an estimated 101 million Indians, is the single largest cause: clinically evident diabetic peripheral neuropathy affects roughly 25–60% of people with type 2 diabetes across Indian studies (e.g., 31.1% in rural South India and about 60% in some North Indian cohorts), and 50–66% of all diabetics develop neuropathy over their lifetime. Chronic alcohol use (pooled neuropathy prevalence ~44–46% in heavy drinkers) and vitamin B12 deficiency — endemic in India's largely vegetarian population — are the next most important, and largely treatable, causes.</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Peripheral neuropathy is a clinical diagnosis supported by bedside sensory testing, electrophysiology and a targeted search for the underlying cause. It is suggested by one or more of the following, ideally reproduced on examination of both feet: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distal, symmetric sensory symptoms (numbness, tingling, burning or lancinating pain) in a “stocking-and-glove” distribution, often worse at night;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loss of protective sensation on the 10 g Semmes-Weinstein monofilament and/or reduced vibration sense on a 128 Hz tuning fork or biothesiometry (vibration perception threshold);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reduced or absent ankle reflexes, with impaired pinprick/temperature (small fibre) or proprioception (large fibre) on examination;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nerve conduction studies (NCS) / electromyography confirming a length-dependent, usually axonal (sometimes demyelinating) polyneuropathy — the reference test for confirmation and typing;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an aetiological work-up: fasting glucose / HbA1c (diabetes), serum vitamin B12 with methylmalonic acid ± homocysteine (B12 deficiency), alcohol history and liver function, plus TSH, renal function, complete blood count and others to exclude common mimics;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validated symptom/severity scores such as the Michigan Neuropathy Screening Instrument (MNSI), DN4 or the Neuropathy Symptom/Disability Score to quantify and monitor disease.</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Peripheral neuropathy is classified by the pattern and distribution of nerve involvement, the fibre type affected, the underlying pathology and the cause; the same patient may fit more than one axis:</w:t>
      </w:r>
    </w:p>
    <w:p>
      <w:pPr>
        <w:spacing w:before="0" w:after="80"/>
      </w:pPr>
      <w:r>
        <w:rPr>
          <w:rFonts w:ascii="Calibri" w:hAnsi="Calibri"/>
          <w:b w:val="0"/>
          <w:i w:val="0"/>
          <w:color w:val="212121"/>
          <w:sz w:val="21"/>
        </w:rPr>
        <w:t>(1) By pattern/distribution — distal symmetric polyneuropathy (the commonest form, seen in diabetic, alcoholic and B12 neuropathy), mononeuropathy (single nerve, e.g., carpal tunnel), mononeuritis multiplex (multiple named nerves, e.g., vasculitis, leprosy), radiculopathy/polyradiculopathy, and autonomic neuropathy;</w:t>
      </w:r>
    </w:p>
    <w:p>
      <w:pPr>
        <w:spacing w:before="0" w:after="80"/>
      </w:pPr>
      <w:r>
        <w:rPr>
          <w:rFonts w:ascii="Calibri" w:hAnsi="Calibri"/>
          <w:b w:val="0"/>
          <w:i w:val="0"/>
          <w:color w:val="212121"/>
          <w:sz w:val="21"/>
        </w:rPr>
        <w:t>(2) By fibre type — large-fibre (loss of vibration, proprioception and reflexes with sensory ataxia), small-fibre (burning pain, allodynia, impaired pinprick/temperature and autonomic features), or a mixed sensorimotor picture;</w:t>
      </w:r>
    </w:p>
    <w:p>
      <w:pPr>
        <w:spacing w:before="0" w:after="80"/>
      </w:pPr>
      <w:r>
        <w:rPr>
          <w:rFonts w:ascii="Calibri" w:hAnsi="Calibri"/>
          <w:b w:val="0"/>
          <w:i w:val="0"/>
          <w:color w:val="212121"/>
          <w:sz w:val="21"/>
        </w:rPr>
        <w:t>(3) By pathology — axonal degeneration (most metabolic, toxic and nutritional neuropathies, including diabetic, alcoholic and B12) versus primary demyelination (e.g., Guillain-Barré syndrome, chronic inflammatory demyelinating polyneuropathy/CIDP);</w:t>
      </w:r>
    </w:p>
    <w:p>
      <w:pPr>
        <w:spacing w:before="0" w:after="80"/>
      </w:pPr>
      <w:r>
        <w:rPr>
          <w:rFonts w:ascii="Calibri" w:hAnsi="Calibri"/>
          <w:b w:val="0"/>
          <w:i w:val="0"/>
          <w:color w:val="212121"/>
          <w:sz w:val="21"/>
        </w:rPr>
        <w:t>(4) By aetiology (India-first) — diabetic (the commonest), alcoholic/toxic, nutritional (vitamin B12, thiamine, folate, pyridoxine), infectious (leprosy — the classic treatable neuropathy in India, and HIV), inflammatory/autoimmune (GBS, CIDP), hereditary (Charcot-Marie-Tooth), drug-induced (isoniazid, chemotherapy, phenytoin), uraemic and thyroid-related.</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Diabetes mellitus (chronic hyperglycaemia): Sustained high glucose drives polyol-pathway flux, advanced glycation end-products, oxidative-nitrosative stress and microvascular (vasa nervorum) ischaemia that injure axons — the single commonest cause of peripheral neuropathy in India.</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Chronic alcohol use: Ethanol and its metabolite acetaldehyde are directly axonotoxic, compounded by thiamine and other B-vitamin deficiency and poor nutrition; risk rises with total lifetime ethanol dose and duration of drinking.</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Vitamin B12 (cobalamin) deficiency: Impaired methylation and myelin maintenance produce a length-dependent neuropathy and, with dorsal-column involvement, subacute combined degeneration; driven by vegetarian/vegan diet, metformin, proton-pump inhibitors, pernicious anaemia and ageing.</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Other nutritional and toxic causes: Thiamine (B1), pyridoxine (B6 deficiency or excess) and folate deficiency, and drugs such as isoniazid (without pyridoxine cover), chemotherapy agents (platinums, taxanes, vinca alkaloids) and phenytoin.</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Infections: Leprosy (Hansen's disease) — historically the leading treatable neuropathy in India and still endemic — and HIV-associated distal sensory polyneuropathy.</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Metabolic and systemic disease: Chronic kidney disease/uraemia, hypothyroidism, and paraproteinaemias.</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Immune-mediated and hereditary: Guillain-Barré syndrome and CIDP (autoimmune demyelination), and inherited neuropathies such as Charcot-Marie-Tooth disease.</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(35–64 years)</w:t>
            </w:r>
          </w:p>
        </w:tc>
        <w:tc>
          <w:tcPr>
            <w:tcW w:type="dxa" w:w="4276"/>
            <w:vAlign w:val="top"/>
          </w:tcPr>
          <w:p>
            <w:pPr>
              <w:spacing w:after="60" w:line="259" w:lineRule="auto"/>
            </w:pPr>
            <w:r>
              <w:rPr>
                <w:rFonts w:ascii="Calibri" w:hAnsi="Calibri"/>
                <w:b w:val="0"/>
                <w:i w:val="0"/>
                <w:color w:val="212121"/>
                <w:sz w:val="19"/>
              </w:rPr>
              <w:t>Peripheral neuropathy accumulates during the productive middle years as duration of diabetes, cumulative alcohol exposure and dietary B12 depletion build up. Because early sensory loss is often painless, damage is frequently advanced by the time it is recognised.</w:t>
            </w:r>
          </w:p>
          <w:p>
            <w:pPr>
              <w:spacing w:after="40" w:before="60" w:line="259" w:lineRule="auto"/>
            </w:pPr>
            <w:r>
              <w:rPr>
                <w:rFonts w:ascii="Calibri" w:hAnsi="Calibri"/>
                <w:b w:val="0"/>
                <w:i w:val="0"/>
                <w:color w:val="212121"/>
                <w:sz w:val="19"/>
              </w:rPr>
              <w:t>In rural South Indian type 2 diabetics (mean age ~58 years), diabetic peripheral neuropathy prevalence was 31.1%, and diabetes duration &gt;5 years independently raised the odds of neuropathy (adjusted OR 2.74).</w:t>
            </w:r>
          </w:p>
          <w:p>
            <w:pPr>
              <w:spacing w:after="40" w:line="252" w:lineRule="auto"/>
            </w:pPr>
            <w:hyperlink r:id="rId9">
              <w:r>
                <w:rPr>
                  <w:rFonts w:ascii="Calibri" w:hAnsi="Calibri" w:cs="Calibri"/>
                  <w:sz w:val="18"/>
                  <w:color w:val="1155CC"/>
                  <w:u w:val="single"/>
                </w:rPr>
                <w:t xml:space="preserve">cureus.com - determinants of DPN in rural South India</w:t>
              </w:r>
            </w:hyperlink>
          </w:p>
          <w:p>
            <w:pPr>
              <w:spacing w:before="60" w:after="40"/>
            </w:pPr>
            <w:r>
              <w:rPr>
                <w:rFonts w:ascii="Calibri" w:hAnsi="Calibri"/>
                <w:b w:val="0"/>
                <w:i w:val="0"/>
                <w:color w:val="5A5A5A"/>
                <w:sz w:val="18"/>
              </w:rPr>
              <w:t>#DPN  #workingage  #diabetesduration  #axonalinjury  #stockingglove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 60 years)</w:t>
            </w:r>
          </w:p>
        </w:tc>
        <w:tc>
          <w:tcPr>
            <w:tcW w:type="dxa" w:w="4276"/>
            <w:vAlign w:val="top"/>
          </w:tcPr>
          <w:p>
            <w:pPr>
              <w:spacing w:after="60" w:line="259" w:lineRule="auto"/>
            </w:pPr>
            <w:r>
              <w:rPr>
                <w:rFonts w:ascii="Calibri" w:hAnsi="Calibri"/>
                <w:b w:val="0"/>
                <w:i w:val="0"/>
                <w:color w:val="212121"/>
                <w:sz w:val="19"/>
              </w:rPr>
              <w:t>Risk peaks in the elderly due to long-standing diabetes, age-related B12 malabsorption, polypharmacy and reduced nerve regenerative capacity. Sensory loss compounds poor balance, raising the risk of falls, fractures and foot ulcers.</w:t>
            </w:r>
          </w:p>
          <w:p>
            <w:pPr>
              <w:spacing w:after="40" w:before="60" w:line="259" w:lineRule="auto"/>
            </w:pPr>
            <w:r>
              <w:rPr>
                <w:rFonts w:ascii="Calibri" w:hAnsi="Calibri"/>
                <w:b w:val="0"/>
                <w:i w:val="0"/>
                <w:color w:val="212121"/>
                <w:sz w:val="19"/>
              </w:rPr>
              <w:t>In an Indian diabetes cohort, peripheral neuropathy prevalence rose with age — about 20% in those over 60 years versus 8.9% in those aged 35 and under.</w:t>
            </w:r>
          </w:p>
          <w:p>
            <w:pPr>
              <w:spacing w:after="40" w:line="252" w:lineRule="auto"/>
            </w:pPr>
            <w:hyperlink r:id="rId10">
              <w:r>
                <w:rPr>
                  <w:rFonts w:ascii="Calibri" w:hAnsi="Calibri" w:cs="Calibri"/>
                  <w:sz w:val="18"/>
                  <w:color w:val="1155CC"/>
                  <w:u w:val="single"/>
                </w:rPr>
                <w:t xml:space="preserve">nature.com - PN, amputation &amp; quality of life in diabetes</w:t>
              </w:r>
            </w:hyperlink>
          </w:p>
          <w:p>
            <w:pPr>
              <w:spacing w:before="60" w:after="40"/>
            </w:pPr>
            <w:r>
              <w:rPr>
                <w:rFonts w:ascii="Calibri" w:hAnsi="Calibri"/>
                <w:b w:val="0"/>
                <w:i w:val="0"/>
                <w:color w:val="5A5A5A"/>
                <w:sz w:val="18"/>
              </w:rPr>
              <w:t>#ageing  #falls  #B12malabsorption  #polypharmacy  #balance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Men carry higher rates of heavy alcohol use and diabetic foot complications, and tend to present later, so severe and ulcerating neuropathy is commoner in males.</w:t>
            </w:r>
          </w:p>
          <w:p>
            <w:pPr>
              <w:spacing w:after="40" w:before="60" w:line="259" w:lineRule="auto"/>
            </w:pPr>
            <w:r>
              <w:rPr>
                <w:rFonts w:ascii="Calibri" w:hAnsi="Calibri"/>
                <w:b w:val="0"/>
                <w:i w:val="0"/>
                <w:color w:val="212121"/>
                <w:sz w:val="19"/>
              </w:rPr>
              <w:t>In an Indian meta-analysis of diabetic foot ulcer (a direct sequela of neuropathy), pooled prevalence was higher in males (14.5%) than females (7.7%).</w:t>
            </w:r>
          </w:p>
          <w:p>
            <w:pPr>
              <w:spacing w:after="40" w:line="252" w:lineRule="auto"/>
            </w:pPr>
            <w:hyperlink r:id="rId11">
              <w:r>
                <w:rPr>
                  <w:rFonts w:ascii="Calibri" w:hAnsi="Calibri" w:cs="Calibri"/>
                  <w:sz w:val="18"/>
                  <w:color w:val="1155CC"/>
                  <w:u w:val="single"/>
                </w:rPr>
                <w:t xml:space="preserve">springer.com - diabetic foot ulcer in India (meta-analysis)</w:t>
              </w:r>
            </w:hyperlink>
          </w:p>
          <w:p>
            <w:pPr>
              <w:spacing w:before="60" w:after="40"/>
            </w:pPr>
            <w:r>
              <w:rPr>
                <w:rFonts w:ascii="Calibri" w:hAnsi="Calibri"/>
                <w:b w:val="0"/>
                <w:i w:val="0"/>
                <w:color w:val="5A5A5A"/>
                <w:sz w:val="18"/>
              </w:rPr>
              <w:t>#male  #alcoholuse  #footulcer  #latepresentation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manual labourers, unemployed</w:t>
            </w:r>
          </w:p>
        </w:tc>
        <w:tc>
          <w:tcPr>
            <w:tcW w:type="dxa" w:w="4276"/>
            <w:vAlign w:val="top"/>
          </w:tcPr>
          <w:p>
            <w:pPr>
              <w:spacing w:after="60" w:line="259" w:lineRule="auto"/>
            </w:pPr>
            <w:r>
              <w:rPr>
                <w:rFonts w:ascii="Calibri" w:hAnsi="Calibri"/>
                <w:b w:val="0"/>
                <w:i w:val="0"/>
                <w:color w:val="212121"/>
                <w:sz w:val="19"/>
              </w:rPr>
              <w:t>Poverty, barefoot walking, manual labour, delayed diagnosis and poor glycaemic control increase both the risk of neuropathy and of its complications; footwear and screening access are limited.</w:t>
            </w:r>
          </w:p>
          <w:p>
            <w:pPr>
              <w:spacing w:after="40" w:before="60" w:line="259" w:lineRule="auto"/>
            </w:pPr>
            <w:r>
              <w:rPr>
                <w:rFonts w:ascii="Calibri" w:hAnsi="Calibri"/>
                <w:b w:val="0"/>
                <w:i w:val="0"/>
                <w:color w:val="212121"/>
                <w:sz w:val="19"/>
              </w:rPr>
              <w:t>Unemployment was an independent determinant of diabetic peripheral neuropathy in rural South India (adjusted OR 2.05).</w:t>
            </w:r>
          </w:p>
          <w:p>
            <w:pPr>
              <w:spacing w:after="40" w:line="252" w:lineRule="auto"/>
            </w:pPr>
            <w:hyperlink r:id="rId9">
              <w:r>
                <w:rPr>
                  <w:rFonts w:ascii="Calibri" w:hAnsi="Calibri" w:cs="Calibri"/>
                  <w:sz w:val="18"/>
                  <w:color w:val="1155CC"/>
                  <w:u w:val="single"/>
                </w:rPr>
                <w:t xml:space="preserve">cureus.com - determinants of DPN in rural South India</w:t>
              </w:r>
            </w:hyperlink>
          </w:p>
          <w:p>
            <w:pPr>
              <w:spacing w:before="60" w:after="40"/>
            </w:pPr>
            <w:r>
              <w:rPr>
                <w:rFonts w:ascii="Calibri" w:hAnsi="Calibri"/>
                <w:b w:val="0"/>
                <w:i w:val="0"/>
                <w:color w:val="5A5A5A"/>
                <w:sz w:val="18"/>
              </w:rPr>
              <w:t>#lowSES  #barefoot  #delayedcare  #healthaccess</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 / zone</w:t>
            </w:r>
          </w:p>
        </w:tc>
        <w:tc>
          <w:tcPr>
            <w:tcW w:type="dxa" w:w="2160"/>
            <w:vAlign w:val="top"/>
          </w:tcPr>
          <w:p>
            <w:pPr>
              <w:spacing w:after="40" w:before="0" w:line="259" w:lineRule="auto"/>
            </w:pPr>
            <w:r>
              <w:rPr>
                <w:rFonts w:ascii="Calibri" w:hAnsi="Calibri"/>
                <w:b w:val="0"/>
                <w:i w:val="0"/>
                <w:color w:val="212121"/>
                <w:sz w:val="19"/>
              </w:rPr>
              <w:t>Eastern &amp; rural India</w:t>
            </w:r>
          </w:p>
        </w:tc>
        <w:tc>
          <w:tcPr>
            <w:tcW w:type="dxa" w:w="4276"/>
            <w:vAlign w:val="top"/>
          </w:tcPr>
          <w:p>
            <w:pPr>
              <w:spacing w:after="60" w:line="259" w:lineRule="auto"/>
            </w:pPr>
            <w:r>
              <w:rPr>
                <w:rFonts w:ascii="Calibri" w:hAnsi="Calibri"/>
                <w:b w:val="0"/>
                <w:i w:val="0"/>
                <w:color w:val="212121"/>
                <w:sz w:val="19"/>
              </w:rPr>
              <w:t>Screening burden of neuropathy varies by zone, being highest in the East; rural populations combine higher barefoot exposure, alcohol use, undiagnosed diabetes and limited foot care.</w:t>
            </w:r>
          </w:p>
          <w:p>
            <w:pPr>
              <w:spacing w:after="40" w:before="60" w:line="259" w:lineRule="auto"/>
            </w:pPr>
            <w:r>
              <w:rPr>
                <w:rFonts w:ascii="Calibri" w:hAnsi="Calibri"/>
                <w:b w:val="0"/>
                <w:i w:val="0"/>
                <w:color w:val="212121"/>
                <w:sz w:val="19"/>
              </w:rPr>
              <w:t>In a 153,354-adult multi-zone Indian screening study, neuropathy prevalence ranged from 74.3% to 79.3% across zones, highest in the Eastern zone (79.3%).</w:t>
            </w:r>
          </w:p>
          <w:p>
            <w:pPr>
              <w:spacing w:after="40" w:line="252" w:lineRule="auto"/>
            </w:pPr>
            <w:hyperlink r:id="rId12">
              <w:r>
                <w:rPr>
                  <w:rFonts w:ascii="Calibri" w:hAnsi="Calibri" w:cs="Calibri"/>
                  <w:sz w:val="18"/>
                  <w:color w:val="1155CC"/>
                  <w:u w:val="single"/>
                </w:rPr>
                <w:t xml:space="preserve">ijbcp.com - burden &amp; geographical variation of PN in India</w:t>
              </w:r>
            </w:hyperlink>
          </w:p>
          <w:p>
            <w:pPr>
              <w:spacing w:before="60" w:after="40"/>
            </w:pPr>
            <w:r>
              <w:rPr>
                <w:rFonts w:ascii="Calibri" w:hAnsi="Calibri"/>
                <w:b w:val="0"/>
                <w:i w:val="0"/>
                <w:color w:val="5A5A5A"/>
                <w:sz w:val="18"/>
              </w:rPr>
              <w:t>#easternzone  #rural  #screening  #biothesiometry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Ethnicity / diet-region</w:t>
            </w:r>
          </w:p>
        </w:tc>
        <w:tc>
          <w:tcPr>
            <w:tcW w:type="dxa" w:w="2160"/>
            <w:vAlign w:val="top"/>
          </w:tcPr>
          <w:p>
            <w:pPr>
              <w:spacing w:after="40" w:before="0" w:line="259" w:lineRule="auto"/>
            </w:pPr>
            <w:r>
              <w:rPr>
                <w:rFonts w:ascii="Calibri" w:hAnsi="Calibri"/>
                <w:b w:val="0"/>
                <w:i w:val="0"/>
                <w:color w:val="212121"/>
                <w:sz w:val="19"/>
              </w:rPr>
              <w:t>North &amp; West Indian vegetarian communities</w:t>
            </w:r>
          </w:p>
        </w:tc>
        <w:tc>
          <w:tcPr>
            <w:tcW w:type="dxa" w:w="4276"/>
            <w:vAlign w:val="top"/>
          </w:tcPr>
          <w:p>
            <w:pPr>
              <w:spacing w:after="60" w:line="259" w:lineRule="auto"/>
            </w:pPr>
            <w:r>
              <w:rPr>
                <w:rFonts w:ascii="Calibri" w:hAnsi="Calibri"/>
                <w:b w:val="0"/>
                <w:i w:val="0"/>
                <w:color w:val="212121"/>
                <w:sz w:val="19"/>
              </w:rPr>
              <w:t>Predominantly lacto-vegetarian dietary patterns provide little dietary cobalamin, making vitamin B12 deficiency neuropathy endemic across large parts of North and West India.</w:t>
            </w:r>
          </w:p>
          <w:p>
            <w:pPr>
              <w:spacing w:after="40" w:before="60" w:line="259" w:lineRule="auto"/>
            </w:pPr>
            <w:r>
              <w:rPr>
                <w:rFonts w:ascii="Calibri" w:hAnsi="Calibri"/>
                <w:b w:val="0"/>
                <w:i w:val="0"/>
                <w:color w:val="212121"/>
                <w:sz w:val="19"/>
              </w:rPr>
              <w:t>In a northern Indian tertiary-care series of confirmed B12 deficiency, 86.4% were strict vegetarians and paraesthesia was present in 98.2%, with axonal sensorimotor neuropathy on nerve conduction studies in 57.9%.</w:t>
            </w:r>
          </w:p>
          <w:p>
            <w:pPr>
              <w:spacing w:after="40" w:line="252" w:lineRule="auto"/>
            </w:pPr>
            <w:hyperlink r:id="rId13">
              <w:r>
                <w:rPr>
                  <w:rFonts w:ascii="Calibri" w:hAnsi="Calibri" w:cs="Calibri"/>
                  <w:sz w:val="18"/>
                  <w:color w:val="1155CC"/>
                  <w:u w:val="single"/>
                </w:rPr>
                <w:t xml:space="preserve">pmc.ncbi.nlm.nih.gov - B12 deficiency in northern India</w:t>
              </w:r>
            </w:hyperlink>
          </w:p>
          <w:p>
            <w:pPr>
              <w:spacing w:before="60" w:after="40"/>
            </w:pPr>
            <w:r>
              <w:rPr>
                <w:rFonts w:ascii="Calibri" w:hAnsi="Calibri"/>
                <w:b w:val="0"/>
                <w:i w:val="0"/>
                <w:color w:val="5A5A5A"/>
                <w:sz w:val="18"/>
              </w:rPr>
              <w:t>#vegetarian  #B12deficiency  #cobalamin  #nutritional</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Chronic / heavy alcohol users</w:t>
            </w:r>
          </w:p>
        </w:tc>
        <w:tc>
          <w:tcPr>
            <w:tcW w:type="dxa" w:w="4276"/>
            <w:vAlign w:val="top"/>
          </w:tcPr>
          <w:p>
            <w:pPr>
              <w:spacing w:after="60" w:line="259" w:lineRule="auto"/>
            </w:pPr>
            <w:r>
              <w:rPr>
                <w:rFonts w:ascii="Calibri" w:hAnsi="Calibri"/>
                <w:b w:val="0"/>
                <w:i w:val="0"/>
                <w:color w:val="212121"/>
                <w:sz w:val="19"/>
              </w:rPr>
              <w:t>Ethanol is directly axonotoxic and depletes thiamine and other B vitamins; the risk is dose-dependent on total lifetime ethanol, with severe polyneuropathy after years of heavy use.</w:t>
            </w:r>
          </w:p>
          <w:p>
            <w:pPr>
              <w:spacing w:after="40" w:before="60" w:line="259" w:lineRule="auto"/>
            </w:pPr>
            <w:r>
              <w:rPr>
                <w:rFonts w:ascii="Calibri" w:hAnsi="Calibri"/>
                <w:b w:val="0"/>
                <w:i w:val="0"/>
                <w:color w:val="212121"/>
                <w:sz w:val="19"/>
              </w:rPr>
              <w:t>A systematic review and meta-analysis found alcohol-related peripheral neuropathy in 44.2% of chronic alcohol users on clinical assessment and 46.3% when confirmed by nerve conduction studies.</w:t>
            </w:r>
          </w:p>
          <w:p>
            <w:pPr>
              <w:spacing w:after="40" w:line="252" w:lineRule="auto"/>
            </w:pPr>
            <w:hyperlink r:id="rId14">
              <w:r>
                <w:rPr>
                  <w:rFonts w:ascii="Calibri" w:hAnsi="Calibri" w:cs="Calibri"/>
                  <w:sz w:val="18"/>
                  <w:color w:val="1155CC"/>
                  <w:u w:val="single"/>
                </w:rPr>
                <w:t xml:space="preserve">pubmed.ncbi.nlm.nih.gov/30467601 - alcohol-related PN meta-analysis</w:t>
              </w:r>
            </w:hyperlink>
          </w:p>
          <w:p>
            <w:pPr>
              <w:spacing w:before="60" w:after="40"/>
            </w:pPr>
            <w:r>
              <w:rPr>
                <w:rFonts w:ascii="Calibri" w:hAnsi="Calibri"/>
                <w:b w:val="0"/>
                <w:i w:val="0"/>
                <w:color w:val="5A5A5A"/>
                <w:sz w:val="18"/>
              </w:rPr>
              <w:t>#alcohol  #axonotoxic  #thiamine  #dosedependent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Current smokers, tobacco users</w:t>
            </w:r>
          </w:p>
        </w:tc>
        <w:tc>
          <w:tcPr>
            <w:tcW w:type="dxa" w:w="4276"/>
            <w:vAlign w:val="top"/>
          </w:tcPr>
          <w:p>
            <w:pPr>
              <w:spacing w:after="60" w:line="259" w:lineRule="auto"/>
            </w:pPr>
            <w:r>
              <w:rPr>
                <w:rFonts w:ascii="Calibri" w:hAnsi="Calibri"/>
                <w:b w:val="0"/>
                <w:i w:val="0"/>
                <w:color w:val="212121"/>
                <w:sz w:val="19"/>
              </w:rPr>
              <w:t>Smoking impairs microvascular perfusion of the vasa nervorum and amplifies hyperglycaemic nerve injury, accelerating diabetic and other neuropathies.</w:t>
            </w:r>
          </w:p>
          <w:p>
            <w:pPr>
              <w:spacing w:after="40" w:before="60" w:line="259" w:lineRule="auto"/>
            </w:pPr>
            <w:r>
              <w:rPr>
                <w:rFonts w:ascii="Calibri" w:hAnsi="Calibri"/>
                <w:b w:val="0"/>
                <w:i w:val="0"/>
                <w:color w:val="212121"/>
                <w:sz w:val="19"/>
              </w:rPr>
              <w:t>Smoking was the strongest independent determinant of diabetic peripheral neuropathy in rural South India (adjusted OR 3.14).</w:t>
            </w:r>
          </w:p>
          <w:p>
            <w:pPr>
              <w:spacing w:after="40" w:line="252" w:lineRule="auto"/>
            </w:pPr>
            <w:hyperlink r:id="rId9">
              <w:r>
                <w:rPr>
                  <w:rFonts w:ascii="Calibri" w:hAnsi="Calibri" w:cs="Calibri"/>
                  <w:sz w:val="18"/>
                  <w:color w:val="1155CC"/>
                  <w:u w:val="single"/>
                </w:rPr>
                <w:t xml:space="preserve">cureus.com - determinants of DPN in rural South India</w:t>
              </w:r>
            </w:hyperlink>
          </w:p>
          <w:p>
            <w:pPr>
              <w:spacing w:before="60" w:after="40"/>
            </w:pPr>
            <w:r>
              <w:rPr>
                <w:rFonts w:ascii="Calibri" w:hAnsi="Calibri"/>
                <w:b w:val="0"/>
                <w:i w:val="0"/>
                <w:color w:val="5A5A5A"/>
                <w:sz w:val="18"/>
              </w:rPr>
              <w:t>#smoking  #microvascular  #vasanervorum  #tobacco</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Sedentary / poor glycaemic control</w:t>
            </w:r>
          </w:p>
        </w:tc>
        <w:tc>
          <w:tcPr>
            <w:tcW w:type="dxa" w:w="2160"/>
            <w:vAlign w:val="top"/>
          </w:tcPr>
          <w:p>
            <w:pPr>
              <w:spacing w:after="40" w:before="0" w:line="259" w:lineRule="auto"/>
            </w:pPr>
            <w:r>
              <w:rPr>
                <w:rFonts w:ascii="Calibri" w:hAnsi="Calibri"/>
                <w:b w:val="0"/>
                <w:i w:val="0"/>
                <w:color w:val="212121"/>
                <w:sz w:val="19"/>
              </w:rPr>
              <w:t>Inactive adults with uncontrolled diabetes</w:t>
            </w:r>
          </w:p>
        </w:tc>
        <w:tc>
          <w:tcPr>
            <w:tcW w:type="dxa" w:w="4276"/>
            <w:vAlign w:val="top"/>
          </w:tcPr>
          <w:p>
            <w:pPr>
              <w:spacing w:after="60" w:line="259" w:lineRule="auto"/>
            </w:pPr>
            <w:r>
              <w:rPr>
                <w:rFonts w:ascii="Calibri" w:hAnsi="Calibri"/>
                <w:b w:val="0"/>
                <w:i w:val="0"/>
                <w:color w:val="212121"/>
                <w:sz w:val="19"/>
              </w:rPr>
              <w:t>Physical inactivity worsens insulin resistance and glycaemic control, and chronic hyperglycaemia is the principal driver of nerve damage; tight control slows progression.</w:t>
            </w:r>
          </w:p>
          <w:p>
            <w:pPr>
              <w:spacing w:after="40" w:before="60" w:line="259" w:lineRule="auto"/>
            </w:pPr>
            <w:r>
              <w:rPr>
                <w:rFonts w:ascii="Calibri" w:hAnsi="Calibri"/>
                <w:b w:val="0"/>
                <w:i w:val="0"/>
                <w:color w:val="212121"/>
                <w:sz w:val="19"/>
              </w:rPr>
              <w:t>Hyperglycaemia (random glucose &gt;200 mg/dL) independently more than doubled the odds of diabetic peripheral neuropathy (adjusted OR 2.24) in rural South India.</w:t>
            </w:r>
          </w:p>
          <w:p>
            <w:pPr>
              <w:spacing w:after="40" w:line="252" w:lineRule="auto"/>
            </w:pPr>
            <w:hyperlink r:id="rId9">
              <w:r>
                <w:rPr>
                  <w:rFonts w:ascii="Calibri" w:hAnsi="Calibri" w:cs="Calibri"/>
                  <w:sz w:val="18"/>
                  <w:color w:val="1155CC"/>
                  <w:u w:val="single"/>
                </w:rPr>
                <w:t xml:space="preserve">cureus.com - determinants of DPN in rural South India</w:t>
              </w:r>
            </w:hyperlink>
          </w:p>
          <w:p>
            <w:pPr>
              <w:spacing w:before="60" w:after="40"/>
            </w:pPr>
            <w:r>
              <w:rPr>
                <w:rFonts w:ascii="Calibri" w:hAnsi="Calibri"/>
                <w:b w:val="0"/>
                <w:i w:val="0"/>
                <w:color w:val="5A5A5A"/>
                <w:sz w:val="18"/>
              </w:rPr>
              <w:t>#sedentary  #glycaemiccontrol  #hyperglycaemia  #insulinresistance</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Strict vegetarians / vegans, low-B12 diets</w:t>
            </w:r>
          </w:p>
        </w:tc>
        <w:tc>
          <w:tcPr>
            <w:tcW w:type="dxa" w:w="4276"/>
            <w:vAlign w:val="top"/>
          </w:tcPr>
          <w:p>
            <w:pPr>
              <w:spacing w:after="60" w:line="259" w:lineRule="auto"/>
            </w:pPr>
            <w:r>
              <w:rPr>
                <w:rFonts w:ascii="Calibri" w:hAnsi="Calibri"/>
                <w:b w:val="0"/>
                <w:i w:val="0"/>
                <w:color w:val="212121"/>
                <w:sz w:val="19"/>
              </w:rPr>
              <w:t>Cobalamin is almost exclusively found in animal foods; long-term vegetarian or vegan diets without fortification or supplementation deplete B12 stores and produce a nutritional neuropathy.</w:t>
            </w:r>
          </w:p>
          <w:p>
            <w:pPr>
              <w:spacing w:after="40" w:before="60" w:line="259" w:lineRule="auto"/>
            </w:pPr>
            <w:r>
              <w:rPr>
                <w:rFonts w:ascii="Calibri" w:hAnsi="Calibri"/>
                <w:b w:val="0"/>
                <w:i w:val="0"/>
                <w:color w:val="212121"/>
                <w:sz w:val="19"/>
              </w:rPr>
              <w:t>Vitamin B12 deficiency is described as endemic in the Indian population, and in confirmed cases 86.4% were strict vegetarians.</w:t>
            </w:r>
          </w:p>
          <w:p>
            <w:pPr>
              <w:spacing w:after="40" w:line="252" w:lineRule="auto"/>
            </w:pPr>
            <w:hyperlink r:id="rId15">
              <w:r>
                <w:rPr>
                  <w:rFonts w:ascii="Calibri" w:hAnsi="Calibri" w:cs="Calibri"/>
                  <w:sz w:val="18"/>
                  <w:color w:val="1155CC"/>
                  <w:u w:val="single"/>
                </w:rPr>
                <w:t xml:space="preserve">journals.lww.com - B12 deficiency is endemic in Indian population</w:t>
              </w:r>
            </w:hyperlink>
          </w:p>
          <w:p>
            <w:pPr>
              <w:spacing w:before="60" w:after="40"/>
            </w:pPr>
            <w:r>
              <w:rPr>
                <w:rFonts w:ascii="Calibri" w:hAnsi="Calibri"/>
                <w:b w:val="0"/>
                <w:i w:val="0"/>
                <w:color w:val="5A5A5A"/>
                <w:sz w:val="18"/>
              </w:rPr>
              <w:t>#vegetarian  #cobalamin  #fortification  #supplementation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High-glycaemic / refined-carbohydrate diet</w:t>
            </w:r>
          </w:p>
        </w:tc>
        <w:tc>
          <w:tcPr>
            <w:tcW w:type="dxa" w:w="2160"/>
            <w:vAlign w:val="top"/>
          </w:tcPr>
          <w:p>
            <w:pPr>
              <w:spacing w:after="40" w:before="0" w:line="259" w:lineRule="auto"/>
            </w:pPr>
            <w:r>
              <w:rPr>
                <w:rFonts w:ascii="Calibri" w:hAnsi="Calibri"/>
                <w:b w:val="0"/>
                <w:i w:val="0"/>
                <w:color w:val="212121"/>
                <w:sz w:val="19"/>
              </w:rPr>
              <w:t>High rice/refined-grain, high-sugar intake</w:t>
            </w:r>
          </w:p>
        </w:tc>
        <w:tc>
          <w:tcPr>
            <w:tcW w:type="dxa" w:w="4276"/>
            <w:vAlign w:val="top"/>
          </w:tcPr>
          <w:p>
            <w:pPr>
              <w:spacing w:after="60" w:line="259" w:lineRule="auto"/>
            </w:pPr>
            <w:r>
              <w:rPr>
                <w:rFonts w:ascii="Calibri" w:hAnsi="Calibri"/>
                <w:b w:val="0"/>
                <w:i w:val="0"/>
                <w:color w:val="212121"/>
                <w:sz w:val="19"/>
              </w:rPr>
              <w:t>Diets dominated by white rice, refined flour and sugar produce large postprandial glucose excursions and poor long-term control, accelerating diabetic nerve injury.</w:t>
            </w:r>
          </w:p>
          <w:p>
            <w:pPr>
              <w:spacing w:after="40" w:before="60" w:line="259" w:lineRule="auto"/>
            </w:pPr>
            <w:r>
              <w:rPr>
                <w:rFonts w:ascii="Calibri" w:hAnsi="Calibri"/>
                <w:b w:val="0"/>
                <w:i w:val="0"/>
                <w:color w:val="212121"/>
                <w:sz w:val="19"/>
              </w:rPr>
              <w:t>Poor glycaemic control is consistently associated with higher diabetic peripheral neuropathy, whose reported prevalence in Indian diabetics ranges widely from about 10% to 78%.</w:t>
            </w:r>
          </w:p>
          <w:p>
            <w:pPr>
              <w:spacing w:after="40" w:line="252" w:lineRule="auto"/>
            </w:pPr>
            <w:hyperlink r:id="rId16">
              <w:r>
                <w:rPr>
                  <w:rFonts w:ascii="Calibri" w:hAnsi="Calibri" w:cs="Calibri"/>
                  <w:sz w:val="18"/>
                  <w:color w:val="1155CC"/>
                  <w:u w:val="single"/>
                </w:rPr>
                <w:t xml:space="preserve">imsear.searo.who.int - DPN prevalence in North India (9.6–78%)</w:t>
              </w:r>
            </w:hyperlink>
          </w:p>
          <w:p>
            <w:pPr>
              <w:spacing w:before="60" w:after="40"/>
            </w:pPr>
            <w:r>
              <w:rPr>
                <w:rFonts w:ascii="Calibri" w:hAnsi="Calibri"/>
                <w:b w:val="0"/>
                <w:i w:val="0"/>
                <w:color w:val="5A5A5A"/>
                <w:sz w:val="18"/>
              </w:rPr>
              <w:t>#refinedcarbs  #postprandial  #glycaemicload  #whiterice</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relatives with diabetes</w:t>
            </w:r>
          </w:p>
        </w:tc>
        <w:tc>
          <w:tcPr>
            <w:tcW w:type="dxa" w:w="4276"/>
            <w:vAlign w:val="top"/>
          </w:tcPr>
          <w:p>
            <w:pPr>
              <w:spacing w:after="60" w:line="259" w:lineRule="auto"/>
            </w:pPr>
            <w:r>
              <w:rPr>
                <w:rFonts w:ascii="Calibri" w:hAnsi="Calibri"/>
                <w:b w:val="0"/>
                <w:i w:val="0"/>
                <w:color w:val="212121"/>
                <w:sz w:val="19"/>
              </w:rPr>
              <w:t>A family history of type 2 diabetes raises the risk of developing diabetes and, in turn, diabetic peripheral neuropathy, the commonest cause of neuropathy in India.</w:t>
            </w:r>
          </w:p>
          <w:p>
            <w:pPr>
              <w:spacing w:after="40" w:before="60" w:line="259" w:lineRule="auto"/>
            </w:pPr>
            <w:r>
              <w:rPr>
                <w:rFonts w:ascii="Calibri" w:hAnsi="Calibri"/>
                <w:b w:val="0"/>
                <w:i w:val="0"/>
                <w:color w:val="212121"/>
                <w:sz w:val="19"/>
              </w:rPr>
              <w:t>Diabetes affects an estimated 101 million adults in India (ICMR-INDIAB), and 50–66% of people with diabetes develop neuropathy over their lifetime.</w:t>
            </w:r>
          </w:p>
          <w:p>
            <w:pPr>
              <w:spacing w:after="40" w:line="252" w:lineRule="auto"/>
            </w:pPr>
            <w:hyperlink r:id="rId17">
              <w:r>
                <w:rPr>
                  <w:rFonts w:ascii="Calibri" w:hAnsi="Calibri" w:cs="Calibri"/>
                  <w:sz w:val="18"/>
                  <w:color w:val="1155CC"/>
                  <w:u w:val="single"/>
                </w:rPr>
                <w:t xml:space="preserve">ncbi.nlm.nih.gov - diabetic peripheral neuropathy (StatPearls)</w:t>
              </w:r>
            </w:hyperlink>
          </w:p>
          <w:p>
            <w:pPr>
              <w:spacing w:before="60" w:after="40"/>
            </w:pPr>
            <w:r>
              <w:rPr>
                <w:rFonts w:ascii="Calibri" w:hAnsi="Calibri"/>
                <w:b w:val="0"/>
                <w:i w:val="0"/>
                <w:color w:val="5A5A5A"/>
                <w:sz w:val="18"/>
              </w:rPr>
              <w:t>#familyhistory  #T2DM  #inheritedrisk  #lifetimerisk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Hereditary neuropathy / autoimmune predisposition</w:t>
            </w:r>
          </w:p>
        </w:tc>
        <w:tc>
          <w:tcPr>
            <w:tcW w:type="dxa" w:w="2160"/>
            <w:vAlign w:val="top"/>
          </w:tcPr>
          <w:p>
            <w:pPr>
              <w:spacing w:after="40" w:before="0" w:line="259" w:lineRule="auto"/>
            </w:pPr>
            <w:r>
              <w:rPr>
                <w:rFonts w:ascii="Calibri" w:hAnsi="Calibri"/>
                <w:b w:val="0"/>
                <w:i w:val="0"/>
                <w:color w:val="212121"/>
                <w:sz w:val="19"/>
              </w:rPr>
              <w:t>Charcot-Marie-Tooth, pernicious anaemia families</w:t>
            </w:r>
          </w:p>
        </w:tc>
        <w:tc>
          <w:tcPr>
            <w:tcW w:type="dxa" w:w="4276"/>
            <w:vAlign w:val="top"/>
          </w:tcPr>
          <w:p>
            <w:pPr>
              <w:spacing w:after="60" w:line="259" w:lineRule="auto"/>
            </w:pPr>
            <w:r>
              <w:rPr>
                <w:rFonts w:ascii="Calibri" w:hAnsi="Calibri"/>
                <w:b w:val="0"/>
                <w:i w:val="0"/>
                <w:color w:val="212121"/>
                <w:sz w:val="19"/>
              </w:rPr>
              <w:t>Inherited neuropathies (e.g., Charcot-Marie-Tooth) and an autoimmune tendency to pernicious anaemia (autoimmune gastritis) predispose to chronic sensorimotor neuropathy independent of diabetes or alcohol.</w:t>
            </w:r>
          </w:p>
          <w:p>
            <w:pPr>
              <w:spacing w:after="40" w:before="60" w:line="259" w:lineRule="auto"/>
            </w:pPr>
            <w:r>
              <w:rPr>
                <w:rFonts w:ascii="Calibri" w:hAnsi="Calibri"/>
                <w:b w:val="0"/>
                <w:i w:val="0"/>
                <w:color w:val="212121"/>
                <w:sz w:val="19"/>
              </w:rPr>
              <w:t>Pernicious anaemia and autoimmune gastritis are recognised causes of B12-deficiency neuropathy; malabsorption accounted for about 10% of confirmed B12 deficiency in an Indian series.</w:t>
            </w:r>
          </w:p>
          <w:p>
            <w:pPr>
              <w:spacing w:after="40" w:line="252" w:lineRule="auto"/>
            </w:pPr>
            <w:hyperlink r:id="rId13">
              <w:r>
                <w:rPr>
                  <w:rFonts w:ascii="Calibri" w:hAnsi="Calibri" w:cs="Calibri"/>
                  <w:sz w:val="18"/>
                  <w:color w:val="1155CC"/>
                  <w:u w:val="single"/>
                </w:rPr>
                <w:t xml:space="preserve">pmc.ncbi.nlm.nih.gov - B12 deficiency in northern India</w:t>
              </w:r>
            </w:hyperlink>
          </w:p>
          <w:p>
            <w:pPr>
              <w:spacing w:before="60" w:after="40"/>
            </w:pPr>
            <w:r>
              <w:rPr>
                <w:rFonts w:ascii="Calibri" w:hAnsi="Calibri"/>
                <w:b w:val="0"/>
                <w:i w:val="0"/>
                <w:color w:val="5A5A5A"/>
                <w:sz w:val="18"/>
              </w:rPr>
              <w:t>#hereditary  #CMT  #perniciousanaemia  #autoimmune</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Diabetes mellitus / prediabetes</w:t>
            </w:r>
          </w:p>
        </w:tc>
        <w:tc>
          <w:tcPr>
            <w:tcW w:type="dxa" w:w="2160"/>
            <w:vAlign w:val="top"/>
          </w:tcPr>
          <w:p>
            <w:pPr>
              <w:spacing w:after="40" w:before="0" w:line="259" w:lineRule="auto"/>
            </w:pPr>
            <w:r>
              <w:rPr>
                <w:rFonts w:ascii="Calibri" w:hAnsi="Calibri"/>
                <w:b w:val="0"/>
                <w:i w:val="0"/>
                <w:color w:val="212121"/>
                <w:sz w:val="19"/>
              </w:rPr>
              <w:t>People with type 2 diabetes</w:t>
            </w:r>
          </w:p>
        </w:tc>
        <w:tc>
          <w:tcPr>
            <w:tcW w:type="dxa" w:w="4276"/>
            <w:vAlign w:val="top"/>
          </w:tcPr>
          <w:p>
            <w:pPr>
              <w:spacing w:after="60" w:line="259" w:lineRule="auto"/>
            </w:pPr>
            <w:r>
              <w:rPr>
                <w:rFonts w:ascii="Calibri" w:hAnsi="Calibri"/>
                <w:b w:val="0"/>
                <w:i w:val="0"/>
                <w:color w:val="212121"/>
                <w:sz w:val="19"/>
              </w:rPr>
              <w:t>Chronic hyperglycaemia is the leading cause of peripheral neuropathy; even prediabetes and impaired glucose tolerance carry measurable neuropathy risk.</w:t>
            </w:r>
          </w:p>
          <w:p>
            <w:pPr>
              <w:spacing w:after="40" w:before="60" w:line="259" w:lineRule="auto"/>
            </w:pPr>
            <w:r>
              <w:rPr>
                <w:rFonts w:ascii="Calibri" w:hAnsi="Calibri"/>
                <w:b w:val="0"/>
                <w:i w:val="0"/>
                <w:color w:val="212121"/>
                <w:sz w:val="19"/>
              </w:rPr>
              <w:t>Neuropathy was detected in 90.1% of Indians with diabetes on screening versus 65.3% of those without diabetes.</w:t>
            </w:r>
          </w:p>
          <w:p>
            <w:pPr>
              <w:spacing w:after="40" w:line="252" w:lineRule="auto"/>
            </w:pPr>
            <w:hyperlink r:id="rId12">
              <w:r>
                <w:rPr>
                  <w:rFonts w:ascii="Calibri" w:hAnsi="Calibri" w:cs="Calibri"/>
                  <w:sz w:val="18"/>
                  <w:color w:val="1155CC"/>
                  <w:u w:val="single"/>
                </w:rPr>
                <w:t xml:space="preserve">ijbcp.com - burden &amp; geographical variation of PN in India</w:t>
              </w:r>
            </w:hyperlink>
          </w:p>
          <w:p>
            <w:pPr>
              <w:spacing w:before="60" w:after="40"/>
            </w:pPr>
            <w:r>
              <w:rPr>
                <w:rFonts w:ascii="Calibri" w:hAnsi="Calibri"/>
                <w:b w:val="0"/>
                <w:i w:val="0"/>
                <w:color w:val="5A5A5A"/>
                <w:sz w:val="18"/>
              </w:rPr>
              <w:t>#diabetes  #prediabetes  #hyperglycaemia  #DPN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Chronic kidney disease</w:t>
            </w:r>
          </w:p>
        </w:tc>
        <w:tc>
          <w:tcPr>
            <w:tcW w:type="dxa" w:w="2160"/>
            <w:vAlign w:val="top"/>
          </w:tcPr>
          <w:p>
            <w:pPr>
              <w:spacing w:after="40" w:before="0" w:line="259" w:lineRule="auto"/>
            </w:pPr>
            <w:r>
              <w:rPr>
                <w:rFonts w:ascii="Calibri" w:hAnsi="Calibri"/>
                <w:b w:val="0"/>
                <w:i w:val="0"/>
                <w:color w:val="212121"/>
                <w:sz w:val="19"/>
              </w:rPr>
              <w:t>Patients with CKD / uraemia</w:t>
            </w:r>
          </w:p>
        </w:tc>
        <w:tc>
          <w:tcPr>
            <w:tcW w:type="dxa" w:w="4276"/>
            <w:vAlign w:val="top"/>
          </w:tcPr>
          <w:p>
            <w:pPr>
              <w:spacing w:after="60" w:line="259" w:lineRule="auto"/>
            </w:pPr>
            <w:r>
              <w:rPr>
                <w:rFonts w:ascii="Calibri" w:hAnsi="Calibri"/>
                <w:b w:val="0"/>
                <w:i w:val="0"/>
                <w:color w:val="212121"/>
                <w:sz w:val="19"/>
              </w:rPr>
              <w:t>Uraemic toxins damage peripheral nerves and compound diabetic neuropathy; CKD and diabetes frequently coexist, worsening severity and pain.</w:t>
            </w:r>
          </w:p>
          <w:p>
            <w:pPr>
              <w:spacing w:after="40" w:before="60" w:line="259" w:lineRule="auto"/>
            </w:pPr>
            <w:r>
              <w:rPr>
                <w:rFonts w:ascii="Calibri" w:hAnsi="Calibri"/>
                <w:b w:val="0"/>
                <w:i w:val="0"/>
                <w:color w:val="212121"/>
                <w:sz w:val="19"/>
              </w:rPr>
              <w:t>Uraemic neuropathy is a recognised complication of advanced chronic kidney disease and commonly overlaps with diabetic neuropathy in people with diabetic nephropathy.</w:t>
            </w:r>
          </w:p>
          <w:p>
            <w:pPr>
              <w:spacing w:before="60" w:after="40"/>
            </w:pPr>
            <w:r>
              <w:rPr>
                <w:rFonts w:ascii="Calibri" w:hAnsi="Calibri"/>
                <w:b w:val="0"/>
                <w:i w:val="0"/>
                <w:color w:val="5A5A5A"/>
                <w:sz w:val="18"/>
              </w:rPr>
              <w:t>#CKD  #uraemia  #nephropathy  #overlap</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Chronic alcohol use disorder / liver disease</w:t>
            </w:r>
          </w:p>
        </w:tc>
        <w:tc>
          <w:tcPr>
            <w:tcW w:type="dxa" w:w="2160"/>
            <w:vAlign w:val="top"/>
          </w:tcPr>
          <w:p>
            <w:pPr>
              <w:spacing w:after="40" w:before="0" w:line="259" w:lineRule="auto"/>
            </w:pPr>
            <w:r>
              <w:rPr>
                <w:rFonts w:ascii="Calibri" w:hAnsi="Calibri"/>
                <w:b w:val="0"/>
                <w:i w:val="0"/>
                <w:color w:val="212121"/>
                <w:sz w:val="19"/>
              </w:rPr>
              <w:t>Alcohol use disorder, chronic liver disease</w:t>
            </w:r>
          </w:p>
        </w:tc>
        <w:tc>
          <w:tcPr>
            <w:tcW w:type="dxa" w:w="4276"/>
            <w:vAlign w:val="top"/>
          </w:tcPr>
          <w:p>
            <w:pPr>
              <w:spacing w:after="60" w:line="259" w:lineRule="auto"/>
            </w:pPr>
            <w:r>
              <w:rPr>
                <w:rFonts w:ascii="Calibri" w:hAnsi="Calibri"/>
                <w:b w:val="0"/>
                <w:i w:val="0"/>
                <w:color w:val="212121"/>
                <w:sz w:val="19"/>
              </w:rPr>
              <w:t>Alcohol use disorder causes neuropathy through direct toxicity and thiamine/B-vitamin deficiency, often with coexisting liver disease and malnutrition.</w:t>
            </w:r>
          </w:p>
          <w:p>
            <w:pPr>
              <w:spacing w:after="40" w:before="60" w:line="259" w:lineRule="auto"/>
            </w:pPr>
            <w:r>
              <w:rPr>
                <w:rFonts w:ascii="Calibri" w:hAnsi="Calibri"/>
                <w:b w:val="0"/>
                <w:i w:val="0"/>
                <w:color w:val="212121"/>
                <w:sz w:val="19"/>
              </w:rPr>
              <w:t>Peripheral neuropathy is present in 44–46% of chronic heavy drinkers and correlates with total lifetime ethanol dose.</w:t>
            </w:r>
          </w:p>
          <w:p>
            <w:pPr>
              <w:spacing w:after="40" w:line="252" w:lineRule="auto"/>
            </w:pPr>
            <w:hyperlink r:id="rId14">
              <w:r>
                <w:rPr>
                  <w:rFonts w:ascii="Calibri" w:hAnsi="Calibri" w:cs="Calibri"/>
                  <w:sz w:val="18"/>
                  <w:color w:val="1155CC"/>
                  <w:u w:val="single"/>
                </w:rPr>
                <w:t xml:space="preserve">pubmed.ncbi.nlm.nih.gov/30467601 - alcohol-related PN meta-analysis</w:t>
              </w:r>
            </w:hyperlink>
          </w:p>
          <w:p>
            <w:pPr>
              <w:spacing w:before="60" w:after="40"/>
            </w:pPr>
            <w:r>
              <w:rPr>
                <w:rFonts w:ascii="Calibri" w:hAnsi="Calibri"/>
                <w:b w:val="0"/>
                <w:i w:val="0"/>
                <w:color w:val="5A5A5A"/>
                <w:sz w:val="18"/>
              </w:rPr>
              <w:t>#alcoholusedisorder  #thiamine  #liverdisease  #malnutrition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Hypothyroidism</w:t>
            </w:r>
          </w:p>
        </w:tc>
        <w:tc>
          <w:tcPr>
            <w:tcW w:type="dxa" w:w="2160"/>
            <w:vAlign w:val="top"/>
          </w:tcPr>
          <w:p>
            <w:pPr>
              <w:spacing w:after="40" w:before="0" w:line="259" w:lineRule="auto"/>
            </w:pPr>
            <w:r>
              <w:rPr>
                <w:rFonts w:ascii="Calibri" w:hAnsi="Calibri"/>
                <w:b w:val="0"/>
                <w:i w:val="0"/>
                <w:color w:val="212121"/>
                <w:sz w:val="19"/>
              </w:rPr>
              <w:t>Patients with hypothyroidism</w:t>
            </w:r>
          </w:p>
        </w:tc>
        <w:tc>
          <w:tcPr>
            <w:tcW w:type="dxa" w:w="4276"/>
            <w:vAlign w:val="top"/>
          </w:tcPr>
          <w:p>
            <w:pPr>
              <w:spacing w:after="60" w:line="259" w:lineRule="auto"/>
            </w:pPr>
            <w:r>
              <w:rPr>
                <w:rFonts w:ascii="Calibri" w:hAnsi="Calibri"/>
                <w:b w:val="0"/>
                <w:i w:val="0"/>
                <w:color w:val="212121"/>
                <w:sz w:val="19"/>
              </w:rPr>
              <w:t>Hypothyroidism causes both entrapment (carpal tunnel) and a distal sensorimotor neuropathy through myxoedematous nerve infiltration and reduced axonal transport; it is a readily reversible contributor.</w:t>
            </w:r>
          </w:p>
          <w:p>
            <w:pPr>
              <w:spacing w:after="40" w:before="60" w:line="259" w:lineRule="auto"/>
            </w:pPr>
            <w:r>
              <w:rPr>
                <w:rFonts w:ascii="Calibri" w:hAnsi="Calibri"/>
                <w:b w:val="0"/>
                <w:i w:val="0"/>
                <w:color w:val="212121"/>
                <w:sz w:val="19"/>
              </w:rPr>
              <w:t>Thyroid function testing is part of the standard aetiological work-up because hypothyroidism is a treatable cause of, and contributor to, peripheral neuropathy.</w:t>
            </w:r>
          </w:p>
          <w:p>
            <w:pPr>
              <w:spacing w:before="60" w:after="40"/>
            </w:pPr>
            <w:r>
              <w:rPr>
                <w:rFonts w:ascii="Calibri" w:hAnsi="Calibri"/>
                <w:b w:val="0"/>
                <w:i w:val="0"/>
                <w:color w:val="5A5A5A"/>
                <w:sz w:val="18"/>
              </w:rPr>
              <w:t>#hypothyroidism  #carpaltunnel  #reversible  #TSH</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Physical inactivity worsens insulin resistance and glycaemic control, key drivers of diabetic nerve injury, while regular aerobic and resistance exercise improves nerve function, reduces neuropathic pain and lowers ulcer risk.</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Diet is central across all three main causes: glycaemic load and control drive diabetic neuropathy, dietary vitamin B12 (animal foods/fortification) determines cobalamin status, and thiamine/B-vitamin intake modifies alcoholic neuropathy.</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Neuropathic pain is characteristically worse at night and fragments sleep; poor sleep in turn amplifies pain perception and worsens glycaemic control, creating a bidirectional loop.</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Smoking impairs vasa-nervorum perfusion and potentiates hyperglycaemic nerve damage; it was the strongest independent risk factor for diabetic peripheral neuropathy (adjusted OR 3.14) in an Indian study.</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Alcohol is a direct axonal toxin and a leading cause of neuropathy in its own right; risk is dose-dependent, with 44–46% of chronic heavy drinkers affected.</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Chronic painful neuropathy is strongly linked with depression, anxiety and reduced quality of life, which reduce self-care and adherence; the relationship is bidirectional.</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Hydration has little direct effect on nerve injury, but adequate fluid intake helps limit orthostatic symptoms in those with autonomic neuropathy.</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consistent direct effect on peripheral nerve damage; excessive caffeine may aggravate tremor, palpitations and sleep disruption in symptomatic patients.</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Meticulous daily foot hygiene and inspection are critical in insensate feet to prevent ulcers, infection, delayed healing and amputation.</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Ill-fitting footwear, barefoot walking, burns and unnoticed trauma to insensate feet precipitate ulceration; neurotoxic drugs (isoniazid without pyridoxine, chemotherapy, phenytoin) and rapid glycaemic swings can provoke or worsen neuropathy.</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Sustained compression postures (prolonged squatting, leg crossing, elbow leaning) can add focal pressure palsies on top of a length-dependent polyneuropathy, so positioning matters in insensate limbs.</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Glycated haemoglobin (HbA1c)</w:t>
            </w:r>
          </w:p>
        </w:tc>
        <w:tc>
          <w:tcPr>
            <w:tcW w:type="dxa" w:w="1655"/>
            <w:vAlign w:val="top"/>
          </w:tcPr>
          <w:p>
            <w:pPr>
              <w:spacing w:after="40" w:before="0" w:line="259" w:lineRule="auto"/>
            </w:pPr>
            <w:r>
              <w:rPr>
                <w:rFonts w:ascii="Calibri" w:hAnsi="Calibri"/>
                <w:b w:val="0"/>
                <w:i w:val="0"/>
                <w:color w:val="212121"/>
                <w:sz w:val="19"/>
              </w:rPr>
              <w:t>People with diabetes</w:t>
            </w:r>
          </w:p>
        </w:tc>
        <w:tc>
          <w:tcPr>
            <w:tcW w:type="dxa" w:w="1512"/>
            <w:vAlign w:val="top"/>
          </w:tcPr>
          <w:p>
            <w:pPr>
              <w:spacing w:after="40" w:before="0" w:line="259" w:lineRule="auto"/>
            </w:pPr>
            <w:r>
              <w:rPr>
                <w:rFonts w:ascii="Calibri" w:hAnsi="Calibri"/>
                <w:b w:val="0"/>
                <w:i w:val="0"/>
                <w:color w:val="212121"/>
                <w:sz w:val="19"/>
              </w:rPr>
              <w:t>&lt; 7.0 % (individualised)</w:t>
            </w:r>
          </w:p>
        </w:tc>
        <w:tc>
          <w:tcPr>
            <w:tcW w:type="dxa" w:w="1512"/>
            <w:vAlign w:val="top"/>
          </w:tcPr>
          <w:p>
            <w:pPr>
              <w:spacing w:after="40" w:before="0" w:line="259" w:lineRule="auto"/>
            </w:pPr>
            <w:r>
              <w:rPr>
                <w:rFonts w:ascii="Calibri" w:hAnsi="Calibri"/>
                <w:b w:val="0"/>
                <w:i w:val="0"/>
                <w:color w:val="212121"/>
                <w:sz w:val="19"/>
              </w:rPr>
              <w:t>≥ 8.0 % (poor control)</w:t>
            </w:r>
          </w:p>
        </w:tc>
        <w:tc>
          <w:tcPr>
            <w:tcW w:type="dxa" w:w="1468"/>
            <w:vAlign w:val="top"/>
          </w:tcPr>
          <w:p>
            <w:pPr>
              <w:spacing w:after="60" w:line="259" w:lineRule="auto"/>
            </w:pPr>
            <w:r>
              <w:rPr>
                <w:rFonts w:ascii="Calibri" w:hAnsi="Calibri"/>
                <w:b w:val="0"/>
                <w:i w:val="0"/>
                <w:color w:val="212121"/>
                <w:sz w:val="19"/>
              </w:rPr>
              <w:t>Higher and longer-standing hyperglycaemia accelerates diabetic nerve injury</w:t>
            </w:r>
          </w:p>
          <w:p>
            <w:pPr>
              <w:spacing w:after="40" w:line="252" w:lineRule="auto"/>
            </w:pPr>
            <w:hyperlink r:id="rId17">
              <w:r>
                <w:rPr>
                  <w:rFonts w:ascii="Calibri" w:hAnsi="Calibri" w:cs="Calibri"/>
                  <w:sz w:val="18"/>
                  <w:color w:val="1155CC"/>
                  <w:u w:val="single"/>
                </w:rPr>
                <w:t xml:space="preserve">https://www.ncbi.nlm.nih.gov/books/NBK442009/</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Serum vitamin B12 (cobalamin)</w:t>
            </w:r>
          </w:p>
        </w:tc>
        <w:tc>
          <w:tcPr>
            <w:tcW w:type="dxa" w:w="1655"/>
            <w:vAlign w:val="top"/>
          </w:tcPr>
          <w:p>
            <w:pPr>
              <w:spacing w:after="40" w:before="0" w:line="259" w:lineRule="auto"/>
            </w:pPr>
            <w:r>
              <w:rPr>
                <w:rFonts w:ascii="Calibri" w:hAnsi="Calibri"/>
                <w:b w:val="0"/>
                <w:i w:val="0"/>
                <w:color w:val="212121"/>
                <w:sz w:val="19"/>
              </w:rPr>
              <w:t>Vegetarians, elderly, metformin/PPI users</w:t>
            </w:r>
          </w:p>
        </w:tc>
        <w:tc>
          <w:tcPr>
            <w:tcW w:type="dxa" w:w="1512"/>
            <w:vAlign w:val="top"/>
          </w:tcPr>
          <w:p>
            <w:pPr>
              <w:spacing w:after="40" w:before="0" w:line="259" w:lineRule="auto"/>
            </w:pPr>
            <w:r>
              <w:rPr>
                <w:rFonts w:ascii="Calibri" w:hAnsi="Calibri"/>
                <w:b w:val="0"/>
                <w:i w:val="0"/>
                <w:color w:val="212121"/>
                <w:sz w:val="19"/>
              </w:rPr>
              <w:t>&gt; 300 pg/mL</w:t>
            </w:r>
          </w:p>
        </w:tc>
        <w:tc>
          <w:tcPr>
            <w:tcW w:type="dxa" w:w="1512"/>
            <w:vAlign w:val="top"/>
          </w:tcPr>
          <w:p>
            <w:pPr>
              <w:spacing w:after="40" w:before="0" w:line="259" w:lineRule="auto"/>
            </w:pPr>
            <w:r>
              <w:rPr>
                <w:rFonts w:ascii="Calibri" w:hAnsi="Calibri"/>
                <w:b w:val="0"/>
                <w:i w:val="0"/>
                <w:color w:val="212121"/>
                <w:sz w:val="19"/>
              </w:rPr>
              <w:t>&lt; 200 pg/mL (deficient); 200–300 borderline — confirm with MMA</w:t>
            </w:r>
          </w:p>
        </w:tc>
        <w:tc>
          <w:tcPr>
            <w:tcW w:type="dxa" w:w="1468"/>
            <w:vAlign w:val="top"/>
          </w:tcPr>
          <w:p>
            <w:pPr>
              <w:spacing w:after="60" w:line="259" w:lineRule="auto"/>
            </w:pPr>
            <w:r>
              <w:rPr>
                <w:rFonts w:ascii="Calibri" w:hAnsi="Calibri"/>
                <w:b w:val="0"/>
                <w:i w:val="0"/>
                <w:color w:val="212121"/>
                <w:sz w:val="19"/>
              </w:rPr>
              <w:t>Low B12 causes reversible neuropathy; check methylmalonic acid/homocysteine if borderline</w:t>
            </w:r>
          </w:p>
          <w:p>
            <w:pPr>
              <w:spacing w:after="40" w:line="252" w:lineRule="auto"/>
            </w:pPr>
            <w:hyperlink r:id="rId13">
              <w:r>
                <w:rPr>
                  <w:rFonts w:ascii="Calibri" w:hAnsi="Calibri" w:cs="Calibri"/>
                  <w:sz w:val="18"/>
                  <w:color w:val="1155CC"/>
                  <w:u w:val="single"/>
                </w:rPr>
                <w:t xml:space="preserve">https://pmc.ncbi.nlm.nih.gov/articles/PMC9480660/</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Fasting plasma glucose</w:t>
            </w:r>
          </w:p>
        </w:tc>
        <w:tc>
          <w:tcPr>
            <w:tcW w:type="dxa" w:w="1655"/>
            <w:vAlign w:val="top"/>
          </w:tcPr>
          <w:p>
            <w:pPr>
              <w:spacing w:after="40" w:before="0" w:line="259" w:lineRule="auto"/>
            </w:pPr>
            <w:r>
              <w:rPr>
                <w:rFonts w:ascii="Calibri" w:hAnsi="Calibri"/>
                <w:b w:val="0"/>
                <w:i w:val="0"/>
                <w:color w:val="212121"/>
                <w:sz w:val="19"/>
              </w:rPr>
              <w:t>Adults at risk / with diabetes</w:t>
            </w:r>
          </w:p>
        </w:tc>
        <w:tc>
          <w:tcPr>
            <w:tcW w:type="dxa" w:w="1512"/>
            <w:vAlign w:val="top"/>
          </w:tcPr>
          <w:p>
            <w:pPr>
              <w:spacing w:after="40" w:before="0" w:line="259" w:lineRule="auto"/>
            </w:pPr>
            <w:r>
              <w:rPr>
                <w:rFonts w:ascii="Calibri" w:hAnsi="Calibri"/>
                <w:b w:val="0"/>
                <w:i w:val="0"/>
                <w:color w:val="212121"/>
                <w:sz w:val="19"/>
              </w:rPr>
              <w:t>70–99 mg/dL</w:t>
            </w:r>
          </w:p>
        </w:tc>
        <w:tc>
          <w:tcPr>
            <w:tcW w:type="dxa" w:w="1512"/>
            <w:vAlign w:val="top"/>
          </w:tcPr>
          <w:p>
            <w:pPr>
              <w:spacing w:after="40" w:before="0" w:line="259" w:lineRule="auto"/>
            </w:pPr>
            <w:r>
              <w:rPr>
                <w:rFonts w:ascii="Calibri" w:hAnsi="Calibri"/>
                <w:b w:val="0"/>
                <w:i w:val="0"/>
                <w:color w:val="212121"/>
                <w:sz w:val="19"/>
              </w:rPr>
              <w:t>≥ 126 mg/dL (or random &gt; 200 mg/dL)</w:t>
            </w:r>
          </w:p>
        </w:tc>
        <w:tc>
          <w:tcPr>
            <w:tcW w:type="dxa" w:w="1468"/>
            <w:vAlign w:val="top"/>
          </w:tcPr>
          <w:p>
            <w:pPr>
              <w:spacing w:after="60" w:line="259" w:lineRule="auto"/>
            </w:pPr>
            <w:r>
              <w:rPr>
                <w:rFonts w:ascii="Calibri" w:hAnsi="Calibri"/>
                <w:b w:val="0"/>
                <w:i w:val="0"/>
                <w:color w:val="212121"/>
                <w:sz w:val="19"/>
              </w:rPr>
              <w:t>Hyperglycaemia (random &gt; 200) independently doubled DPN odds (aOR 2.24)</w:t>
            </w:r>
          </w:p>
          <w:p>
            <w:pPr>
              <w:spacing w:after="40" w:line="252" w:lineRule="auto"/>
            </w:pPr>
            <w:hyperlink r:id="rId9">
              <w:r>
                <w:rPr>
                  <w:rFonts w:ascii="Calibri" w:hAnsi="Calibri" w:cs="Calibri"/>
                  <w:sz w:val="18"/>
                  <w:color w:val="1155CC"/>
                  <w:u w:val="single"/>
                </w:rPr>
                <w:t xml:space="preserve">https://www.cureus.com/articles/61153-prevalence-and-determinants-of-peripheral-neuropathy-among-adult-type-ii-diabetes-mellitus-patients-attending-a-non-communicable-disease-clinic-in-rural-south-india</w:t>
              </w:r>
            </w:hyperlink>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 / total lifetime ethanol</w:t>
            </w:r>
          </w:p>
        </w:tc>
        <w:tc>
          <w:tcPr>
            <w:tcW w:type="dxa" w:w="1655"/>
            <w:vAlign w:val="top"/>
          </w:tcPr>
          <w:p>
            <w:pPr>
              <w:spacing w:after="40" w:before="0" w:line="259" w:lineRule="auto"/>
            </w:pPr>
            <w:r>
              <w:rPr>
                <w:rFonts w:ascii="Calibri" w:hAnsi="Calibri"/>
                <w:b w:val="0"/>
                <w:i w:val="0"/>
                <w:color w:val="212121"/>
                <w:sz w:val="19"/>
              </w:rPr>
              <w:t>Chronic drinkers</w:t>
            </w:r>
          </w:p>
        </w:tc>
        <w:tc>
          <w:tcPr>
            <w:tcW w:type="dxa" w:w="1512"/>
            <w:vAlign w:val="top"/>
          </w:tcPr>
          <w:p>
            <w:pPr>
              <w:spacing w:after="40" w:before="0" w:line="259" w:lineRule="auto"/>
            </w:pPr>
            <w:r>
              <w:rPr>
                <w:rFonts w:ascii="Calibri" w:hAnsi="Calibri"/>
                <w:b w:val="0"/>
                <w:i w:val="0"/>
                <w:color w:val="212121"/>
                <w:sz w:val="19"/>
              </w:rPr>
              <w:t>None to low-risk (≤ 14 units/week)</w:t>
            </w:r>
          </w:p>
        </w:tc>
        <w:tc>
          <w:tcPr>
            <w:tcW w:type="dxa" w:w="1512"/>
            <w:vAlign w:val="top"/>
          </w:tcPr>
          <w:p>
            <w:pPr>
              <w:spacing w:after="40" w:before="0" w:line="259" w:lineRule="auto"/>
            </w:pPr>
            <w:r>
              <w:rPr>
                <w:rFonts w:ascii="Calibri" w:hAnsi="Calibri"/>
                <w:b w:val="0"/>
                <w:i w:val="0"/>
                <w:color w:val="212121"/>
                <w:sz w:val="19"/>
              </w:rPr>
              <w:t>Chronic heavy use; high cumulative lifetime dose</w:t>
            </w:r>
          </w:p>
        </w:tc>
        <w:tc>
          <w:tcPr>
            <w:tcW w:type="dxa" w:w="1468"/>
            <w:vAlign w:val="top"/>
          </w:tcPr>
          <w:p>
            <w:pPr>
              <w:spacing w:after="60" w:line="259" w:lineRule="auto"/>
            </w:pPr>
            <w:r>
              <w:rPr>
                <w:rFonts w:ascii="Calibri" w:hAnsi="Calibri"/>
                <w:b w:val="0"/>
                <w:i w:val="0"/>
                <w:color w:val="212121"/>
                <w:sz w:val="19"/>
              </w:rPr>
              <w:t>Severe polyneuropathy typically follows &gt;10 years of heavy use; abstinence allows partial recovery</w:t>
            </w:r>
          </w:p>
          <w:p>
            <w:pPr>
              <w:spacing w:after="40" w:line="252" w:lineRule="auto"/>
            </w:pPr>
            <w:hyperlink r:id="rId14">
              <w:r>
                <w:rPr>
                  <w:rFonts w:ascii="Calibri" w:hAnsi="Calibri" w:cs="Calibri"/>
                  <w:sz w:val="18"/>
                  <w:color w:val="1155CC"/>
                  <w:u w:val="single"/>
                </w:rPr>
                <w:t xml:space="preserve">https://pubmed.ncbi.nlm.nih.gov/30467601/</w:t>
              </w:r>
            </w:hyperlink>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Adults, diabetics</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 1 cigarette/day</w:t>
            </w:r>
          </w:p>
        </w:tc>
        <w:tc>
          <w:tcPr>
            <w:tcW w:type="dxa" w:w="1468"/>
            <w:vAlign w:val="top"/>
          </w:tcPr>
          <w:p>
            <w:pPr>
              <w:spacing w:after="60" w:line="259" w:lineRule="auto"/>
            </w:pPr>
            <w:r>
              <w:rPr>
                <w:rFonts w:ascii="Calibri" w:hAnsi="Calibri"/>
                <w:b w:val="0"/>
                <w:i w:val="0"/>
                <w:color w:val="212121"/>
                <w:sz w:val="19"/>
              </w:rPr>
              <w:t>Any smoking accelerates microvascular nerve damage (aOR 3.14 for DPN)</w:t>
            </w:r>
          </w:p>
          <w:p>
            <w:pPr>
              <w:spacing w:after="40" w:line="252" w:lineRule="auto"/>
            </w:pPr>
            <w:hyperlink r:id="rId9">
              <w:r>
                <w:rPr>
                  <w:rFonts w:ascii="Calibri" w:hAnsi="Calibri" w:cs="Calibri"/>
                  <w:sz w:val="18"/>
                  <w:color w:val="1155CC"/>
                  <w:u w:val="single"/>
                </w:rPr>
                <w:t xml:space="preserve">https://www.cureus.com/articles/61153-prevalence-and-determinants-of-peripheral-neuropathy-among-adult-type-ii-diabetes-mellitus-patients-attending-a-non-communicable-disease-clinic-in-rural-south-india</w:t>
              </w:r>
            </w:hyperlink>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Vibration perception threshold (biothesiometry)</w:t>
            </w:r>
          </w:p>
        </w:tc>
        <w:tc>
          <w:tcPr>
            <w:tcW w:type="dxa" w:w="1655"/>
            <w:vAlign w:val="top"/>
          </w:tcPr>
          <w:p>
            <w:pPr>
              <w:spacing w:after="40" w:before="0" w:line="259" w:lineRule="auto"/>
            </w:pPr>
            <w:r>
              <w:rPr>
                <w:rFonts w:ascii="Calibri" w:hAnsi="Calibri"/>
                <w:b w:val="0"/>
                <w:i w:val="0"/>
                <w:color w:val="212121"/>
                <w:sz w:val="19"/>
              </w:rPr>
              <w:t>Diabetics, elderly</w:t>
            </w:r>
          </w:p>
        </w:tc>
        <w:tc>
          <w:tcPr>
            <w:tcW w:type="dxa" w:w="1512"/>
            <w:vAlign w:val="top"/>
          </w:tcPr>
          <w:p>
            <w:pPr>
              <w:spacing w:after="40" w:before="0" w:line="259" w:lineRule="auto"/>
            </w:pPr>
            <w:r>
              <w:rPr>
                <w:rFonts w:ascii="Calibri" w:hAnsi="Calibri"/>
                <w:b w:val="0"/>
                <w:i w:val="0"/>
                <w:color w:val="212121"/>
                <w:sz w:val="19"/>
              </w:rPr>
              <w:t>&lt; 15 V</w:t>
            </w:r>
          </w:p>
        </w:tc>
        <w:tc>
          <w:tcPr>
            <w:tcW w:type="dxa" w:w="1512"/>
            <w:vAlign w:val="top"/>
          </w:tcPr>
          <w:p>
            <w:pPr>
              <w:spacing w:after="40" w:before="0" w:line="259" w:lineRule="auto"/>
            </w:pPr>
            <w:r>
              <w:rPr>
                <w:rFonts w:ascii="Calibri" w:hAnsi="Calibri"/>
                <w:b w:val="0"/>
                <w:i w:val="0"/>
                <w:color w:val="212121"/>
                <w:sz w:val="19"/>
              </w:rPr>
              <w:t>≥ 25 V (high foot-ulcer risk)</w:t>
            </w:r>
          </w:p>
        </w:tc>
        <w:tc>
          <w:tcPr>
            <w:tcW w:type="dxa" w:w="1468"/>
            <w:vAlign w:val="top"/>
          </w:tcPr>
          <w:p>
            <w:pPr>
              <w:spacing w:after="40" w:before="0" w:line="259" w:lineRule="auto"/>
            </w:pPr>
            <w:r>
              <w:rPr>
                <w:rFonts w:ascii="Calibri" w:hAnsi="Calibri"/>
                <w:b w:val="0"/>
                <w:i w:val="0"/>
                <w:color w:val="212121"/>
                <w:sz w:val="19"/>
              </w:rPr>
              <w:t>Rising threshold marks loss of large-fibre function and ulcer risk; 16–24 V intermediate</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10 g Semmes-Weinstein monofilament</w:t>
            </w:r>
          </w:p>
        </w:tc>
        <w:tc>
          <w:tcPr>
            <w:tcW w:type="dxa" w:w="1655"/>
            <w:vAlign w:val="top"/>
          </w:tcPr>
          <w:p>
            <w:pPr>
              <w:spacing w:after="40" w:before="0" w:line="259" w:lineRule="auto"/>
            </w:pPr>
            <w:r>
              <w:rPr>
                <w:rFonts w:ascii="Calibri" w:hAnsi="Calibri"/>
                <w:b w:val="0"/>
                <w:i w:val="0"/>
                <w:color w:val="212121"/>
                <w:sz w:val="19"/>
              </w:rPr>
              <w:t>All at-risk feet</w:t>
            </w:r>
          </w:p>
        </w:tc>
        <w:tc>
          <w:tcPr>
            <w:tcW w:type="dxa" w:w="1512"/>
            <w:vAlign w:val="top"/>
          </w:tcPr>
          <w:p>
            <w:pPr>
              <w:spacing w:after="40" w:before="0" w:line="259" w:lineRule="auto"/>
            </w:pPr>
            <w:r>
              <w:rPr>
                <w:rFonts w:ascii="Calibri" w:hAnsi="Calibri"/>
                <w:b w:val="0"/>
                <w:i w:val="0"/>
                <w:color w:val="212121"/>
                <w:sz w:val="19"/>
              </w:rPr>
              <w:t>Sensation felt at all tested sites</w:t>
            </w:r>
          </w:p>
        </w:tc>
        <w:tc>
          <w:tcPr>
            <w:tcW w:type="dxa" w:w="1512"/>
            <w:vAlign w:val="top"/>
          </w:tcPr>
          <w:p>
            <w:pPr>
              <w:spacing w:after="40" w:before="0" w:line="259" w:lineRule="auto"/>
            </w:pPr>
            <w:r>
              <w:rPr>
                <w:rFonts w:ascii="Calibri" w:hAnsi="Calibri"/>
                <w:b w:val="0"/>
                <w:i w:val="0"/>
                <w:color w:val="212121"/>
                <w:sz w:val="19"/>
              </w:rPr>
              <w:t>Any insensate site (loss of protective sensation)</w:t>
            </w:r>
          </w:p>
        </w:tc>
        <w:tc>
          <w:tcPr>
            <w:tcW w:type="dxa" w:w="1468"/>
            <w:vAlign w:val="top"/>
          </w:tcPr>
          <w:p>
            <w:pPr>
              <w:spacing w:after="60" w:line="259" w:lineRule="auto"/>
            </w:pPr>
            <w:r>
              <w:rPr>
                <w:rFonts w:ascii="Calibri" w:hAnsi="Calibri"/>
                <w:b w:val="0"/>
                <w:i w:val="0"/>
                <w:color w:val="212121"/>
                <w:sz w:val="19"/>
              </w:rPr>
              <w:t>Loss of protective sensation predicts ulceration and warrants protective footwear</w:t>
            </w:r>
          </w:p>
          <w:p>
            <w:pPr>
              <w:spacing w:after="40" w:line="252" w:lineRule="auto"/>
            </w:pPr>
            <w:hyperlink r:id="rId17">
              <w:r>
                <w:rPr>
                  <w:rFonts w:ascii="Calibri" w:hAnsi="Calibri" w:cs="Calibri"/>
                  <w:sz w:val="18"/>
                  <w:color w:val="1155CC"/>
                  <w:u w:val="single"/>
                </w:rPr>
                <w:t xml:space="preserve">https://www.ncbi.nlm.nih.gov/books/NBK442009/</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Duration of diabetes</w:t>
            </w:r>
          </w:p>
        </w:tc>
        <w:tc>
          <w:tcPr>
            <w:tcW w:type="dxa" w:w="1655"/>
            <w:vAlign w:val="top"/>
          </w:tcPr>
          <w:p>
            <w:pPr>
              <w:spacing w:after="40" w:before="0" w:line="259" w:lineRule="auto"/>
            </w:pPr>
            <w:r>
              <w:rPr>
                <w:rFonts w:ascii="Calibri" w:hAnsi="Calibri"/>
                <w:b w:val="0"/>
                <w:i w:val="0"/>
                <w:color w:val="212121"/>
                <w:sz w:val="19"/>
              </w:rPr>
              <w:t>People with type 2 diabetes</w:t>
            </w:r>
          </w:p>
        </w:tc>
        <w:tc>
          <w:tcPr>
            <w:tcW w:type="dxa" w:w="1512"/>
            <w:vAlign w:val="top"/>
          </w:tcPr>
          <w:p>
            <w:pPr>
              <w:spacing w:after="40" w:before="0" w:line="259" w:lineRule="auto"/>
            </w:pPr>
            <w:r>
              <w:rPr>
                <w:rFonts w:ascii="Calibri" w:hAnsi="Calibri"/>
                <w:b w:val="0"/>
                <w:i w:val="0"/>
                <w:color w:val="212121"/>
                <w:sz w:val="19"/>
              </w:rPr>
              <w:t>Newly diagnosed / &lt; 5 years</w:t>
            </w:r>
          </w:p>
        </w:tc>
        <w:tc>
          <w:tcPr>
            <w:tcW w:type="dxa" w:w="1512"/>
            <w:vAlign w:val="top"/>
          </w:tcPr>
          <w:p>
            <w:pPr>
              <w:spacing w:after="40" w:before="0" w:line="259" w:lineRule="auto"/>
            </w:pPr>
            <w:r>
              <w:rPr>
                <w:rFonts w:ascii="Calibri" w:hAnsi="Calibri"/>
                <w:b w:val="0"/>
                <w:i w:val="0"/>
                <w:color w:val="212121"/>
                <w:sz w:val="19"/>
              </w:rPr>
              <w:t>&gt; 5–10 years</w:t>
            </w:r>
          </w:p>
        </w:tc>
        <w:tc>
          <w:tcPr>
            <w:tcW w:type="dxa" w:w="1468"/>
            <w:vAlign w:val="top"/>
          </w:tcPr>
          <w:p>
            <w:pPr>
              <w:spacing w:after="60" w:line="259" w:lineRule="auto"/>
            </w:pPr>
            <w:r>
              <w:rPr>
                <w:rFonts w:ascii="Calibri" w:hAnsi="Calibri"/>
                <w:b w:val="0"/>
                <w:i w:val="0"/>
                <w:color w:val="212121"/>
                <w:sz w:val="19"/>
              </w:rPr>
              <w:t>Longer duration strongly raises neuropathy risk (aOR 2.74 for &gt;5 years)</w:t>
            </w:r>
          </w:p>
          <w:p>
            <w:pPr>
              <w:spacing w:after="40" w:line="252" w:lineRule="auto"/>
            </w:pPr>
            <w:hyperlink r:id="rId9">
              <w:r>
                <w:rPr>
                  <w:rFonts w:ascii="Calibri" w:hAnsi="Calibri" w:cs="Calibri"/>
                  <w:sz w:val="18"/>
                  <w:color w:val="1155CC"/>
                  <w:u w:val="single"/>
                </w:rPr>
                <w:t xml:space="preserve">https://www.cureus.com/articles/61153-prevalence-and-determinants-of-peripheral-neuropathy-among-adult-type-ii-diabetes-mellitus-patients-attending-a-non-communicable-disease-clinic-in-rural-south-india</w:t>
              </w:r>
            </w:hyperlink>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 Mass Index (kg/m²)</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18.5–24.9 kg/m²</w:t>
            </w:r>
          </w:p>
        </w:tc>
        <w:tc>
          <w:tcPr>
            <w:tcW w:type="dxa" w:w="1512"/>
            <w:vAlign w:val="top"/>
          </w:tcPr>
          <w:p>
            <w:pPr>
              <w:spacing w:after="40" w:before="0" w:line="259" w:lineRule="auto"/>
            </w:pPr>
            <w:r>
              <w:rPr>
                <w:rFonts w:ascii="Calibri" w:hAnsi="Calibri"/>
                <w:b w:val="0"/>
                <w:i w:val="0"/>
                <w:color w:val="212121"/>
                <w:sz w:val="19"/>
              </w:rPr>
              <w:t>≥ 25 (overweight); ≥ 30 (obesity)</w:t>
            </w:r>
          </w:p>
        </w:tc>
        <w:tc>
          <w:tcPr>
            <w:tcW w:type="dxa" w:w="1468"/>
            <w:vAlign w:val="top"/>
          </w:tcPr>
          <w:p>
            <w:pPr>
              <w:spacing w:after="40" w:before="0" w:line="259" w:lineRule="auto"/>
            </w:pPr>
            <w:r>
              <w:rPr>
                <w:rFonts w:ascii="Calibri" w:hAnsi="Calibri"/>
                <w:b w:val="0"/>
                <w:i w:val="0"/>
                <w:color w:val="212121"/>
                <w:sz w:val="19"/>
              </w:rPr>
              <w:t>Obesity worsens insulin resistance and glycaemic control, indirectly driving DPN</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Moderate-vigorous activity</w:t>
            </w:r>
          </w:p>
        </w:tc>
        <w:tc>
          <w:tcPr>
            <w:tcW w:type="dxa" w:w="1655"/>
            <w:vAlign w:val="top"/>
          </w:tcPr>
          <w:p>
            <w:pPr>
              <w:spacing w:after="40" w:before="0" w:line="259" w:lineRule="auto"/>
            </w:pPr>
            <w:r>
              <w:rPr>
                <w:rFonts w:ascii="Calibri" w:hAnsi="Calibri"/>
                <w:b w:val="0"/>
                <w:i w:val="0"/>
                <w:color w:val="212121"/>
                <w:sz w:val="19"/>
              </w:rPr>
              <w:t>Adults, diabetics</w:t>
            </w:r>
          </w:p>
        </w:tc>
        <w:tc>
          <w:tcPr>
            <w:tcW w:type="dxa" w:w="1512"/>
            <w:vAlign w:val="top"/>
          </w:tcPr>
          <w:p>
            <w:pPr>
              <w:spacing w:after="40" w:before="0" w:line="259" w:lineRule="auto"/>
            </w:pPr>
            <w:r>
              <w:rPr>
                <w:rFonts w:ascii="Calibri" w:hAnsi="Calibri"/>
                <w:b w:val="0"/>
                <w:i w:val="0"/>
                <w:color w:val="212121"/>
                <w:sz w:val="19"/>
              </w:rPr>
              <w:t>≥ 150 min/week</w:t>
            </w:r>
          </w:p>
        </w:tc>
        <w:tc>
          <w:tcPr>
            <w:tcW w:type="dxa" w:w="1512"/>
            <w:vAlign w:val="top"/>
          </w:tcPr>
          <w:p>
            <w:pPr>
              <w:spacing w:after="40" w:before="0" w:line="259" w:lineRule="auto"/>
            </w:pPr>
            <w:r>
              <w:rPr>
                <w:rFonts w:ascii="Calibri" w:hAnsi="Calibri"/>
                <w:b w:val="0"/>
                <w:i w:val="0"/>
                <w:color w:val="212121"/>
                <w:sz w:val="19"/>
              </w:rPr>
              <w:t>&lt; 150 min/week</w:t>
            </w:r>
          </w:p>
        </w:tc>
        <w:tc>
          <w:tcPr>
            <w:tcW w:type="dxa" w:w="1468"/>
            <w:vAlign w:val="top"/>
          </w:tcPr>
          <w:p>
            <w:pPr>
              <w:spacing w:after="40" w:before="0" w:line="259" w:lineRule="auto"/>
            </w:pPr>
            <w:r>
              <w:rPr>
                <w:rFonts w:ascii="Calibri" w:hAnsi="Calibri"/>
                <w:b w:val="0"/>
                <w:i w:val="0"/>
                <w:color w:val="212121"/>
                <w:sz w:val="19"/>
              </w:rPr>
              <w:t>Regular activity improves glycaemic control and may reduce neuropathic pain</w:t>
            </w:r>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w:t>
            </w:r>
          </w:p>
        </w:tc>
        <w:tc>
          <w:tcPr>
            <w:tcW w:type="dxa" w:w="1655"/>
            <w:vAlign w:val="top"/>
          </w:tcPr>
          <w:p>
            <w:pPr>
              <w:spacing w:after="40" w:before="0" w:line="259" w:lineRule="auto"/>
            </w:pPr>
            <w:r>
              <w:rPr>
                <w:rFonts w:ascii="Calibri" w:hAnsi="Calibri"/>
                <w:b w:val="0"/>
                <w:i w:val="0"/>
                <w:color w:val="212121"/>
                <w:sz w:val="19"/>
              </w:rPr>
              <w:t>Adults with neuropathic pain</w:t>
            </w:r>
          </w:p>
        </w:tc>
        <w:tc>
          <w:tcPr>
            <w:tcW w:type="dxa" w:w="1512"/>
            <w:vAlign w:val="top"/>
          </w:tcPr>
          <w:p>
            <w:pPr>
              <w:spacing w:after="40" w:before="0" w:line="259" w:lineRule="auto"/>
            </w:pPr>
            <w:r>
              <w:rPr>
                <w:rFonts w:ascii="Calibri" w:hAnsi="Calibri"/>
                <w:b w:val="0"/>
                <w:i w:val="0"/>
                <w:color w:val="212121"/>
                <w:sz w:val="19"/>
              </w:rPr>
              <w:t>7–9 hours/night</w:t>
            </w:r>
          </w:p>
        </w:tc>
        <w:tc>
          <w:tcPr>
            <w:tcW w:type="dxa" w:w="1512"/>
            <w:vAlign w:val="top"/>
          </w:tcPr>
          <w:p>
            <w:pPr>
              <w:spacing w:after="40" w:before="0" w:line="259" w:lineRule="auto"/>
            </w:pPr>
            <w:r>
              <w:rPr>
                <w:rFonts w:ascii="Calibri" w:hAnsi="Calibri"/>
                <w:b w:val="0"/>
                <w:i w:val="0"/>
                <w:color w:val="212121"/>
                <w:sz w:val="19"/>
              </w:rPr>
              <w:t>&lt; 6 hours or highly fragmented</w:t>
            </w:r>
          </w:p>
        </w:tc>
        <w:tc>
          <w:tcPr>
            <w:tcW w:type="dxa" w:w="1468"/>
            <w:vAlign w:val="top"/>
          </w:tcPr>
          <w:p>
            <w:pPr>
              <w:spacing w:after="40" w:before="0" w:line="259" w:lineRule="auto"/>
            </w:pPr>
            <w:r>
              <w:rPr>
                <w:rFonts w:ascii="Calibri" w:hAnsi="Calibri"/>
                <w:b w:val="0"/>
                <w:i w:val="0"/>
                <w:color w:val="212121"/>
                <w:sz w:val="19"/>
              </w:rPr>
              <w:t>Night-time neuropathic pain fragments sleep and worsens pain and glycaemia</w:t>
            </w:r>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Daily foot self-inspection</w:t>
            </w:r>
          </w:p>
        </w:tc>
        <w:tc>
          <w:tcPr>
            <w:tcW w:type="dxa" w:w="1655"/>
            <w:vAlign w:val="top"/>
          </w:tcPr>
          <w:p>
            <w:pPr>
              <w:spacing w:after="40" w:before="0" w:line="259" w:lineRule="auto"/>
            </w:pPr>
            <w:r>
              <w:rPr>
                <w:rFonts w:ascii="Calibri" w:hAnsi="Calibri"/>
                <w:b w:val="0"/>
                <w:i w:val="0"/>
                <w:color w:val="212121"/>
                <w:sz w:val="19"/>
              </w:rPr>
              <w:t>Insensate / at-risk feet</w:t>
            </w:r>
          </w:p>
        </w:tc>
        <w:tc>
          <w:tcPr>
            <w:tcW w:type="dxa" w:w="1512"/>
            <w:vAlign w:val="top"/>
          </w:tcPr>
          <w:p>
            <w:pPr>
              <w:spacing w:after="40" w:before="0" w:line="259" w:lineRule="auto"/>
            </w:pPr>
            <w:r>
              <w:rPr>
                <w:rFonts w:ascii="Calibri" w:hAnsi="Calibri"/>
                <w:b w:val="0"/>
                <w:i w:val="0"/>
                <w:color w:val="212121"/>
                <w:sz w:val="19"/>
              </w:rPr>
              <w:t>Inspected daily; well-fitted footwear</w:t>
            </w:r>
          </w:p>
        </w:tc>
        <w:tc>
          <w:tcPr>
            <w:tcW w:type="dxa" w:w="1512"/>
            <w:vAlign w:val="top"/>
          </w:tcPr>
          <w:p>
            <w:pPr>
              <w:spacing w:after="40" w:before="0" w:line="259" w:lineRule="auto"/>
            </w:pPr>
            <w:r>
              <w:rPr>
                <w:rFonts w:ascii="Calibri" w:hAnsi="Calibri"/>
                <w:b w:val="0"/>
                <w:i w:val="0"/>
                <w:color w:val="212121"/>
                <w:sz w:val="19"/>
              </w:rPr>
              <w:t>Not inspected; barefoot walking</w:t>
            </w:r>
          </w:p>
        </w:tc>
        <w:tc>
          <w:tcPr>
            <w:tcW w:type="dxa" w:w="1468"/>
            <w:vAlign w:val="top"/>
          </w:tcPr>
          <w:p>
            <w:pPr>
              <w:spacing w:after="40" w:before="0" w:line="259" w:lineRule="auto"/>
            </w:pPr>
            <w:r>
              <w:rPr>
                <w:rFonts w:ascii="Calibri" w:hAnsi="Calibri"/>
                <w:b w:val="0"/>
                <w:i w:val="0"/>
                <w:color w:val="212121"/>
                <w:sz w:val="19"/>
              </w:rPr>
              <w:t>Daily inspection and protective footwear prevent unnoticed injury and ulceration</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Fasting Blood Sugar / HbA1c</w:t>
            </w:r>
          </w:p>
        </w:tc>
        <w:tc>
          <w:tcPr>
            <w:tcW w:type="dxa" w:w="892"/>
            <w:vAlign w:val="top"/>
          </w:tcPr>
          <w:p>
            <w:pPr>
              <w:spacing w:after="40" w:before="0" w:line="259" w:lineRule="auto"/>
            </w:pPr>
            <w:r>
              <w:rPr>
                <w:rFonts w:ascii="Calibri" w:hAnsi="Calibri"/>
                <w:b w:val="0"/>
                <w:i w:val="0"/>
                <w:color w:val="212121"/>
                <w:sz w:val="16"/>
              </w:rPr>
              <w:t>Blood Glucose &amp; HbA1c</w:t>
            </w:r>
          </w:p>
        </w:tc>
        <w:tc>
          <w:tcPr>
            <w:tcW w:type="dxa" w:w="950"/>
            <w:vAlign w:val="top"/>
          </w:tcPr>
          <w:p>
            <w:pPr>
              <w:spacing w:after="40" w:before="0" w:line="259" w:lineRule="auto"/>
            </w:pPr>
            <w:r>
              <w:rPr>
                <w:rFonts w:ascii="Calibri" w:hAnsi="Calibri"/>
                <w:b w:val="0"/>
                <w:i w:val="0"/>
                <w:color w:val="212121"/>
                <w:sz w:val="16"/>
              </w:rPr>
              <w:t>FBS 70–99 mg/dL; HbA1c 4.0–5.6 %</w:t>
            </w:r>
          </w:p>
        </w:tc>
        <w:tc>
          <w:tcPr>
            <w:tcW w:type="dxa" w:w="950"/>
            <w:vAlign w:val="top"/>
          </w:tcPr>
          <w:p>
            <w:pPr>
              <w:spacing w:after="40" w:before="0" w:line="259" w:lineRule="auto"/>
            </w:pPr>
            <w:r>
              <w:rPr>
                <w:rFonts w:ascii="Calibri" w:hAnsi="Calibri"/>
                <w:b w:val="0"/>
                <w:i w:val="0"/>
                <w:color w:val="212121"/>
                <w:sz w:val="16"/>
              </w:rPr>
              <w:t>FBS ≥ 126 mg/dL; HbA1c ≥ 6.5 %</w:t>
            </w:r>
          </w:p>
        </w:tc>
        <w:tc>
          <w:tcPr>
            <w:tcW w:type="dxa" w:w="1036"/>
            <w:vAlign w:val="top"/>
          </w:tcPr>
          <w:p>
            <w:pPr>
              <w:spacing w:after="40" w:before="0" w:line="259" w:lineRule="auto"/>
            </w:pPr>
            <w:r>
              <w:rPr>
                <w:rFonts w:ascii="Calibri" w:hAnsi="Calibri"/>
                <w:b w:val="0"/>
                <w:i w:val="0"/>
                <w:color w:val="212121"/>
                <w:sz w:val="16"/>
              </w:rPr>
              <w:t>Diagnoses diabetes as the cause and gauges glycaemic control driving nerve damage</w:t>
            </w:r>
          </w:p>
        </w:tc>
        <w:tc>
          <w:tcPr>
            <w:tcW w:type="dxa" w:w="1036"/>
            <w:vAlign w:val="top"/>
          </w:tcPr>
          <w:p>
            <w:pPr>
              <w:spacing w:after="40" w:before="0" w:line="259" w:lineRule="auto"/>
            </w:pPr>
            <w:r>
              <w:rPr>
                <w:rFonts w:ascii="Calibri" w:hAnsi="Calibri"/>
                <w:b w:val="0"/>
                <w:i w:val="0"/>
                <w:color w:val="212121"/>
                <w:sz w:val="16"/>
              </w:rPr>
              <w:t>All patients with distal symmetric neuropathy, diabetics, prediabetics</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HbA1c reflects 2–3 month average glycaemia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Vitamin B12 (± MMA, homocysteine)</w:t>
            </w:r>
          </w:p>
        </w:tc>
        <w:tc>
          <w:tcPr>
            <w:tcW w:type="dxa" w:w="892"/>
            <w:vAlign w:val="top"/>
          </w:tcPr>
          <w:p>
            <w:pPr>
              <w:spacing w:after="40" w:before="0" w:line="259" w:lineRule="auto"/>
            </w:pPr>
            <w:r>
              <w:rPr>
                <w:rFonts w:ascii="Calibri" w:hAnsi="Calibri"/>
                <w:b w:val="0"/>
                <w:i w:val="0"/>
                <w:color w:val="212121"/>
                <w:sz w:val="16"/>
              </w:rPr>
              <w:t>Cobalamin assay</w:t>
            </w:r>
          </w:p>
        </w:tc>
        <w:tc>
          <w:tcPr>
            <w:tcW w:type="dxa" w:w="950"/>
            <w:vAlign w:val="top"/>
          </w:tcPr>
          <w:p>
            <w:pPr>
              <w:spacing w:after="40" w:before="0" w:line="259" w:lineRule="auto"/>
            </w:pPr>
            <w:r>
              <w:rPr>
                <w:rFonts w:ascii="Calibri" w:hAnsi="Calibri"/>
                <w:b w:val="0"/>
                <w:i w:val="0"/>
                <w:color w:val="212121"/>
                <w:sz w:val="16"/>
              </w:rPr>
              <w:t>&gt; 300 pg/mL</w:t>
            </w:r>
          </w:p>
        </w:tc>
        <w:tc>
          <w:tcPr>
            <w:tcW w:type="dxa" w:w="950"/>
            <w:vAlign w:val="top"/>
          </w:tcPr>
          <w:p>
            <w:pPr>
              <w:spacing w:after="40" w:before="0" w:line="259" w:lineRule="auto"/>
            </w:pPr>
            <w:r>
              <w:rPr>
                <w:rFonts w:ascii="Calibri" w:hAnsi="Calibri"/>
                <w:b w:val="0"/>
                <w:i w:val="0"/>
                <w:color w:val="212121"/>
                <w:sz w:val="16"/>
              </w:rPr>
              <w:t>&lt; 200 pg/mL (deficient); 200–300 borderline</w:t>
            </w:r>
          </w:p>
        </w:tc>
        <w:tc>
          <w:tcPr>
            <w:tcW w:type="dxa" w:w="1036"/>
            <w:vAlign w:val="top"/>
          </w:tcPr>
          <w:p>
            <w:pPr>
              <w:spacing w:after="40" w:before="0" w:line="259" w:lineRule="auto"/>
            </w:pPr>
            <w:r>
              <w:rPr>
                <w:rFonts w:ascii="Calibri" w:hAnsi="Calibri"/>
                <w:b w:val="0"/>
                <w:i w:val="0"/>
                <w:color w:val="212121"/>
                <w:sz w:val="16"/>
              </w:rPr>
              <w:t>Identifies a treatable, potentially reversible nutritional neuropathy</w:t>
            </w:r>
          </w:p>
        </w:tc>
        <w:tc>
          <w:tcPr>
            <w:tcW w:type="dxa" w:w="1036"/>
            <w:vAlign w:val="top"/>
          </w:tcPr>
          <w:p>
            <w:pPr>
              <w:spacing w:after="40" w:before="0" w:line="259" w:lineRule="auto"/>
            </w:pPr>
            <w:r>
              <w:rPr>
                <w:rFonts w:ascii="Calibri" w:hAnsi="Calibri"/>
                <w:b w:val="0"/>
                <w:i w:val="0"/>
                <w:color w:val="212121"/>
                <w:sz w:val="16"/>
              </w:rPr>
              <w:t>Vegetarians, elderly, metformin/PPI users, macrocytosis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Essential</w:t>
            </w:r>
          </w:p>
        </w:tc>
        <w:tc>
          <w:tcPr>
            <w:tcW w:type="dxa" w:w="720"/>
            <w:vAlign w:val="top"/>
          </w:tcPr>
          <w:p>
            <w:pPr>
              <w:spacing w:after="40" w:before="0" w:line="259" w:lineRule="auto"/>
            </w:pPr>
            <w:r>
              <w:rPr>
                <w:rFonts w:ascii="Calibri" w:hAnsi="Calibri"/>
                <w:b w:val="0"/>
                <w:i w:val="0"/>
                <w:color w:val="212121"/>
                <w:sz w:val="16"/>
              </w:rPr>
              <w:t>MMA/homocysteine confirm true deficiency in borderline cases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Electrophysiology</w:t>
            </w:r>
          </w:p>
        </w:tc>
        <w:tc>
          <w:tcPr>
            <w:tcW w:type="dxa" w:w="1036"/>
            <w:vAlign w:val="top"/>
          </w:tcPr>
          <w:p>
            <w:pPr>
              <w:spacing w:after="40" w:before="0" w:line="259" w:lineRule="auto"/>
            </w:pPr>
            <w:r>
              <w:rPr>
                <w:rFonts w:ascii="Calibri" w:hAnsi="Calibri"/>
                <w:b w:val="0"/>
                <w:i w:val="0"/>
                <w:color w:val="212121"/>
                <w:sz w:val="16"/>
              </w:rPr>
              <w:t>Nerve Conduction Velocity &amp; Amplitude</w:t>
            </w:r>
          </w:p>
        </w:tc>
        <w:tc>
          <w:tcPr>
            <w:tcW w:type="dxa" w:w="892"/>
            <w:vAlign w:val="top"/>
          </w:tcPr>
          <w:p>
            <w:pPr>
              <w:spacing w:after="40" w:before="0" w:line="259" w:lineRule="auto"/>
            </w:pPr>
            <w:r>
              <w:rPr>
                <w:rFonts w:ascii="Calibri" w:hAnsi="Calibri"/>
                <w:b w:val="0"/>
                <w:i w:val="0"/>
                <w:color w:val="212121"/>
                <w:sz w:val="16"/>
              </w:rPr>
              <w:t>Nerve Conduction Studies / EMG</w:t>
            </w:r>
          </w:p>
        </w:tc>
        <w:tc>
          <w:tcPr>
            <w:tcW w:type="dxa" w:w="950"/>
            <w:vAlign w:val="top"/>
          </w:tcPr>
          <w:p>
            <w:pPr>
              <w:spacing w:after="40" w:before="0" w:line="259" w:lineRule="auto"/>
            </w:pPr>
            <w:r>
              <w:rPr>
                <w:rFonts w:ascii="Calibri" w:hAnsi="Calibri"/>
                <w:b w:val="0"/>
                <w:i w:val="0"/>
                <w:color w:val="212121"/>
                <w:sz w:val="16"/>
              </w:rPr>
              <w:t>Normal distal latencies, amplitudes &amp; velocities</w:t>
            </w:r>
          </w:p>
        </w:tc>
        <w:tc>
          <w:tcPr>
            <w:tcW w:type="dxa" w:w="950"/>
            <w:vAlign w:val="top"/>
          </w:tcPr>
          <w:p>
            <w:pPr>
              <w:spacing w:after="40" w:before="0" w:line="259" w:lineRule="auto"/>
            </w:pPr>
            <w:r>
              <w:rPr>
                <w:rFonts w:ascii="Calibri" w:hAnsi="Calibri"/>
                <w:b w:val="0"/>
                <w:i w:val="0"/>
                <w:color w:val="212121"/>
                <w:sz w:val="16"/>
              </w:rPr>
              <w:t>Reduced amplitudes (axonal) or slowed conduction (demyelinating)</w:t>
            </w:r>
          </w:p>
        </w:tc>
        <w:tc>
          <w:tcPr>
            <w:tcW w:type="dxa" w:w="1036"/>
            <w:vAlign w:val="top"/>
          </w:tcPr>
          <w:p>
            <w:pPr>
              <w:spacing w:after="40" w:before="0" w:line="259" w:lineRule="auto"/>
            </w:pPr>
            <w:r>
              <w:rPr>
                <w:rFonts w:ascii="Calibri" w:hAnsi="Calibri"/>
                <w:b w:val="0"/>
                <w:i w:val="0"/>
                <w:color w:val="212121"/>
                <w:sz w:val="16"/>
              </w:rPr>
              <w:t>Confirms, localises and types the neuropathy (axonal vs demyelinating, length-dependent)</w:t>
            </w:r>
          </w:p>
        </w:tc>
        <w:tc>
          <w:tcPr>
            <w:tcW w:type="dxa" w:w="1036"/>
            <w:vAlign w:val="top"/>
          </w:tcPr>
          <w:p>
            <w:pPr>
              <w:spacing w:after="40" w:before="0" w:line="259" w:lineRule="auto"/>
            </w:pPr>
            <w:r>
              <w:rPr>
                <w:rFonts w:ascii="Calibri" w:hAnsi="Calibri"/>
                <w:b w:val="0"/>
                <w:i w:val="0"/>
                <w:color w:val="212121"/>
                <w:sz w:val="16"/>
              </w:rPr>
              <w:t>Atypical, rapidly progressive, asymmetric or motor-predominant cases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Reference test</w:t>
            </w:r>
          </w:p>
        </w:tc>
        <w:tc>
          <w:tcPr>
            <w:tcW w:type="dxa" w:w="720"/>
            <w:vAlign w:val="top"/>
          </w:tcPr>
          <w:p>
            <w:pPr>
              <w:spacing w:after="40" w:before="0" w:line="259" w:lineRule="auto"/>
            </w:pPr>
            <w:r>
              <w:rPr>
                <w:rFonts w:ascii="Calibri" w:hAnsi="Calibri"/>
                <w:b w:val="0"/>
                <w:i w:val="0"/>
                <w:color w:val="212121"/>
                <w:sz w:val="16"/>
              </w:rPr>
              <w:t>Small-fibre neuropathy may have normal NCS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Haematological</w:t>
            </w:r>
          </w:p>
        </w:tc>
        <w:tc>
          <w:tcPr>
            <w:tcW w:type="dxa" w:w="1036"/>
            <w:vAlign w:val="top"/>
          </w:tcPr>
          <w:p>
            <w:pPr>
              <w:spacing w:after="40" w:before="0" w:line="259" w:lineRule="auto"/>
            </w:pPr>
            <w:r>
              <w:rPr>
                <w:rFonts w:ascii="Calibri" w:hAnsi="Calibri"/>
                <w:b w:val="0"/>
                <w:i w:val="0"/>
                <w:color w:val="212121"/>
                <w:sz w:val="16"/>
              </w:rPr>
              <w:t>CBC &amp; Mean Corpuscular Volume (MCV)</w:t>
            </w:r>
          </w:p>
        </w:tc>
        <w:tc>
          <w:tcPr>
            <w:tcW w:type="dxa" w:w="892"/>
            <w:vAlign w:val="top"/>
          </w:tcPr>
          <w:p>
            <w:pPr>
              <w:spacing w:after="40" w:before="0" w:line="259" w:lineRule="auto"/>
            </w:pPr>
            <w:r>
              <w:rPr>
                <w:rFonts w:ascii="Calibri" w:hAnsi="Calibri"/>
                <w:b w:val="0"/>
                <w:i w:val="0"/>
                <w:color w:val="212121"/>
                <w:sz w:val="16"/>
              </w:rPr>
              <w:t>Complete Blood Count / smear</w:t>
            </w:r>
          </w:p>
        </w:tc>
        <w:tc>
          <w:tcPr>
            <w:tcW w:type="dxa" w:w="950"/>
            <w:vAlign w:val="top"/>
          </w:tcPr>
          <w:p>
            <w:pPr>
              <w:spacing w:after="40" w:before="0" w:line="259" w:lineRule="auto"/>
            </w:pPr>
            <w:r>
              <w:rPr>
                <w:rFonts w:ascii="Calibri" w:hAnsi="Calibri"/>
                <w:b w:val="0"/>
                <w:i w:val="0"/>
                <w:color w:val="212121"/>
                <w:sz w:val="16"/>
              </w:rPr>
              <w:t>MCV 80–100 fL, normal indices</w:t>
            </w:r>
          </w:p>
        </w:tc>
        <w:tc>
          <w:tcPr>
            <w:tcW w:type="dxa" w:w="950"/>
            <w:vAlign w:val="top"/>
          </w:tcPr>
          <w:p>
            <w:pPr>
              <w:spacing w:after="40" w:before="0" w:line="259" w:lineRule="auto"/>
            </w:pPr>
            <w:r>
              <w:rPr>
                <w:rFonts w:ascii="Calibri" w:hAnsi="Calibri"/>
                <w:b w:val="0"/>
                <w:i w:val="0"/>
                <w:color w:val="212121"/>
                <w:sz w:val="16"/>
              </w:rPr>
              <w:t>MCV &gt; 100 fL (macrocytosis), anaemia</w:t>
            </w:r>
          </w:p>
        </w:tc>
        <w:tc>
          <w:tcPr>
            <w:tcW w:type="dxa" w:w="1036"/>
            <w:vAlign w:val="top"/>
          </w:tcPr>
          <w:p>
            <w:pPr>
              <w:spacing w:after="40" w:before="0" w:line="259" w:lineRule="auto"/>
            </w:pPr>
            <w:r>
              <w:rPr>
                <w:rFonts w:ascii="Calibri" w:hAnsi="Calibri"/>
                <w:b w:val="0"/>
                <w:i w:val="0"/>
                <w:color w:val="212121"/>
                <w:sz w:val="16"/>
              </w:rPr>
              <w:t>Macrocytosis/anaemia point to B12 deficiency or alcohol; pancytopenia in severe B12 lack</w:t>
            </w:r>
          </w:p>
        </w:tc>
        <w:tc>
          <w:tcPr>
            <w:tcW w:type="dxa" w:w="1036"/>
            <w:vAlign w:val="top"/>
          </w:tcPr>
          <w:p>
            <w:pPr>
              <w:spacing w:after="40" w:before="0" w:line="259" w:lineRule="auto"/>
            </w:pPr>
            <w:r>
              <w:rPr>
                <w:rFonts w:ascii="Calibri" w:hAnsi="Calibri"/>
                <w:b w:val="0"/>
                <w:i w:val="0"/>
                <w:color w:val="212121"/>
                <w:sz w:val="16"/>
              </w:rPr>
              <w:t>B12 deficiency, chronic alcohol users</w:t>
            </w:r>
          </w:p>
        </w:tc>
        <w:tc>
          <w:tcPr>
            <w:tcW w:type="dxa" w:w="720"/>
            <w:vAlign w:val="top"/>
          </w:tcPr>
          <w:p>
            <w:pPr>
              <w:spacing w:after="40" w:before="0" w:line="259" w:lineRule="auto"/>
            </w:pPr>
            <w:r>
              <w:rPr>
                <w:rFonts w:ascii="Calibri" w:hAnsi="Calibri"/>
                <w:b w:val="0"/>
                <w:i w:val="0"/>
                <w:color w:val="212121"/>
                <w:sz w:val="16"/>
              </w:rPr>
              <w:t>Food; Alcohol</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Macrocytosis was seen in ~89% of Indian B12-deficiency cases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Liver Function &amp; GGT</w:t>
            </w:r>
          </w:p>
        </w:tc>
        <w:tc>
          <w:tcPr>
            <w:tcW w:type="dxa" w:w="892"/>
            <w:vAlign w:val="top"/>
          </w:tcPr>
          <w:p>
            <w:pPr>
              <w:spacing w:after="40" w:before="0" w:line="259" w:lineRule="auto"/>
            </w:pPr>
            <w:r>
              <w:rPr>
                <w:rFonts w:ascii="Calibri" w:hAnsi="Calibri"/>
                <w:b w:val="0"/>
                <w:i w:val="0"/>
                <w:color w:val="212121"/>
                <w:sz w:val="16"/>
              </w:rPr>
              <w:t>LFT panel</w:t>
            </w:r>
          </w:p>
        </w:tc>
        <w:tc>
          <w:tcPr>
            <w:tcW w:type="dxa" w:w="950"/>
            <w:vAlign w:val="top"/>
          </w:tcPr>
          <w:p>
            <w:pPr>
              <w:spacing w:after="40" w:before="0" w:line="259" w:lineRule="auto"/>
            </w:pPr>
            <w:r>
              <w:rPr>
                <w:rFonts w:ascii="Calibri" w:hAnsi="Calibri"/>
                <w:b w:val="0"/>
                <w:i w:val="0"/>
                <w:color w:val="212121"/>
                <w:sz w:val="16"/>
              </w:rPr>
              <w:t>Normal transaminases &amp; GGT</w:t>
            </w:r>
          </w:p>
        </w:tc>
        <w:tc>
          <w:tcPr>
            <w:tcW w:type="dxa" w:w="950"/>
            <w:vAlign w:val="top"/>
          </w:tcPr>
          <w:p>
            <w:pPr>
              <w:spacing w:after="40" w:before="0" w:line="259" w:lineRule="auto"/>
            </w:pPr>
            <w:r>
              <w:rPr>
                <w:rFonts w:ascii="Calibri" w:hAnsi="Calibri"/>
                <w:b w:val="0"/>
                <w:i w:val="0"/>
                <w:color w:val="212121"/>
                <w:sz w:val="16"/>
              </w:rPr>
              <w:t>Raised GGT/AST:ALT &gt;2, low albumin</w:t>
            </w:r>
          </w:p>
        </w:tc>
        <w:tc>
          <w:tcPr>
            <w:tcW w:type="dxa" w:w="1036"/>
            <w:vAlign w:val="top"/>
          </w:tcPr>
          <w:p>
            <w:pPr>
              <w:spacing w:after="40" w:before="0" w:line="259" w:lineRule="auto"/>
            </w:pPr>
            <w:r>
              <w:rPr>
                <w:rFonts w:ascii="Calibri" w:hAnsi="Calibri"/>
                <w:b w:val="0"/>
                <w:i w:val="0"/>
                <w:color w:val="212121"/>
                <w:sz w:val="16"/>
              </w:rPr>
              <w:t>Supports chronic alcohol use and associated malnutrition as the cause</w:t>
            </w:r>
          </w:p>
        </w:tc>
        <w:tc>
          <w:tcPr>
            <w:tcW w:type="dxa" w:w="1036"/>
            <w:vAlign w:val="top"/>
          </w:tcPr>
          <w:p>
            <w:pPr>
              <w:spacing w:after="40" w:before="0" w:line="259" w:lineRule="auto"/>
            </w:pPr>
            <w:r>
              <w:rPr>
                <w:rFonts w:ascii="Calibri" w:hAnsi="Calibri"/>
                <w:b w:val="0"/>
                <w:i w:val="0"/>
                <w:color w:val="212121"/>
                <w:sz w:val="16"/>
              </w:rPr>
              <w:t>Suspected alcoholic neuropathy</w:t>
            </w:r>
          </w:p>
        </w:tc>
        <w:tc>
          <w:tcPr>
            <w:tcW w:type="dxa" w:w="720"/>
            <w:vAlign w:val="top"/>
          </w:tcPr>
          <w:p>
            <w:pPr>
              <w:spacing w:after="40" w:before="0" w:line="259" w:lineRule="auto"/>
            </w:pPr>
            <w:r>
              <w:rPr>
                <w:rFonts w:ascii="Calibri" w:hAnsi="Calibri"/>
                <w:b w:val="0"/>
                <w:i w:val="0"/>
                <w:color w:val="212121"/>
                <w:sz w:val="16"/>
              </w:rPr>
              <w:t>Alcohol</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Interpret with alcohol history and MCV</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Renal Function (creatinine/eGFR) &amp; TSH</w:t>
            </w:r>
          </w:p>
        </w:tc>
        <w:tc>
          <w:tcPr>
            <w:tcW w:type="dxa" w:w="892"/>
            <w:vAlign w:val="top"/>
          </w:tcPr>
          <w:p>
            <w:pPr>
              <w:spacing w:after="40" w:before="0" w:line="259" w:lineRule="auto"/>
            </w:pPr>
            <w:r>
              <w:rPr>
                <w:rFonts w:ascii="Calibri" w:hAnsi="Calibri"/>
                <w:b w:val="0"/>
                <w:i w:val="0"/>
                <w:color w:val="212121"/>
                <w:sz w:val="16"/>
              </w:rPr>
              <w:t>Metabolic screen</w:t>
            </w:r>
          </w:p>
        </w:tc>
        <w:tc>
          <w:tcPr>
            <w:tcW w:type="dxa" w:w="950"/>
            <w:vAlign w:val="top"/>
          </w:tcPr>
          <w:p>
            <w:pPr>
              <w:spacing w:after="40" w:before="0" w:line="259" w:lineRule="auto"/>
            </w:pPr>
            <w:r>
              <w:rPr>
                <w:rFonts w:ascii="Calibri" w:hAnsi="Calibri"/>
                <w:b w:val="0"/>
                <w:i w:val="0"/>
                <w:color w:val="212121"/>
                <w:sz w:val="16"/>
              </w:rPr>
              <w:t>Normal eGFR; TSH 0.4–4.0 mIU/L</w:t>
            </w:r>
          </w:p>
        </w:tc>
        <w:tc>
          <w:tcPr>
            <w:tcW w:type="dxa" w:w="950"/>
            <w:vAlign w:val="top"/>
          </w:tcPr>
          <w:p>
            <w:pPr>
              <w:spacing w:after="40" w:before="0" w:line="259" w:lineRule="auto"/>
            </w:pPr>
            <w:r>
              <w:rPr>
                <w:rFonts w:ascii="Calibri" w:hAnsi="Calibri"/>
                <w:b w:val="0"/>
                <w:i w:val="0"/>
                <w:color w:val="212121"/>
                <w:sz w:val="16"/>
              </w:rPr>
              <w:t>Reduced eGFR; raised TSH (hypothyroid)</w:t>
            </w:r>
          </w:p>
        </w:tc>
        <w:tc>
          <w:tcPr>
            <w:tcW w:type="dxa" w:w="1036"/>
            <w:vAlign w:val="top"/>
          </w:tcPr>
          <w:p>
            <w:pPr>
              <w:spacing w:after="40" w:before="0" w:line="259" w:lineRule="auto"/>
            </w:pPr>
            <w:r>
              <w:rPr>
                <w:rFonts w:ascii="Calibri" w:hAnsi="Calibri"/>
                <w:b w:val="0"/>
                <w:i w:val="0"/>
                <w:color w:val="212121"/>
                <w:sz w:val="16"/>
              </w:rPr>
              <w:t>Detects uraemic and hypothyroid neuropathy — treatable/reversible contributors</w:t>
            </w:r>
          </w:p>
        </w:tc>
        <w:tc>
          <w:tcPr>
            <w:tcW w:type="dxa" w:w="1036"/>
            <w:vAlign w:val="top"/>
          </w:tcPr>
          <w:p>
            <w:pPr>
              <w:spacing w:after="40" w:before="0" w:line="259" w:lineRule="auto"/>
            </w:pPr>
            <w:r>
              <w:rPr>
                <w:rFonts w:ascii="Calibri" w:hAnsi="Calibri"/>
                <w:b w:val="0"/>
                <w:i w:val="0"/>
                <w:color w:val="212121"/>
                <w:sz w:val="16"/>
              </w:rPr>
              <w:t>CKD, hypothyroidism, unexplained neuropathy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Part of the standard neuropathy work-up</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Serology / special</w:t>
            </w:r>
          </w:p>
        </w:tc>
        <w:tc>
          <w:tcPr>
            <w:tcW w:type="dxa" w:w="1036"/>
            <w:vAlign w:val="top"/>
          </w:tcPr>
          <w:p>
            <w:pPr>
              <w:spacing w:after="40" w:before="0" w:line="259" w:lineRule="auto"/>
            </w:pPr>
            <w:r>
              <w:rPr>
                <w:rFonts w:ascii="Calibri" w:hAnsi="Calibri"/>
                <w:b w:val="0"/>
                <w:i w:val="0"/>
                <w:color w:val="212121"/>
                <w:sz w:val="16"/>
              </w:rPr>
              <w:t>HIV, ESR/CRP, serum protein electrophoresis</w:t>
            </w:r>
          </w:p>
        </w:tc>
        <w:tc>
          <w:tcPr>
            <w:tcW w:type="dxa" w:w="892"/>
            <w:vAlign w:val="top"/>
          </w:tcPr>
          <w:p>
            <w:pPr>
              <w:spacing w:after="40" w:before="0" w:line="259" w:lineRule="auto"/>
            </w:pPr>
            <w:r>
              <w:rPr>
                <w:rFonts w:ascii="Calibri" w:hAnsi="Calibri"/>
                <w:b w:val="0"/>
                <w:i w:val="0"/>
                <w:color w:val="212121"/>
                <w:sz w:val="16"/>
              </w:rPr>
              <w:t>Targeted second-line tests</w:t>
            </w:r>
          </w:p>
        </w:tc>
        <w:tc>
          <w:tcPr>
            <w:tcW w:type="dxa" w:w="950"/>
            <w:vAlign w:val="top"/>
          </w:tcPr>
          <w:p>
            <w:pPr>
              <w:spacing w:after="40" w:before="0" w:line="259" w:lineRule="auto"/>
            </w:pPr>
            <w:r>
              <w:rPr>
                <w:rFonts w:ascii="Calibri" w:hAnsi="Calibri"/>
                <w:b w:val="0"/>
                <w:i w:val="0"/>
                <w:color w:val="212121"/>
                <w:sz w:val="16"/>
              </w:rPr>
              <w:t>Negative / normal</w:t>
            </w:r>
          </w:p>
        </w:tc>
        <w:tc>
          <w:tcPr>
            <w:tcW w:type="dxa" w:w="950"/>
            <w:vAlign w:val="top"/>
          </w:tcPr>
          <w:p>
            <w:pPr>
              <w:spacing w:after="40" w:before="0" w:line="259" w:lineRule="auto"/>
            </w:pPr>
            <w:r>
              <w:rPr>
                <w:rFonts w:ascii="Calibri" w:hAnsi="Calibri"/>
                <w:b w:val="0"/>
                <w:i w:val="0"/>
                <w:color w:val="212121"/>
                <w:sz w:val="16"/>
              </w:rPr>
              <w:t>Positive HIV; raised ESR; monoclonal band</w:t>
            </w:r>
          </w:p>
        </w:tc>
        <w:tc>
          <w:tcPr>
            <w:tcW w:type="dxa" w:w="1036"/>
            <w:vAlign w:val="top"/>
          </w:tcPr>
          <w:p>
            <w:pPr>
              <w:spacing w:after="40" w:before="0" w:line="259" w:lineRule="auto"/>
            </w:pPr>
            <w:r>
              <w:rPr>
                <w:rFonts w:ascii="Calibri" w:hAnsi="Calibri"/>
                <w:b w:val="0"/>
                <w:i w:val="0"/>
                <w:color w:val="212121"/>
                <w:sz w:val="16"/>
              </w:rPr>
              <w:t>Uncovers infectious, inflammatory or paraproteinaemic causes when first-line work-up is negative</w:t>
            </w:r>
          </w:p>
        </w:tc>
        <w:tc>
          <w:tcPr>
            <w:tcW w:type="dxa" w:w="1036"/>
            <w:vAlign w:val="top"/>
          </w:tcPr>
          <w:p>
            <w:pPr>
              <w:spacing w:after="40" w:before="0" w:line="259" w:lineRule="auto"/>
            </w:pPr>
            <w:r>
              <w:rPr>
                <w:rFonts w:ascii="Calibri" w:hAnsi="Calibri"/>
                <w:b w:val="0"/>
                <w:i w:val="0"/>
                <w:color w:val="212121"/>
                <w:sz w:val="16"/>
              </w:rPr>
              <w:t>Atypical, painful or rapidly progressive neuropathy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Consider leprosy assessment (nerve thickening, skin patches) in endemic India</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Symptom pattern</w:t>
            </w:r>
          </w:p>
        </w:tc>
        <w:tc>
          <w:tcPr>
            <w:tcW w:type="dxa" w:w="979"/>
            <w:vAlign w:val="top"/>
          </w:tcPr>
          <w:p>
            <w:pPr>
              <w:spacing w:after="40" w:before="0" w:line="259" w:lineRule="auto"/>
            </w:pPr>
            <w:r>
              <w:rPr>
                <w:rFonts w:ascii="Calibri" w:hAnsi="Calibri"/>
                <w:b w:val="0"/>
                <w:i w:val="0"/>
                <w:color w:val="212121"/>
                <w:sz w:val="16"/>
              </w:rPr>
              <w:t>Distal numbness, tingling, burning pain (stocking-glove, nocturnal)</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Symmetric distal sensory symptoms, worse at night</w:t>
            </w:r>
          </w:p>
        </w:tc>
        <w:tc>
          <w:tcPr>
            <w:tcW w:type="dxa" w:w="1036"/>
            <w:vAlign w:val="top"/>
          </w:tcPr>
          <w:p>
            <w:pPr>
              <w:spacing w:after="40" w:before="0" w:line="259" w:lineRule="auto"/>
            </w:pPr>
            <w:r>
              <w:rPr>
                <w:rFonts w:ascii="Calibri" w:hAnsi="Calibri"/>
                <w:b w:val="0"/>
                <w:i w:val="0"/>
                <w:color w:val="212121"/>
                <w:sz w:val="16"/>
              </w:rPr>
              <w:t>Classic history of length-dependent polyneuropathy; quantify with MNSI/DN4</w:t>
            </w:r>
          </w:p>
        </w:tc>
        <w:tc>
          <w:tcPr>
            <w:tcW w:type="dxa" w:w="1036"/>
            <w:vAlign w:val="top"/>
          </w:tcPr>
          <w:p>
            <w:pPr>
              <w:spacing w:after="40" w:before="0" w:line="259" w:lineRule="auto"/>
            </w:pPr>
            <w:r>
              <w:rPr>
                <w:rFonts w:ascii="Calibri" w:hAnsi="Calibri"/>
                <w:b w:val="0"/>
                <w:i w:val="0"/>
                <w:color w:val="212121"/>
                <w:sz w:val="16"/>
              </w:rPr>
              <w:t>Diabetics, alcohol users, vegetarians, elderly</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Early sensory loss is often painless and missed</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Risk / exposure history</w:t>
            </w:r>
          </w:p>
        </w:tc>
        <w:tc>
          <w:tcPr>
            <w:tcW w:type="dxa" w:w="979"/>
            <w:vAlign w:val="top"/>
          </w:tcPr>
          <w:p>
            <w:pPr>
              <w:spacing w:after="40" w:before="0" w:line="259" w:lineRule="auto"/>
            </w:pPr>
            <w:r>
              <w:rPr>
                <w:rFonts w:ascii="Calibri" w:hAnsi="Calibri"/>
                <w:b w:val="0"/>
                <w:i w:val="0"/>
                <w:color w:val="212121"/>
                <w:sz w:val="16"/>
              </w:rPr>
              <w:t>Alcohol intake, diet (vegetarian), drugs (metformin, INH, chemotherapy)</w:t>
            </w:r>
          </w:p>
        </w:tc>
        <w:tc>
          <w:tcPr>
            <w:tcW w:type="dxa" w:w="950"/>
            <w:vAlign w:val="top"/>
          </w:tcPr>
          <w:p>
            <w:pPr>
              <w:spacing w:after="40" w:before="0" w:line="259" w:lineRule="auto"/>
            </w:pPr>
            <w:r>
              <w:rPr>
                <w:rFonts w:ascii="Calibri" w:hAnsi="Calibri"/>
                <w:b w:val="0"/>
                <w:i w:val="0"/>
                <w:color w:val="212121"/>
                <w:sz w:val="16"/>
              </w:rPr>
              <w:t>No relevant exposure</w:t>
            </w:r>
          </w:p>
        </w:tc>
        <w:tc>
          <w:tcPr>
            <w:tcW w:type="dxa" w:w="950"/>
            <w:vAlign w:val="top"/>
          </w:tcPr>
          <w:p>
            <w:pPr>
              <w:spacing w:after="40" w:before="0" w:line="259" w:lineRule="auto"/>
            </w:pPr>
            <w:r>
              <w:rPr>
                <w:rFonts w:ascii="Calibri" w:hAnsi="Calibri"/>
                <w:b w:val="0"/>
                <w:i w:val="0"/>
                <w:color w:val="212121"/>
                <w:sz w:val="16"/>
              </w:rPr>
              <w:t>Heavy alcohol use, strict vegetarian diet, neurotoxic drugs</w:t>
            </w:r>
          </w:p>
        </w:tc>
        <w:tc>
          <w:tcPr>
            <w:tcW w:type="dxa" w:w="1036"/>
            <w:vAlign w:val="top"/>
          </w:tcPr>
          <w:p>
            <w:pPr>
              <w:spacing w:after="40" w:before="0" w:line="259" w:lineRule="auto"/>
            </w:pPr>
            <w:r>
              <w:rPr>
                <w:rFonts w:ascii="Calibri" w:hAnsi="Calibri"/>
                <w:b w:val="0"/>
                <w:i w:val="0"/>
                <w:color w:val="212121"/>
                <w:sz w:val="16"/>
              </w:rPr>
              <w:t>Directs the aetiological work-up to the likely cause</w:t>
            </w:r>
          </w:p>
        </w:tc>
        <w:tc>
          <w:tcPr>
            <w:tcW w:type="dxa" w:w="1036"/>
            <w:vAlign w:val="top"/>
          </w:tcPr>
          <w:p>
            <w:pPr>
              <w:spacing w:after="40" w:before="0" w:line="259" w:lineRule="auto"/>
            </w:pPr>
            <w:r>
              <w:rPr>
                <w:rFonts w:ascii="Calibri" w:hAnsi="Calibri"/>
                <w:b w:val="0"/>
                <w:i w:val="0"/>
                <w:color w:val="212121"/>
                <w:sz w:val="16"/>
              </w:rPr>
              <w:t>All patients with suspected neuropathy</w:t>
            </w:r>
          </w:p>
        </w:tc>
        <w:tc>
          <w:tcPr>
            <w:tcW w:type="dxa" w:w="720"/>
            <w:vAlign w:val="top"/>
          </w:tcPr>
          <w:p>
            <w:pPr>
              <w:spacing w:after="40" w:before="0" w:line="259" w:lineRule="auto"/>
            </w:pPr>
            <w:r>
              <w:rPr>
                <w:rFonts w:ascii="Calibri" w:hAnsi="Calibri"/>
                <w:b w:val="0"/>
                <w:i w:val="0"/>
                <w:color w:val="212121"/>
                <w:sz w:val="16"/>
              </w:rPr>
              <w:t>Alcohol; 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Ask about barefoot walking and footwear</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Bedside sensory testing</w:t>
            </w:r>
          </w:p>
        </w:tc>
        <w:tc>
          <w:tcPr>
            <w:tcW w:type="dxa" w:w="950"/>
            <w:vAlign w:val="top"/>
          </w:tcPr>
          <w:p>
            <w:pPr>
              <w:spacing w:after="40" w:before="0" w:line="259" w:lineRule="auto"/>
            </w:pPr>
            <w:r>
              <w:rPr>
                <w:rFonts w:ascii="Calibri" w:hAnsi="Calibri"/>
                <w:b w:val="0"/>
                <w:i w:val="0"/>
                <w:color w:val="212121"/>
                <w:sz w:val="16"/>
              </w:rPr>
              <w:t>10 g monofilament</w:t>
            </w:r>
          </w:p>
        </w:tc>
        <w:tc>
          <w:tcPr>
            <w:tcW w:type="dxa" w:w="979"/>
            <w:vAlign w:val="top"/>
          </w:tcPr>
          <w:p>
            <w:pPr>
              <w:spacing w:after="40" w:before="0" w:line="259" w:lineRule="auto"/>
            </w:pPr>
            <w:r>
              <w:rPr>
                <w:rFonts w:ascii="Calibri" w:hAnsi="Calibri"/>
                <w:b w:val="0"/>
                <w:i w:val="0"/>
                <w:color w:val="212121"/>
                <w:sz w:val="16"/>
              </w:rPr>
              <w:t>Loss of protective sensation at plantar sites</w:t>
            </w:r>
          </w:p>
        </w:tc>
        <w:tc>
          <w:tcPr>
            <w:tcW w:type="dxa" w:w="950"/>
            <w:vAlign w:val="top"/>
          </w:tcPr>
          <w:p>
            <w:pPr>
              <w:spacing w:after="40" w:before="0" w:line="259" w:lineRule="auto"/>
            </w:pPr>
            <w:r>
              <w:rPr>
                <w:rFonts w:ascii="Calibri" w:hAnsi="Calibri"/>
                <w:b w:val="0"/>
                <w:i w:val="0"/>
                <w:color w:val="212121"/>
                <w:sz w:val="16"/>
              </w:rPr>
              <w:t>Sensation felt at all sites</w:t>
            </w:r>
          </w:p>
        </w:tc>
        <w:tc>
          <w:tcPr>
            <w:tcW w:type="dxa" w:w="950"/>
            <w:vAlign w:val="top"/>
          </w:tcPr>
          <w:p>
            <w:pPr>
              <w:spacing w:after="40" w:before="0" w:line="259" w:lineRule="auto"/>
            </w:pPr>
            <w:r>
              <w:rPr>
                <w:rFonts w:ascii="Calibri" w:hAnsi="Calibri"/>
                <w:b w:val="0"/>
                <w:i w:val="0"/>
                <w:color w:val="212121"/>
                <w:sz w:val="16"/>
              </w:rPr>
              <w:t>Any insensate site</w:t>
            </w:r>
          </w:p>
        </w:tc>
        <w:tc>
          <w:tcPr>
            <w:tcW w:type="dxa" w:w="1036"/>
            <w:vAlign w:val="top"/>
          </w:tcPr>
          <w:p>
            <w:pPr>
              <w:spacing w:after="40" w:before="0" w:line="259" w:lineRule="auto"/>
            </w:pPr>
            <w:r>
              <w:rPr>
                <w:rFonts w:ascii="Calibri" w:hAnsi="Calibri"/>
                <w:b w:val="0"/>
                <w:i w:val="0"/>
                <w:color w:val="212121"/>
                <w:sz w:val="16"/>
              </w:rPr>
              <w:t>Identifies feet at risk of ulceration; simple, validated screen</w:t>
            </w:r>
          </w:p>
        </w:tc>
        <w:tc>
          <w:tcPr>
            <w:tcW w:type="dxa" w:w="1036"/>
            <w:vAlign w:val="top"/>
          </w:tcPr>
          <w:p>
            <w:pPr>
              <w:spacing w:after="40" w:before="0" w:line="259" w:lineRule="auto"/>
            </w:pPr>
            <w:r>
              <w:rPr>
                <w:rFonts w:ascii="Calibri" w:hAnsi="Calibri"/>
                <w:b w:val="0"/>
                <w:i w:val="0"/>
                <w:color w:val="212121"/>
                <w:sz w:val="16"/>
              </w:rPr>
              <w:t>All diabetics, at-risk feet</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 (foot risk)</w:t>
            </w:r>
          </w:p>
        </w:tc>
        <w:tc>
          <w:tcPr>
            <w:tcW w:type="dxa" w:w="720"/>
            <w:vAlign w:val="top"/>
          </w:tcPr>
          <w:p>
            <w:pPr>
              <w:spacing w:after="40" w:before="0" w:line="259" w:lineRule="auto"/>
            </w:pPr>
            <w:r>
              <w:rPr>
                <w:rFonts w:ascii="Calibri" w:hAnsi="Calibri"/>
                <w:b w:val="0"/>
                <w:i w:val="0"/>
                <w:color w:val="212121"/>
                <w:sz w:val="16"/>
              </w:rPr>
              <w:t>Combine with visual foot inspection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Bedside sensory testing</w:t>
            </w:r>
          </w:p>
        </w:tc>
        <w:tc>
          <w:tcPr>
            <w:tcW w:type="dxa" w:w="950"/>
            <w:vAlign w:val="top"/>
          </w:tcPr>
          <w:p>
            <w:pPr>
              <w:spacing w:after="40" w:before="0" w:line="259" w:lineRule="auto"/>
            </w:pPr>
            <w:r>
              <w:rPr>
                <w:rFonts w:ascii="Calibri" w:hAnsi="Calibri"/>
                <w:b w:val="0"/>
                <w:i w:val="0"/>
                <w:color w:val="212121"/>
                <w:sz w:val="16"/>
              </w:rPr>
              <w:t>128 Hz tuning fork / biothesiometry</w:t>
            </w:r>
          </w:p>
        </w:tc>
        <w:tc>
          <w:tcPr>
            <w:tcW w:type="dxa" w:w="979"/>
            <w:vAlign w:val="top"/>
          </w:tcPr>
          <w:p>
            <w:pPr>
              <w:spacing w:after="40" w:before="0" w:line="259" w:lineRule="auto"/>
            </w:pPr>
            <w:r>
              <w:rPr>
                <w:rFonts w:ascii="Calibri" w:hAnsi="Calibri"/>
                <w:b w:val="0"/>
                <w:i w:val="0"/>
                <w:color w:val="212121"/>
                <w:sz w:val="16"/>
              </w:rPr>
              <w:t>Vibration and position sense</w:t>
            </w:r>
          </w:p>
        </w:tc>
        <w:tc>
          <w:tcPr>
            <w:tcW w:type="dxa" w:w="950"/>
            <w:vAlign w:val="top"/>
          </w:tcPr>
          <w:p>
            <w:pPr>
              <w:spacing w:after="40" w:before="0" w:line="259" w:lineRule="auto"/>
            </w:pPr>
            <w:r>
              <w:rPr>
                <w:rFonts w:ascii="Calibri" w:hAnsi="Calibri"/>
                <w:b w:val="0"/>
                <w:i w:val="0"/>
                <w:color w:val="212121"/>
                <w:sz w:val="16"/>
              </w:rPr>
              <w:t>Vibration &amp; proprioception intact</w:t>
            </w:r>
          </w:p>
        </w:tc>
        <w:tc>
          <w:tcPr>
            <w:tcW w:type="dxa" w:w="950"/>
            <w:vAlign w:val="top"/>
          </w:tcPr>
          <w:p>
            <w:pPr>
              <w:spacing w:after="40" w:before="0" w:line="259" w:lineRule="auto"/>
            </w:pPr>
            <w:r>
              <w:rPr>
                <w:rFonts w:ascii="Calibri" w:hAnsi="Calibri"/>
                <w:b w:val="0"/>
                <w:i w:val="0"/>
                <w:color w:val="212121"/>
                <w:sz w:val="16"/>
              </w:rPr>
              <w:t>Reduced/absent vibration, impaired position sense</w:t>
            </w:r>
          </w:p>
        </w:tc>
        <w:tc>
          <w:tcPr>
            <w:tcW w:type="dxa" w:w="1036"/>
            <w:vAlign w:val="top"/>
          </w:tcPr>
          <w:p>
            <w:pPr>
              <w:spacing w:after="40" w:before="0" w:line="259" w:lineRule="auto"/>
            </w:pPr>
            <w:r>
              <w:rPr>
                <w:rFonts w:ascii="Calibri" w:hAnsi="Calibri"/>
                <w:b w:val="0"/>
                <w:i w:val="0"/>
                <w:color w:val="212121"/>
                <w:sz w:val="16"/>
              </w:rPr>
              <w:t>Large-fibre (and dorsal-column in B12) dysfunction; raised biothesiometry = ulcer risk</w:t>
            </w:r>
          </w:p>
        </w:tc>
        <w:tc>
          <w:tcPr>
            <w:tcW w:type="dxa" w:w="1036"/>
            <w:vAlign w:val="top"/>
          </w:tcPr>
          <w:p>
            <w:pPr>
              <w:spacing w:after="40" w:before="0" w:line="259" w:lineRule="auto"/>
            </w:pPr>
            <w:r>
              <w:rPr>
                <w:rFonts w:ascii="Calibri" w:hAnsi="Calibri"/>
                <w:b w:val="0"/>
                <w:i w:val="0"/>
                <w:color w:val="212121"/>
                <w:sz w:val="16"/>
              </w:rPr>
              <w:t>Diabetics, B12 deficiency, elderly</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Impaired position sense suggests B12/dorsal-column disease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Neurological exam</w:t>
            </w:r>
          </w:p>
        </w:tc>
        <w:tc>
          <w:tcPr>
            <w:tcW w:type="dxa" w:w="950"/>
            <w:vAlign w:val="top"/>
          </w:tcPr>
          <w:p>
            <w:pPr>
              <w:spacing w:after="40" w:before="0" w:line="259" w:lineRule="auto"/>
            </w:pPr>
            <w:r>
              <w:rPr>
                <w:rFonts w:ascii="Calibri" w:hAnsi="Calibri"/>
                <w:b w:val="0"/>
                <w:i w:val="0"/>
                <w:color w:val="212121"/>
                <w:sz w:val="16"/>
              </w:rPr>
              <w:t>Deep tendon reflexes &amp; motor exam</w:t>
            </w:r>
          </w:p>
        </w:tc>
        <w:tc>
          <w:tcPr>
            <w:tcW w:type="dxa" w:w="979"/>
            <w:vAlign w:val="top"/>
          </w:tcPr>
          <w:p>
            <w:pPr>
              <w:spacing w:after="40" w:before="0" w:line="259" w:lineRule="auto"/>
            </w:pPr>
            <w:r>
              <w:rPr>
                <w:rFonts w:ascii="Calibri" w:hAnsi="Calibri"/>
                <w:b w:val="0"/>
                <w:i w:val="0"/>
                <w:color w:val="212121"/>
                <w:sz w:val="16"/>
              </w:rPr>
              <w:t>Ankle reflexes, distal power &amp; wasting</w:t>
            </w:r>
          </w:p>
        </w:tc>
        <w:tc>
          <w:tcPr>
            <w:tcW w:type="dxa" w:w="950"/>
            <w:vAlign w:val="top"/>
          </w:tcPr>
          <w:p>
            <w:pPr>
              <w:spacing w:after="40" w:before="0" w:line="259" w:lineRule="auto"/>
            </w:pPr>
            <w:r>
              <w:rPr>
                <w:rFonts w:ascii="Calibri" w:hAnsi="Calibri"/>
                <w:b w:val="0"/>
                <w:i w:val="0"/>
                <w:color w:val="212121"/>
                <w:sz w:val="16"/>
              </w:rPr>
              <w:t>Reflexes present, normal power</w:t>
            </w:r>
          </w:p>
        </w:tc>
        <w:tc>
          <w:tcPr>
            <w:tcW w:type="dxa" w:w="950"/>
            <w:vAlign w:val="top"/>
          </w:tcPr>
          <w:p>
            <w:pPr>
              <w:spacing w:after="40" w:before="0" w:line="259" w:lineRule="auto"/>
            </w:pPr>
            <w:r>
              <w:rPr>
                <w:rFonts w:ascii="Calibri" w:hAnsi="Calibri"/>
                <w:b w:val="0"/>
                <w:i w:val="0"/>
                <w:color w:val="212121"/>
                <w:sz w:val="16"/>
              </w:rPr>
              <w:t>Absent ankle jerks, distal weakness/atrophy, foot drop</w:t>
            </w:r>
          </w:p>
        </w:tc>
        <w:tc>
          <w:tcPr>
            <w:tcW w:type="dxa" w:w="1036"/>
            <w:vAlign w:val="top"/>
          </w:tcPr>
          <w:p>
            <w:pPr>
              <w:spacing w:after="40" w:before="0" w:line="259" w:lineRule="auto"/>
            </w:pPr>
            <w:r>
              <w:rPr>
                <w:rFonts w:ascii="Calibri" w:hAnsi="Calibri"/>
                <w:b w:val="0"/>
                <w:i w:val="0"/>
                <w:color w:val="212121"/>
                <w:sz w:val="16"/>
              </w:rPr>
              <w:t>Confirms sensorimotor involvement and severity</w:t>
            </w:r>
          </w:p>
        </w:tc>
        <w:tc>
          <w:tcPr>
            <w:tcW w:type="dxa" w:w="1036"/>
            <w:vAlign w:val="top"/>
          </w:tcPr>
          <w:p>
            <w:pPr>
              <w:spacing w:after="40" w:before="0" w:line="259" w:lineRule="auto"/>
            </w:pPr>
            <w:r>
              <w:rPr>
                <w:rFonts w:ascii="Calibri" w:hAnsi="Calibri"/>
                <w:b w:val="0"/>
                <w:i w:val="0"/>
                <w:color w:val="212121"/>
                <w:sz w:val="16"/>
              </w:rPr>
              <w:t>Established or advanced neuropathy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Symmetric distal loss favours metabolic/toxic cause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Foot &amp; autonomic exam</w:t>
            </w:r>
          </w:p>
        </w:tc>
        <w:tc>
          <w:tcPr>
            <w:tcW w:type="dxa" w:w="950"/>
            <w:vAlign w:val="top"/>
          </w:tcPr>
          <w:p>
            <w:pPr>
              <w:spacing w:after="40" w:before="0" w:line="259" w:lineRule="auto"/>
            </w:pPr>
            <w:r>
              <w:rPr>
                <w:rFonts w:ascii="Calibri" w:hAnsi="Calibri"/>
                <w:b w:val="0"/>
                <w:i w:val="0"/>
                <w:color w:val="212121"/>
                <w:sz w:val="16"/>
              </w:rPr>
              <w:t>Foot inspection &amp; autonomic signs</w:t>
            </w:r>
          </w:p>
        </w:tc>
        <w:tc>
          <w:tcPr>
            <w:tcW w:type="dxa" w:w="979"/>
            <w:vAlign w:val="top"/>
          </w:tcPr>
          <w:p>
            <w:pPr>
              <w:spacing w:after="40" w:before="0" w:line="259" w:lineRule="auto"/>
            </w:pPr>
            <w:r>
              <w:rPr>
                <w:rFonts w:ascii="Calibri" w:hAnsi="Calibri"/>
                <w:b w:val="0"/>
                <w:i w:val="0"/>
                <w:color w:val="212121"/>
                <w:sz w:val="16"/>
              </w:rPr>
              <w:t>Ulcers, callus, deformity, orthostatic BP</w:t>
            </w:r>
          </w:p>
        </w:tc>
        <w:tc>
          <w:tcPr>
            <w:tcW w:type="dxa" w:w="950"/>
            <w:vAlign w:val="top"/>
          </w:tcPr>
          <w:p>
            <w:pPr>
              <w:spacing w:after="40" w:before="0" w:line="259" w:lineRule="auto"/>
            </w:pPr>
            <w:r>
              <w:rPr>
                <w:rFonts w:ascii="Calibri" w:hAnsi="Calibri"/>
                <w:b w:val="0"/>
                <w:i w:val="0"/>
                <w:color w:val="212121"/>
                <w:sz w:val="16"/>
              </w:rPr>
              <w:t>Intact skin, no postural drop</w:t>
            </w:r>
          </w:p>
        </w:tc>
        <w:tc>
          <w:tcPr>
            <w:tcW w:type="dxa" w:w="950"/>
            <w:vAlign w:val="top"/>
          </w:tcPr>
          <w:p>
            <w:pPr>
              <w:spacing w:after="40" w:before="0" w:line="259" w:lineRule="auto"/>
            </w:pPr>
            <w:r>
              <w:rPr>
                <w:rFonts w:ascii="Calibri" w:hAnsi="Calibri"/>
                <w:b w:val="0"/>
                <w:i w:val="0"/>
                <w:color w:val="212121"/>
                <w:sz w:val="16"/>
              </w:rPr>
              <w:t>Ulcer/callus, Charcot deformity, dry skin, orthostatic hypotension</w:t>
            </w:r>
          </w:p>
        </w:tc>
        <w:tc>
          <w:tcPr>
            <w:tcW w:type="dxa" w:w="1036"/>
            <w:vAlign w:val="top"/>
          </w:tcPr>
          <w:p>
            <w:pPr>
              <w:spacing w:after="40" w:before="0" w:line="259" w:lineRule="auto"/>
            </w:pPr>
            <w:r>
              <w:rPr>
                <w:rFonts w:ascii="Calibri" w:hAnsi="Calibri"/>
                <w:b w:val="0"/>
                <w:i w:val="0"/>
                <w:color w:val="212121"/>
                <w:sz w:val="16"/>
              </w:rPr>
              <w:t>Detects complications and autonomic neuropathy driving falls and ulceration</w:t>
            </w:r>
          </w:p>
        </w:tc>
        <w:tc>
          <w:tcPr>
            <w:tcW w:type="dxa" w:w="1036"/>
            <w:vAlign w:val="top"/>
          </w:tcPr>
          <w:p>
            <w:pPr>
              <w:spacing w:after="40" w:before="0" w:line="259" w:lineRule="auto"/>
            </w:pPr>
            <w:r>
              <w:rPr>
                <w:rFonts w:ascii="Calibri" w:hAnsi="Calibri"/>
                <w:b w:val="0"/>
                <w:i w:val="0"/>
                <w:color w:val="212121"/>
                <w:sz w:val="16"/>
              </w:rPr>
              <w:t>Long-standing diabetics, autonomic symptoms</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Essential</w:t>
            </w:r>
          </w:p>
        </w:tc>
        <w:tc>
          <w:tcPr>
            <w:tcW w:type="dxa" w:w="720"/>
            <w:vAlign w:val="top"/>
          </w:tcPr>
          <w:p>
            <w:pPr>
              <w:spacing w:after="40" w:before="0" w:line="259" w:lineRule="auto"/>
            </w:pPr>
            <w:r>
              <w:rPr>
                <w:rFonts w:ascii="Calibri" w:hAnsi="Calibri"/>
                <w:b w:val="0"/>
                <w:i w:val="0"/>
                <w:color w:val="212121"/>
                <w:sz w:val="16"/>
              </w:rPr>
              <w:t>Check gait/Romberg for sensory ataxia</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Numbness / reduced sensation in feet &amp; hands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Length-dependent sensory loss in a stocking-and-glove pattern, usually starting in the toes.</w:t>
            </w:r>
          </w:p>
        </w:tc>
      </w:tr>
      <w:tr>
        <w:trPr>
          <w:cantSplit/>
        </w:trPr>
        <w:tc>
          <w:tcPr>
            <w:tcW w:type="dxa" w:w="2304"/>
            <w:vAlign w:val="top"/>
          </w:tcPr>
          <w:p>
            <w:pPr>
              <w:spacing w:after="40" w:before="0" w:line="259" w:lineRule="auto"/>
            </w:pPr>
            <w:r>
              <w:rPr>
                <w:rFonts w:ascii="Calibri" w:hAnsi="Calibri"/>
                <w:b/>
                <w:i w:val="0"/>
                <w:color w:val="212121"/>
                <w:sz w:val="19"/>
              </w:rPr>
              <w:t>Tingling / pins-and-needles (paraesthesia)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Early symptom of sensory nerve dysfunction, often the first complaint.</w:t>
            </w:r>
          </w:p>
        </w:tc>
      </w:tr>
      <w:tr>
        <w:trPr>
          <w:cantSplit/>
        </w:trPr>
        <w:tc>
          <w:tcPr>
            <w:tcW w:type="dxa" w:w="2304"/>
            <w:vAlign w:val="top"/>
          </w:tcPr>
          <w:p>
            <w:pPr>
              <w:spacing w:after="40" w:before="0" w:line="259" w:lineRule="auto"/>
            </w:pPr>
            <w:r>
              <w:rPr>
                <w:rFonts w:ascii="Calibri" w:hAnsi="Calibri"/>
                <w:b/>
                <w:i w:val="0"/>
                <w:color w:val="212121"/>
                <w:sz w:val="19"/>
              </w:rPr>
              <w:t>Burning or shooting (neuropathic) pain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Often worse at night; characteristic of small-fibre and painful diabetic/alcoholic neuropathy.</w:t>
            </w:r>
          </w:p>
        </w:tc>
      </w:tr>
      <w:tr>
        <w:trPr>
          <w:cantSplit/>
        </w:trPr>
        <w:tc>
          <w:tcPr>
            <w:tcW w:type="dxa" w:w="2304"/>
            <w:vAlign w:val="top"/>
          </w:tcPr>
          <w:p>
            <w:pPr>
              <w:spacing w:after="40" w:before="0" w:line="259" w:lineRule="auto"/>
            </w:pPr>
            <w:r>
              <w:rPr>
                <w:rFonts w:ascii="Calibri" w:hAnsi="Calibri"/>
                <w:b/>
                <w:i w:val="0"/>
                <w:color w:val="212121"/>
                <w:sz w:val="19"/>
              </w:rPr>
              <w:t>Sensitivity to touch (allodynia)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Light touch or bedsheets perceived as painful due to sensitised pain fibres.</w:t>
            </w:r>
          </w:p>
        </w:tc>
      </w:tr>
      <w:tr>
        <w:trPr>
          <w:cantSplit/>
        </w:trPr>
        <w:tc>
          <w:tcPr>
            <w:tcW w:type="dxa" w:w="2304"/>
            <w:vAlign w:val="top"/>
          </w:tcPr>
          <w:p>
            <w:pPr>
              <w:spacing w:after="40" w:before="0" w:line="259" w:lineRule="auto"/>
            </w:pPr>
            <w:r>
              <w:rPr>
                <w:rFonts w:ascii="Calibri" w:hAnsi="Calibri"/>
                <w:b/>
                <w:i w:val="0"/>
                <w:color w:val="212121"/>
                <w:sz w:val="19"/>
              </w:rPr>
              <w:t>Loss of temperature / pain perception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Small-fibre loss; patients may not feel hot water or minor injuries.</w:t>
            </w:r>
          </w:p>
        </w:tc>
      </w:tr>
      <w:tr>
        <w:trPr>
          <w:cantSplit/>
        </w:trPr>
        <w:tc>
          <w:tcPr>
            <w:tcW w:type="dxa" w:w="2304"/>
            <w:vAlign w:val="top"/>
          </w:tcPr>
          <w:p>
            <w:pPr>
              <w:spacing w:after="40" w:before="0" w:line="259" w:lineRule="auto"/>
            </w:pPr>
            <w:r>
              <w:rPr>
                <w:rFonts w:ascii="Calibri" w:hAnsi="Calibri"/>
                <w:b/>
                <w:i w:val="0"/>
                <w:color w:val="212121"/>
                <w:sz w:val="19"/>
              </w:rPr>
              <w:t>Imbalance / unsteadiness, worse in the dark</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Sensory ataxia from large-fibre and proprioceptive loss, raising fall risk.</w:t>
            </w:r>
          </w:p>
        </w:tc>
      </w:tr>
      <w:tr>
        <w:trPr>
          <w:cantSplit/>
        </w:trPr>
        <w:tc>
          <w:tcPr>
            <w:tcW w:type="dxa" w:w="2304"/>
            <w:vAlign w:val="top"/>
          </w:tcPr>
          <w:p>
            <w:pPr>
              <w:spacing w:after="40" w:before="0" w:line="259" w:lineRule="auto"/>
            </w:pPr>
            <w:r>
              <w:rPr>
                <w:rFonts w:ascii="Calibri" w:hAnsi="Calibri"/>
                <w:b/>
                <w:i w:val="0"/>
                <w:color w:val="212121"/>
                <w:sz w:val="19"/>
              </w:rPr>
              <w:t>Muscle cramps and restless legs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Reflect motor nerve irritation and are common in diabetic and alcoholic neuropathy.</w:t>
            </w:r>
          </w:p>
        </w:tc>
      </w:tr>
      <w:tr>
        <w:trPr>
          <w:cantSplit/>
        </w:trPr>
        <w:tc>
          <w:tcPr>
            <w:tcW w:type="dxa" w:w="2304"/>
            <w:vAlign w:val="top"/>
          </w:tcPr>
          <w:p>
            <w:pPr>
              <w:spacing w:after="40" w:before="0" w:line="259" w:lineRule="auto"/>
            </w:pPr>
            <w:r>
              <w:rPr>
                <w:rFonts w:ascii="Calibri" w:hAnsi="Calibri"/>
                <w:b/>
                <w:i w:val="0"/>
                <w:color w:val="212121"/>
                <w:sz w:val="19"/>
              </w:rPr>
              <w:t>Distal weakness / foot drop</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Motor involvement causing tripping, difficulty on stairs and reduced grip in advanced disease.</w:t>
            </w:r>
          </w:p>
        </w:tc>
      </w:tr>
      <w:tr>
        <w:trPr>
          <w:cantSplit/>
        </w:trPr>
        <w:tc>
          <w:tcPr>
            <w:tcW w:type="dxa" w:w="2304"/>
            <w:vAlign w:val="top"/>
          </w:tcPr>
          <w:p>
            <w:pPr>
              <w:spacing w:after="40" w:before="0" w:line="259" w:lineRule="auto"/>
            </w:pPr>
            <w:r>
              <w:rPr>
                <w:rFonts w:ascii="Calibri" w:hAnsi="Calibri"/>
                <w:b/>
                <w:i w:val="0"/>
                <w:color w:val="212121"/>
                <w:sz w:val="19"/>
              </w:rPr>
              <w:t>Painless foot ulcer or unnoticed injury</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Loss of protective sensation allows wounds, blisters and burns to go unnoticed.</w:t>
            </w:r>
          </w:p>
        </w:tc>
      </w:tr>
      <w:tr>
        <w:trPr>
          <w:cantSplit/>
        </w:trPr>
        <w:tc>
          <w:tcPr>
            <w:tcW w:type="dxa" w:w="2304"/>
            <w:vAlign w:val="top"/>
          </w:tcPr>
          <w:p>
            <w:pPr>
              <w:spacing w:after="40" w:before="0" w:line="259" w:lineRule="auto"/>
            </w:pPr>
            <w:r>
              <w:rPr>
                <w:rFonts w:ascii="Calibri" w:hAnsi="Calibri"/>
                <w:b/>
                <w:i w:val="0"/>
                <w:color w:val="212121"/>
                <w:sz w:val="19"/>
              </w:rPr>
              <w:t>Autonomic symptoms (dizziness on standing, erectile dysfunction, gastric/bladder upset)</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Autonomic neuropathy, particularly in long-standing diabetes.</w:t>
            </w:r>
          </w:p>
        </w:tc>
      </w:tr>
      <w:tr>
        <w:trPr>
          <w:cantSplit/>
        </w:trPr>
        <w:tc>
          <w:tcPr>
            <w:tcW w:type="dxa" w:w="2304"/>
            <w:vAlign w:val="top"/>
          </w:tcPr>
          <w:p>
            <w:pPr>
              <w:spacing w:after="40" w:before="0" w:line="259" w:lineRule="auto"/>
            </w:pPr>
            <w:r>
              <w:rPr>
                <w:rFonts w:ascii="Calibri" w:hAnsi="Calibri"/>
                <w:b/>
                <w:i w:val="0"/>
                <w:color w:val="212121"/>
                <w:sz w:val="19"/>
              </w:rPr>
              <w:t>Memory / cognitive changes and glossitis (B12)</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Vitamin B12 deficiency can add cognitive slowing, sore tongue and mood change to the neuropathy.</w:t>
            </w:r>
          </w:p>
        </w:tc>
      </w:tr>
      <w:tr>
        <w:trPr>
          <w:cantSplit/>
        </w:trPr>
        <w:tc>
          <w:tcPr>
            <w:tcW w:type="dxa" w:w="2304"/>
            <w:vAlign w:val="top"/>
          </w:tcPr>
          <w:p>
            <w:pPr>
              <w:spacing w:after="40" w:before="0" w:line="259" w:lineRule="auto"/>
            </w:pPr>
            <w:r>
              <w:rPr>
                <w:rFonts w:ascii="Calibri" w:hAnsi="Calibri"/>
                <w:b/>
                <w:i w:val="0"/>
                <w:color w:val="212121"/>
                <w:sz w:val="19"/>
              </w:rPr>
              <w:t>Severe sensory ataxia / frequent falls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Marked proprioceptive loss, notably in advanced B12 (subacute combined degeneration).</w:t>
            </w:r>
          </w:p>
        </w:tc>
      </w:tr>
      <w:tr>
        <w:trPr>
          <w:cantSplit/>
        </w:trPr>
        <w:tc>
          <w:tcPr>
            <w:tcW w:type="dxa" w:w="2304"/>
            <w:vAlign w:val="top"/>
          </w:tcPr>
          <w:p>
            <w:pPr>
              <w:spacing w:after="40" w:before="0" w:line="259" w:lineRule="auto"/>
            </w:pPr>
            <w:r>
              <w:rPr>
                <w:rFonts w:ascii="Calibri" w:hAnsi="Calibri"/>
                <w:b/>
                <w:i w:val="0"/>
                <w:color w:val="212121"/>
                <w:sz w:val="19"/>
              </w:rPr>
              <w:t>Acute painful neuropathy after rapid glucose lowering</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“Treatment-induced neuropathy of diabetes” (insulin neuritis) following rapid glycaemic correction.</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Reduced or absent ankle reflexes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Early, sensitive sign of distal sensorimotor polyneuropathy.</w:t>
            </w:r>
          </w:p>
        </w:tc>
      </w:tr>
      <w:tr>
        <w:trPr>
          <w:cantSplit/>
        </w:trPr>
        <w:tc>
          <w:tcPr>
            <w:tcW w:type="dxa" w:w="3456"/>
            <w:vAlign w:val="top"/>
          </w:tcPr>
          <w:p>
            <w:pPr>
              <w:spacing w:after="40" w:before="0" w:line="259" w:lineRule="auto"/>
            </w:pPr>
            <w:r>
              <w:rPr>
                <w:rFonts w:ascii="Calibri" w:hAnsi="Calibri"/>
                <w:b/>
                <w:i w:val="0"/>
                <w:color w:val="212121"/>
                <w:sz w:val="19"/>
              </w:rPr>
              <w:t>Impaired vibration sense (128 Hz tuning fork)</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Large-fibre dysfunction; often the earliest objective deficit at the great toe.</w:t>
            </w:r>
          </w:p>
        </w:tc>
      </w:tr>
      <w:tr>
        <w:trPr>
          <w:cantSplit/>
        </w:trPr>
        <w:tc>
          <w:tcPr>
            <w:tcW w:type="dxa" w:w="3456"/>
            <w:vAlign w:val="top"/>
          </w:tcPr>
          <w:p>
            <w:pPr>
              <w:spacing w:after="40" w:before="0" w:line="259" w:lineRule="auto"/>
            </w:pPr>
            <w:r>
              <w:rPr>
                <w:rFonts w:ascii="Calibri" w:hAnsi="Calibri"/>
                <w:b/>
                <w:i w:val="0"/>
                <w:color w:val="212121"/>
                <w:sz w:val="19"/>
              </w:rPr>
              <w:t>Loss of protective sensation (10 g monofilament)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Insensate plantar sites predict foot ulceration.</w:t>
            </w:r>
          </w:p>
        </w:tc>
      </w:tr>
      <w:tr>
        <w:trPr>
          <w:cantSplit/>
        </w:trPr>
        <w:tc>
          <w:tcPr>
            <w:tcW w:type="dxa" w:w="3456"/>
            <w:vAlign w:val="top"/>
          </w:tcPr>
          <w:p>
            <w:pPr>
              <w:spacing w:after="40" w:before="0" w:line="259" w:lineRule="auto"/>
            </w:pPr>
            <w:r>
              <w:rPr>
                <w:rFonts w:ascii="Calibri" w:hAnsi="Calibri"/>
                <w:b/>
                <w:i w:val="0"/>
                <w:color w:val="212121"/>
                <w:sz w:val="19"/>
              </w:rPr>
              <w:t>Impaired pinprick / temperature in stocking distribution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Small-fibre sensory loss with a symmetric distal gradient.</w:t>
            </w:r>
          </w:p>
        </w:tc>
      </w:tr>
      <w:tr>
        <w:trPr>
          <w:cantSplit/>
        </w:trPr>
        <w:tc>
          <w:tcPr>
            <w:tcW w:type="dxa" w:w="3456"/>
            <w:vAlign w:val="top"/>
          </w:tcPr>
          <w:p>
            <w:pPr>
              <w:spacing w:after="40" w:before="0" w:line="259" w:lineRule="auto"/>
            </w:pPr>
            <w:r>
              <w:rPr>
                <w:rFonts w:ascii="Calibri" w:hAnsi="Calibri"/>
                <w:b/>
                <w:i w:val="0"/>
                <w:color w:val="212121"/>
                <w:sz w:val="19"/>
              </w:rPr>
              <w:t>Impaired joint position sense / positive Romberg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Proprioceptive (large-fibre/dorsal-column) loss causing sensory ataxia; prominent in B12 deficiency.</w:t>
            </w:r>
          </w:p>
        </w:tc>
      </w:tr>
      <w:tr>
        <w:trPr>
          <w:cantSplit/>
        </w:trPr>
        <w:tc>
          <w:tcPr>
            <w:tcW w:type="dxa" w:w="3456"/>
            <w:vAlign w:val="top"/>
          </w:tcPr>
          <w:p>
            <w:pPr>
              <w:spacing w:after="40" w:before="0" w:line="259" w:lineRule="auto"/>
            </w:pPr>
            <w:r>
              <w:rPr>
                <w:rFonts w:ascii="Calibri" w:hAnsi="Calibri"/>
                <w:b/>
                <w:i w:val="0"/>
                <w:color w:val="212121"/>
                <w:sz w:val="19"/>
              </w:rPr>
              <w:t>Distal muscle wasting &amp; weakness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Motor involvement with intrinsic foot/hand wasting and possible foot drop.</w:t>
            </w:r>
          </w:p>
        </w:tc>
      </w:tr>
      <w:tr>
        <w:trPr>
          <w:cantSplit/>
        </w:trPr>
        <w:tc>
          <w:tcPr>
            <w:tcW w:type="dxa" w:w="3456"/>
            <w:vAlign w:val="top"/>
          </w:tcPr>
          <w:p>
            <w:pPr>
              <w:spacing w:after="40" w:before="0" w:line="259" w:lineRule="auto"/>
            </w:pPr>
            <w:r>
              <w:rPr>
                <w:rFonts w:ascii="Calibri" w:hAnsi="Calibri"/>
                <w:b/>
                <w:i w:val="0"/>
                <w:color w:val="212121"/>
                <w:sz w:val="19"/>
              </w:rPr>
              <w:t>Foot deformity, callus or ulcer at pressure points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Consequence of sensory loss and abnormal loading; may progress to Charcot foot.</w:t>
            </w:r>
          </w:p>
        </w:tc>
      </w:tr>
      <w:tr>
        <w:trPr>
          <w:cantSplit/>
        </w:trPr>
        <w:tc>
          <w:tcPr>
            <w:tcW w:type="dxa" w:w="3456"/>
            <w:vAlign w:val="top"/>
          </w:tcPr>
          <w:p>
            <w:pPr>
              <w:spacing w:after="40" w:before="0" w:line="259" w:lineRule="auto"/>
            </w:pPr>
            <w:r>
              <w:rPr>
                <w:rFonts w:ascii="Calibri" w:hAnsi="Calibri"/>
                <w:b/>
                <w:i w:val="0"/>
                <w:color w:val="212121"/>
                <w:sz w:val="19"/>
              </w:rPr>
              <w:t>Dry, cracked skin &amp; reduced sweating</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Sudomotor autonomic dysfunction predisposing to fissures and infection.</w:t>
            </w:r>
          </w:p>
        </w:tc>
      </w:tr>
      <w:tr>
        <w:trPr>
          <w:cantSplit/>
        </w:trPr>
        <w:tc>
          <w:tcPr>
            <w:tcW w:type="dxa" w:w="3456"/>
            <w:vAlign w:val="top"/>
          </w:tcPr>
          <w:p>
            <w:pPr>
              <w:spacing w:after="40" w:before="0" w:line="259" w:lineRule="auto"/>
            </w:pPr>
            <w:r>
              <w:rPr>
                <w:rFonts w:ascii="Calibri" w:hAnsi="Calibri"/>
                <w:b/>
                <w:i w:val="0"/>
                <w:color w:val="212121"/>
                <w:sz w:val="19"/>
              </w:rPr>
              <w:t>Orthostatic hypotension / resting tachycardia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Cardiovascular autonomic neuropathy, mainly in long-standing diabetes.</w:t>
            </w:r>
          </w:p>
        </w:tc>
      </w:tr>
      <w:tr>
        <w:trPr>
          <w:cantSplit/>
        </w:trPr>
        <w:tc>
          <w:tcPr>
            <w:tcW w:type="dxa" w:w="3456"/>
            <w:vAlign w:val="top"/>
          </w:tcPr>
          <w:p>
            <w:pPr>
              <w:spacing w:after="40" w:before="0" w:line="259" w:lineRule="auto"/>
            </w:pPr>
            <w:r>
              <w:rPr>
                <w:rFonts w:ascii="Calibri" w:hAnsi="Calibri"/>
                <w:b/>
                <w:i w:val="0"/>
                <w:color w:val="212121"/>
                <w:sz w:val="19"/>
              </w:rPr>
              <w:t>Pallor &amp; glossitis (B12), signs of chronic liver disease (alcohol)</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Point to the specific nutritional or toxic aetiology.</w:t>
            </w:r>
          </w:p>
        </w:tc>
      </w:tr>
      <w:tr>
        <w:trPr>
          <w:cantSplit/>
        </w:trPr>
        <w:tc>
          <w:tcPr>
            <w:tcW w:type="dxa" w:w="3456"/>
            <w:vAlign w:val="top"/>
          </w:tcPr>
          <w:p>
            <w:pPr>
              <w:spacing w:after="40" w:before="0" w:line="259" w:lineRule="auto"/>
            </w:pPr>
            <w:r>
              <w:rPr>
                <w:rFonts w:ascii="Calibri" w:hAnsi="Calibri"/>
                <w:b/>
                <w:i w:val="0"/>
                <w:color w:val="212121"/>
                <w:sz w:val="19"/>
              </w:rPr>
              <w:t>Charcot neuroarthropathy (hot, swollen, deformed foot)</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Destructive neuropathic joint disease of the insensate foot; a limb-threatening emergency.</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neuropathic pain (burning, shooting, allodynia)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Distal sensory loss and loss of protective sensation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Sensory ataxia, imbalance and falls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Distal motor weakness (foot drop, reduced dexterity)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Autonomic dysfunction (orthostatic hypotension, erectile/bladder/gastrointestinal problems)</w:t>
            </w:r>
          </w:p>
        </w:tc>
        <w:tc>
          <w:tcPr>
            <w:tcW w:type="dxa" w:w="2980"/>
            <w:vAlign w:val="top"/>
          </w:tcPr>
          <w:p>
            <w:pPr>
              <w:spacing w:after="40" w:before="0" w:line="259" w:lineRule="auto"/>
            </w:pPr>
            <w:r>
              <w:rPr>
                <w:rFonts w:ascii="Calibri" w:hAnsi="Calibri"/>
                <w:b w:val="0"/>
                <w:i w:val="0"/>
                <w:color w:val="212121"/>
                <w:sz w:val="19"/>
              </w:rPr>
              <w:t>Direct consequences of sensory, motor and autonomic nerve fibre damage</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Foot ulceration and wound infection (cellulitis, osteomyelitis)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Charcot neuroarthropathy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Falls, fractures and reduced mobility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Subacute combined degeneration of the spinal cord (advanced B12 deficiency)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Depression, anxiety and sleep disturbance from chronic pain</w:t>
            </w:r>
          </w:p>
        </w:tc>
        <w:tc>
          <w:tcPr>
            <w:tcW w:type="dxa" w:w="2980"/>
            <w:vAlign w:val="top"/>
          </w:tcPr>
          <w:p>
            <w:pPr>
              <w:spacing w:after="40" w:before="0" w:line="259" w:lineRule="auto"/>
            </w:pPr>
            <w:r>
              <w:rPr>
                <w:rFonts w:ascii="Calibri" w:hAnsi="Calibri"/>
                <w:b w:val="0"/>
                <w:i w:val="0"/>
                <w:color w:val="212121"/>
                <w:sz w:val="19"/>
              </w:rPr>
              <w:t>Result from insensate injury, imbalance, dorsal-column involvement and the burden of persistent pain</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Non-traumatic lower-limb amputation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non-healing ulcers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Permanent disability and loss of independence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Irreversible spinal cord damage / persistent gait disorder (untreated B12)</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Severely reduced quality of life</w:t>
            </w:r>
          </w:p>
        </w:tc>
        <w:tc>
          <w:tcPr>
            <w:tcW w:type="dxa" w:w="2980"/>
            <w:vAlign w:val="top"/>
          </w:tcPr>
          <w:p>
            <w:pPr>
              <w:spacing w:after="40" w:before="0" w:line="259" w:lineRule="auto"/>
            </w:pPr>
            <w:r>
              <w:rPr>
                <w:rFonts w:ascii="Calibri" w:hAnsi="Calibri"/>
                <w:b w:val="0"/>
                <w:i w:val="0"/>
                <w:color w:val="212121"/>
                <w:sz w:val="19"/>
              </w:rPr>
              <w:t>Irreversible, disabling outcomes of longstanding, poorly managed neuropathy and its foot complications</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Diabetes mellitus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The single commonest cause of peripheral neuropathy in India; chronic hyperglycaemia directly injures peripheral nerves and neuropathy screens positive in the great majority of diabetics.</w:t>
            </w:r>
          </w:p>
          <w:p>
            <w:pPr>
              <w:spacing w:after="40" w:before="0" w:line="259" w:lineRule="auto"/>
            </w:pPr>
            <w:r>
              <w:rPr>
                <w:rFonts w:ascii="Calibri" w:hAnsi="Calibri"/>
                <w:b/>
                <w:i w:val="0"/>
                <w:color w:val="212121"/>
                <w:sz w:val="19"/>
              </w:rPr>
              <w:t>~90% of diabetics on screening</w:t>
            </w:r>
          </w:p>
        </w:tc>
      </w:tr>
      <w:tr>
        <w:trPr>
          <w:cantSplit/>
        </w:trPr>
        <w:tc>
          <w:tcPr>
            <w:tcW w:type="dxa" w:w="2232"/>
            <w:vAlign w:val="top"/>
          </w:tcPr>
          <w:p>
            <w:pPr>
              <w:spacing w:after="40" w:before="0" w:line="259" w:lineRule="auto"/>
            </w:pPr>
            <w:r>
              <w:rPr>
                <w:rFonts w:ascii="Calibri" w:hAnsi="Calibri"/>
                <w:b/>
                <w:i w:val="0"/>
                <w:color w:val="212121"/>
                <w:sz w:val="19"/>
              </w:rPr>
              <w:t>Diabetic foot ulcer</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Loss of protective sensation from neuropathy is the key precursor to foot ulceration, infection and amputation.</w:t>
            </w:r>
          </w:p>
          <w:p>
            <w:pPr>
              <w:spacing w:after="40" w:before="0" w:line="259" w:lineRule="auto"/>
            </w:pPr>
            <w:r>
              <w:rPr>
                <w:rFonts w:ascii="Calibri" w:hAnsi="Calibri"/>
                <w:b/>
                <w:i w:val="0"/>
                <w:color w:val="212121"/>
                <w:sz w:val="19"/>
              </w:rPr>
              <w:t>~6.2% of Indian diabetics</w:t>
            </w:r>
          </w:p>
        </w:tc>
      </w:tr>
      <w:tr>
        <w:trPr>
          <w:cantSplit/>
        </w:trPr>
        <w:tc>
          <w:tcPr>
            <w:tcW w:type="dxa" w:w="2232"/>
            <w:vAlign w:val="top"/>
          </w:tcPr>
          <w:p>
            <w:pPr>
              <w:spacing w:after="40" w:before="0" w:line="259" w:lineRule="auto"/>
            </w:pPr>
            <w:r>
              <w:rPr>
                <w:rFonts w:ascii="Calibri" w:hAnsi="Calibri"/>
                <w:b/>
                <w:i w:val="0"/>
                <w:color w:val="212121"/>
                <w:sz w:val="19"/>
              </w:rPr>
              <w:t>Peripheral arterial disease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Coexisting ischaemia compounds neuropathic sensory loss, impairs wound healing and multiplies amputation risk.</w:t>
            </w:r>
          </w:p>
        </w:tc>
      </w:tr>
      <w:tr>
        <w:trPr>
          <w:cantSplit/>
        </w:trPr>
        <w:tc>
          <w:tcPr>
            <w:tcW w:type="dxa" w:w="2232"/>
            <w:vAlign w:val="top"/>
          </w:tcPr>
          <w:p>
            <w:pPr>
              <w:spacing w:after="40" w:before="0" w:line="259" w:lineRule="auto"/>
            </w:pPr>
            <w:r>
              <w:rPr>
                <w:rFonts w:ascii="Calibri" w:hAnsi="Calibri"/>
                <w:b/>
                <w:i w:val="0"/>
                <w:color w:val="212121"/>
                <w:sz w:val="19"/>
              </w:rPr>
              <w:t>Chronic kidney disease (uraemia)</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Uraemic toxins cause neuropathy and worsen coexisting diabetic neuropathy; the two commonly overlap in diabetic nephropathy.</w:t>
            </w:r>
          </w:p>
        </w:tc>
      </w:tr>
      <w:tr>
        <w:trPr>
          <w:cantSplit/>
        </w:trPr>
        <w:tc>
          <w:tcPr>
            <w:tcW w:type="dxa" w:w="2232"/>
            <w:vAlign w:val="top"/>
          </w:tcPr>
          <w:p>
            <w:pPr>
              <w:spacing w:after="40" w:before="0" w:line="259" w:lineRule="auto"/>
            </w:pPr>
            <w:r>
              <w:rPr>
                <w:rFonts w:ascii="Calibri" w:hAnsi="Calibri"/>
                <w:b/>
                <w:i w:val="0"/>
                <w:color w:val="212121"/>
                <w:sz w:val="19"/>
              </w:rPr>
              <w:t>Vitamin B12 deficiency</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Treatment Interaction</w:t>
            </w:r>
          </w:p>
        </w:tc>
        <w:tc>
          <w:tcPr>
            <w:tcW w:type="dxa" w:w="4852"/>
            <w:vAlign w:val="top"/>
          </w:tcPr>
          <w:p>
            <w:pPr>
              <w:spacing w:after="40" w:before="0" w:line="259" w:lineRule="auto"/>
            </w:pPr>
            <w:r>
              <w:rPr>
                <w:rFonts w:ascii="Calibri" w:hAnsi="Calibri"/>
                <w:b w:val="0"/>
                <w:i w:val="0"/>
                <w:color w:val="212121"/>
                <w:sz w:val="19"/>
              </w:rPr>
              <w:t>A leading treatable/reversible cause of neuropathy in vegetarian India; can be precipitated by metformin used for diabetes.</w:t>
            </w:r>
          </w:p>
        </w:tc>
      </w:tr>
      <w:tr>
        <w:trPr>
          <w:cantSplit/>
        </w:trPr>
        <w:tc>
          <w:tcPr>
            <w:tcW w:type="dxa" w:w="2232"/>
            <w:vAlign w:val="top"/>
          </w:tcPr>
          <w:p>
            <w:pPr>
              <w:spacing w:after="40" w:before="0" w:line="259" w:lineRule="auto"/>
            </w:pPr>
            <w:r>
              <w:rPr>
                <w:rFonts w:ascii="Calibri" w:hAnsi="Calibri"/>
                <w:b/>
                <w:i w:val="0"/>
                <w:color w:val="212121"/>
                <w:sz w:val="19"/>
              </w:rPr>
              <w:t>Chronic alcohol use disorder</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Causes neuropathy through direct axonal toxicity plus thiamine and B-vitamin deficiency and malnutrition.</w:t>
            </w:r>
          </w:p>
          <w:p>
            <w:pPr>
              <w:spacing w:after="40" w:before="0" w:line="259" w:lineRule="auto"/>
            </w:pPr>
            <w:r>
              <w:rPr>
                <w:rFonts w:ascii="Calibri" w:hAnsi="Calibri"/>
                <w:b/>
                <w:i w:val="0"/>
                <w:color w:val="212121"/>
                <w:sz w:val="19"/>
              </w:rPr>
              <w:t>~44–46% of heavy drinkers</w:t>
            </w:r>
          </w:p>
        </w:tc>
      </w:tr>
      <w:tr>
        <w:trPr>
          <w:cantSplit/>
        </w:trPr>
        <w:tc>
          <w:tcPr>
            <w:tcW w:type="dxa" w:w="2232"/>
            <w:vAlign w:val="top"/>
          </w:tcPr>
          <w:p>
            <w:pPr>
              <w:spacing w:after="40" w:before="0" w:line="259" w:lineRule="auto"/>
            </w:pPr>
            <w:r>
              <w:rPr>
                <w:rFonts w:ascii="Calibri" w:hAnsi="Calibri"/>
                <w:b/>
                <w:i w:val="0"/>
                <w:color w:val="212121"/>
                <w:sz w:val="19"/>
              </w:rPr>
              <w:t>Hypothyroidism</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Causes reversible entrapment and distal sensorimotor neuropathy; a routinely screened, treatable contributor.</w:t>
            </w:r>
          </w:p>
        </w:tc>
      </w:tr>
      <w:tr>
        <w:trPr>
          <w:cantSplit/>
        </w:trPr>
        <w:tc>
          <w:tcPr>
            <w:tcW w:type="dxa" w:w="2232"/>
            <w:vAlign w:val="top"/>
          </w:tcPr>
          <w:p>
            <w:pPr>
              <w:spacing w:after="40" w:before="0" w:line="259" w:lineRule="auto"/>
            </w:pPr>
            <w:r>
              <w:rPr>
                <w:rFonts w:ascii="Calibri" w:hAnsi="Calibri"/>
                <w:b/>
                <w:i w:val="0"/>
                <w:color w:val="212121"/>
                <w:sz w:val="19"/>
              </w:rPr>
              <w:t>Depression &amp; anxiety</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Chronic neuropathic pain and disability drive mood disorders, which in turn worsen pain, adherence and self-care.</w:t>
            </w:r>
          </w:p>
        </w:tc>
      </w:tr>
      <w:tr>
        <w:trPr>
          <w:cantSplit/>
        </w:trPr>
        <w:tc>
          <w:tcPr>
            <w:tcW w:type="dxa" w:w="2232"/>
            <w:vAlign w:val="top"/>
          </w:tcPr>
          <w:p>
            <w:pPr>
              <w:spacing w:after="40" w:before="0" w:line="259" w:lineRule="auto"/>
            </w:pPr>
            <w:r>
              <w:rPr>
                <w:rFonts w:ascii="Calibri" w:hAnsi="Calibri"/>
                <w:b/>
                <w:i w:val="0"/>
                <w:color w:val="212121"/>
                <w:sz w:val="19"/>
              </w:rPr>
              <w:t>Diabetic retinopathy &amp; nephropathy</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Share the microvascular pathophysiology of diabetes and cluster with neuropathy, marking overall microvascular burden.</w:t>
            </w:r>
          </w:p>
        </w:tc>
      </w:tr>
      <w:tr>
        <w:trPr>
          <w:cantSplit/>
        </w:trPr>
        <w:tc>
          <w:tcPr>
            <w:tcW w:type="dxa" w:w="2232"/>
            <w:vAlign w:val="top"/>
          </w:tcPr>
          <w:p>
            <w:pPr>
              <w:spacing w:after="40" w:before="0" w:line="259" w:lineRule="auto"/>
            </w:pPr>
            <w:r>
              <w:rPr>
                <w:rFonts w:ascii="Calibri" w:hAnsi="Calibri"/>
                <w:b/>
                <w:i w:val="0"/>
                <w:color w:val="212121"/>
                <w:sz w:val="19"/>
              </w:rPr>
              <w:t>Macrocytic anaemia</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Reflects the underlying B12 deficiency (or alcohol) responsible for the neuropathy.</w:t>
            </w:r>
          </w:p>
        </w:tc>
      </w:tr>
      <w:tr>
        <w:trPr>
          <w:cantSplit/>
        </w:trPr>
        <w:tc>
          <w:tcPr>
            <w:tcW w:type="dxa" w:w="2232"/>
            <w:vAlign w:val="top"/>
          </w:tcPr>
          <w:p>
            <w:pPr>
              <w:spacing w:after="40" w:before="0" w:line="259" w:lineRule="auto"/>
            </w:pPr>
            <w:r>
              <w:rPr>
                <w:rFonts w:ascii="Calibri" w:hAnsi="Calibri"/>
                <w:b/>
                <w:i w:val="0"/>
                <w:color w:val="212121"/>
                <w:sz w:val="19"/>
              </w:rPr>
              <w:t>Leprosy (Hansen's disease)</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Still endemic in India and historically the leading treatable neuropathy; causes thickened nerves and patchy sensory loss that can mimic or coexist with metabolic neuropathy.</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the early warning signs of nerve damage — numbness, tingling, burning pain or unsteadiness in the feet and hands — and seek screening early, because early sensory loss is often painless.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If you have diabetes, keep blood sugar and HbA1c in the target range, as good glycaemic control is the single most effective way to prevent and slow neuropathy.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Inspect both feet every day (use a mirror or a helper), never walk barefoot, and wear well-fitted, closed footwear — essential in India where barefoot walking is common.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Test bath water with the hand or elbow, not the feet, to avoid unnoticed burns in insensate feet.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If you are vegetarian, elderly, or take metformin or long-term acid-suppressing drugs, ask about vitamin B12 testing and supplementation.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Report any foot wound, blister, colour change or swelling promptly — early treatment prevents ulcers and amputation.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adults with diabetes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Vegetarians and 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who drink alcohol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Anyone with foot numbness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Rural/barefoot-walking populations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at least 150 minutes/week of moderate activity (brisk walking, cycling, swimming) to improve glycaemic control and nerve blood flow.</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 balance and strength training (e.g., tai chi, resistance bands) to reduce falls from sensory ataxia.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Prefer low-impact, non-weight-bearing exercise (cycling, swimming, chair exercises) if protective sensation is lost, to protect the feet.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Always exercise in proper footwear and check the feet before and after activity.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Build up gradually and avoid exercising on an active foot ulcer.</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 with or at risk of neuropathy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Overweight/sedentary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with imbalance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recovering from alcohol use</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 balanced, fibre-rich diet with whole grains and millets (ragi, jowar, bajra), pulses, non-starchy vegetables and controlled portions of fruit to steady blood glucose.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vitamin B12 through dairy, eggs, fortified foods, or supplements/injections if vegetarian, elderly or deficient.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thiamine and B-vitamin sources (whole grains, legumes, nuts) — especially important for people who drink alcohol.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refined carbohydrates, sugary drinks and ultra-processed foods that cause large glucose spikes.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Distribute carbohydrate evenly across meals and pair with protein/fibre to blunt postprandial peaks.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Strict vegetarians/vegans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alcohol use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with poor intake</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regular sleep schedule (7–9 hours) to reduce pain sensitivity and support glucose control.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Discuss night-time neuropathic pain with a clinician, as targeted treatment can markedly improve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good sleep hygiene — cool dark room, limited screens and caffeine in the evening.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a bed cradle or light bedding if allodynia makes sheets painful.</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painful neuropathy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disturbed sleep</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and all tobacco use — smoking is a strong, independent accelerator of nerve and small-vessel damage.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behavioural support and pharmacotherapy (nicotine replacement, approved medicines) and quitline services to quit.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which also harms microvascular circulation.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quitting reduces the risk of foot ulcers, amputation and cardiovascular disease.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 with diabetes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Anyone with neuropathy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peripheral arterial disease</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or stop alcohol — neuropathy risk rises with total lifetime intake, and abstinence allows partial nerve recovery.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If dependent, seek structured support and de-addiction services; abrupt withdrawal should be medically supervised.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thiamine and B-complex supplementation as advised during and after reducing alcohol.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good nutrition, as much alcoholic neuropathy is compounded by vitamin deficiency.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Heavy/chronic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alcoholic neuropathy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Those with liver disease</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depression and anxiety, which are common with chronic neuropathic pain and worsen self-care.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cognitive behavioural therapy, relaxation and pain-coping strategies alongside medication.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Some medicines (e.g., duloxetine, amitriptyline) treat both neuropathic pain and low mood — discuss with a clinician.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Stay socially connected and join support groups to reduce isolation and distress.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painful neuropathy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reduced mobility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Those with poor quality of life</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Stay physically active and avoid prolonged sitting to prevent insulin resistance and progression to diabetes and its neuropathy.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healthy weight (BMI 18.5–24.9) to improve glycaemic control.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Incorporate daily movement — walking, household activity, stretching — as part of routine.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aerobic and resistance exercise for the greatest metabolic benefit.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Prediabetic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office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a family history of diabetes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individuals</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cureus.com/articles/61153-prevalence-and-determinants-of-peripheral-neuropathy-among-adult-type-ii-diabetes-mellitus-patients-attending-a-non-communicable-disease-clinic-in-rural-south-india" TargetMode="External"/><Relationship Id="rId10" Type="http://schemas.openxmlformats.org/officeDocument/2006/relationships/hyperlink" Target="https://www.nature.com/articles/s41598-024-65495-2" TargetMode="External"/><Relationship Id="rId11" Type="http://schemas.openxmlformats.org/officeDocument/2006/relationships/hyperlink" Target="https://link.springer.com/article/10.1007/s13410-024-01400-x" TargetMode="External"/><Relationship Id="rId12" Type="http://schemas.openxmlformats.org/officeDocument/2006/relationships/hyperlink" Target="https://www.ijbcp.com/index.php/ijbcp/article/view/6201" TargetMode="External"/><Relationship Id="rId13" Type="http://schemas.openxmlformats.org/officeDocument/2006/relationships/hyperlink" Target="https://pmc.ncbi.nlm.nih.gov/articles/PMC9480660/" TargetMode="External"/><Relationship Id="rId14" Type="http://schemas.openxmlformats.org/officeDocument/2006/relationships/hyperlink" Target="https://pubmed.ncbi.nlm.nih.gov/30467601/" TargetMode="External"/><Relationship Id="rId15" Type="http://schemas.openxmlformats.org/officeDocument/2006/relationships/hyperlink" Target="https://journals.lww.com/indjem/fulltext/2019/23020/vitamin_b12_deficiency_is_endemic_in_indian.8.aspx" TargetMode="External"/><Relationship Id="rId16" Type="http://schemas.openxmlformats.org/officeDocument/2006/relationships/hyperlink" Target="https://imsear.searo.who.int/handle/123456789/177297" TargetMode="External"/><Relationship Id="rId17" Type="http://schemas.openxmlformats.org/officeDocument/2006/relationships/hyperlink" Target="https://www.ncbi.nlm.nih.gov/books/NBK44200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