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Bell's Palsy</w:t>
      </w:r>
    </w:p>
    <w:p>
      <w:pPr>
        <w:spacing w:before="0" w:after="160"/>
      </w:pPr>
      <w:r>
        <w:rPr>
          <w:rFonts w:ascii="Calibri" w:hAnsi="Calibri"/>
          <w:b/>
          <w:i w:val="0"/>
          <w:color w:val="212121"/>
          <w:sz w:val="22"/>
        </w:rPr>
        <w:t xml:space="preserve">AKA </w:t>
      </w:r>
      <w:r>
        <w:rPr>
          <w:rFonts w:ascii="Calibri" w:hAnsi="Calibri"/>
          <w:b w:val="0"/>
          <w:i w:val="0"/>
          <w:color w:val="212121"/>
          <w:sz w:val="22"/>
        </w:rPr>
        <w:t>i.e., Idiopathic (acute) peripheral facial nerve palsy, Idiopathic facial paralysis, Acute facial mononeuropathy, One-sided face droop / face paralysis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Bell's palsy is an acute, idiopathic, lower-motor-neuron paralysis or weakness of the muscles supplied by the facial nerve (cranial nerve VII), developing rapidly over hours to a maximum of 72 hours. It is the single commonest cause of acute unilateral facial paralysis and is a diagnosis of exclusion. The leading proposed mechanism is reactivation of latent herpes simplex virus type 1 in the geniculate ganglion, causing inflammation and oedema that compress the nerve within the narrow bony fallopian canal. Most cases are self-limiting, but early treatment and eye protection markedly improve outcomes.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Bell's palsy is the commonest cause of acute unilateral (lower-motor-neuron) facial paralysis worldwide, with an annual incidence of about 15–40 per 100,000 population (roughly 0.02% per year) and a lifetime risk of around 1 in 60. India has no national registry, but hospital-based series consistently identify it as the leading cause of acute facial palsy and of lagophthalmos (35.83% of cases in one Indian ophthalmology cohort). Because diabetes mellitus roughly doubles the risk (odds ratio ~2.4) and India carries one of the world's largest diabetic populations, the absolute case burden is substantial.</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Bell's palsy is a clinical diagnosis of exclusion, made at the bedside in a patient with acute, isolated, lower-motor-neuron facial weakness once secondary causes have been ruled out. The following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rapid onset progressing over hours to a maximum of 72 hours of unilateral facial weakness or complete paralysis;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lower-motor-neuron pattern involving the forehead — inability to wrinkle the forehead or fully raise the eyebrow — which distinguishes it from a central (upper-motor-neuron) lesion that spares the forehead;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involvement of the whole hemiface: loss of the nasolabial fold, a drooping mouth corner, and incomplete eye closure (lagophthalmos) with an upward roll of the globe (Bell's phenomenon);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ipsilateral features — post-auricular pain, altered taste over the anterior two-thirds of the tongue, hyperacusis and reduced tearing — reflecting the level of the lesion along the facial nerve;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red-flag features (other cranial-nerve or limb signs, vesicles in the ear or palate suggesting Ramsay Hunt, a parotid mass, bilateral or slowly progressive palsy, or systemic illness);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of severity with the House–Brackmann scale (I–VI) at presentation and follow-up; targeted investigations (MRI, electroneuronography, blood glucose, Lyme/VZV serology) are reserved for atypical, bilateral, recurrent or non-recovering cases.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Bell's palsy itself is idiopathic, but it is characterised and stratified in several clinically useful ways:</w:t>
      </w:r>
    </w:p>
    <w:p>
      <w:pPr>
        <w:spacing w:before="0" w:after="80"/>
      </w:pPr>
      <w:r>
        <w:rPr>
          <w:rFonts w:ascii="Calibri" w:hAnsi="Calibri"/>
          <w:b w:val="0"/>
          <w:i w:val="0"/>
          <w:color w:val="212121"/>
          <w:sz w:val="21"/>
        </w:rPr>
        <w:t>(1) By severity using the House–Brackmann grading system (Grade I normal to Grade VI total paralysis); the grade and whether the palsy is complete or incomplete are the strongest predictors of recovery.</w:t>
      </w:r>
    </w:p>
    <w:p>
      <w:pPr>
        <w:spacing w:before="0" w:after="80"/>
      </w:pPr>
      <w:r>
        <w:rPr>
          <w:rFonts w:ascii="Calibri" w:hAnsi="Calibri"/>
          <w:b w:val="0"/>
          <w:i w:val="0"/>
          <w:color w:val="212121"/>
          <w:sz w:val="21"/>
        </w:rPr>
        <w:t>(2) Complete versus incomplete paralysis — incomplete palsy (some residual movement) carries an excellent prognosis, whereas complete paralysis has a higher risk of incomplete recovery and synkinesis.</w:t>
      </w:r>
    </w:p>
    <w:p>
      <w:pPr>
        <w:spacing w:before="0" w:after="80"/>
      </w:pPr>
      <w:r>
        <w:rPr>
          <w:rFonts w:ascii="Calibri" w:hAnsi="Calibri"/>
          <w:b w:val="0"/>
          <w:i w:val="0"/>
          <w:color w:val="212121"/>
          <w:sz w:val="21"/>
        </w:rPr>
        <w:t>(3) Typical versus atypical — typical cases are unilateral, isolated and begin to recover within three weeks; atypical features (bilateral involvement, recurrence, other cranial-nerve deficits, no recovery by 3–4 months, or slowly progressive weakness) mandate imaging to exclude a secondary cause.</w:t>
      </w:r>
    </w:p>
    <w:p>
      <w:pPr>
        <w:spacing w:before="0" w:after="80"/>
      </w:pPr>
      <w:r>
        <w:rPr>
          <w:rFonts w:ascii="Calibri" w:hAnsi="Calibri"/>
          <w:b w:val="0"/>
          <w:i w:val="0"/>
          <w:color w:val="212121"/>
          <w:sz w:val="21"/>
        </w:rPr>
        <w:t>(4) By excluded secondary aetiology — Bell's palsy must be separated from Ramsay Hunt syndrome (herpes zoster oticus), Lyme disease, acute or chronic otitis media and cholesteatoma, parotid or skull-base tumours, trauma, Guillain–Barré (Miller Fisher) variants, sarcoidosis and stroke.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Herpes simplex virus (HSV-1) reactivation: The leading proposed mechanism; latent HSV-1 in the geniculate ganglion reactivates, producing inflammation and oedema of the facial nerve. Recent HSV infection carries an odds ratio of about 6.5 for Bell's palsy.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Anatomical nerve entrapment: The facial nerve runs through the narrow bony fallopian canal; any inflammatory swelling compresses the nerve against bone, causing ischaemia, demyelination and conduction block.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Diabetes mellitus / microvascular ischaemia: Chronic hyperglycaemia damages the vasa nervorum supplying the nerve; diabetes roughly doubles risk (OR ~2.4) and predicts poorer recovery.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Pregnancy and pre-eclampsia: Fluid retention, relative immunosuppression and hypercoagulability increase both the incidence and the severity of the palsy, especially in the third trimester and early postpartum period.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Other neurotropic viruses and post-viral immune injury: Varicella-zoster (Ramsay Hunt), Epstein–Barr and cytomegalovirus, and recent upper-respiratory infection (including COVID-19), can trigger immune-mediated demyelination of the nerve.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Reported precipitants: Exposure of the face to cold wind or a direct draught (fan or air-conditioner), dental procedures, and acute psychological stress or sleep deprivation are commonly reported triggers.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predisposition: A minority of patients show familial clustering and HLA associations, and recurrence occurs in 8–12% of cases.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(15–45 years)</w:t>
            </w:r>
          </w:p>
        </w:tc>
        <w:tc>
          <w:tcPr>
            <w:tcW w:type="dxa" w:w="4276"/>
            <w:vAlign w:val="top"/>
          </w:tcPr>
          <w:p>
            <w:pPr>
              <w:spacing w:after="60" w:line="259" w:lineRule="auto"/>
            </w:pPr>
            <w:r>
              <w:rPr>
                <w:rFonts w:ascii="Calibri" w:hAnsi="Calibri"/>
                <w:b w:val="0"/>
                <w:i w:val="0"/>
                <w:color w:val="212121"/>
                <w:sz w:val="19"/>
              </w:rPr>
              <w:t>Bell's palsy most often strikes working-age adults, in whom HSV-1 reactivation, occupational stress and cold-draught exposure are common. The visible deficit causes functional and psychosocial disability during the most productive years.</w:t>
            </w:r>
          </w:p>
          <w:p>
            <w:pPr>
              <w:spacing w:after="40" w:before="60" w:line="259" w:lineRule="auto"/>
            </w:pPr>
            <w:r>
              <w:rPr>
                <w:rFonts w:ascii="Calibri" w:hAnsi="Calibri"/>
                <w:b w:val="0"/>
                <w:i w:val="0"/>
                <w:color w:val="212121"/>
                <w:sz w:val="19"/>
              </w:rPr>
              <w:t>Bell's palsy most often affects people aged 15 to 45 years; family-practice data place the peak incidence in the 40s, with men and women affected equally.</w:t>
            </w:r>
          </w:p>
          <w:p>
            <w:pPr>
              <w:spacing w:after="40" w:line="252" w:lineRule="auto"/>
            </w:pPr>
            <w:hyperlink r:id="rId9">
              <w:r>
                <w:rPr>
                  <w:rFonts w:ascii="Calibri" w:hAnsi="Calibri" w:cs="Calibri"/>
                  <w:sz w:val="18"/>
                  <w:color w:val="1155CC"/>
                  <w:u w:val="single"/>
                </w:rPr>
                <w:t xml:space="preserve">ninds.nih.gov — Bell's palsy</w:t>
              </w:r>
            </w:hyperlink>
          </w:p>
          <w:p>
            <w:pPr>
              <w:spacing w:before="60" w:after="40"/>
            </w:pPr>
            <w:r>
              <w:rPr>
                <w:rFonts w:ascii="Calibri" w:hAnsi="Calibri"/>
                <w:b w:val="0"/>
                <w:i w:val="0"/>
                <w:color w:val="5A5A5A"/>
                <w:sz w:val="18"/>
              </w:rPr>
              <w:t>#bellspalsy  #facialnerve  #workingage  #HSV  #facedroop</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(60–70 years)</w:t>
            </w:r>
          </w:p>
        </w:tc>
        <w:tc>
          <w:tcPr>
            <w:tcW w:type="dxa" w:w="4276"/>
            <w:vAlign w:val="top"/>
          </w:tcPr>
          <w:p>
            <w:pPr>
              <w:spacing w:after="60" w:line="259" w:lineRule="auto"/>
            </w:pPr>
            <w:r>
              <w:rPr>
                <w:rFonts w:ascii="Calibri" w:hAnsi="Calibri"/>
                <w:b w:val="0"/>
                <w:i w:val="0"/>
                <w:color w:val="212121"/>
                <w:sz w:val="19"/>
              </w:rPr>
              <w:t>A second incidence peak occurs in older adults, in whom diabetes, hypertension and microvascular disease are common. Comorbidity and slower nerve regeneration make recovery less complete than in the young.</w:t>
            </w:r>
          </w:p>
          <w:p>
            <w:pPr>
              <w:spacing w:after="40" w:before="60" w:line="259" w:lineRule="auto"/>
            </w:pPr>
            <w:r>
              <w:rPr>
                <w:rFonts w:ascii="Calibri" w:hAnsi="Calibri"/>
                <w:b w:val="0"/>
                <w:i w:val="0"/>
                <w:color w:val="212121"/>
                <w:sz w:val="19"/>
              </w:rPr>
              <w:t>Incidence follows a bimodal distribution with peaks between 20–30 and 60–70 years; elderly and diabetic patients are specifically at higher risk of worse outcomes.</w:t>
            </w:r>
          </w:p>
          <w:p>
            <w:pPr>
              <w:spacing w:after="40" w:line="252" w:lineRule="auto"/>
            </w:pPr>
            <w:hyperlink r:id="rId10">
              <w:r>
                <w:rPr>
                  <w:rFonts w:ascii="Calibri" w:hAnsi="Calibri" w:cs="Calibri"/>
                  <w:sz w:val="18"/>
                  <w:color w:val="1155CC"/>
                  <w:u w:val="single"/>
                </w:rPr>
                <w:t xml:space="preserve">ncbi.nlm.nih.gov — StatPearls: Bell Palsy</w:t>
              </w:r>
            </w:hyperlink>
          </w:p>
          <w:p>
            <w:pPr>
              <w:spacing w:before="60" w:after="40"/>
            </w:pPr>
            <w:r>
              <w:rPr>
                <w:rFonts w:ascii="Calibri" w:hAnsi="Calibri"/>
                <w:b w:val="0"/>
                <w:i w:val="0"/>
                <w:color w:val="5A5A5A"/>
                <w:sz w:val="18"/>
              </w:rPr>
              <w:t>#elderly  #comorbidity  #poorrecovery  #microvascular  #diabetes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in pregnancy / reproductive age</w:t>
            </w:r>
          </w:p>
        </w:tc>
        <w:tc>
          <w:tcPr>
            <w:tcW w:type="dxa" w:w="4276"/>
            <w:vAlign w:val="top"/>
          </w:tcPr>
          <w:p>
            <w:pPr>
              <w:spacing w:after="60" w:line="259" w:lineRule="auto"/>
            </w:pPr>
            <w:r>
              <w:rPr>
                <w:rFonts w:ascii="Calibri" w:hAnsi="Calibri"/>
                <w:b w:val="0"/>
                <w:i w:val="0"/>
                <w:color w:val="212121"/>
                <w:sz w:val="19"/>
              </w:rPr>
              <w:t>Although there is no overall sex predilection, pregnancy — particularly the third trimester and early postpartum — raises both the incidence and severity through fluid retention, relative immunosuppression and hypercoagulability.</w:t>
            </w:r>
          </w:p>
          <w:p>
            <w:pPr>
              <w:spacing w:after="40" w:before="60" w:line="259" w:lineRule="auto"/>
            </w:pPr>
            <w:r>
              <w:rPr>
                <w:rFonts w:ascii="Calibri" w:hAnsi="Calibri"/>
                <w:b w:val="0"/>
                <w:i w:val="0"/>
                <w:color w:val="212121"/>
                <w:sz w:val="19"/>
              </w:rPr>
              <w:t>Bell's palsy occurs more commonly in patients with diabetes and in pregnant women; incidence and severity are increased in pregnancy, with most cases arising in the third trimester or postpartum.</w:t>
            </w:r>
          </w:p>
          <w:p>
            <w:pPr>
              <w:spacing w:after="40" w:line="252" w:lineRule="auto"/>
            </w:pPr>
            <w:hyperlink r:id="rId11">
              <w:r>
                <w:rPr>
                  <w:rFonts w:ascii="Calibri" w:hAnsi="Calibri" w:cs="Calibri"/>
                  <w:sz w:val="18"/>
                  <w:color w:val="1155CC"/>
                  <w:u w:val="single"/>
                </w:rPr>
                <w:t xml:space="preserve">aafp.org — Bell's palsy (AFP)</w:t>
              </w:r>
            </w:hyperlink>
          </w:p>
          <w:p>
            <w:pPr>
              <w:spacing w:before="60" w:after="40"/>
            </w:pPr>
            <w:r>
              <w:rPr>
                <w:rFonts w:ascii="Calibri" w:hAnsi="Calibri"/>
                <w:b w:val="0"/>
                <w:i w:val="0"/>
                <w:color w:val="5A5A5A"/>
                <w:sz w:val="18"/>
              </w:rPr>
              <w:t>#pregnancy  #thirdtrimester  #postpartum  #preeclampsia  #fluidretention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Outdoor / manual workers, lower-income groups</w:t>
            </w:r>
          </w:p>
        </w:tc>
        <w:tc>
          <w:tcPr>
            <w:tcW w:type="dxa" w:w="4276"/>
            <w:vAlign w:val="top"/>
          </w:tcPr>
          <w:p>
            <w:pPr>
              <w:spacing w:after="60" w:line="259" w:lineRule="auto"/>
            </w:pPr>
            <w:r>
              <w:rPr>
                <w:rFonts w:ascii="Calibri" w:hAnsi="Calibri"/>
                <w:b w:val="0"/>
                <w:i w:val="0"/>
                <w:color w:val="212121"/>
                <w:sz w:val="19"/>
              </w:rPr>
              <w:t>Occupational cold-wind and draught exposure, higher rates of undiagnosed diabetes, and delayed presentation beyond the 72-hour corticosteroid window can worsen both risk and outcomes in lower-resource settings.</w:t>
            </w:r>
          </w:p>
          <w:p>
            <w:pPr>
              <w:spacing w:after="40" w:before="60" w:line="259" w:lineRule="auto"/>
            </w:pPr>
            <w:r>
              <w:rPr>
                <w:rFonts w:ascii="Calibri" w:hAnsi="Calibri"/>
                <w:b w:val="0"/>
                <w:i w:val="0"/>
                <w:color w:val="212121"/>
                <w:sz w:val="19"/>
              </w:rPr>
              <w:t>Corticosteroids give the greatest benefit when started within 72 hours of onset, so delayed care in under-served groups is a modifiable prognostic disadvantage.</w:t>
            </w:r>
          </w:p>
          <w:p>
            <w:pPr>
              <w:spacing w:after="40" w:line="252" w:lineRule="auto"/>
            </w:pPr>
            <w:hyperlink r:id="rId12">
              <w:r>
                <w:rPr>
                  <w:rFonts w:ascii="Calibri" w:hAnsi="Calibri" w:cs="Calibri"/>
                  <w:sz w:val="18"/>
                  <w:color w:val="1155CC"/>
                  <w:u w:val="single"/>
                </w:rPr>
                <w:t xml:space="preserve">cochrane.org — corticosteroids for Bell's palsy</w:t>
              </w:r>
            </w:hyperlink>
          </w:p>
          <w:p>
            <w:pPr>
              <w:spacing w:before="60" w:after="40"/>
            </w:pPr>
            <w:r>
              <w:rPr>
                <w:rFonts w:ascii="Calibri" w:hAnsi="Calibri"/>
                <w:b w:val="0"/>
                <w:i w:val="0"/>
                <w:color w:val="5A5A5A"/>
                <w:sz w:val="18"/>
              </w:rPr>
              <w:t>#accesstocare  #treatmentdelay  #coldexposure  #undiagnoseddiabetes  #equity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hospital populations</w:t>
            </w:r>
          </w:p>
        </w:tc>
        <w:tc>
          <w:tcPr>
            <w:tcW w:type="dxa" w:w="4276"/>
            <w:vAlign w:val="top"/>
          </w:tcPr>
          <w:p>
            <w:pPr>
              <w:spacing w:after="60" w:line="259" w:lineRule="auto"/>
            </w:pPr>
            <w:r>
              <w:rPr>
                <w:rFonts w:ascii="Calibri" w:hAnsi="Calibri"/>
                <w:b w:val="0"/>
                <w:i w:val="0"/>
                <w:color w:val="212121"/>
                <w:sz w:val="19"/>
              </w:rPr>
              <w:t>Indian clinical series repeatedly identify Bell's palsy as the leading cause of acute peripheral facial palsy and of lagophthalmos (incomplete eye closure), underscoring its everyday clinical importance in India.</w:t>
            </w:r>
          </w:p>
          <w:p>
            <w:pPr>
              <w:spacing w:after="40" w:before="60" w:line="259" w:lineRule="auto"/>
            </w:pPr>
            <w:r>
              <w:rPr>
                <w:rFonts w:ascii="Calibri" w:hAnsi="Calibri"/>
                <w:b w:val="0"/>
                <w:i w:val="0"/>
                <w:color w:val="212121"/>
                <w:sz w:val="19"/>
              </w:rPr>
              <w:t>In an Indian ophthalmology cohort, Bell's palsy accounted for 35.83% of all lagophthalmos aetiologies — the single largest category.</w:t>
            </w:r>
          </w:p>
          <w:p>
            <w:pPr>
              <w:spacing w:after="40" w:line="252" w:lineRule="auto"/>
            </w:pPr>
            <w:hyperlink r:id="rId13">
              <w:r>
                <w:rPr>
                  <w:rFonts w:ascii="Calibri" w:hAnsi="Calibri" w:cs="Calibri"/>
                  <w:sz w:val="18"/>
                  <w:color w:val="1155CC"/>
                  <w:u w:val="single"/>
                </w:rPr>
                <w:t xml:space="preserve">pubmed.ncbi.nlm.nih.gov/35918976 — lagophthalmos etiology (India)</w:t>
              </w:r>
            </w:hyperlink>
          </w:p>
          <w:p>
            <w:pPr>
              <w:spacing w:before="60" w:after="40"/>
            </w:pPr>
            <w:r>
              <w:rPr>
                <w:rFonts w:ascii="Calibri" w:hAnsi="Calibri"/>
                <w:b w:val="0"/>
                <w:i w:val="0"/>
                <w:color w:val="5A5A5A"/>
                <w:sz w:val="18"/>
              </w:rPr>
              <w:t>#india  #lagophthalmos  #facialpalsy  #hospitalseries  #eyecare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season</w:t>
            </w:r>
          </w:p>
        </w:tc>
        <w:tc>
          <w:tcPr>
            <w:tcW w:type="dxa" w:w="2160"/>
            <w:vAlign w:val="top"/>
          </w:tcPr>
          <w:p>
            <w:pPr>
              <w:spacing w:after="40" w:before="0" w:line="259" w:lineRule="auto"/>
            </w:pPr>
            <w:r>
              <w:rPr>
                <w:rFonts w:ascii="Calibri" w:hAnsi="Calibri"/>
                <w:b w:val="0"/>
                <w:i w:val="0"/>
                <w:color w:val="212121"/>
                <w:sz w:val="19"/>
              </w:rPr>
              <w:t>Cold-season and North-India winter exposure</w:t>
            </w:r>
          </w:p>
        </w:tc>
        <w:tc>
          <w:tcPr>
            <w:tcW w:type="dxa" w:w="4276"/>
            <w:vAlign w:val="top"/>
          </w:tcPr>
          <w:p>
            <w:pPr>
              <w:spacing w:after="60" w:line="259" w:lineRule="auto"/>
            </w:pPr>
            <w:r>
              <w:rPr>
                <w:rFonts w:ascii="Calibri" w:hAnsi="Calibri"/>
                <w:b w:val="0"/>
                <w:i w:val="0"/>
                <w:color w:val="212121"/>
                <w:sz w:val="19"/>
              </w:rPr>
              <w:t>Direct facial chilling from cold wind or an overhead fan/air-conditioner draught is a widely reported precipitant, and clustering of cases is often noted in colder months, plausibly through cold-induced nerve vulnerability and viral reactivation.</w:t>
            </w:r>
          </w:p>
          <w:p>
            <w:pPr>
              <w:spacing w:after="40" w:before="60" w:line="259" w:lineRule="auto"/>
            </w:pPr>
            <w:r>
              <w:rPr>
                <w:rFonts w:ascii="Calibri" w:hAnsi="Calibri"/>
                <w:b w:val="0"/>
                <w:i w:val="0"/>
                <w:color w:val="212121"/>
                <w:sz w:val="19"/>
              </w:rPr>
              <w:t>Cold-wind or direct-draught exposure to the face is a commonly reported trigger; the association reflects cold exposure rather than any single climate zone.</w:t>
            </w:r>
          </w:p>
          <w:p>
            <w:pPr>
              <w:spacing w:before="60" w:after="40"/>
            </w:pPr>
            <w:r>
              <w:rPr>
                <w:rFonts w:ascii="Calibri" w:hAnsi="Calibri"/>
                <w:b w:val="0"/>
                <w:i w:val="0"/>
                <w:color w:val="5A5A5A"/>
                <w:sz w:val="18"/>
              </w:rPr>
              <w:t>#coldwind  #draught  #seasonal  #winter  #trigger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metabolically unhealthy</w:t>
            </w:r>
          </w:p>
        </w:tc>
        <w:tc>
          <w:tcPr>
            <w:tcW w:type="dxa" w:w="2160"/>
            <w:vAlign w:val="top"/>
          </w:tcPr>
          <w:p>
            <w:pPr>
              <w:spacing w:after="40" w:before="0" w:line="259" w:lineRule="auto"/>
            </w:pPr>
            <w:r>
              <w:rPr>
                <w:rFonts w:ascii="Calibri" w:hAnsi="Calibri"/>
                <w:b w:val="0"/>
                <w:i w:val="0"/>
                <w:color w:val="212121"/>
                <w:sz w:val="19"/>
              </w:rPr>
              <w:t>Physically inactive, overweight adults</w:t>
            </w:r>
          </w:p>
        </w:tc>
        <w:tc>
          <w:tcPr>
            <w:tcW w:type="dxa" w:w="4276"/>
            <w:vAlign w:val="top"/>
          </w:tcPr>
          <w:p>
            <w:pPr>
              <w:spacing w:after="60" w:line="259" w:lineRule="auto"/>
            </w:pPr>
            <w:r>
              <w:rPr>
                <w:rFonts w:ascii="Calibri" w:hAnsi="Calibri"/>
                <w:b w:val="0"/>
                <w:i w:val="0"/>
                <w:color w:val="212121"/>
                <w:sz w:val="19"/>
              </w:rPr>
              <w:t>Physical inactivity promotes the diabetes, obesity and hypertension that are the metabolic conditions most strongly linked to Bell's palsy and to poorer recovery; the effect on the facial nerve is therefore largely indirect.</w:t>
            </w:r>
          </w:p>
          <w:p>
            <w:pPr>
              <w:spacing w:after="40" w:before="60" w:line="259" w:lineRule="auto"/>
            </w:pPr>
            <w:r>
              <w:rPr>
                <w:rFonts w:ascii="Calibri" w:hAnsi="Calibri"/>
                <w:b w:val="0"/>
                <w:i w:val="0"/>
                <w:color w:val="212121"/>
                <w:sz w:val="19"/>
              </w:rPr>
              <w:t>Obesity is listed among the recognised risk factors for Bell's palsy, and diabetes roughly doubles the risk (OR ~2.4).</w:t>
            </w:r>
          </w:p>
          <w:p>
            <w:pPr>
              <w:spacing w:after="40" w:line="252" w:lineRule="auto"/>
            </w:pPr>
            <w:hyperlink r:id="rId14">
              <w:r>
                <w:rPr>
                  <w:rFonts w:ascii="Calibri" w:hAnsi="Calibri" w:cs="Calibri"/>
                  <w:sz w:val="18"/>
                  <w:color w:val="1155CC"/>
                  <w:u w:val="single"/>
                </w:rPr>
                <w:t xml:space="preserve">pubmed.ncbi.nlm.nih.gov/40838411 — Bell's palsy risk factors (n=281,600)</w:t>
              </w:r>
            </w:hyperlink>
          </w:p>
          <w:p>
            <w:pPr>
              <w:spacing w:before="60" w:after="40"/>
            </w:pPr>
            <w:r>
              <w:rPr>
                <w:rFonts w:ascii="Calibri" w:hAnsi="Calibri"/>
                <w:b w:val="0"/>
                <w:i w:val="0"/>
                <w:color w:val="5A5A5A"/>
                <w:sz w:val="18"/>
              </w:rPr>
              <w:t>#sedentary  #obesity  #metabolicrisk  #insulinresistance  #indirectrisk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diabetic smokers</w:t>
            </w:r>
          </w:p>
        </w:tc>
        <w:tc>
          <w:tcPr>
            <w:tcW w:type="dxa" w:w="4276"/>
            <w:vAlign w:val="top"/>
          </w:tcPr>
          <w:p>
            <w:pPr>
              <w:spacing w:after="60" w:line="259" w:lineRule="auto"/>
            </w:pPr>
            <w:r>
              <w:rPr>
                <w:rFonts w:ascii="Calibri" w:hAnsi="Calibri"/>
                <w:b w:val="0"/>
                <w:i w:val="0"/>
                <w:color w:val="212121"/>
                <w:sz w:val="19"/>
              </w:rPr>
              <w:t>Direct evidence linking smoking to Bell's palsy is limited; the plausible contribution is indirect, through microvascular injury and worsened glycaemic control that compromise the nerve's blood supply.</w:t>
            </w:r>
          </w:p>
          <w:p>
            <w:pPr>
              <w:spacing w:after="40" w:before="60" w:line="259" w:lineRule="auto"/>
            </w:pPr>
            <w:r>
              <w:rPr>
                <w:rFonts w:ascii="Calibri" w:hAnsi="Calibri"/>
                <w:b w:val="0"/>
                <w:i w:val="0"/>
                <w:color w:val="212121"/>
                <w:sz w:val="19"/>
              </w:rPr>
              <w:t>Smoking is not an established independent risk factor for Bell's palsy but aggravates the diabetic and vascular pathways that predispose to it.</w:t>
            </w:r>
          </w:p>
          <w:p>
            <w:pPr>
              <w:spacing w:before="60" w:after="40"/>
            </w:pPr>
            <w:r>
              <w:rPr>
                <w:rFonts w:ascii="Calibri" w:hAnsi="Calibri"/>
                <w:b w:val="0"/>
                <w:i w:val="0"/>
                <w:color w:val="5A5A5A"/>
                <w:sz w:val="18"/>
              </w:rPr>
              <w:t>#smoking  #microvascular  #vasanervorum  #indirect  #cessation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No robust direct association exists; heavy alcohol use can impair immunity and glycaemic control and aggravate coexisting neuropathy, indirectly worsening nerve resilience and recovery.</w:t>
            </w:r>
          </w:p>
          <w:p>
            <w:pPr>
              <w:spacing w:after="40" w:before="60" w:line="259" w:lineRule="auto"/>
            </w:pPr>
            <w:r>
              <w:rPr>
                <w:rFonts w:ascii="Calibri" w:hAnsi="Calibri"/>
                <w:b w:val="0"/>
                <w:i w:val="0"/>
                <w:color w:val="212121"/>
                <w:sz w:val="19"/>
              </w:rPr>
              <w:t>Alcohol has no established direct causal link with Bell's palsy; effects are indirect via immune and metabolic pathways.</w:t>
            </w:r>
          </w:p>
          <w:p>
            <w:pPr>
              <w:spacing w:before="60" w:after="40"/>
            </w:pPr>
            <w:r>
              <w:rPr>
                <w:rFonts w:ascii="Calibri" w:hAnsi="Calibri"/>
                <w:b w:val="0"/>
                <w:i w:val="0"/>
                <w:color w:val="5A5A5A"/>
                <w:sz w:val="18"/>
              </w:rPr>
              <w:t>#alcohol  #immunity  #neuropathy  #indirect  #moderation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Provoking exposures</w:t>
            </w:r>
          </w:p>
        </w:tc>
        <w:tc>
          <w:tcPr>
            <w:tcW w:type="dxa" w:w="2160"/>
            <w:vAlign w:val="top"/>
          </w:tcPr>
          <w:p>
            <w:pPr>
              <w:spacing w:after="40" w:before="0" w:line="259" w:lineRule="auto"/>
            </w:pPr>
            <w:r>
              <w:rPr>
                <w:rFonts w:ascii="Calibri" w:hAnsi="Calibri"/>
                <w:b w:val="0"/>
                <w:i w:val="0"/>
                <w:color w:val="212121"/>
                <w:sz w:val="19"/>
              </w:rPr>
              <w:t>Recent URI, dental procedure, cold draught, acute stress</w:t>
            </w:r>
          </w:p>
        </w:tc>
        <w:tc>
          <w:tcPr>
            <w:tcW w:type="dxa" w:w="4276"/>
            <w:vAlign w:val="top"/>
          </w:tcPr>
          <w:p>
            <w:pPr>
              <w:spacing w:after="60" w:line="259" w:lineRule="auto"/>
            </w:pPr>
            <w:r>
              <w:rPr>
                <w:rFonts w:ascii="Calibri" w:hAnsi="Calibri"/>
                <w:b w:val="0"/>
                <w:i w:val="0"/>
                <w:color w:val="212121"/>
                <w:sz w:val="19"/>
              </w:rPr>
              <w:t>Reactivation of latent HSV-1 — often after a viral upper-respiratory illness, dental manipulation, facial cold exposure or acute stress — is the presumed final common trigger that inflames and swells the facial nerve.</w:t>
            </w:r>
          </w:p>
          <w:p>
            <w:pPr>
              <w:spacing w:after="40" w:before="60" w:line="259" w:lineRule="auto"/>
            </w:pPr>
            <w:r>
              <w:rPr>
                <w:rFonts w:ascii="Calibri" w:hAnsi="Calibri"/>
                <w:b w:val="0"/>
                <w:i w:val="0"/>
                <w:color w:val="212121"/>
                <w:sz w:val="19"/>
              </w:rPr>
              <w:t>In an Indian cross-sectional review, facial paralysis followed dental treatment in 18 of 2,543 subjects (0.70%), with a mean onset of about 3.8 days after the procedure.</w:t>
            </w:r>
          </w:p>
          <w:p>
            <w:pPr>
              <w:spacing w:after="40" w:line="252" w:lineRule="auto"/>
            </w:pPr>
            <w:hyperlink r:id="rId10">
              <w:r>
                <w:rPr>
                  <w:rFonts w:ascii="Calibri" w:hAnsi="Calibri" w:cs="Calibri"/>
                  <w:sz w:val="18"/>
                  <w:color w:val="1155CC"/>
                  <w:u w:val="single"/>
                </w:rPr>
                <w:t xml:space="preserve">ncbi.nlm.nih.gov — StatPearls: Bell Palsy</w:t>
              </w:r>
            </w:hyperlink>
          </w:p>
          <w:p>
            <w:pPr>
              <w:spacing w:before="60" w:after="40"/>
            </w:pPr>
            <w:r>
              <w:rPr>
                <w:rFonts w:ascii="Calibri" w:hAnsi="Calibri"/>
                <w:b w:val="0"/>
                <w:i w:val="0"/>
                <w:color w:val="5A5A5A"/>
                <w:sz w:val="18"/>
              </w:rPr>
              <w:t>#HSVreactivation  #URI  #dentalprocedure  #stress  #trigger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High-glycaemic / refined-carbohydrate diet</w:t>
            </w:r>
          </w:p>
        </w:tc>
        <w:tc>
          <w:tcPr>
            <w:tcW w:type="dxa" w:w="2160"/>
            <w:vAlign w:val="top"/>
          </w:tcPr>
          <w:p>
            <w:pPr>
              <w:spacing w:after="40" w:before="0" w:line="259" w:lineRule="auto"/>
            </w:pPr>
            <w:r>
              <w:rPr>
                <w:rFonts w:ascii="Calibri" w:hAnsi="Calibri"/>
                <w:b w:val="0"/>
                <w:i w:val="0"/>
                <w:color w:val="212121"/>
                <w:sz w:val="19"/>
              </w:rPr>
              <w:t>High-GI, sugar-sweetened-beverage consumers</w:t>
            </w:r>
          </w:p>
        </w:tc>
        <w:tc>
          <w:tcPr>
            <w:tcW w:type="dxa" w:w="4276"/>
            <w:vAlign w:val="top"/>
          </w:tcPr>
          <w:p>
            <w:pPr>
              <w:spacing w:after="60" w:line="259" w:lineRule="auto"/>
            </w:pPr>
            <w:r>
              <w:rPr>
                <w:rFonts w:ascii="Calibri" w:hAnsi="Calibri"/>
                <w:b w:val="0"/>
                <w:i w:val="0"/>
                <w:color w:val="212121"/>
                <w:sz w:val="19"/>
              </w:rPr>
              <w:t>Energy-dense, high-glycaemic eating patterns — common with refined rice/wheat staples and sweetened drinks in India — drive insulin resistance and type 2 diabetes, the leading modifiable condition associated with Bell's palsy.</w:t>
            </w:r>
          </w:p>
          <w:p>
            <w:pPr>
              <w:spacing w:after="40" w:before="60" w:line="259" w:lineRule="auto"/>
            </w:pPr>
            <w:r>
              <w:rPr>
                <w:rFonts w:ascii="Calibri" w:hAnsi="Calibri"/>
                <w:b w:val="0"/>
                <w:i w:val="0"/>
                <w:color w:val="212121"/>
                <w:sz w:val="19"/>
              </w:rPr>
              <w:t>Diabetes, which is fuelled by high-glycaemic diets, carries an odds ratio of about 2.4 for Bell's palsy and predicts poorer recovery.</w:t>
            </w:r>
          </w:p>
          <w:p>
            <w:pPr>
              <w:spacing w:after="40" w:line="252" w:lineRule="auto"/>
            </w:pPr>
            <w:hyperlink r:id="rId14">
              <w:r>
                <w:rPr>
                  <w:rFonts w:ascii="Calibri" w:hAnsi="Calibri" w:cs="Calibri"/>
                  <w:sz w:val="18"/>
                  <w:color w:val="1155CC"/>
                  <w:u w:val="single"/>
                </w:rPr>
                <w:t xml:space="preserve">pubmed.ncbi.nlm.nih.gov/40838411 — Bell's palsy risk factors</w:t>
              </w:r>
            </w:hyperlink>
          </w:p>
          <w:p>
            <w:pPr>
              <w:spacing w:before="60" w:after="40"/>
            </w:pPr>
            <w:r>
              <w:rPr>
                <w:rFonts w:ascii="Calibri" w:hAnsi="Calibri"/>
                <w:b w:val="0"/>
                <w:i w:val="0"/>
                <w:color w:val="5A5A5A"/>
                <w:sz w:val="18"/>
              </w:rPr>
              <w:t>#highGI  #refinedcarbs  #diabetes  #insulinresistance  #indiandiet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Micronutrient-poor / low-immunity diet</w:t>
            </w:r>
          </w:p>
        </w:tc>
        <w:tc>
          <w:tcPr>
            <w:tcW w:type="dxa" w:w="2160"/>
            <w:vAlign w:val="top"/>
          </w:tcPr>
          <w:p>
            <w:pPr>
              <w:spacing w:after="40" w:before="0" w:line="259" w:lineRule="auto"/>
            </w:pPr>
            <w:r>
              <w:rPr>
                <w:rFonts w:ascii="Calibri" w:hAnsi="Calibri"/>
                <w:b w:val="0"/>
                <w:i w:val="0"/>
                <w:color w:val="212121"/>
                <w:sz w:val="19"/>
              </w:rPr>
              <w:t>Diets low in protein, vitamin D and B-vitamins</w:t>
            </w:r>
          </w:p>
        </w:tc>
        <w:tc>
          <w:tcPr>
            <w:tcW w:type="dxa" w:w="4276"/>
            <w:vAlign w:val="top"/>
          </w:tcPr>
          <w:p>
            <w:pPr>
              <w:spacing w:after="60" w:line="259" w:lineRule="auto"/>
            </w:pPr>
            <w:r>
              <w:rPr>
                <w:rFonts w:ascii="Calibri" w:hAnsi="Calibri"/>
                <w:b w:val="0"/>
                <w:i w:val="0"/>
                <w:color w:val="212121"/>
                <w:sz w:val="19"/>
              </w:rPr>
              <w:t>Diets deficient in protein and key micronutrients (vitamin D, B-vitamins) may impair antiviral immunity and nerve repair, plausibly increasing susceptibility to reactivation-triggered palsy and slowing recovery, though direct evidence is limited.</w:t>
            </w:r>
          </w:p>
          <w:p>
            <w:pPr>
              <w:spacing w:after="40" w:before="60" w:line="259" w:lineRule="auto"/>
            </w:pPr>
            <w:r>
              <w:rPr>
                <w:rFonts w:ascii="Calibri" w:hAnsi="Calibri"/>
                <w:b w:val="0"/>
                <w:i w:val="0"/>
                <w:color w:val="212121"/>
                <w:sz w:val="19"/>
              </w:rPr>
              <w:t>Adequate protein and micronutrient intake supports antiviral immunity and nerve health; specific dietary deficiencies are a plausible but not firmly quantified risk.</w:t>
            </w:r>
          </w:p>
          <w:p>
            <w:pPr>
              <w:spacing w:before="60" w:after="40"/>
            </w:pPr>
            <w:r>
              <w:rPr>
                <w:rFonts w:ascii="Calibri" w:hAnsi="Calibri"/>
                <w:b w:val="0"/>
                <w:i w:val="0"/>
                <w:color w:val="5A5A5A"/>
                <w:sz w:val="18"/>
              </w:rPr>
              <w:t>#micronutrients  #vitaminD  #Bvitamins  #immunity  #nerverepair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recurrence</w:t>
            </w:r>
          </w:p>
        </w:tc>
        <w:tc>
          <w:tcPr>
            <w:tcW w:type="dxa" w:w="2160"/>
            <w:vAlign w:val="top"/>
          </w:tcPr>
          <w:p>
            <w:pPr>
              <w:spacing w:after="40" w:before="0" w:line="259" w:lineRule="auto"/>
            </w:pPr>
            <w:r>
              <w:rPr>
                <w:rFonts w:ascii="Calibri" w:hAnsi="Calibri"/>
                <w:b w:val="0"/>
                <w:i w:val="0"/>
                <w:color w:val="212121"/>
                <w:sz w:val="19"/>
              </w:rPr>
              <w:t>Familial clustering, prior Bell's palsy</w:t>
            </w:r>
          </w:p>
        </w:tc>
        <w:tc>
          <w:tcPr>
            <w:tcW w:type="dxa" w:w="4276"/>
            <w:vAlign w:val="top"/>
          </w:tcPr>
          <w:p>
            <w:pPr>
              <w:spacing w:after="60" w:line="259" w:lineRule="auto"/>
            </w:pPr>
            <w:r>
              <w:rPr>
                <w:rFonts w:ascii="Calibri" w:hAnsi="Calibri"/>
                <w:b w:val="0"/>
                <w:i w:val="0"/>
                <w:color w:val="212121"/>
                <w:sz w:val="19"/>
              </w:rPr>
              <w:t>A minority of patients show familial clustering and HLA associations, suggesting an inherited susceptibility to nerve oedema and viral reactivation; a previous episode is itself a strong marker of recurrence.</w:t>
            </w:r>
          </w:p>
          <w:p>
            <w:pPr>
              <w:spacing w:after="40" w:before="60" w:line="259" w:lineRule="auto"/>
            </w:pPr>
            <w:r>
              <w:rPr>
                <w:rFonts w:ascii="Calibri" w:hAnsi="Calibri"/>
                <w:b w:val="0"/>
                <w:i w:val="0"/>
                <w:color w:val="212121"/>
                <w:sz w:val="19"/>
              </w:rPr>
              <w:t>Recurrence occurs in about 8–12% of patients, with a mean latency of roughly 10 years between episodes; recurrent or bilateral palsy shows a higher diabetes frequency (28.4%).</w:t>
            </w:r>
          </w:p>
          <w:p>
            <w:pPr>
              <w:spacing w:after="40" w:line="252" w:lineRule="auto"/>
            </w:pPr>
            <w:hyperlink r:id="rId10">
              <w:r>
                <w:rPr>
                  <w:rFonts w:ascii="Calibri" w:hAnsi="Calibri" w:cs="Calibri"/>
                  <w:sz w:val="18"/>
                  <w:color w:val="1155CC"/>
                  <w:u w:val="single"/>
                </w:rPr>
                <w:t xml:space="preserve">ncbi.nlm.nih.gov — StatPearls: Bell Palsy</w:t>
              </w:r>
            </w:hyperlink>
          </w:p>
          <w:p>
            <w:pPr>
              <w:spacing w:before="60" w:after="40"/>
            </w:pPr>
            <w:r>
              <w:rPr>
                <w:rFonts w:ascii="Calibri" w:hAnsi="Calibri"/>
                <w:b w:val="0"/>
                <w:i w:val="0"/>
                <w:color w:val="5A5A5A"/>
                <w:sz w:val="18"/>
              </w:rPr>
              <w:t>#familyhistory  #recurrence  #HLA  #inherited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w:t>
            </w:r>
          </w:p>
        </w:tc>
        <w:tc>
          <w:tcPr>
            <w:tcW w:type="dxa" w:w="4276"/>
            <w:vAlign w:val="top"/>
          </w:tcPr>
          <w:p>
            <w:pPr>
              <w:spacing w:after="60" w:line="259" w:lineRule="auto"/>
            </w:pPr>
            <w:r>
              <w:rPr>
                <w:rFonts w:ascii="Calibri" w:hAnsi="Calibri"/>
                <w:b w:val="0"/>
                <w:i w:val="0"/>
                <w:color w:val="212121"/>
                <w:sz w:val="19"/>
              </w:rPr>
              <w:t>Chronic hyperglycaemia injures the vasa nervorum of the facial nerve, predisposing to palsy and impairing regeneration; diabetes is also over-represented among Bell's palsy patients and complicates corticosteroid therapy.</w:t>
            </w:r>
          </w:p>
          <w:p>
            <w:pPr>
              <w:spacing w:after="40" w:before="60" w:line="259" w:lineRule="auto"/>
            </w:pPr>
            <w:r>
              <w:rPr>
                <w:rFonts w:ascii="Calibri" w:hAnsi="Calibri"/>
                <w:b w:val="0"/>
                <w:i w:val="0"/>
                <w:color w:val="212121"/>
                <w:sz w:val="19"/>
              </w:rPr>
              <w:t>Diabetes mellitus carries an odds ratio of about 2.4 for Bell's palsy and was present in 11.4% of 684 patients with Bell's palsy (rising to 28.4% in recurrent or bilateral cases).</w:t>
            </w:r>
          </w:p>
          <w:p>
            <w:pPr>
              <w:spacing w:after="40" w:line="252" w:lineRule="auto"/>
            </w:pPr>
            <w:hyperlink r:id="rId15">
              <w:r>
                <w:rPr>
                  <w:rFonts w:ascii="Calibri" w:hAnsi="Calibri" w:cs="Calibri"/>
                  <w:sz w:val="18"/>
                  <w:color w:val="1155CC"/>
                  <w:u w:val="single"/>
                </w:rPr>
                <w:t xml:space="preserve">pubmed.ncbi.nlm.nih.gov/1126588 — diabetes &amp; Bell's palsy</w:t>
              </w:r>
            </w:hyperlink>
          </w:p>
          <w:p>
            <w:pPr>
              <w:spacing w:before="60" w:after="40"/>
            </w:pPr>
            <w:r>
              <w:rPr>
                <w:rFonts w:ascii="Calibri" w:hAnsi="Calibri"/>
                <w:b w:val="0"/>
                <w:i w:val="0"/>
                <w:color w:val="5A5A5A"/>
                <w:sz w:val="18"/>
              </w:rPr>
              <w:t>#diabetes  #vasanervorum  #worserecovery  #steroidcaution  #OR2point4</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 / pre-eclampsia</w:t>
            </w:r>
          </w:p>
        </w:tc>
        <w:tc>
          <w:tcPr>
            <w:tcW w:type="dxa" w:w="2160"/>
            <w:vAlign w:val="top"/>
          </w:tcPr>
          <w:p>
            <w:pPr>
              <w:spacing w:after="40" w:before="0" w:line="259" w:lineRule="auto"/>
            </w:pPr>
            <w:r>
              <w:rPr>
                <w:rFonts w:ascii="Calibri" w:hAnsi="Calibri"/>
                <w:b w:val="0"/>
                <w:i w:val="0"/>
                <w:color w:val="212121"/>
                <w:sz w:val="19"/>
              </w:rPr>
              <w:t>Third-trimester and postpartum women</w:t>
            </w:r>
          </w:p>
        </w:tc>
        <w:tc>
          <w:tcPr>
            <w:tcW w:type="dxa" w:w="4276"/>
            <w:vAlign w:val="top"/>
          </w:tcPr>
          <w:p>
            <w:pPr>
              <w:spacing w:after="60" w:line="259" w:lineRule="auto"/>
            </w:pPr>
            <w:r>
              <w:rPr>
                <w:rFonts w:ascii="Calibri" w:hAnsi="Calibri"/>
                <w:b w:val="0"/>
                <w:i w:val="0"/>
                <w:color w:val="212121"/>
                <w:sz w:val="19"/>
              </w:rPr>
              <w:t>Pregnancy-associated fluid retention, immune modulation and hypercoagulability increase susceptibility, and hypertensive disorders of pregnancy add further risk; pregnant patients are prone to more severe palsy and poorer outcomes.</w:t>
            </w:r>
          </w:p>
          <w:p>
            <w:pPr>
              <w:spacing w:after="40" w:before="60" w:line="259" w:lineRule="auto"/>
            </w:pPr>
            <w:r>
              <w:rPr>
                <w:rFonts w:ascii="Calibri" w:hAnsi="Calibri"/>
                <w:b w:val="0"/>
                <w:i w:val="0"/>
                <w:color w:val="212121"/>
                <w:sz w:val="19"/>
              </w:rPr>
              <w:t>Incidence and severity of Bell's palsy are increased in pregnancy, with most cases arising in the third trimester or postpartum period, and pregnant patients are at higher risk of worse outcomes.</w:t>
            </w:r>
          </w:p>
          <w:p>
            <w:pPr>
              <w:spacing w:after="40" w:line="252" w:lineRule="auto"/>
            </w:pPr>
            <w:hyperlink r:id="rId10">
              <w:r>
                <w:rPr>
                  <w:rFonts w:ascii="Calibri" w:hAnsi="Calibri" w:cs="Calibri"/>
                  <w:sz w:val="18"/>
                  <w:color w:val="1155CC"/>
                  <w:u w:val="single"/>
                </w:rPr>
                <w:t xml:space="preserve">ncbi.nlm.nih.gov — StatPearls: Bell Palsy</w:t>
              </w:r>
            </w:hyperlink>
          </w:p>
          <w:p>
            <w:pPr>
              <w:spacing w:before="60" w:after="40"/>
            </w:pPr>
            <w:r>
              <w:rPr>
                <w:rFonts w:ascii="Calibri" w:hAnsi="Calibri"/>
                <w:b w:val="0"/>
                <w:i w:val="0"/>
                <w:color w:val="5A5A5A"/>
                <w:sz w:val="18"/>
              </w:rPr>
              <w:t>#pregnancy  #preeclampsia  #postpartum  #severe  #obstetric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viral / upper-respiratory infection</w:t>
            </w:r>
          </w:p>
        </w:tc>
        <w:tc>
          <w:tcPr>
            <w:tcW w:type="dxa" w:w="2160"/>
            <w:vAlign w:val="top"/>
          </w:tcPr>
          <w:p>
            <w:pPr>
              <w:spacing w:after="40" w:before="0" w:line="259" w:lineRule="auto"/>
            </w:pPr>
            <w:r>
              <w:rPr>
                <w:rFonts w:ascii="Calibri" w:hAnsi="Calibri"/>
                <w:b w:val="0"/>
                <w:i w:val="0"/>
                <w:color w:val="212121"/>
                <w:sz w:val="19"/>
              </w:rPr>
              <w:t>Post-URI and post-COVID-19 patients</w:t>
            </w:r>
          </w:p>
        </w:tc>
        <w:tc>
          <w:tcPr>
            <w:tcW w:type="dxa" w:w="4276"/>
            <w:vAlign w:val="top"/>
          </w:tcPr>
          <w:p>
            <w:pPr>
              <w:spacing w:after="60" w:line="259" w:lineRule="auto"/>
            </w:pPr>
            <w:r>
              <w:rPr>
                <w:rFonts w:ascii="Calibri" w:hAnsi="Calibri"/>
                <w:b w:val="0"/>
                <w:i w:val="0"/>
                <w:color w:val="212121"/>
                <w:sz w:val="19"/>
              </w:rPr>
              <w:t>A recent viral upper-respiratory illness commonly precedes the palsy, consistent with a post-viral, immune-mediated mechanism; SARS-CoV-2 infection has been linked to a marked rise in risk.</w:t>
            </w:r>
          </w:p>
          <w:p>
            <w:pPr>
              <w:spacing w:after="40" w:before="60" w:line="259" w:lineRule="auto"/>
            </w:pPr>
            <w:r>
              <w:rPr>
                <w:rFonts w:ascii="Calibri" w:hAnsi="Calibri"/>
                <w:b w:val="0"/>
                <w:i w:val="0"/>
                <w:color w:val="212121"/>
                <w:sz w:val="19"/>
              </w:rPr>
              <w:t>The risk of Bell's palsy is significantly higher after COVID-19 infection (relative risk ~3.2), and higher after mRNA COVID-19 vaccination than in the unvaccinated (~3.6-fold), though infection confers greater risk than vaccination.</w:t>
            </w:r>
          </w:p>
          <w:p>
            <w:pPr>
              <w:spacing w:after="40" w:line="252" w:lineRule="auto"/>
            </w:pPr>
            <w:hyperlink r:id="rId10">
              <w:r>
                <w:rPr>
                  <w:rFonts w:ascii="Calibri" w:hAnsi="Calibri" w:cs="Calibri"/>
                  <w:sz w:val="18"/>
                  <w:color w:val="1155CC"/>
                  <w:u w:val="single"/>
                </w:rPr>
                <w:t xml:space="preserve">ncbi.nlm.nih.gov — StatPearls: Bell Palsy</w:t>
              </w:r>
            </w:hyperlink>
          </w:p>
          <w:p>
            <w:pPr>
              <w:spacing w:before="60" w:after="40"/>
            </w:pPr>
            <w:r>
              <w:rPr>
                <w:rFonts w:ascii="Calibri" w:hAnsi="Calibri"/>
                <w:b w:val="0"/>
                <w:i w:val="0"/>
                <w:color w:val="5A5A5A"/>
                <w:sz w:val="18"/>
              </w:rPr>
              <w:t>#viraltrigger  #URI  #COVID19  #postviral  #immunemediated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chronic stress</w:t>
            </w:r>
          </w:p>
        </w:tc>
        <w:tc>
          <w:tcPr>
            <w:tcW w:type="dxa" w:w="2160"/>
            <w:vAlign w:val="top"/>
          </w:tcPr>
          <w:p>
            <w:pPr>
              <w:spacing w:after="40" w:before="0" w:line="259" w:lineRule="auto"/>
            </w:pPr>
            <w:r>
              <w:rPr>
                <w:rFonts w:ascii="Calibri" w:hAnsi="Calibri"/>
                <w:b w:val="0"/>
                <w:i w:val="0"/>
                <w:color w:val="212121"/>
                <w:sz w:val="19"/>
              </w:rPr>
              <w:t>Patients with depression or high stress load</w:t>
            </w:r>
          </w:p>
        </w:tc>
        <w:tc>
          <w:tcPr>
            <w:tcW w:type="dxa" w:w="4276"/>
            <w:vAlign w:val="top"/>
          </w:tcPr>
          <w:p>
            <w:pPr>
              <w:spacing w:after="60" w:line="259" w:lineRule="auto"/>
            </w:pPr>
            <w:r>
              <w:rPr>
                <w:rFonts w:ascii="Calibri" w:hAnsi="Calibri"/>
                <w:b w:val="0"/>
                <w:i w:val="0"/>
                <w:color w:val="212121"/>
                <w:sz w:val="19"/>
              </w:rPr>
              <w:t>Pre-existing depression and acute stress are associated with onset (plausibly via neuro-immune modulation of viral reactivation), while the visible facial deficit itself frequently precipitates new anxiety and depression — a bidirectional relationship.</w:t>
            </w:r>
          </w:p>
          <w:p>
            <w:pPr>
              <w:spacing w:after="40" w:before="60" w:line="259" w:lineRule="auto"/>
            </w:pPr>
            <w:r>
              <w:rPr>
                <w:rFonts w:ascii="Calibri" w:hAnsi="Calibri"/>
                <w:b w:val="0"/>
                <w:i w:val="0"/>
                <w:color w:val="212121"/>
                <w:sz w:val="19"/>
              </w:rPr>
              <w:t>In a real-world analysis, depression was associated with Bell's palsy at an odds ratio of about 2.05.</w:t>
            </w:r>
          </w:p>
          <w:p>
            <w:pPr>
              <w:spacing w:after="40" w:line="252" w:lineRule="auto"/>
            </w:pPr>
            <w:hyperlink r:id="rId14">
              <w:r>
                <w:rPr>
                  <w:rFonts w:ascii="Calibri" w:hAnsi="Calibri" w:cs="Calibri"/>
                  <w:sz w:val="18"/>
                  <w:color w:val="1155CC"/>
                  <w:u w:val="single"/>
                </w:rPr>
                <w:t xml:space="preserve">pubmed.ncbi.nlm.nih.gov/40838411 — Bell's palsy risk factors</w:t>
              </w:r>
            </w:hyperlink>
          </w:p>
          <w:p>
            <w:pPr>
              <w:spacing w:before="60" w:after="40"/>
            </w:pPr>
            <w:r>
              <w:rPr>
                <w:rFonts w:ascii="Calibri" w:hAnsi="Calibri"/>
                <w:b w:val="0"/>
                <w:i w:val="0"/>
                <w:color w:val="5A5A5A"/>
                <w:sz w:val="18"/>
              </w:rPr>
              <w:t>#depression  #stress  #neuroimmune  #bidirectional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Adults with obesity</w:t>
            </w:r>
          </w:p>
        </w:tc>
        <w:tc>
          <w:tcPr>
            <w:tcW w:type="dxa" w:w="4276"/>
            <w:vAlign w:val="top"/>
          </w:tcPr>
          <w:p>
            <w:pPr>
              <w:spacing w:after="60" w:line="259" w:lineRule="auto"/>
            </w:pPr>
            <w:r>
              <w:rPr>
                <w:rFonts w:ascii="Calibri" w:hAnsi="Calibri"/>
                <w:b w:val="0"/>
                <w:i w:val="0"/>
                <w:color w:val="212121"/>
                <w:sz w:val="19"/>
              </w:rPr>
              <w:t>Obesity clusters with diabetes and hypertension and is itself listed among the recognised risk factors, contributing to the metabolic-microvascular milieu that predisposes the facial nerve to injury.</w:t>
            </w:r>
          </w:p>
          <w:p>
            <w:pPr>
              <w:spacing w:after="40" w:before="60" w:line="259" w:lineRule="auto"/>
            </w:pPr>
            <w:r>
              <w:rPr>
                <w:rFonts w:ascii="Calibri" w:hAnsi="Calibri"/>
                <w:b w:val="0"/>
                <w:i w:val="0"/>
                <w:color w:val="212121"/>
                <w:sz w:val="19"/>
              </w:rPr>
              <w:t>Obesity is among the documented risk factors for Bell's palsy and overlaps mechanistically with diabetes (OR ~2.4) and hypertension.</w:t>
            </w:r>
          </w:p>
          <w:p>
            <w:pPr>
              <w:spacing w:after="40" w:line="252" w:lineRule="auto"/>
            </w:pPr>
            <w:hyperlink r:id="rId10">
              <w:r>
                <w:rPr>
                  <w:rFonts w:ascii="Calibri" w:hAnsi="Calibri" w:cs="Calibri"/>
                  <w:sz w:val="18"/>
                  <w:color w:val="1155CC"/>
                  <w:u w:val="single"/>
                </w:rPr>
                <w:t xml:space="preserve">ncbi.nlm.nih.gov — StatPearls: Bell Palsy</w:t>
              </w:r>
            </w:hyperlink>
          </w:p>
          <w:p>
            <w:pPr>
              <w:spacing w:before="60" w:after="40"/>
            </w:pPr>
            <w:r>
              <w:rPr>
                <w:rFonts w:ascii="Calibri" w:hAnsi="Calibri"/>
                <w:b w:val="0"/>
                <w:i w:val="0"/>
                <w:color w:val="5A5A5A"/>
                <w:sz w:val="18"/>
              </w:rPr>
              <w:t>#obesity  #metabolicsyndrome  #visceralfat  #hypertension  #riskfactor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but regular activity lowers the risk of diabetes, obesity and hypertension — the metabolic conditions most strongly associated with Bell's palsy and with poorer recovery. Neuromuscular facial exercises aid rehabilitation once movement returns.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indirectly: high-glycaemic, energy-dense eating drives insulin resistance and diabetes (OR ~2.4 for Bell's palsy), whereas balanced, micronutrient-adequate intake supports antiviral immunity and nerve repair.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and circadian disruption suppress cell-mediated immunity and are recognised precipitants of latent HSV-1 reactivation, the presumed trigger of most cases.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for an independent effect is limited; smoking mainly contributes indirectly through microvascular injury and worsened glycaemic control.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association; heavy use can impair immunity and glycaemic control and aggravate coexisting neuropathy.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stress and depression are associated with onset (depression OR ~2.05), and the visible facial deficit in turn commonly precipitates anxiety and depression —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role in causation; adequate hydration and tear-film support are general supportive measures, chiefly relevant to protecting the exposed eye.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recognised association with Bell's palsy risk or recovery.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Meticulous eye hygiene and lubrication are critical to prevent exposure keratopathy in the paralysed eye; ear examination/hygiene helps exclude otitis media and Ramsay Hunt as secondary causes.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Recent upper-respiratory/viral illness, HSV-1 reactivation, cold-wind or direct-draught exposure to the face, dental procedures, pregnancy and acute stress are the principal recognised precipitants.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causal link; a widely reported folk association with sleeping under a direct fan or air-conditioner draught reflects cold exposure rather than posture itself.</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Time from onset to starting corticosteroids (hours)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 72 hours</w:t>
            </w:r>
          </w:p>
        </w:tc>
        <w:tc>
          <w:tcPr>
            <w:tcW w:type="dxa" w:w="1512"/>
            <w:vAlign w:val="top"/>
          </w:tcPr>
          <w:p>
            <w:pPr>
              <w:spacing w:after="40" w:before="0" w:line="259" w:lineRule="auto"/>
            </w:pPr>
            <w:r>
              <w:rPr>
                <w:rFonts w:ascii="Calibri" w:hAnsi="Calibri"/>
                <w:b w:val="0"/>
                <w:i w:val="0"/>
                <w:color w:val="212121"/>
                <w:sz w:val="19"/>
              </w:rPr>
              <w:t>&gt; 72 hours</w:t>
            </w:r>
          </w:p>
        </w:tc>
        <w:tc>
          <w:tcPr>
            <w:tcW w:type="dxa" w:w="1468"/>
            <w:vAlign w:val="top"/>
          </w:tcPr>
          <w:p>
            <w:pPr>
              <w:spacing w:after="60" w:line="259" w:lineRule="auto"/>
            </w:pPr>
            <w:r>
              <w:rPr>
                <w:rFonts w:ascii="Calibri" w:hAnsi="Calibri"/>
                <w:b w:val="0"/>
                <w:i w:val="0"/>
                <w:color w:val="212121"/>
                <w:sz w:val="19"/>
              </w:rPr>
              <w:t>Corticosteroids give the greatest benefit when started within 72 h of onset; later start reduces efficacy.</w:t>
            </w:r>
          </w:p>
          <w:p>
            <w:pPr>
              <w:spacing w:after="40" w:line="252" w:lineRule="auto"/>
            </w:pPr>
            <w:hyperlink r:id="rId12">
              <w:r>
                <w:rPr>
                  <w:rFonts w:ascii="Calibri" w:hAnsi="Calibri" w:cs="Calibri"/>
                  <w:sz w:val="18"/>
                  <w:color w:val="1155CC"/>
                  <w:u w:val="single"/>
                </w:rPr>
                <w:t xml:space="preserve">https://www.cochrane.org/CD001942/NEUROMUSC_corticosteroids-for-bells-palsy-idiopathic-facial-paralysis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House–Brackmann grade at presentation</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Grade I–II</w:t>
            </w:r>
          </w:p>
        </w:tc>
        <w:tc>
          <w:tcPr>
            <w:tcW w:type="dxa" w:w="1512"/>
            <w:vAlign w:val="top"/>
          </w:tcPr>
          <w:p>
            <w:pPr>
              <w:spacing w:after="40" w:before="0" w:line="259" w:lineRule="auto"/>
            </w:pPr>
            <w:r>
              <w:rPr>
                <w:rFonts w:ascii="Calibri" w:hAnsi="Calibri"/>
                <w:b w:val="0"/>
                <w:i w:val="0"/>
                <w:color w:val="212121"/>
                <w:sz w:val="19"/>
              </w:rPr>
              <w:t>Grade V–VI (severe/complete)</w:t>
            </w:r>
          </w:p>
        </w:tc>
        <w:tc>
          <w:tcPr>
            <w:tcW w:type="dxa" w:w="1468"/>
            <w:vAlign w:val="top"/>
          </w:tcPr>
          <w:p>
            <w:pPr>
              <w:spacing w:after="60" w:line="259" w:lineRule="auto"/>
            </w:pPr>
            <w:r>
              <w:rPr>
                <w:rFonts w:ascii="Calibri" w:hAnsi="Calibri"/>
                <w:b w:val="0"/>
                <w:i w:val="0"/>
                <w:color w:val="212121"/>
                <w:sz w:val="19"/>
              </w:rPr>
              <w:t>Complete paralysis (V–VI) predicts higher risk of incomplete recovery and synkinesis.</w:t>
            </w:r>
          </w:p>
          <w:p>
            <w:pPr>
              <w:spacing w:after="40" w:line="252" w:lineRule="auto"/>
            </w:pPr>
            <w:hyperlink r:id="rId10">
              <w:r>
                <w:rPr>
                  <w:rFonts w:ascii="Calibri" w:hAnsi="Calibri" w:cs="Calibri"/>
                  <w:sz w:val="18"/>
                  <w:color w:val="1155CC"/>
                  <w:u w:val="single"/>
                </w:rPr>
                <w:t xml:space="preserve">https://www.ncbi.nlm.nih.gov/books/NBK482290/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Eyelid closure / lagophthalmos</w:t>
            </w:r>
          </w:p>
        </w:tc>
        <w:tc>
          <w:tcPr>
            <w:tcW w:type="dxa" w:w="1655"/>
            <w:vAlign w:val="top"/>
          </w:tcPr>
          <w:p>
            <w:pPr>
              <w:spacing w:after="40" w:before="0" w:line="259" w:lineRule="auto"/>
            </w:pPr>
            <w:r>
              <w:rPr>
                <w:rFonts w:ascii="Calibri" w:hAnsi="Calibri"/>
                <w:b w:val="0"/>
                <w:i w:val="0"/>
                <w:color w:val="212121"/>
                <w:sz w:val="19"/>
              </w:rPr>
              <w:t>Patients with facial palsy</w:t>
            </w:r>
          </w:p>
        </w:tc>
        <w:tc>
          <w:tcPr>
            <w:tcW w:type="dxa" w:w="1512"/>
            <w:vAlign w:val="top"/>
          </w:tcPr>
          <w:p>
            <w:pPr>
              <w:spacing w:after="40" w:before="0" w:line="259" w:lineRule="auto"/>
            </w:pPr>
            <w:r>
              <w:rPr>
                <w:rFonts w:ascii="Calibri" w:hAnsi="Calibri"/>
                <w:b w:val="0"/>
                <w:i w:val="0"/>
                <w:color w:val="212121"/>
                <w:sz w:val="19"/>
              </w:rPr>
              <w:t>Complete closure, intact blink</w:t>
            </w:r>
          </w:p>
        </w:tc>
        <w:tc>
          <w:tcPr>
            <w:tcW w:type="dxa" w:w="1512"/>
            <w:vAlign w:val="top"/>
          </w:tcPr>
          <w:p>
            <w:pPr>
              <w:spacing w:after="40" w:before="0" w:line="259" w:lineRule="auto"/>
            </w:pPr>
            <w:r>
              <w:rPr>
                <w:rFonts w:ascii="Calibri" w:hAnsi="Calibri"/>
                <w:b w:val="0"/>
                <w:i w:val="0"/>
                <w:color w:val="212121"/>
                <w:sz w:val="19"/>
              </w:rPr>
              <w:t>Incomplete closure (lagophthalmos), absent Bell's phenomenon</w:t>
            </w:r>
          </w:p>
        </w:tc>
        <w:tc>
          <w:tcPr>
            <w:tcW w:type="dxa" w:w="1468"/>
            <w:vAlign w:val="top"/>
          </w:tcPr>
          <w:p>
            <w:pPr>
              <w:spacing w:after="60" w:line="259" w:lineRule="auto"/>
            </w:pPr>
            <w:r>
              <w:rPr>
                <w:rFonts w:ascii="Calibri" w:hAnsi="Calibri"/>
                <w:b w:val="0"/>
                <w:i w:val="0"/>
                <w:color w:val="212121"/>
                <w:sz w:val="19"/>
              </w:rPr>
              <w:t>Incomplete closure risks exposure keratopathy (~40%); needs lubricants and night taping.</w:t>
            </w:r>
          </w:p>
          <w:p>
            <w:pPr>
              <w:spacing w:after="40" w:line="252" w:lineRule="auto"/>
            </w:pPr>
            <w:hyperlink r:id="rId10">
              <w:r>
                <w:rPr>
                  <w:rFonts w:ascii="Calibri" w:hAnsi="Calibri" w:cs="Calibri"/>
                  <w:sz w:val="18"/>
                  <w:color w:val="1155CC"/>
                  <w:u w:val="single"/>
                </w:rPr>
                <w:t xml:space="preserve">https://www.ncbi.nlm.nih.gov/books/NBK482290/</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elderly, recurrent/bilateral palsy</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w:t>
            </w:r>
          </w:p>
        </w:tc>
        <w:tc>
          <w:tcPr>
            <w:tcW w:type="dxa" w:w="1468"/>
            <w:vAlign w:val="top"/>
          </w:tcPr>
          <w:p>
            <w:pPr>
              <w:spacing w:after="60" w:line="259" w:lineRule="auto"/>
            </w:pPr>
            <w:r>
              <w:rPr>
                <w:rFonts w:ascii="Calibri" w:hAnsi="Calibri"/>
                <w:b w:val="0"/>
                <w:i w:val="0"/>
                <w:color w:val="212121"/>
                <w:sz w:val="19"/>
              </w:rPr>
              <w:t>Screen for undiagnosed diabetes; poor control predicts worse recovery and complicates steroid therapy.</w:t>
            </w:r>
          </w:p>
          <w:p>
            <w:pPr>
              <w:spacing w:after="40" w:line="252" w:lineRule="auto"/>
            </w:pPr>
            <w:hyperlink r:id="rId14">
              <w:r>
                <w:rPr>
                  <w:rFonts w:ascii="Calibri" w:hAnsi="Calibri" w:cs="Calibri"/>
                  <w:sz w:val="18"/>
                  <w:color w:val="1155CC"/>
                  <w:u w:val="single"/>
                </w:rPr>
                <w:t xml:space="preserve">https://pubmed.ncbi.nlm.nih.gov/40838411/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plasma glucose (mg/dL)</w:t>
            </w:r>
          </w:p>
        </w:tc>
        <w:tc>
          <w:tcPr>
            <w:tcW w:type="dxa" w:w="1655"/>
            <w:vAlign w:val="top"/>
          </w:tcPr>
          <w:p>
            <w:pPr>
              <w:spacing w:after="40" w:before="0" w:line="259" w:lineRule="auto"/>
            </w:pPr>
            <w:r>
              <w:rPr>
                <w:rFonts w:ascii="Calibri" w:hAnsi="Calibri"/>
                <w:b w:val="0"/>
                <w:i w:val="0"/>
                <w:color w:val="212121"/>
                <w:sz w:val="19"/>
              </w:rPr>
              <w:t>Adults, pregnant women, patients on steroids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w:t>
            </w:r>
          </w:p>
        </w:tc>
        <w:tc>
          <w:tcPr>
            <w:tcW w:type="dxa" w:w="1468"/>
            <w:vAlign w:val="top"/>
          </w:tcPr>
          <w:p>
            <w:pPr>
              <w:spacing w:after="60" w:line="259" w:lineRule="auto"/>
            </w:pPr>
            <w:r>
              <w:rPr>
                <w:rFonts w:ascii="Calibri" w:hAnsi="Calibri"/>
                <w:b w:val="0"/>
                <w:i w:val="0"/>
                <w:color w:val="212121"/>
                <w:sz w:val="19"/>
              </w:rPr>
              <w:t>Corticosteroids further raise glucose; monitor during the treatment course.</w:t>
            </w:r>
          </w:p>
          <w:p>
            <w:pPr>
              <w:spacing w:after="40" w:line="252" w:lineRule="auto"/>
            </w:pPr>
            <w:hyperlink r:id="rId11">
              <w:r>
                <w:rPr>
                  <w:rFonts w:ascii="Calibri" w:hAnsi="Calibri" w:cs="Calibri"/>
                  <w:sz w:val="18"/>
                  <w:color w:val="1155CC"/>
                  <w:u w:val="single"/>
                </w:rPr>
                <w:t xml:space="preserve">https://www.aafp.org/pubs/afp/issues/2007/1001/p997.html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25 kg/m²</w:t>
            </w:r>
          </w:p>
        </w:tc>
        <w:tc>
          <w:tcPr>
            <w:tcW w:type="dxa" w:w="1468"/>
            <w:vAlign w:val="top"/>
          </w:tcPr>
          <w:p>
            <w:pPr>
              <w:spacing w:after="60" w:line="259" w:lineRule="auto"/>
            </w:pPr>
            <w:r>
              <w:rPr>
                <w:rFonts w:ascii="Calibri" w:hAnsi="Calibri"/>
                <w:b w:val="0"/>
                <w:i w:val="0"/>
                <w:color w:val="212121"/>
                <w:sz w:val="19"/>
              </w:rPr>
              <w:t>Obesity is an independent risk factor for Bell's palsy.</w:t>
            </w:r>
          </w:p>
          <w:p>
            <w:pPr>
              <w:spacing w:after="40" w:line="252" w:lineRule="auto"/>
            </w:pPr>
            <w:hyperlink r:id="rId10">
              <w:r>
                <w:rPr>
                  <w:rFonts w:ascii="Calibri" w:hAnsi="Calibri" w:cs="Calibri"/>
                  <w:sz w:val="18"/>
                  <w:color w:val="1155CC"/>
                  <w:u w:val="single"/>
                </w:rPr>
                <w:t xml:space="preserve">https://www.ncbi.nlm.nih.gov/books/NBK482290/</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Pregnant women, adults</w:t>
            </w:r>
          </w:p>
        </w:tc>
        <w:tc>
          <w:tcPr>
            <w:tcW w:type="dxa" w:w="1512"/>
            <w:vAlign w:val="top"/>
          </w:tcPr>
          <w:p>
            <w:pPr>
              <w:spacing w:after="40" w:before="0" w:line="259" w:lineRule="auto"/>
            </w:pPr>
            <w:r>
              <w:rPr>
                <w:rFonts w:ascii="Calibri" w:hAnsi="Calibri"/>
                <w:b w:val="0"/>
                <w:i w:val="0"/>
                <w:color w:val="212121"/>
                <w:sz w:val="19"/>
              </w:rPr>
              <w:t>&lt; 120/80 mmHg</w:t>
            </w:r>
          </w:p>
        </w:tc>
        <w:tc>
          <w:tcPr>
            <w:tcW w:type="dxa" w:w="1512"/>
            <w:vAlign w:val="top"/>
          </w:tcPr>
          <w:p>
            <w:pPr>
              <w:spacing w:after="40" w:before="0" w:line="259" w:lineRule="auto"/>
            </w:pPr>
            <w:r>
              <w:rPr>
                <w:rFonts w:ascii="Calibri" w:hAnsi="Calibri"/>
                <w:b w:val="0"/>
                <w:i w:val="0"/>
                <w:color w:val="212121"/>
                <w:sz w:val="19"/>
              </w:rPr>
              <w:t>≥ 140/90 mmHg (esp. pre-eclampsia)</w:t>
            </w:r>
          </w:p>
        </w:tc>
        <w:tc>
          <w:tcPr>
            <w:tcW w:type="dxa" w:w="1468"/>
            <w:vAlign w:val="top"/>
          </w:tcPr>
          <w:p>
            <w:pPr>
              <w:spacing w:after="60" w:line="259" w:lineRule="auto"/>
            </w:pPr>
            <w:r>
              <w:rPr>
                <w:rFonts w:ascii="Calibri" w:hAnsi="Calibri"/>
                <w:b w:val="0"/>
                <w:i w:val="0"/>
                <w:color w:val="212121"/>
                <w:sz w:val="19"/>
              </w:rPr>
              <w:t>Hypertensive disorders of pregnancy are linked to pregnancy-associated Bell's palsy.</w:t>
            </w:r>
          </w:p>
          <w:p>
            <w:pPr>
              <w:spacing w:after="40" w:line="252" w:lineRule="auto"/>
            </w:pPr>
            <w:hyperlink r:id="rId11">
              <w:r>
                <w:rPr>
                  <w:rFonts w:ascii="Calibri" w:hAnsi="Calibri" w:cs="Calibri"/>
                  <w:sz w:val="18"/>
                  <w:color w:val="1155CC"/>
                  <w:u w:val="single"/>
                </w:rPr>
                <w:t xml:space="preserve">https://www.aafp.org/pubs/afp/issues/2007/1001/p997.html</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poor quality</w:t>
            </w:r>
          </w:p>
        </w:tc>
        <w:tc>
          <w:tcPr>
            <w:tcW w:type="dxa" w:w="1468"/>
            <w:vAlign w:val="top"/>
          </w:tcPr>
          <w:p>
            <w:pPr>
              <w:spacing w:after="40" w:before="0" w:line="259" w:lineRule="auto"/>
            </w:pPr>
            <w:r>
              <w:rPr>
                <w:rFonts w:ascii="Calibri" w:hAnsi="Calibri"/>
                <w:b w:val="0"/>
                <w:i w:val="0"/>
                <w:color w:val="212121"/>
                <w:sz w:val="19"/>
              </w:rPr>
              <w:t>Sleep loss suppresses immunity and can precipitate HSV reactivation.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Time to first signs of recovery</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Some recovery within 3 weeks</w:t>
            </w:r>
          </w:p>
        </w:tc>
        <w:tc>
          <w:tcPr>
            <w:tcW w:type="dxa" w:w="1512"/>
            <w:vAlign w:val="top"/>
          </w:tcPr>
          <w:p>
            <w:pPr>
              <w:spacing w:after="40" w:before="0" w:line="259" w:lineRule="auto"/>
            </w:pPr>
            <w:r>
              <w:rPr>
                <w:rFonts w:ascii="Calibri" w:hAnsi="Calibri"/>
                <w:b w:val="0"/>
                <w:i w:val="0"/>
                <w:color w:val="212121"/>
                <w:sz w:val="19"/>
              </w:rPr>
              <w:t>No recovery by 3–4 months</w:t>
            </w:r>
          </w:p>
        </w:tc>
        <w:tc>
          <w:tcPr>
            <w:tcW w:type="dxa" w:w="1468"/>
            <w:vAlign w:val="top"/>
          </w:tcPr>
          <w:p>
            <w:pPr>
              <w:spacing w:after="60" w:line="259" w:lineRule="auto"/>
            </w:pPr>
            <w:r>
              <w:rPr>
                <w:rFonts w:ascii="Calibri" w:hAnsi="Calibri"/>
                <w:b w:val="0"/>
                <w:i w:val="0"/>
                <w:color w:val="212121"/>
                <w:sz w:val="19"/>
              </w:rPr>
              <w:t>Absence of recovery by 3–4 months mandates MRI to exclude a secondary cause.</w:t>
            </w:r>
          </w:p>
          <w:p>
            <w:pPr>
              <w:spacing w:after="40" w:line="252" w:lineRule="auto"/>
            </w:pPr>
            <w:hyperlink r:id="rId11">
              <w:r>
                <w:rPr>
                  <w:rFonts w:ascii="Calibri" w:hAnsi="Calibri" w:cs="Calibri"/>
                  <w:sz w:val="18"/>
                  <w:color w:val="1155CC"/>
                  <w:u w:val="single"/>
                </w:rPr>
                <w:t xml:space="preserve">https://www.aafp.org/pubs/afp/issues/2007/1001/p997.html</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Patients with residual palsy</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w:t>
            </w:r>
          </w:p>
        </w:tc>
        <w:tc>
          <w:tcPr>
            <w:tcW w:type="dxa" w:w="1468"/>
            <w:vAlign w:val="top"/>
          </w:tcPr>
          <w:p>
            <w:pPr>
              <w:spacing w:after="60" w:line="259" w:lineRule="auto"/>
            </w:pPr>
            <w:r>
              <w:rPr>
                <w:rFonts w:ascii="Calibri" w:hAnsi="Calibri"/>
                <w:b w:val="0"/>
                <w:i w:val="0"/>
                <w:color w:val="212121"/>
                <w:sz w:val="19"/>
              </w:rPr>
              <w:t>Facial disfigurement commonly causes clinically significant depression or anxiety.</w:t>
            </w:r>
          </w:p>
          <w:p>
            <w:pPr>
              <w:spacing w:after="40" w:line="252" w:lineRule="auto"/>
            </w:pPr>
            <w:hyperlink r:id="rId14">
              <w:r>
                <w:rPr>
                  <w:rFonts w:ascii="Calibri" w:hAnsi="Calibri" w:cs="Calibri"/>
                  <w:sz w:val="18"/>
                  <w:color w:val="1155CC"/>
                  <w:u w:val="single"/>
                </w:rPr>
                <w:t xml:space="preserve">https://pubmed.ncbi.nlm.nih.gov/40838411/</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Detects diabetes — a common association that worsens prognosis and interacts with corticosteroids</w:t>
            </w:r>
          </w:p>
        </w:tc>
        <w:tc>
          <w:tcPr>
            <w:tcW w:type="dxa" w:w="1036"/>
            <w:vAlign w:val="top"/>
          </w:tcPr>
          <w:p>
            <w:pPr>
              <w:spacing w:after="40" w:before="0" w:line="259" w:lineRule="auto"/>
            </w:pPr>
            <w:r>
              <w:rPr>
                <w:rFonts w:ascii="Calibri" w:hAnsi="Calibri"/>
                <w:b w:val="0"/>
                <w:i w:val="0"/>
                <w:color w:val="212121"/>
                <w:sz w:val="16"/>
              </w:rPr>
              <w:t>Adults, elderly, recurrent/bilateral palsy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Also monitor glucose during the steroid course.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Gadolinium MRI brain &amp; internal auditory canal</w:t>
            </w:r>
          </w:p>
        </w:tc>
        <w:tc>
          <w:tcPr>
            <w:tcW w:type="dxa" w:w="892"/>
            <w:vAlign w:val="top"/>
          </w:tcPr>
          <w:p>
            <w:pPr>
              <w:spacing w:after="40" w:before="0" w:line="259" w:lineRule="auto"/>
            </w:pPr>
            <w:r>
              <w:rPr>
                <w:rFonts w:ascii="Calibri" w:hAnsi="Calibri"/>
                <w:b w:val="0"/>
                <w:i w:val="0"/>
                <w:color w:val="212121"/>
                <w:sz w:val="16"/>
              </w:rPr>
              <w:t>MRI</w:t>
            </w:r>
          </w:p>
        </w:tc>
        <w:tc>
          <w:tcPr>
            <w:tcW w:type="dxa" w:w="950"/>
            <w:vAlign w:val="top"/>
          </w:tcPr>
          <w:p>
            <w:pPr>
              <w:spacing w:after="40" w:before="0" w:line="259" w:lineRule="auto"/>
            </w:pPr>
            <w:r>
              <w:rPr>
                <w:rFonts w:ascii="Calibri" w:hAnsi="Calibri"/>
                <w:b w:val="0"/>
                <w:i w:val="0"/>
                <w:color w:val="212121"/>
                <w:sz w:val="16"/>
              </w:rPr>
              <w:t>No mass; facial-nerve enhancement may occur</w:t>
            </w:r>
          </w:p>
        </w:tc>
        <w:tc>
          <w:tcPr>
            <w:tcW w:type="dxa" w:w="950"/>
            <w:vAlign w:val="top"/>
          </w:tcPr>
          <w:p>
            <w:pPr>
              <w:spacing w:after="40" w:before="0" w:line="259" w:lineRule="auto"/>
            </w:pPr>
            <w:r>
              <w:rPr>
                <w:rFonts w:ascii="Calibri" w:hAnsi="Calibri"/>
                <w:b w:val="0"/>
                <w:i w:val="0"/>
                <w:color w:val="212121"/>
                <w:sz w:val="16"/>
              </w:rPr>
              <w:t>Mass, stroke, demyelination or extra-canalicular enhancement</w:t>
            </w:r>
          </w:p>
        </w:tc>
        <w:tc>
          <w:tcPr>
            <w:tcW w:type="dxa" w:w="1036"/>
            <w:vAlign w:val="top"/>
          </w:tcPr>
          <w:p>
            <w:pPr>
              <w:spacing w:after="40" w:before="0" w:line="259" w:lineRule="auto"/>
            </w:pPr>
            <w:r>
              <w:rPr>
                <w:rFonts w:ascii="Calibri" w:hAnsi="Calibri"/>
                <w:b w:val="0"/>
                <w:i w:val="0"/>
                <w:color w:val="212121"/>
                <w:sz w:val="16"/>
              </w:rPr>
              <w:t>Excludes secondary causes in atypical, bilateral, recurrent or non-recovering palsy</w:t>
            </w:r>
          </w:p>
        </w:tc>
        <w:tc>
          <w:tcPr>
            <w:tcW w:type="dxa" w:w="1036"/>
            <w:vAlign w:val="top"/>
          </w:tcPr>
          <w:p>
            <w:pPr>
              <w:spacing w:after="40" w:before="0" w:line="259" w:lineRule="auto"/>
            </w:pPr>
            <w:r>
              <w:rPr>
                <w:rFonts w:ascii="Calibri" w:hAnsi="Calibri"/>
                <w:b w:val="0"/>
                <w:i w:val="0"/>
                <w:color w:val="212121"/>
                <w:sz w:val="16"/>
              </w:rPr>
              <w:t>Red-flag/atypical cases, no recovery by 3–4 months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(atypical cases)</w:t>
            </w:r>
          </w:p>
        </w:tc>
        <w:tc>
          <w:tcPr>
            <w:tcW w:type="dxa" w:w="720"/>
            <w:vAlign w:val="top"/>
          </w:tcPr>
          <w:p>
            <w:pPr>
              <w:spacing w:after="40" w:before="0" w:line="259" w:lineRule="auto"/>
            </w:pPr>
            <w:r>
              <w:rPr>
                <w:rFonts w:ascii="Calibri" w:hAnsi="Calibri"/>
                <w:b w:val="0"/>
                <w:i w:val="0"/>
                <w:color w:val="212121"/>
                <w:sz w:val="16"/>
              </w:rPr>
              <w:t>Not required in typical Bell's palsy.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Electroneuronography (ENoG) &amp; EMG</w:t>
            </w:r>
          </w:p>
        </w:tc>
        <w:tc>
          <w:tcPr>
            <w:tcW w:type="dxa" w:w="892"/>
            <w:vAlign w:val="top"/>
          </w:tcPr>
          <w:p>
            <w:pPr>
              <w:spacing w:after="40" w:before="0" w:line="259" w:lineRule="auto"/>
            </w:pPr>
            <w:r>
              <w:rPr>
                <w:rFonts w:ascii="Calibri" w:hAnsi="Calibri"/>
                <w:b w:val="0"/>
                <w:i w:val="0"/>
                <w:color w:val="212121"/>
                <w:sz w:val="16"/>
              </w:rPr>
              <w:t>Nerve conduction study</w:t>
            </w:r>
          </w:p>
        </w:tc>
        <w:tc>
          <w:tcPr>
            <w:tcW w:type="dxa" w:w="950"/>
            <w:vAlign w:val="top"/>
          </w:tcPr>
          <w:p>
            <w:pPr>
              <w:spacing w:after="40" w:before="0" w:line="259" w:lineRule="auto"/>
            </w:pPr>
            <w:r>
              <w:rPr>
                <w:rFonts w:ascii="Calibri" w:hAnsi="Calibri"/>
                <w:b w:val="0"/>
                <w:i w:val="0"/>
                <w:color w:val="212121"/>
                <w:sz w:val="16"/>
              </w:rPr>
              <w:t>&lt; 90% axonal degeneration</w:t>
            </w:r>
          </w:p>
        </w:tc>
        <w:tc>
          <w:tcPr>
            <w:tcW w:type="dxa" w:w="950"/>
            <w:vAlign w:val="top"/>
          </w:tcPr>
          <w:p>
            <w:pPr>
              <w:spacing w:after="40" w:before="0" w:line="259" w:lineRule="auto"/>
            </w:pPr>
            <w:r>
              <w:rPr>
                <w:rFonts w:ascii="Calibri" w:hAnsi="Calibri"/>
                <w:b w:val="0"/>
                <w:i w:val="0"/>
                <w:color w:val="212121"/>
                <w:sz w:val="16"/>
              </w:rPr>
              <w:t>&gt; 90% degeneration within 5–14 days</w:t>
            </w:r>
          </w:p>
        </w:tc>
        <w:tc>
          <w:tcPr>
            <w:tcW w:type="dxa" w:w="1036"/>
            <w:vAlign w:val="top"/>
          </w:tcPr>
          <w:p>
            <w:pPr>
              <w:spacing w:after="40" w:before="0" w:line="259" w:lineRule="auto"/>
            </w:pPr>
            <w:r>
              <w:rPr>
                <w:rFonts w:ascii="Calibri" w:hAnsi="Calibri"/>
                <w:b w:val="0"/>
                <w:i w:val="0"/>
                <w:color w:val="212121"/>
                <w:sz w:val="16"/>
              </w:rPr>
              <w:t>Prognosticates complete paralysis and informs decompression decisions</w:t>
            </w:r>
          </w:p>
        </w:tc>
        <w:tc>
          <w:tcPr>
            <w:tcW w:type="dxa" w:w="1036"/>
            <w:vAlign w:val="top"/>
          </w:tcPr>
          <w:p>
            <w:pPr>
              <w:spacing w:after="40" w:before="0" w:line="259" w:lineRule="auto"/>
            </w:pPr>
            <w:r>
              <w:rPr>
                <w:rFonts w:ascii="Calibri" w:hAnsi="Calibri"/>
                <w:b w:val="0"/>
                <w:i w:val="0"/>
                <w:color w:val="212121"/>
                <w:sz w:val="16"/>
              </w:rPr>
              <w:t>Complete (HB grade VI) paralysis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(severe cases)</w:t>
            </w:r>
          </w:p>
        </w:tc>
        <w:tc>
          <w:tcPr>
            <w:tcW w:type="dxa" w:w="720"/>
            <w:vAlign w:val="top"/>
          </w:tcPr>
          <w:p>
            <w:pPr>
              <w:spacing w:after="40" w:before="0" w:line="259" w:lineRule="auto"/>
            </w:pPr>
            <w:r>
              <w:rPr>
                <w:rFonts w:ascii="Calibri" w:hAnsi="Calibri"/>
                <w:b w:val="0"/>
                <w:i w:val="0"/>
                <w:color w:val="212121"/>
                <w:sz w:val="16"/>
              </w:rPr>
              <w:t>Most useful days 3–14 after onset.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Borrelia (Lyme), VZV, HSV, HIV serology</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 / positive</w:t>
            </w:r>
          </w:p>
        </w:tc>
        <w:tc>
          <w:tcPr>
            <w:tcW w:type="dxa" w:w="1036"/>
            <w:vAlign w:val="top"/>
          </w:tcPr>
          <w:p>
            <w:pPr>
              <w:spacing w:after="40" w:before="0" w:line="259" w:lineRule="auto"/>
            </w:pPr>
            <w:r>
              <w:rPr>
                <w:rFonts w:ascii="Calibri" w:hAnsi="Calibri"/>
                <w:b w:val="0"/>
                <w:i w:val="0"/>
                <w:color w:val="212121"/>
                <w:sz w:val="16"/>
              </w:rPr>
              <w:t>Identifies infective mimics (Lyme, herpes zoster/Ramsay Hunt, HIV)</w:t>
            </w:r>
          </w:p>
        </w:tc>
        <w:tc>
          <w:tcPr>
            <w:tcW w:type="dxa" w:w="1036"/>
            <w:vAlign w:val="top"/>
          </w:tcPr>
          <w:p>
            <w:pPr>
              <w:spacing w:after="40" w:before="0" w:line="259" w:lineRule="auto"/>
            </w:pPr>
            <w:r>
              <w:rPr>
                <w:rFonts w:ascii="Calibri" w:hAnsi="Calibri"/>
                <w:b w:val="0"/>
                <w:i w:val="0"/>
                <w:color w:val="212121"/>
                <w:sz w:val="16"/>
              </w:rPr>
              <w:t>Endemic exposure, bilateral/recurrent, vesicles present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Guided by history and local endemicity.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ESR, 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Leukocytosis / raised ESR–CRP</w:t>
            </w:r>
          </w:p>
        </w:tc>
        <w:tc>
          <w:tcPr>
            <w:tcW w:type="dxa" w:w="1036"/>
            <w:vAlign w:val="top"/>
          </w:tcPr>
          <w:p>
            <w:pPr>
              <w:spacing w:after="40" w:before="0" w:line="259" w:lineRule="auto"/>
            </w:pPr>
            <w:r>
              <w:rPr>
                <w:rFonts w:ascii="Calibri" w:hAnsi="Calibri"/>
                <w:b w:val="0"/>
                <w:i w:val="0"/>
                <w:color w:val="212121"/>
                <w:sz w:val="16"/>
              </w:rPr>
              <w:t>Screens for infective or inflammatory secondary causes</w:t>
            </w:r>
          </w:p>
        </w:tc>
        <w:tc>
          <w:tcPr>
            <w:tcW w:type="dxa" w:w="1036"/>
            <w:vAlign w:val="top"/>
          </w:tcPr>
          <w:p>
            <w:pPr>
              <w:spacing w:after="40" w:before="0" w:line="259" w:lineRule="auto"/>
            </w:pPr>
            <w:r>
              <w:rPr>
                <w:rFonts w:ascii="Calibri" w:hAnsi="Calibri"/>
                <w:b w:val="0"/>
                <w:i w:val="0"/>
                <w:color w:val="212121"/>
                <w:sz w:val="16"/>
              </w:rPr>
              <w:t>Systemic symptoms, atypical presentation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Audiology</w:t>
            </w:r>
          </w:p>
        </w:tc>
        <w:tc>
          <w:tcPr>
            <w:tcW w:type="dxa" w:w="1036"/>
            <w:vAlign w:val="top"/>
          </w:tcPr>
          <w:p>
            <w:pPr>
              <w:spacing w:after="40" w:before="0" w:line="259" w:lineRule="auto"/>
            </w:pPr>
            <w:r>
              <w:rPr>
                <w:rFonts w:ascii="Calibri" w:hAnsi="Calibri"/>
                <w:b w:val="0"/>
                <w:i w:val="0"/>
                <w:color w:val="212121"/>
                <w:sz w:val="16"/>
              </w:rPr>
              <w:t>Pure-tone audiometry &amp; stapedial reflex</w:t>
            </w:r>
          </w:p>
        </w:tc>
        <w:tc>
          <w:tcPr>
            <w:tcW w:type="dxa" w:w="892"/>
            <w:vAlign w:val="top"/>
          </w:tcPr>
          <w:p>
            <w:pPr>
              <w:spacing w:after="40" w:before="0" w:line="259" w:lineRule="auto"/>
            </w:pPr>
            <w:r>
              <w:rPr>
                <w:rFonts w:ascii="Calibri" w:hAnsi="Calibri"/>
                <w:b w:val="0"/>
                <w:i w:val="0"/>
                <w:color w:val="212121"/>
                <w:sz w:val="16"/>
              </w:rPr>
              <w:t>Audiometry</w:t>
            </w:r>
          </w:p>
        </w:tc>
        <w:tc>
          <w:tcPr>
            <w:tcW w:type="dxa" w:w="950"/>
            <w:vAlign w:val="top"/>
          </w:tcPr>
          <w:p>
            <w:pPr>
              <w:spacing w:after="40" w:before="0" w:line="259" w:lineRule="auto"/>
            </w:pPr>
            <w:r>
              <w:rPr>
                <w:rFonts w:ascii="Calibri" w:hAnsi="Calibri"/>
                <w:b w:val="0"/>
                <w:i w:val="0"/>
                <w:color w:val="212121"/>
                <w:sz w:val="16"/>
              </w:rPr>
              <w:t>Normal hearing, reflex present</w:t>
            </w:r>
          </w:p>
        </w:tc>
        <w:tc>
          <w:tcPr>
            <w:tcW w:type="dxa" w:w="950"/>
            <w:vAlign w:val="top"/>
          </w:tcPr>
          <w:p>
            <w:pPr>
              <w:spacing w:after="40" w:before="0" w:line="259" w:lineRule="auto"/>
            </w:pPr>
            <w:r>
              <w:rPr>
                <w:rFonts w:ascii="Calibri" w:hAnsi="Calibri"/>
                <w:b w:val="0"/>
                <w:i w:val="0"/>
                <w:color w:val="212121"/>
                <w:sz w:val="16"/>
              </w:rPr>
              <w:t>Hearing loss, absent stapedial reflex</w:t>
            </w:r>
          </w:p>
        </w:tc>
        <w:tc>
          <w:tcPr>
            <w:tcW w:type="dxa" w:w="1036"/>
            <w:vAlign w:val="top"/>
          </w:tcPr>
          <w:p>
            <w:pPr>
              <w:spacing w:after="40" w:before="0" w:line="259" w:lineRule="auto"/>
            </w:pPr>
            <w:r>
              <w:rPr>
                <w:rFonts w:ascii="Calibri" w:hAnsi="Calibri"/>
                <w:b w:val="0"/>
                <w:i w:val="0"/>
                <w:color w:val="212121"/>
                <w:sz w:val="16"/>
              </w:rPr>
              <w:t>Localises the lesion and helps separate Bell's from otologic or Ramsay Hunt causes</w:t>
            </w:r>
          </w:p>
        </w:tc>
        <w:tc>
          <w:tcPr>
            <w:tcW w:type="dxa" w:w="1036"/>
            <w:vAlign w:val="top"/>
          </w:tcPr>
          <w:p>
            <w:pPr>
              <w:spacing w:after="40" w:before="0" w:line="259" w:lineRule="auto"/>
            </w:pPr>
            <w:r>
              <w:rPr>
                <w:rFonts w:ascii="Calibri" w:hAnsi="Calibri"/>
                <w:b w:val="0"/>
                <w:i w:val="0"/>
                <w:color w:val="212121"/>
                <w:sz w:val="16"/>
              </w:rPr>
              <w:t>Hyperacusis, otologic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Absent reflex localises the lesion proximal to the stapedius branch.</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Acute unilateral face droop, inability to close eye, drooling, food pocketing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(&lt; 72 h) onset present</w:t>
            </w:r>
          </w:p>
        </w:tc>
        <w:tc>
          <w:tcPr>
            <w:tcW w:type="dxa" w:w="1036"/>
            <w:vAlign w:val="top"/>
          </w:tcPr>
          <w:p>
            <w:pPr>
              <w:spacing w:after="40" w:before="0" w:line="259" w:lineRule="auto"/>
            </w:pPr>
            <w:r>
              <w:rPr>
                <w:rFonts w:ascii="Calibri" w:hAnsi="Calibri"/>
                <w:b w:val="0"/>
                <w:i w:val="0"/>
                <w:color w:val="212121"/>
                <w:sz w:val="16"/>
              </w:rPr>
              <w:t>Hallmark presentation of lower-motor-neuron facial palsy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Rapid onset supports Bell's; gradual onset suggests a tumour.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Forehead-sparing test</w:t>
            </w:r>
          </w:p>
        </w:tc>
        <w:tc>
          <w:tcPr>
            <w:tcW w:type="dxa" w:w="979"/>
            <w:vAlign w:val="top"/>
          </w:tcPr>
          <w:p>
            <w:pPr>
              <w:spacing w:after="40" w:before="0" w:line="259" w:lineRule="auto"/>
            </w:pPr>
            <w:r>
              <w:rPr>
                <w:rFonts w:ascii="Calibri" w:hAnsi="Calibri"/>
                <w:b w:val="0"/>
                <w:i w:val="0"/>
                <w:color w:val="212121"/>
                <w:sz w:val="16"/>
              </w:rPr>
              <w:t>Ability to wrinkle forehead / raise eyebrow</w:t>
            </w:r>
          </w:p>
        </w:tc>
        <w:tc>
          <w:tcPr>
            <w:tcW w:type="dxa" w:w="950"/>
            <w:vAlign w:val="top"/>
          </w:tcPr>
          <w:p>
            <w:pPr>
              <w:spacing w:after="40" w:before="0" w:line="259" w:lineRule="auto"/>
            </w:pPr>
            <w:r>
              <w:rPr>
                <w:rFonts w:ascii="Calibri" w:hAnsi="Calibri"/>
                <w:b w:val="0"/>
                <w:i w:val="0"/>
                <w:color w:val="212121"/>
                <w:sz w:val="16"/>
              </w:rPr>
              <w:t>Forehead spared and symmetrical (central lesion)</w:t>
            </w:r>
          </w:p>
        </w:tc>
        <w:tc>
          <w:tcPr>
            <w:tcW w:type="dxa" w:w="950"/>
            <w:vAlign w:val="top"/>
          </w:tcPr>
          <w:p>
            <w:pPr>
              <w:spacing w:after="40" w:before="0" w:line="259" w:lineRule="auto"/>
            </w:pPr>
            <w:r>
              <w:rPr>
                <w:rFonts w:ascii="Calibri" w:hAnsi="Calibri"/>
                <w:b w:val="0"/>
                <w:i w:val="0"/>
                <w:color w:val="212121"/>
                <w:sz w:val="16"/>
              </w:rPr>
              <w:t>Forehead involved — cannot wrinkle (peripheral / Bell's)</w:t>
            </w:r>
          </w:p>
        </w:tc>
        <w:tc>
          <w:tcPr>
            <w:tcW w:type="dxa" w:w="1036"/>
            <w:vAlign w:val="top"/>
          </w:tcPr>
          <w:p>
            <w:pPr>
              <w:spacing w:after="40" w:before="0" w:line="259" w:lineRule="auto"/>
            </w:pPr>
            <w:r>
              <w:rPr>
                <w:rFonts w:ascii="Calibri" w:hAnsi="Calibri"/>
                <w:b w:val="0"/>
                <w:i w:val="0"/>
                <w:color w:val="212121"/>
                <w:sz w:val="16"/>
              </w:rPr>
              <w:t>Key bedside test separating lower-motor-neuron Bell's from an upper-motor-neuron stroke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Forehead involvement is the single most important localising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Eye closure &amp; Bell's phenomenon</w:t>
            </w:r>
          </w:p>
        </w:tc>
        <w:tc>
          <w:tcPr>
            <w:tcW w:type="dxa" w:w="979"/>
            <w:vAlign w:val="top"/>
          </w:tcPr>
          <w:p>
            <w:pPr>
              <w:spacing w:after="40" w:before="0" w:line="259" w:lineRule="auto"/>
            </w:pPr>
            <w:r>
              <w:rPr>
                <w:rFonts w:ascii="Calibri" w:hAnsi="Calibri"/>
                <w:b w:val="0"/>
                <w:i w:val="0"/>
                <w:color w:val="212121"/>
                <w:sz w:val="16"/>
              </w:rPr>
              <w:t>Completeness of lid closure and corneal protection</w:t>
            </w:r>
          </w:p>
        </w:tc>
        <w:tc>
          <w:tcPr>
            <w:tcW w:type="dxa" w:w="950"/>
            <w:vAlign w:val="top"/>
          </w:tcPr>
          <w:p>
            <w:pPr>
              <w:spacing w:after="40" w:before="0" w:line="259" w:lineRule="auto"/>
            </w:pPr>
            <w:r>
              <w:rPr>
                <w:rFonts w:ascii="Calibri" w:hAnsi="Calibri"/>
                <w:b w:val="0"/>
                <w:i w:val="0"/>
                <w:color w:val="212121"/>
                <w:sz w:val="16"/>
              </w:rPr>
              <w:t>Complete closure</w:t>
            </w:r>
          </w:p>
        </w:tc>
        <w:tc>
          <w:tcPr>
            <w:tcW w:type="dxa" w:w="950"/>
            <w:vAlign w:val="top"/>
          </w:tcPr>
          <w:p>
            <w:pPr>
              <w:spacing w:after="40" w:before="0" w:line="259" w:lineRule="auto"/>
            </w:pPr>
            <w:r>
              <w:rPr>
                <w:rFonts w:ascii="Calibri" w:hAnsi="Calibri"/>
                <w:b w:val="0"/>
                <w:i w:val="0"/>
                <w:color w:val="212121"/>
                <w:sz w:val="16"/>
              </w:rPr>
              <w:t>Lagophthalmos with upward globe roll</w:t>
            </w:r>
          </w:p>
        </w:tc>
        <w:tc>
          <w:tcPr>
            <w:tcW w:type="dxa" w:w="1036"/>
            <w:vAlign w:val="top"/>
          </w:tcPr>
          <w:p>
            <w:pPr>
              <w:spacing w:after="40" w:before="0" w:line="259" w:lineRule="auto"/>
            </w:pPr>
            <w:r>
              <w:rPr>
                <w:rFonts w:ascii="Calibri" w:hAnsi="Calibri"/>
                <w:b w:val="0"/>
                <w:i w:val="0"/>
                <w:color w:val="212121"/>
                <w:sz w:val="16"/>
              </w:rPr>
              <w:t>Identifies corneal exposure risk and drives the eye-protection plan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lubricant, taping and referral decisions.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Otoscopy &amp; ear/palate inspection</w:t>
            </w:r>
          </w:p>
        </w:tc>
        <w:tc>
          <w:tcPr>
            <w:tcW w:type="dxa" w:w="979"/>
            <w:vAlign w:val="top"/>
          </w:tcPr>
          <w:p>
            <w:pPr>
              <w:spacing w:after="40" w:before="0" w:line="259" w:lineRule="auto"/>
            </w:pPr>
            <w:r>
              <w:rPr>
                <w:rFonts w:ascii="Calibri" w:hAnsi="Calibri"/>
                <w:b w:val="0"/>
                <w:i w:val="0"/>
                <w:color w:val="212121"/>
                <w:sz w:val="16"/>
              </w:rPr>
              <w:t>External canal, tympanic membrane and palate for vesicles</w:t>
            </w:r>
          </w:p>
        </w:tc>
        <w:tc>
          <w:tcPr>
            <w:tcW w:type="dxa" w:w="950"/>
            <w:vAlign w:val="top"/>
          </w:tcPr>
          <w:p>
            <w:pPr>
              <w:spacing w:after="40" w:before="0" w:line="259" w:lineRule="auto"/>
            </w:pPr>
            <w:r>
              <w:rPr>
                <w:rFonts w:ascii="Calibri" w:hAnsi="Calibri"/>
                <w:b w:val="0"/>
                <w:i w:val="0"/>
                <w:color w:val="212121"/>
                <w:sz w:val="16"/>
              </w:rPr>
              <w:t>No vesicles, normal tympanic membrane</w:t>
            </w:r>
          </w:p>
        </w:tc>
        <w:tc>
          <w:tcPr>
            <w:tcW w:type="dxa" w:w="950"/>
            <w:vAlign w:val="top"/>
          </w:tcPr>
          <w:p>
            <w:pPr>
              <w:spacing w:after="40" w:before="0" w:line="259" w:lineRule="auto"/>
            </w:pPr>
            <w:r>
              <w:rPr>
                <w:rFonts w:ascii="Calibri" w:hAnsi="Calibri"/>
                <w:b w:val="0"/>
                <w:i w:val="0"/>
                <w:color w:val="212121"/>
                <w:sz w:val="16"/>
              </w:rPr>
              <w:t>Vesicles (Ramsay Hunt), middle-ear disease or cholesteatoma</w:t>
            </w:r>
          </w:p>
        </w:tc>
        <w:tc>
          <w:tcPr>
            <w:tcW w:type="dxa" w:w="1036"/>
            <w:vAlign w:val="top"/>
          </w:tcPr>
          <w:p>
            <w:pPr>
              <w:spacing w:after="40" w:before="0" w:line="259" w:lineRule="auto"/>
            </w:pPr>
            <w:r>
              <w:rPr>
                <w:rFonts w:ascii="Calibri" w:hAnsi="Calibri"/>
                <w:b w:val="0"/>
                <w:i w:val="0"/>
                <w:color w:val="212121"/>
                <w:sz w:val="16"/>
              </w:rPr>
              <w:t>Excludes herpes zoster and otologic secondary causes</w:t>
            </w:r>
          </w:p>
        </w:tc>
        <w:tc>
          <w:tcPr>
            <w:tcW w:type="dxa" w:w="1036"/>
            <w:vAlign w:val="top"/>
          </w:tcPr>
          <w:p>
            <w:pPr>
              <w:spacing w:after="40" w:before="0" w:line="259" w:lineRule="auto"/>
            </w:pPr>
            <w:r>
              <w:rPr>
                <w:rFonts w:ascii="Calibri" w:hAnsi="Calibri"/>
                <w:b w:val="0"/>
                <w:i w:val="0"/>
                <w:color w:val="212121"/>
                <w:sz w:val="16"/>
              </w:rPr>
              <w:t>All patients, especially with severe pain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Vesicles reclassify the palsy as Ramsay Hunt (worse prognosis).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Full cranial-nerve &amp; limb neurological exam</w:t>
            </w:r>
          </w:p>
        </w:tc>
        <w:tc>
          <w:tcPr>
            <w:tcW w:type="dxa" w:w="979"/>
            <w:vAlign w:val="top"/>
          </w:tcPr>
          <w:p>
            <w:pPr>
              <w:spacing w:after="40" w:before="0" w:line="259" w:lineRule="auto"/>
            </w:pPr>
            <w:r>
              <w:rPr>
                <w:rFonts w:ascii="Calibri" w:hAnsi="Calibri"/>
                <w:b w:val="0"/>
                <w:i w:val="0"/>
                <w:color w:val="212121"/>
                <w:sz w:val="16"/>
              </w:rPr>
              <w:t>Other cranial nerves, limb power, coordination</w:t>
            </w:r>
          </w:p>
        </w:tc>
        <w:tc>
          <w:tcPr>
            <w:tcW w:type="dxa" w:w="950"/>
            <w:vAlign w:val="top"/>
          </w:tcPr>
          <w:p>
            <w:pPr>
              <w:spacing w:after="40" w:before="0" w:line="259" w:lineRule="auto"/>
            </w:pPr>
            <w:r>
              <w:rPr>
                <w:rFonts w:ascii="Calibri" w:hAnsi="Calibri"/>
                <w:b w:val="0"/>
                <w:i w:val="0"/>
                <w:color w:val="212121"/>
                <w:sz w:val="16"/>
              </w:rPr>
              <w:t>Isolated cranial nerve VII deficit</w:t>
            </w:r>
          </w:p>
        </w:tc>
        <w:tc>
          <w:tcPr>
            <w:tcW w:type="dxa" w:w="950"/>
            <w:vAlign w:val="top"/>
          </w:tcPr>
          <w:p>
            <w:pPr>
              <w:spacing w:after="40" w:before="0" w:line="259" w:lineRule="auto"/>
            </w:pPr>
            <w:r>
              <w:rPr>
                <w:rFonts w:ascii="Calibri" w:hAnsi="Calibri"/>
                <w:b w:val="0"/>
                <w:i w:val="0"/>
                <w:color w:val="212121"/>
                <w:sz w:val="16"/>
              </w:rPr>
              <w:t>Additional neurological deficits</w:t>
            </w:r>
          </w:p>
        </w:tc>
        <w:tc>
          <w:tcPr>
            <w:tcW w:type="dxa" w:w="1036"/>
            <w:vAlign w:val="top"/>
          </w:tcPr>
          <w:p>
            <w:pPr>
              <w:spacing w:after="40" w:before="0" w:line="259" w:lineRule="auto"/>
            </w:pPr>
            <w:r>
              <w:rPr>
                <w:rFonts w:ascii="Calibri" w:hAnsi="Calibri"/>
                <w:b w:val="0"/>
                <w:i w:val="0"/>
                <w:color w:val="212121"/>
                <w:sz w:val="16"/>
              </w:rPr>
              <w:t>Excludes stroke, Guillain–Barré (Miller Fisher) and skull-base lesions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Any additional deficit mandates urgent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comorbidity history</w:t>
            </w:r>
          </w:p>
        </w:tc>
        <w:tc>
          <w:tcPr>
            <w:tcW w:type="dxa" w:w="979"/>
            <w:vAlign w:val="top"/>
          </w:tcPr>
          <w:p>
            <w:pPr>
              <w:spacing w:after="40" w:before="0" w:line="259" w:lineRule="auto"/>
            </w:pPr>
            <w:r>
              <w:rPr>
                <w:rFonts w:ascii="Calibri" w:hAnsi="Calibri"/>
                <w:b w:val="0"/>
                <w:i w:val="0"/>
                <w:color w:val="212121"/>
                <w:sz w:val="16"/>
              </w:rPr>
              <w:t>Diabetes, pregnancy, recent URI, cold exposure, prior episodes</w:t>
            </w:r>
          </w:p>
        </w:tc>
        <w:tc>
          <w:tcPr>
            <w:tcW w:type="dxa" w:w="950"/>
            <w:vAlign w:val="top"/>
          </w:tcPr>
          <w:p>
            <w:pPr>
              <w:spacing w:after="40" w:before="0" w:line="259" w:lineRule="auto"/>
            </w:pPr>
            <w:r>
              <w:rPr>
                <w:rFonts w:ascii="Calibri" w:hAnsi="Calibri"/>
                <w:b w:val="0"/>
                <w:i w:val="0"/>
                <w:color w:val="212121"/>
                <w:sz w:val="16"/>
              </w:rPr>
              <w:t>None present</w:t>
            </w:r>
          </w:p>
        </w:tc>
        <w:tc>
          <w:tcPr>
            <w:tcW w:type="dxa" w:w="950"/>
            <w:vAlign w:val="top"/>
          </w:tcPr>
          <w:p>
            <w:pPr>
              <w:spacing w:after="40" w:before="0" w:line="259" w:lineRule="auto"/>
            </w:pPr>
            <w:r>
              <w:rPr>
                <w:rFonts w:ascii="Calibri" w:hAnsi="Calibri"/>
                <w:b w:val="0"/>
                <w:i w:val="0"/>
                <w:color w:val="212121"/>
                <w:sz w:val="16"/>
              </w:rPr>
              <w:t>≥ 1 factor present</w:t>
            </w:r>
          </w:p>
        </w:tc>
        <w:tc>
          <w:tcPr>
            <w:tcW w:type="dxa" w:w="1036"/>
            <w:vAlign w:val="top"/>
          </w:tcPr>
          <w:p>
            <w:pPr>
              <w:spacing w:after="40" w:before="0" w:line="259" w:lineRule="auto"/>
            </w:pPr>
            <w:r>
              <w:rPr>
                <w:rFonts w:ascii="Calibri" w:hAnsi="Calibri"/>
                <w:b w:val="0"/>
                <w:i w:val="0"/>
                <w:color w:val="212121"/>
                <w:sz w:val="16"/>
              </w:rPr>
              <w:t>Identifies predisposing and prognostic factors and the risk of recurrence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Recurrence is 8–12%; document diabetes and pregnancy status.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Sudden one-sided facial droop /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 (hours to &lt; 72 h) unilateral weakness of the whole hemiface, including the forehead.</w:t>
            </w:r>
          </w:p>
        </w:tc>
      </w:tr>
      <w:tr>
        <w:trPr>
          <w:cantSplit/>
        </w:trPr>
        <w:tc>
          <w:tcPr>
            <w:tcW w:type="dxa" w:w="2304"/>
            <w:vAlign w:val="top"/>
          </w:tcPr>
          <w:p>
            <w:pPr>
              <w:spacing w:after="40" w:before="0" w:line="259" w:lineRule="auto"/>
            </w:pPr>
            <w:r>
              <w:rPr>
                <w:rFonts w:ascii="Calibri" w:hAnsi="Calibri"/>
                <w:b/>
                <w:i w:val="0"/>
                <w:color w:val="212121"/>
                <w:sz w:val="19"/>
              </w:rPr>
              <w:t>Inability to close one eye / incomplete blink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orbicularis oculi causes lagophthalmos and a dry, exposed eye.</w:t>
            </w:r>
          </w:p>
        </w:tc>
      </w:tr>
      <w:tr>
        <w:trPr>
          <w:cantSplit/>
        </w:trPr>
        <w:tc>
          <w:tcPr>
            <w:tcW w:type="dxa" w:w="2304"/>
            <w:vAlign w:val="top"/>
          </w:tcPr>
          <w:p>
            <w:pPr>
              <w:spacing w:after="40" w:before="0" w:line="259" w:lineRule="auto"/>
            </w:pPr>
            <w:r>
              <w:rPr>
                <w:rFonts w:ascii="Calibri" w:hAnsi="Calibri"/>
                <w:b/>
                <w:i w:val="0"/>
                <w:color w:val="212121"/>
                <w:sz w:val="19"/>
              </w:rPr>
              <w:t>Drooping mouth corner with drooling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oral muscles let saliva and fluids spill from the affected side.</w:t>
            </w:r>
          </w:p>
        </w:tc>
      </w:tr>
      <w:tr>
        <w:trPr>
          <w:cantSplit/>
        </w:trPr>
        <w:tc>
          <w:tcPr>
            <w:tcW w:type="dxa" w:w="2304"/>
            <w:vAlign w:val="top"/>
          </w:tcPr>
          <w:p>
            <w:pPr>
              <w:spacing w:after="40" w:before="0" w:line="259" w:lineRule="auto"/>
            </w:pPr>
            <w:r>
              <w:rPr>
                <w:rFonts w:ascii="Calibri" w:hAnsi="Calibri"/>
                <w:b/>
                <w:i w:val="0"/>
                <w:color w:val="212121"/>
                <w:sz w:val="19"/>
              </w:rPr>
              <w:t>Loss of forehead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Cannot wrinkle the forehead or raise the eyebrow on the affected side — marks a peripheral lesion.</w:t>
            </w:r>
          </w:p>
        </w:tc>
      </w:tr>
      <w:tr>
        <w:trPr>
          <w:cantSplit/>
        </w:trPr>
        <w:tc>
          <w:tcPr>
            <w:tcW w:type="dxa" w:w="2304"/>
            <w:vAlign w:val="top"/>
          </w:tcPr>
          <w:p>
            <w:pPr>
              <w:spacing w:after="40" w:before="0" w:line="259" w:lineRule="auto"/>
            </w:pPr>
            <w:r>
              <w:rPr>
                <w:rFonts w:ascii="Calibri" w:hAnsi="Calibri"/>
                <w:b/>
                <w:i w:val="0"/>
                <w:color w:val="212121"/>
                <w:sz w:val="19"/>
              </w:rPr>
              <w:t>Difficulty eating; food trapping in the cheek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buccinator lets food pocket between cheek and gum.</w:t>
            </w:r>
          </w:p>
        </w:tc>
      </w:tr>
      <w:tr>
        <w:trPr>
          <w:cantSplit/>
        </w:trPr>
        <w:tc>
          <w:tcPr>
            <w:tcW w:type="dxa" w:w="2304"/>
            <w:vAlign w:val="top"/>
          </w:tcPr>
          <w:p>
            <w:pPr>
              <w:spacing w:after="40" w:before="0" w:line="259" w:lineRule="auto"/>
            </w:pPr>
            <w:r>
              <w:rPr>
                <w:rFonts w:ascii="Calibri" w:hAnsi="Calibri"/>
                <w:b/>
                <w:i w:val="0"/>
                <w:color w:val="212121"/>
                <w:sz w:val="19"/>
              </w:rPr>
              <w:t>Slurred / altered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 lip muscles impair labial sounds (b, p, m).</w:t>
            </w:r>
          </w:p>
        </w:tc>
      </w:tr>
      <w:tr>
        <w:trPr>
          <w:cantSplit/>
        </w:trPr>
        <w:tc>
          <w:tcPr>
            <w:tcW w:type="dxa" w:w="2304"/>
            <w:vAlign w:val="top"/>
          </w:tcPr>
          <w:p>
            <w:pPr>
              <w:spacing w:after="40" w:before="0" w:line="259" w:lineRule="auto"/>
            </w:pPr>
            <w:r>
              <w:rPr>
                <w:rFonts w:ascii="Calibri" w:hAnsi="Calibri"/>
                <w:b/>
                <w:i w:val="0"/>
                <w:color w:val="212121"/>
                <w:sz w:val="19"/>
              </w:rPr>
              <w:t>Post-auricular / mastoid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behind the ear, often preceding the weakness by one to two days.</w:t>
            </w:r>
          </w:p>
        </w:tc>
      </w:tr>
      <w:tr>
        <w:trPr>
          <w:cantSplit/>
        </w:trPr>
        <w:tc>
          <w:tcPr>
            <w:tcW w:type="dxa" w:w="2304"/>
            <w:vAlign w:val="top"/>
          </w:tcPr>
          <w:p>
            <w:pPr>
              <w:spacing w:after="40" w:before="0" w:line="259" w:lineRule="auto"/>
            </w:pPr>
            <w:r>
              <w:rPr>
                <w:rFonts w:ascii="Calibri" w:hAnsi="Calibri"/>
                <w:b/>
                <w:i w:val="0"/>
                <w:color w:val="212121"/>
                <w:sz w:val="19"/>
              </w:rPr>
              <w:t>Altered or reduced taste (dysgeusia)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taste over the anterior two-thirds of the tongue from chorda tympani involvement.</w:t>
            </w:r>
          </w:p>
        </w:tc>
      </w:tr>
      <w:tr>
        <w:trPr>
          <w:cantSplit/>
        </w:trPr>
        <w:tc>
          <w:tcPr>
            <w:tcW w:type="dxa" w:w="2304"/>
            <w:vAlign w:val="top"/>
          </w:tcPr>
          <w:p>
            <w:pPr>
              <w:spacing w:after="40" w:before="0" w:line="259" w:lineRule="auto"/>
            </w:pPr>
            <w:r>
              <w:rPr>
                <w:rFonts w:ascii="Calibri" w:hAnsi="Calibri"/>
                <w:b/>
                <w:i w:val="0"/>
                <w:color w:val="212121"/>
                <w:sz w:val="19"/>
              </w:rPr>
              <w:t>Hyperacusis (sounds seem too loud)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stapedius damping makes sounds uncomfortably loud on the affected side.</w:t>
            </w:r>
          </w:p>
        </w:tc>
      </w:tr>
      <w:tr>
        <w:trPr>
          <w:cantSplit/>
        </w:trPr>
        <w:tc>
          <w:tcPr>
            <w:tcW w:type="dxa" w:w="2304"/>
            <w:vAlign w:val="top"/>
          </w:tcPr>
          <w:p>
            <w:pPr>
              <w:spacing w:after="40" w:before="0" w:line="259" w:lineRule="auto"/>
            </w:pPr>
            <w:r>
              <w:rPr>
                <w:rFonts w:ascii="Calibri" w:hAnsi="Calibri"/>
                <w:b/>
                <w:i w:val="0"/>
                <w:color w:val="212121"/>
                <w:sz w:val="19"/>
              </w:rPr>
              <w:t>Dry eye or overflow tearing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or poorly distributed tears, with overflow from lower-lid weakness.</w:t>
            </w:r>
          </w:p>
        </w:tc>
      </w:tr>
      <w:tr>
        <w:trPr>
          <w:cantSplit/>
        </w:trPr>
        <w:tc>
          <w:tcPr>
            <w:tcW w:type="dxa" w:w="2304"/>
            <w:vAlign w:val="top"/>
          </w:tcPr>
          <w:p>
            <w:pPr>
              <w:spacing w:after="40" w:before="0" w:line="259" w:lineRule="auto"/>
            </w:pPr>
            <w:r>
              <w:rPr>
                <w:rFonts w:ascii="Calibri" w:hAnsi="Calibri"/>
                <w:b/>
                <w:i w:val="0"/>
                <w:color w:val="212121"/>
                <w:sz w:val="19"/>
              </w:rPr>
              <w:t>Subjective facial numbness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Patients often report numbness although objective facial sensation is usually intact.</w:t>
            </w:r>
          </w:p>
        </w:tc>
      </w:tr>
      <w:tr>
        <w:trPr>
          <w:cantSplit/>
        </w:trPr>
        <w:tc>
          <w:tcPr>
            <w:tcW w:type="dxa" w:w="2304"/>
            <w:vAlign w:val="top"/>
          </w:tcPr>
          <w:p>
            <w:pPr>
              <w:spacing w:after="40" w:before="0" w:line="259" w:lineRule="auto"/>
            </w:pPr>
            <w:r>
              <w:rPr>
                <w:rFonts w:ascii="Calibri" w:hAnsi="Calibri"/>
                <w:b/>
                <w:i w:val="0"/>
                <w:color w:val="212121"/>
                <w:sz w:val="19"/>
              </w:rPr>
              <w:t>Bilateral facial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Simultaneous bilateral palsy is rare and should prompt a search for another cause (Guillain–Barré, Lyme, sarcoidosis).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Lower-motor-neuron facial paralysis involving the forehead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Flattening of forehead creases and inability to raise the eyebrow on the affected side.</w:t>
            </w:r>
          </w:p>
        </w:tc>
      </w:tr>
      <w:tr>
        <w:trPr>
          <w:cantSplit/>
        </w:trPr>
        <w:tc>
          <w:tcPr>
            <w:tcW w:type="dxa" w:w="3456"/>
            <w:vAlign w:val="top"/>
          </w:tcPr>
          <w:p>
            <w:pPr>
              <w:spacing w:after="40" w:before="0" w:line="259" w:lineRule="auto"/>
            </w:pPr>
            <w:r>
              <w:rPr>
                <w:rFonts w:ascii="Calibri" w:hAnsi="Calibri"/>
                <w:b/>
                <w:i w:val="0"/>
                <w:color w:val="212121"/>
                <w:sz w:val="19"/>
              </w:rPr>
              <w:t>Lagophthalmos with a positive Bell's phenomenon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Incomplete lid closure; the globe rolls up and out on attempted closure.</w:t>
            </w:r>
          </w:p>
        </w:tc>
      </w:tr>
      <w:tr>
        <w:trPr>
          <w:cantSplit/>
        </w:trPr>
        <w:tc>
          <w:tcPr>
            <w:tcW w:type="dxa" w:w="3456"/>
            <w:vAlign w:val="top"/>
          </w:tcPr>
          <w:p>
            <w:pPr>
              <w:spacing w:after="40" w:before="0" w:line="259" w:lineRule="auto"/>
            </w:pPr>
            <w:r>
              <w:rPr>
                <w:rFonts w:ascii="Calibri" w:hAnsi="Calibri"/>
                <w:b/>
                <w:i w:val="0"/>
                <w:color w:val="212121"/>
                <w:sz w:val="19"/>
              </w:rPr>
              <w:t>Effaced nasolabial fold with mouth deviation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Lower-face droop with the mouth pulled toward the unaffected side.</w:t>
            </w:r>
          </w:p>
        </w:tc>
      </w:tr>
      <w:tr>
        <w:trPr>
          <w:cantSplit/>
        </w:trPr>
        <w:tc>
          <w:tcPr>
            <w:tcW w:type="dxa" w:w="3456"/>
            <w:vAlign w:val="top"/>
          </w:tcPr>
          <w:p>
            <w:pPr>
              <w:spacing w:after="40" w:before="0" w:line="259" w:lineRule="auto"/>
            </w:pPr>
            <w:r>
              <w:rPr>
                <w:rFonts w:ascii="Calibri" w:hAnsi="Calibri"/>
                <w:b/>
                <w:i w:val="0"/>
                <w:color w:val="212121"/>
                <w:sz w:val="19"/>
              </w:rPr>
              <w:t>Widened palpebral fissure / reduced blink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affected eye stays more open and blinks less frequently.</w:t>
            </w:r>
          </w:p>
        </w:tc>
      </w:tr>
      <w:tr>
        <w:trPr>
          <w:cantSplit/>
        </w:trPr>
        <w:tc>
          <w:tcPr>
            <w:tcW w:type="dxa" w:w="3456"/>
            <w:vAlign w:val="top"/>
          </w:tcPr>
          <w:p>
            <w:pPr>
              <w:spacing w:after="40" w:before="0" w:line="259" w:lineRule="auto"/>
            </w:pPr>
            <w:r>
              <w:rPr>
                <w:rFonts w:ascii="Calibri" w:hAnsi="Calibri"/>
                <w:b/>
                <w:i w:val="0"/>
                <w:color w:val="212121"/>
                <w:sz w:val="19"/>
              </w:rPr>
              <w:t>Inability to puff cheeks or whistle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Air escapes due to weak orbicularis oris and buccinator.</w:t>
            </w:r>
          </w:p>
        </w:tc>
      </w:tr>
      <w:tr>
        <w:trPr>
          <w:cantSplit/>
        </w:trPr>
        <w:tc>
          <w:tcPr>
            <w:tcW w:type="dxa" w:w="3456"/>
            <w:vAlign w:val="top"/>
          </w:tcPr>
          <w:p>
            <w:pPr>
              <w:spacing w:after="40" w:before="0" w:line="259" w:lineRule="auto"/>
            </w:pPr>
            <w:r>
              <w:rPr>
                <w:rFonts w:ascii="Calibri" w:hAnsi="Calibri"/>
                <w:b/>
                <w:i w:val="0"/>
                <w:color w:val="212121"/>
                <w:sz w:val="19"/>
              </w:rPr>
              <w:t>Reduced taste on the anterior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Diminished taste demonstrable with sweet or salt testing (chorda tympani).</w:t>
            </w:r>
          </w:p>
        </w:tc>
      </w:tr>
      <w:tr>
        <w:trPr>
          <w:cantSplit/>
        </w:trPr>
        <w:tc>
          <w:tcPr>
            <w:tcW w:type="dxa" w:w="3456"/>
            <w:vAlign w:val="top"/>
          </w:tcPr>
          <w:p>
            <w:pPr>
              <w:spacing w:after="40" w:before="0" w:line="259" w:lineRule="auto"/>
            </w:pPr>
            <w:r>
              <w:rPr>
                <w:rFonts w:ascii="Calibri" w:hAnsi="Calibri"/>
                <w:b/>
                <w:i w:val="0"/>
                <w:color w:val="212121"/>
                <w:sz w:val="19"/>
              </w:rPr>
              <w:t>Hyperacusis / absent stapedial reflex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the acoustic (stapedial) reflex on the affected side.</w:t>
            </w:r>
          </w:p>
        </w:tc>
      </w:tr>
      <w:tr>
        <w:trPr>
          <w:cantSplit/>
        </w:trPr>
        <w:tc>
          <w:tcPr>
            <w:tcW w:type="dxa" w:w="3456"/>
            <w:vAlign w:val="top"/>
          </w:tcPr>
          <w:p>
            <w:pPr>
              <w:spacing w:after="40" w:before="0" w:line="259" w:lineRule="auto"/>
            </w:pPr>
            <w:r>
              <w:rPr>
                <w:rFonts w:ascii="Calibri" w:hAnsi="Calibri"/>
                <w:b/>
                <w:i w:val="0"/>
                <w:color w:val="212121"/>
                <w:sz w:val="19"/>
              </w:rPr>
              <w:t>Reduced lacrimation (Schirmer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Decreased tear production when the lesion is proximal to the geniculate ganglion.</w:t>
            </w:r>
          </w:p>
        </w:tc>
      </w:tr>
      <w:tr>
        <w:trPr>
          <w:cantSplit/>
        </w:trPr>
        <w:tc>
          <w:tcPr>
            <w:tcW w:type="dxa" w:w="3456"/>
            <w:vAlign w:val="top"/>
          </w:tcPr>
          <w:p>
            <w:pPr>
              <w:spacing w:after="40" w:before="0" w:line="259" w:lineRule="auto"/>
            </w:pPr>
            <w:r>
              <w:rPr>
                <w:rFonts w:ascii="Calibri" w:hAnsi="Calibri"/>
                <w:b/>
                <w:i w:val="0"/>
                <w:color w:val="212121"/>
                <w:sz w:val="19"/>
              </w:rPr>
              <w:t>Corneal haze or ulcer (exposure keratopathy)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neglected eye protection; sight-threatening and needs urgent ophthalmology input.</w:t>
            </w:r>
          </w:p>
        </w:tc>
      </w:tr>
      <w:tr>
        <w:trPr>
          <w:cantSplit/>
        </w:trPr>
        <w:tc>
          <w:tcPr>
            <w:tcW w:type="dxa" w:w="3456"/>
            <w:vAlign w:val="top"/>
          </w:tcPr>
          <w:p>
            <w:pPr>
              <w:spacing w:after="40" w:before="0" w:line="259" w:lineRule="auto"/>
            </w:pPr>
            <w:r>
              <w:rPr>
                <w:rFonts w:ascii="Calibri" w:hAnsi="Calibri"/>
                <w:b/>
                <w:i w:val="0"/>
                <w:color w:val="212121"/>
                <w:sz w:val="19"/>
              </w:rPr>
              <w:t>Synkinesis / facial contracture (late)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Involuntary co-movement (e.g., the eye narrows when smiling) from aberrant nerve regeneration.</w:t>
            </w:r>
          </w:p>
        </w:tc>
      </w:tr>
      <w:tr>
        <w:trPr>
          <w:cantSplit/>
        </w:trPr>
        <w:tc>
          <w:tcPr>
            <w:tcW w:type="dxa" w:w="3456"/>
            <w:vAlign w:val="top"/>
          </w:tcPr>
          <w:p>
            <w:pPr>
              <w:spacing w:after="40" w:before="0" w:line="259" w:lineRule="auto"/>
            </w:pPr>
            <w:r>
              <w:rPr>
                <w:rFonts w:ascii="Calibri" w:hAnsi="Calibri"/>
                <w:b/>
                <w:i w:val="0"/>
                <w:color w:val="212121"/>
                <w:sz w:val="19"/>
              </w:rPr>
              <w:t>Vesicles in the ear canal or palate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If present, reclassify the palsy as Ramsay Hunt syndrome (herpes zoster oticus).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Exposure keratopathy and corneal ulceration from incomplete eye closure and reduced tearing (affects ~40% of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abrasion and dry eye, progressing to corneal blindness if neglected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incompetence: drooling, food pocketing and reduced oral intake</w:t>
            </w:r>
          </w:p>
        </w:tc>
        <w:tc>
          <w:tcPr>
            <w:tcW w:type="dxa" w:w="2980"/>
            <w:vAlign w:val="top"/>
          </w:tcPr>
          <w:p>
            <w:pPr>
              <w:spacing w:after="40" w:before="0" w:line="259" w:lineRule="auto"/>
            </w:pPr>
            <w:r>
              <w:rPr>
                <w:rFonts w:ascii="Calibri" w:hAnsi="Calibri"/>
                <w:b w:val="0"/>
                <w:i w:val="0"/>
                <w:color w:val="212121"/>
                <w:sz w:val="19"/>
              </w:rPr>
              <w:t>Acute consequences of the paralysis itself, dominated by loss of eye protection.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Incomplete recovery with residual facial weakness (approximately 20–30% of untreated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Aberrant nerve regeneration causing synkinesis (~15%), facial contracture and hemifacial spasm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Gustatory lacrimation ('crocodile tears')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of Bell's palsy (8–12%)</w:t>
            </w:r>
          </w:p>
        </w:tc>
        <w:tc>
          <w:tcPr>
            <w:tcW w:type="dxa" w:w="2980"/>
            <w:vAlign w:val="top"/>
          </w:tcPr>
          <w:p>
            <w:pPr>
              <w:spacing w:after="40" w:before="0" w:line="259" w:lineRule="auto"/>
            </w:pPr>
            <w:r>
              <w:rPr>
                <w:rFonts w:ascii="Calibri" w:hAnsi="Calibri"/>
                <w:b w:val="0"/>
                <w:i w:val="0"/>
                <w:color w:val="212121"/>
                <w:sz w:val="19"/>
              </w:rPr>
              <w:t>Result from the degree of axonal injury and imperfect nerve regeneration.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facial asymmetry and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depression, anxiety and social withdrawal from altered appearance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scarring and permanent visual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facial pain or spasm</w:t>
            </w:r>
          </w:p>
        </w:tc>
        <w:tc>
          <w:tcPr>
            <w:tcW w:type="dxa" w:w="2980"/>
            <w:vAlign w:val="top"/>
          </w:tcPr>
          <w:p>
            <w:pPr>
              <w:spacing w:after="40" w:before="0" w:line="259" w:lineRule="auto"/>
            </w:pPr>
            <w:r>
              <w:rPr>
                <w:rFonts w:ascii="Calibri" w:hAnsi="Calibri"/>
                <w:b w:val="0"/>
                <w:i w:val="0"/>
                <w:color w:val="212121"/>
                <w:sz w:val="19"/>
              </w:rPr>
              <w:t>Long-term, disabling outcomes of severe or poorly managed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Roughly doubles risk (OR ~2.4) and is present in about 11.4% of Bell's palsy patients; it predicts poorer recovery, and corticosteroid treatment further raises blood glucose.</w:t>
            </w:r>
          </w:p>
          <w:p>
            <w:pPr>
              <w:spacing w:after="40" w:before="0" w:line="259" w:lineRule="auto"/>
            </w:pPr>
            <w:r>
              <w:rPr>
                <w:rFonts w:ascii="Calibri" w:hAnsi="Calibri"/>
                <w:b/>
                <w:i w:val="0"/>
                <w:color w:val="212121"/>
                <w:sz w:val="19"/>
              </w:rPr>
              <w:t>Up to 11.4%</w:t>
            </w:r>
          </w:p>
        </w:tc>
      </w:tr>
      <w:tr>
        <w:trPr>
          <w:cantSplit/>
        </w:trPr>
        <w:tc>
          <w:tcPr>
            <w:tcW w:type="dxa" w:w="2232"/>
            <w:vAlign w:val="top"/>
          </w:tcPr>
          <w:p>
            <w:pPr>
              <w:spacing w:after="40" w:before="0" w:line="259" w:lineRule="auto"/>
            </w:pPr>
            <w:r>
              <w:rPr>
                <w:rFonts w:ascii="Calibri" w:hAnsi="Calibri"/>
                <w:b/>
                <w:i w:val="0"/>
                <w:color w:val="212121"/>
                <w:sz w:val="19"/>
              </w:rPr>
              <w:t>Herpes simplex virus (HSV-1)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Reactivation of latent HSV-1 in the geniculate ganglion is the leading proposed cause; recent HSV infection carries an odds ratio of about 6.5.</w:t>
            </w:r>
          </w:p>
          <w:p>
            <w:pPr>
              <w:spacing w:after="40" w:before="0" w:line="259" w:lineRule="auto"/>
            </w:pPr>
            <w:r>
              <w:rPr>
                <w:rFonts w:ascii="Calibri" w:hAnsi="Calibri"/>
                <w:b/>
                <w:i w:val="0"/>
                <w:color w:val="212121"/>
                <w:sz w:val="19"/>
              </w:rPr>
              <w:t>OR ~6.5</w:t>
            </w:r>
          </w:p>
        </w:tc>
      </w:tr>
      <w:tr>
        <w:trPr>
          <w:cantSplit/>
        </w:trPr>
        <w:tc>
          <w:tcPr>
            <w:tcW w:type="dxa" w:w="2232"/>
            <w:vAlign w:val="top"/>
          </w:tcPr>
          <w:p>
            <w:pPr>
              <w:spacing w:after="40" w:before="0" w:line="259" w:lineRule="auto"/>
            </w:pPr>
            <w:r>
              <w:rPr>
                <w:rFonts w:ascii="Calibri" w:hAnsi="Calibri"/>
                <w:b/>
                <w:i w:val="0"/>
                <w:color w:val="212121"/>
                <w:sz w:val="19"/>
              </w:rPr>
              <w:t>Herpes zoster (Ramsay Hunt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Varicella-zoster reactivation produces facial palsy with ear or palate vesicles; it is the main differential and, being more severe, warrants antivirals and steroids.</w:t>
            </w:r>
          </w:p>
        </w:tc>
      </w:tr>
      <w:tr>
        <w:trPr>
          <w:cantSplit/>
        </w:trPr>
        <w:tc>
          <w:tcPr>
            <w:tcW w:type="dxa" w:w="2232"/>
            <w:vAlign w:val="top"/>
          </w:tcPr>
          <w:p>
            <w:pPr>
              <w:spacing w:after="40" w:before="0" w:line="259" w:lineRule="auto"/>
            </w:pPr>
            <w:r>
              <w:rPr>
                <w:rFonts w:ascii="Calibri" w:hAnsi="Calibri"/>
                <w:b/>
                <w:i w:val="0"/>
                <w:color w:val="212121"/>
                <w:sz w:val="19"/>
              </w:rPr>
              <w:t>Pregnancy &amp; pre-eclampsia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Incidence and severity rise in the third trimester and postpartum; hypertensive disorders of pregnancy are associated with pregnancy-related Bell's palsy.</w:t>
            </w:r>
          </w:p>
        </w:tc>
      </w:tr>
      <w:tr>
        <w:trPr>
          <w:cantSplit/>
        </w:trPr>
        <w:tc>
          <w:tcPr>
            <w:tcW w:type="dxa" w:w="2232"/>
            <w:vAlign w:val="top"/>
          </w:tcPr>
          <w:p>
            <w:pPr>
              <w:spacing w:after="40" w:before="0" w:line="259" w:lineRule="auto"/>
            </w:pPr>
            <w:r>
              <w:rPr>
                <w:rFonts w:ascii="Calibri" w:hAnsi="Calibri"/>
                <w:b/>
                <w:i w:val="0"/>
                <w:color w:val="212121"/>
                <w:sz w:val="19"/>
              </w:rPr>
              <w:t>Upper-respiratory / viral infection (incl. COVID-19)</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recent viral URI can trigger the palsy; COVID-19 infection is associated with increased risk (relative risk ~3.2).</w:t>
            </w:r>
          </w:p>
          <w:p>
            <w:pPr>
              <w:spacing w:after="40" w:before="0" w:line="259" w:lineRule="auto"/>
            </w:pPr>
            <w:r>
              <w:rPr>
                <w:rFonts w:ascii="Calibri" w:hAnsi="Calibri"/>
                <w:b/>
                <w:i w:val="0"/>
                <w:color w:val="212121"/>
                <w:sz w:val="19"/>
              </w:rPr>
              <w:t>RR ~3.2 (COVID-19)</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 independent metabolic risk factor that overlaps mechanistically with diabetes and hypertension.</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independent association is debated, but hypertension is relevant in pregnancy-related and diabetic patients and to steroid safety.</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Pre-existing depression is associated with onset (OR ~2.05), and residual facial deficit frequently causes new depression or anxiety — a bidirectional link.</w:t>
            </w:r>
          </w:p>
          <w:p>
            <w:pPr>
              <w:spacing w:after="40" w:before="0" w:line="259" w:lineRule="auto"/>
            </w:pPr>
            <w:r>
              <w:rPr>
                <w:rFonts w:ascii="Calibri" w:hAnsi="Calibri"/>
                <w:b/>
                <w:i w:val="0"/>
                <w:color w:val="212121"/>
                <w:sz w:val="19"/>
              </w:rPr>
              <w:t>OR ~2.05</w:t>
            </w:r>
          </w:p>
        </w:tc>
      </w:tr>
      <w:tr>
        <w:trPr>
          <w:cantSplit/>
        </w:trPr>
        <w:tc>
          <w:tcPr>
            <w:tcW w:type="dxa" w:w="2232"/>
            <w:vAlign w:val="top"/>
          </w:tcPr>
          <w:p>
            <w:pPr>
              <w:spacing w:after="40" w:before="0" w:line="259" w:lineRule="auto"/>
            </w:pPr>
            <w:r>
              <w:rPr>
                <w:rFonts w:ascii="Calibri" w:hAnsi="Calibri"/>
                <w:b/>
                <w:i w:val="0"/>
                <w:color w:val="212121"/>
                <w:sz w:val="19"/>
              </w:rPr>
              <w:t>Exposure keratopathy / corneal ulcer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in up to ~40% of patients from incomplete eye closure; the principal sight-threatening complication requiring lubrication and lid care.</w:t>
            </w:r>
          </w:p>
          <w:p>
            <w:pPr>
              <w:spacing w:after="40" w:before="0" w:line="259" w:lineRule="auto"/>
            </w:pPr>
            <w:r>
              <w:rPr>
                <w:rFonts w:ascii="Calibri" w:hAnsi="Calibri"/>
                <w:b/>
                <w:i w:val="0"/>
                <w:color w:val="212121"/>
                <w:sz w:val="19"/>
              </w:rPr>
              <w:t>Up to 40%</w:t>
            </w:r>
          </w:p>
        </w:tc>
      </w:tr>
      <w:tr>
        <w:trPr>
          <w:cantSplit/>
        </w:trPr>
        <w:tc>
          <w:tcPr>
            <w:tcW w:type="dxa" w:w="2232"/>
            <w:vAlign w:val="top"/>
          </w:tcPr>
          <w:p>
            <w:pPr>
              <w:spacing w:after="40" w:before="0" w:line="259" w:lineRule="auto"/>
            </w:pPr>
            <w:r>
              <w:rPr>
                <w:rFonts w:ascii="Calibri" w:hAnsi="Calibri"/>
                <w:b/>
                <w:i w:val="0"/>
                <w:color w:val="212121"/>
                <w:sz w:val="19"/>
              </w:rPr>
              <w:t>Synkinesis / facial contracture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Late sequela of aberrant nerve regeneration in about 15% of patients, more common after complete paralysis.</w:t>
            </w:r>
          </w:p>
          <w:p>
            <w:pPr>
              <w:spacing w:after="40" w:before="0" w:line="259" w:lineRule="auto"/>
            </w:pPr>
            <w:r>
              <w:rPr>
                <w:rFonts w:ascii="Calibri" w:hAnsi="Calibri"/>
                <w:b/>
                <w:i w:val="0"/>
                <w:color w:val="212121"/>
                <w:sz w:val="19"/>
              </w:rPr>
              <w:t>~15%</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tell a facial droop from a stroke: if the forehead moves normally while the lower face is weak (with arm weakness or speech difficulty), suspect stroke and call emergency services immediately (act FAST) rather than assume Bell's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care within 72 hours of any sudden facial weakness — corticosteroids work best when started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cases (70–95%) recover, which reduces anxiety and supports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diabetes, blood pressure and weight, and manage pregnancy-related hypertension, to lower risk and improve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direct cold draughts (fan or air-conditioner) on the face and protect the face in cold weather.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prior episode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affected eye: use lubricating drops by day, ointment and taping or patching at night, and wear wrap-around glasses outdoors.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eye pain, redness or blurred vision immediately — it may signal corneal exposure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corticosteroids (with antivirals if advised) and attend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Chew on the unaffected side and take a soft diet to avoid food pocketing and choking.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Bell's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incomplete eye closure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 on steroids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facial neuromuscular re-education / mime therapy with a physiotherapist once some tone returns, to improve symmetry and reduce synkinesis.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gentle, mirror-guided facial exercises (eyebrow raise, soft eye closure, smiling) several times daily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forceful, high-effort grimacing, which can promote synkinesis.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aerobic activity (≥150 min/week) to control the diabetes, obesity and hypertension that raise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residual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Diabetic/obese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low-glycaemic diet (whole grains and millets, pulses, vegetables) to prevent and control diabetes — the leading modifiable risk factor.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sugar-sweetened beverages, refined carbohydrates and fried or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micronutrients (including vitamin D and B-vitamins) to support nerve health and antiviral immunity.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 and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the acute phase, take a soft, easy-to-manage diet with small frequent meals, and chew on the unaffected side.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maintain oral hygiene to compensate for reduced saliva clearance on the weak side.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on corticosteroids, moderate salt and refined-sugar intake to limit rises in glucose and blood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Acute-phase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on steroids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maintain immune function and reduce HSV-reactivation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sleep disorders and avoid chronic sleep deprivation and unnecessary overnight stress where possible.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under high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prior episodes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protect microvascular and immune health and to improve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heavy use impairs immunity, worsens glycaemic control and can aggravate coexisting neuropathy.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depression and anxiety related to facial appearance; offer counselling and reassurance about the high recovery 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peer or structured psychological support for patients with slow or incomplete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mindfulness) given the association of acute stress with onset.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distressed by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incomplete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depressed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nds.nih.gov/health-information/disorders/bells-palsy" TargetMode="External"/><Relationship Id="rId10" Type="http://schemas.openxmlformats.org/officeDocument/2006/relationships/hyperlink" Target="https://www.ncbi.nlm.nih.gov/books/NBK482290/" TargetMode="External"/><Relationship Id="rId11" Type="http://schemas.openxmlformats.org/officeDocument/2006/relationships/hyperlink" Target="https://www.aafp.org/pubs/afp/issues/2007/1001/p997.html" TargetMode="External"/><Relationship Id="rId12" Type="http://schemas.openxmlformats.org/officeDocument/2006/relationships/hyperlink" Target="https://www.cochrane.org/CD001942/NEUROMUSC_corticosteroids-for-bells-palsy-idiopathic-facial-paralysis" TargetMode="External"/><Relationship Id="rId13" Type="http://schemas.openxmlformats.org/officeDocument/2006/relationships/hyperlink" Target="https://pubmed.ncbi.nlm.nih.gov/35918976/" TargetMode="External"/><Relationship Id="rId14" Type="http://schemas.openxmlformats.org/officeDocument/2006/relationships/hyperlink" Target="https://pubmed.ncbi.nlm.nih.gov/40838411/" TargetMode="External"/><Relationship Id="rId15" Type="http://schemas.openxmlformats.org/officeDocument/2006/relationships/hyperlink" Target="https://pubmed.ncbi.nlm.nih.gov/1126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