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Neuromyelitis Optica Spectrum Disorder</w:t>
      </w:r>
    </w:p>
    <w:p>
      <w:pPr>
        <w:spacing w:before="0" w:after="160"/>
      </w:pPr>
      <w:r>
        <w:rPr>
          <w:rFonts w:ascii="Calibri" w:hAnsi="Calibri"/>
          <w:b/>
          <w:i w:val="0"/>
          <w:color w:val="212121"/>
          <w:sz w:val="22"/>
        </w:rPr>
        <w:t xml:space="preserve">AKA </w:t>
      </w:r>
      <w:r>
        <w:rPr>
          <w:rFonts w:ascii="Calibri" w:hAnsi="Calibri"/>
          <w:b w:val="0"/>
          <w:i w:val="0"/>
          <w:color w:val="212121"/>
          <w:sz w:val="22"/>
        </w:rPr>
        <w:t>i.e., NMOSD, Neuromyelitis optica (NMO), Devic disease, Devic's syndrome, Opticospinal MS (historical)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Neuromyelitis optica spectrum disorder (NMOSD) is a rare, chronic, typically relapsing autoimmune inflammatory disease of the central nervous system that preferentially attacks the optic nerves, spinal cord and selected brain regions (notably the area postrema of the dorsal medulla). In most patients it is driven by immunoglobulin-G autoantibodies against aquaporin-4 (AQP4-IgG), the principal water channel on astrocytes, producing a complement-mediated astrocytopathy with secondary demyelination and neuronal loss. Attacks of optic neuritis and longitudinally extensive transverse myelitis are usually severe and recover poorly, so recurrent relapses cause cumulative blindness and paralysis. NMOSD is a distinct entity from multiple sclerosis and is relatively more common among Asian (including Indian) and African-descent populations.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NMOSD is rare. A population study in South India (Mangalore), applying the 2015 diagnostic criteria, estimated a prevalence of about 0.72 per 100,000, and the disorder is proportionally more common among Asians than among white populations. Worldwide prevalence ranges roughly from 0.5 to 10 per 100,000, being highest in East Asians (~3.4-4.1 per 100,000) and people of African descent (up to ~10-11.5 per 100,000) and lowest (~1 per 100,000) in white populations. A distinctive Indian feature is a much less marked female predominance (about 1.2:1) than the up to 9:1 female-to-male ratio reported for AQP4-IgG disease in Western and East Asian series.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Diagnosis follows the 2015 International Consensus Diagnostic Criteria for NMOSD (Wingerchuk et al., Neurology 2015), which stratify patients by aquaporin-4 IgG (AQP4-IgG) serostatus and require exclusion of alternative diagnoses. Six core clinical characteristics are recognised, and the diagnostic threshold is lower when AQP4-IgG is positive: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Six core clinical characteristics: (1) optic neuritis; (2) acute myelitis; (3) area postrema syndrome (an episode of otherwise unexplained hiccups or nausea and vomiting); (4) acute brainstem syndrome; (5) symptomatic narcolepsy or acute diencephalic syndrome with NMOSD-typical diencephalic MRI lesions; and (6) symptomatic cerebral syndrome with NMOSD-typical brain lesions;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NMOSD WITH AQP4-IgG: at least 1 core clinical characteristic, a positive AQP4-IgG test (cell-based assay strongly preferred), and exclusion of alternative diagnoses;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NMOSD WITHOUT AQP4-IgG (or with unknown serostatus): at least 2 core clinical characteristics from one or more attacks, of which at least one must be optic neuritis, acute myelitis with a longitudinally extensive cord lesion, or area postrema syndrome; plus dissemination in space (≥2 different core characteristics) and fulfilment of additional MRI requirements;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MRI features: a longitudinally extensive spinal cord lesion spanning ≥3 contiguous vertebral segments (LETM); long, posterior or chiasmal optic-nerve involvement; a dorsal medulla/area postrema lesion; and periependymal brainstem or diencephalic lesions;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AQP4-IgG cell-based assay and MOG-IgG testing help distinguish NMOSD from multiple sclerosis and from MOG antibody-associated disease; CSF may show marked pleocytosis (sometimes neutrophilic) with oligoclonal bands usually absent, unlike MS.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NMOSD is classified along serological, disease-course and syndromic lines:</w:t>
      </w:r>
    </w:p>
    <w:p>
      <w:pPr>
        <w:spacing w:before="0" w:after="80"/>
      </w:pPr>
      <w:r>
        <w:rPr>
          <w:rFonts w:ascii="Calibri" w:hAnsi="Calibri"/>
          <w:b w:val="0"/>
          <w:i w:val="0"/>
          <w:color w:val="212121"/>
          <w:sz w:val="21"/>
        </w:rPr>
        <w:t>(1) AQP4-IgG seropositive NMOSD — the prototypic astrocytopathic form; almost always relapsing, shows the strongest female predominance and requires long-term (often lifelong) immunotherapy;</w:t>
      </w:r>
    </w:p>
    <w:p>
      <w:pPr>
        <w:spacing w:before="0" w:after="80"/>
      </w:pPr>
      <w:r>
        <w:rPr>
          <w:rFonts w:ascii="Calibri" w:hAnsi="Calibri"/>
          <w:b w:val="0"/>
          <w:i w:val="0"/>
          <w:color w:val="212121"/>
          <w:sz w:val="21"/>
        </w:rPr>
        <w:t>(2) AQP4-IgG seronegative NMOSD — roughly 20-30% of clinically diagnosed patients; a substantial proportion (up to ~40-42% of seronegative cases) carry MOG-IgG and are now regarded as a separate entity, MOG antibody-associated disease (MOGAD), while the remainder are double-seronegative;</w:t>
      </w:r>
    </w:p>
    <w:p>
      <w:pPr>
        <w:spacing w:before="0" w:after="80"/>
      </w:pPr>
      <w:r>
        <w:rPr>
          <w:rFonts w:ascii="Calibri" w:hAnsi="Calibri"/>
          <w:b w:val="0"/>
          <w:i w:val="0"/>
          <w:color w:val="212121"/>
          <w:sz w:val="21"/>
        </w:rPr>
        <w:t>(3) By course: relapsing NMOSD (~85-90% of cases, with recurrent attacks and stepwise accrual of disability) versus monophasic NMOSD (a single attack, more often double-seronegative and with a more equal sex ratio);</w:t>
      </w:r>
    </w:p>
    <w:p>
      <w:pPr>
        <w:spacing w:before="0" w:after="80"/>
      </w:pPr>
      <w:r>
        <w:rPr>
          <w:rFonts w:ascii="Calibri" w:hAnsi="Calibri"/>
          <w:b w:val="0"/>
          <w:i w:val="0"/>
          <w:color w:val="212121"/>
          <w:sz w:val="21"/>
        </w:rPr>
        <w:t>(4) By presenting syndrome: the six core clinical syndromes — optic neuritis, acute myelitis, area postrema, acute brainstem, diencephalic, and cerebral — which may occur alone or in combination.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Aquaporin-4 autoimmunity: Pathogenic AQP4-IgG antibodies bind astrocyte foot-process water channels and activate the classical complement cascade, causing complement-dependent and antibody-dependent astrocyte injury with secondary demyelination and axonal loss.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B-cell and IL-6 driven immune dysregulation: AQP4-specific plasmablasts and interleukin-6 promote autoantibody production and blood-brain-barrier disruption, providing the rationale for anti-CD19/CD20 and anti-IL-6-receptor therapies.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susceptibility: HLA associations (e.g., HLA-DRB1*03 in some populations) and a personal or family autoimmune background raise risk, although NMOSD does not typically run in families.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Female sex and hormonal factors: The marked female predominance in AQP4-IgG disease implicates sex hormones and X-linked immune influences.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Vitamin D deficiency and low sun exposure: Reduced 25-hydroxyvitamin D is linked to autoimmune demyelination and is highly prevalent in Indian populations.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and provoking triggers: Infections, the postpartum period, and abrupt withdrawal of immunosuppression can precipitate attacks; smoking is a candidate modifiable risk factor.</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Coexisting systemic autoimmunity: Conditions such as SLE, Sjogren's syndrome and autoimmune thyroid disease share mechanisms with and frequently cluster around NMOSD.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(3rd-4th decade onset)</w:t>
            </w:r>
          </w:p>
        </w:tc>
        <w:tc>
          <w:tcPr>
            <w:tcW w:type="dxa" w:w="4276"/>
            <w:vAlign w:val="top"/>
          </w:tcPr>
          <w:p>
            <w:pPr>
              <w:spacing w:after="60" w:line="259" w:lineRule="auto"/>
            </w:pPr>
            <w:r>
              <w:rPr>
                <w:rFonts w:ascii="Calibri" w:hAnsi="Calibri"/>
                <w:b w:val="0"/>
                <w:i w:val="0"/>
                <w:color w:val="212121"/>
                <w:sz w:val="19"/>
              </w:rPr>
              <w:t>AQP4-IgG NMOSD can begin at any age but characteristically peaks in young to middle adulthood; each severe relapse of optic neuritis or myelitis adds a step of largely irreversible disability, so early onset means a longer lifetime disability burden.</w:t>
            </w:r>
          </w:p>
          <w:p>
            <w:pPr>
              <w:spacing w:after="40" w:before="60" w:line="259" w:lineRule="auto"/>
            </w:pPr>
            <w:r>
              <w:rPr>
                <w:rFonts w:ascii="Calibri" w:hAnsi="Calibri"/>
                <w:b w:val="0"/>
                <w:i w:val="0"/>
                <w:color w:val="212121"/>
                <w:sz w:val="19"/>
              </w:rPr>
              <w:t>Mean age at onset across international cohorts ranges ~32.6-45.7 years; Indian/Asian series tend to present at the younger end.</w:t>
            </w:r>
          </w:p>
          <w:p>
            <w:pPr>
              <w:spacing w:after="40" w:line="252" w:lineRule="auto"/>
            </w:pPr>
            <w:hyperlink r:id="rId9">
              <w:r>
                <w:rPr>
                  <w:rFonts w:ascii="Calibri" w:hAnsi="Calibri" w:cs="Calibri"/>
                  <w:sz w:val="18"/>
                  <w:color w:val="1155CC"/>
                  <w:u w:val="single"/>
                </w:rPr>
                <w:t xml:space="preserve">Mult Scler J (Pandit 2015) — NMO demographics</w:t>
              </w:r>
            </w:hyperlink>
          </w:p>
          <w:p>
            <w:pPr>
              <w:spacing w:before="60" w:after="40"/>
            </w:pPr>
            <w:r>
              <w:rPr>
                <w:rFonts w:ascii="Calibri" w:hAnsi="Calibri"/>
                <w:b w:val="0"/>
                <w:i w:val="0"/>
                <w:color w:val="5A5A5A"/>
                <w:sz w:val="18"/>
              </w:rPr>
              <w:t>#nmosd  #aqp4  #youngadults  #relapsing  #disability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(late-onset &gt;50 years)</w:t>
            </w:r>
          </w:p>
        </w:tc>
        <w:tc>
          <w:tcPr>
            <w:tcW w:type="dxa" w:w="4276"/>
            <w:vAlign w:val="top"/>
          </w:tcPr>
          <w:p>
            <w:pPr>
              <w:spacing w:after="60" w:line="259" w:lineRule="auto"/>
            </w:pPr>
            <w:r>
              <w:rPr>
                <w:rFonts w:ascii="Calibri" w:hAnsi="Calibri"/>
                <w:b w:val="0"/>
                <w:i w:val="0"/>
                <w:color w:val="212121"/>
                <w:sz w:val="19"/>
              </w:rPr>
              <w:t>Late-onset NMOSD presents more often with acute myelitis and prominent motor disability, recovers less completely, and is complicated by frailty, comorbidity and greater vulnerability to immunosuppression-related infection.</w:t>
            </w:r>
          </w:p>
          <w:p>
            <w:pPr>
              <w:spacing w:after="40" w:before="60" w:line="259" w:lineRule="auto"/>
            </w:pPr>
            <w:r>
              <w:rPr>
                <w:rFonts w:ascii="Calibri" w:hAnsi="Calibri"/>
                <w:b w:val="0"/>
                <w:i w:val="0"/>
                <w:color w:val="212121"/>
                <w:sz w:val="19"/>
              </w:rPr>
              <w:t>Older age at onset is associated with poorer motor recovery and higher disability accrual.</w:t>
            </w:r>
          </w:p>
          <w:p>
            <w:pPr>
              <w:spacing w:after="40" w:line="252" w:lineRule="auto"/>
            </w:pPr>
            <w:hyperlink r:id="rId10">
              <w:r>
                <w:rPr>
                  <w:rFonts w:ascii="Calibri" w:hAnsi="Calibri" w:cs="Calibri"/>
                  <w:sz w:val="18"/>
                  <w:color w:val="1155CC"/>
                  <w:u w:val="single"/>
                </w:rPr>
                <w:t xml:space="preserve">mayoclinic.org — NMO risk factors</w:t>
              </w:r>
            </w:hyperlink>
          </w:p>
          <w:p>
            <w:pPr>
              <w:spacing w:before="60" w:after="40"/>
            </w:pPr>
            <w:r>
              <w:rPr>
                <w:rFonts w:ascii="Calibri" w:hAnsi="Calibri"/>
                <w:b w:val="0"/>
                <w:i w:val="0"/>
                <w:color w:val="5A5A5A"/>
                <w:sz w:val="18"/>
              </w:rPr>
              <w:t>#lateonset  #myelitis  #motordisability  #frailty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Paediatric NMOSD is uncommon and more often presents with brain and brainstem involvement (encephalopathy, seizures); MOG-IgG-associated disease is proportionally more frequent in this age group than AQP4-IgG NMOSD.</w:t>
            </w:r>
          </w:p>
          <w:p>
            <w:pPr>
              <w:spacing w:after="40" w:before="60" w:line="259" w:lineRule="auto"/>
            </w:pPr>
            <w:r>
              <w:rPr>
                <w:rFonts w:ascii="Calibri" w:hAnsi="Calibri"/>
                <w:b w:val="0"/>
                <w:i w:val="0"/>
                <w:color w:val="212121"/>
                <w:sz w:val="19"/>
              </w:rPr>
              <w:t>MOG antibody-associated disease incidence is higher in children (~3.1/million) than adults (~1.3/million).</w:t>
            </w:r>
          </w:p>
          <w:p>
            <w:pPr>
              <w:spacing w:after="40" w:line="252" w:lineRule="auto"/>
            </w:pPr>
            <w:hyperlink r:id="rId11">
              <w:r>
                <w:rPr>
                  <w:rFonts w:ascii="Calibri" w:hAnsi="Calibri" w:cs="Calibri"/>
                  <w:sz w:val="18"/>
                  <w:color w:val="1155CC"/>
                  <w:u w:val="single"/>
                </w:rPr>
                <w:t xml:space="preserve">frontiersin.org — NMOSD worldwide epidemiology</w:t>
              </w:r>
            </w:hyperlink>
          </w:p>
          <w:p>
            <w:pPr>
              <w:spacing w:before="60" w:after="40"/>
            </w:pPr>
            <w:r>
              <w:rPr>
                <w:rFonts w:ascii="Calibri" w:hAnsi="Calibri"/>
                <w:b w:val="0"/>
                <w:i w:val="0"/>
                <w:color w:val="5A5A5A"/>
                <w:sz w:val="18"/>
              </w:rPr>
              <w:t>#pediatric  #mogad  #encephalopathy  #brainstem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far more than men, especially in relapsing AQP4-IgG disease, implicating sex-hormonal and X-linked immune factors; strikingly, Indian cohorts show a much less skewed ratio than the West.</w:t>
            </w:r>
          </w:p>
          <w:p>
            <w:pPr>
              <w:spacing w:after="40" w:before="60" w:line="259" w:lineRule="auto"/>
            </w:pPr>
            <w:r>
              <w:rPr>
                <w:rFonts w:ascii="Calibri" w:hAnsi="Calibri"/>
                <w:b w:val="0"/>
                <w:i w:val="0"/>
                <w:color w:val="212121"/>
                <w:sz w:val="19"/>
              </w:rPr>
              <w:t>Female-to-male ratio up to 9:1 for AQP4-IgG NMOSD and women are &gt;2/3 of all patients, but Indian series report a ratio closer to 1.2:1.</w:t>
            </w:r>
          </w:p>
          <w:p>
            <w:pPr>
              <w:spacing w:after="40" w:line="252" w:lineRule="auto"/>
            </w:pPr>
            <w:hyperlink r:id="rId9">
              <w:r>
                <w:rPr>
                  <w:rFonts w:ascii="Calibri" w:hAnsi="Calibri" w:cs="Calibri"/>
                  <w:sz w:val="18"/>
                  <w:color w:val="1155CC"/>
                  <w:u w:val="single"/>
                </w:rPr>
                <w:t xml:space="preserve">Mult Scler J (Pandit 2015) — India F:M ~1.2:1</w:t>
              </w:r>
            </w:hyperlink>
          </w:p>
          <w:p>
            <w:pPr>
              <w:spacing w:before="60" w:after="40"/>
            </w:pPr>
            <w:r>
              <w:rPr>
                <w:rFonts w:ascii="Calibri" w:hAnsi="Calibri"/>
                <w:b w:val="0"/>
                <w:i w:val="0"/>
                <w:color w:val="5A5A5A"/>
                <w:sz w:val="18"/>
              </w:rPr>
              <w:t>#female  #sexratio  #india  #aqp4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Low-resource / uninsured populations</w:t>
            </w:r>
          </w:p>
        </w:tc>
        <w:tc>
          <w:tcPr>
            <w:tcW w:type="dxa" w:w="4276"/>
            <w:vAlign w:val="top"/>
          </w:tcPr>
          <w:p>
            <w:pPr>
              <w:spacing w:after="60" w:line="259" w:lineRule="auto"/>
            </w:pPr>
            <w:r>
              <w:rPr>
                <w:rFonts w:ascii="Calibri" w:hAnsi="Calibri"/>
                <w:b w:val="0"/>
                <w:i w:val="0"/>
                <w:color w:val="212121"/>
                <w:sz w:val="19"/>
              </w:rPr>
              <w:t>In much of India, limited access to cell-based AQP4-IgG testing and the high cost of rituximab and newer biologics delay accurate diagnosis and effective relapse prevention, allowing avoidable attacks and cumulative disability; misdiagnosis as MS can lead to harmful therapy.</w:t>
            </w:r>
          </w:p>
          <w:p>
            <w:pPr>
              <w:spacing w:before="60" w:after="40"/>
            </w:pPr>
            <w:r>
              <w:rPr>
                <w:rFonts w:ascii="Calibri" w:hAnsi="Calibri"/>
                <w:b w:val="0"/>
                <w:i w:val="0"/>
                <w:color w:val="5A5A5A"/>
                <w:sz w:val="18"/>
              </w:rPr>
              <w:t>#accesstocare  #diagnosticdelay  #biologiccost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(including Indian)</w:t>
            </w:r>
          </w:p>
        </w:tc>
        <w:tc>
          <w:tcPr>
            <w:tcW w:type="dxa" w:w="4276"/>
            <w:vAlign w:val="top"/>
          </w:tcPr>
          <w:p>
            <w:pPr>
              <w:spacing w:after="60" w:line="259" w:lineRule="auto"/>
            </w:pPr>
            <w:r>
              <w:rPr>
                <w:rFonts w:ascii="Calibri" w:hAnsi="Calibri"/>
                <w:b w:val="0"/>
                <w:i w:val="0"/>
                <w:color w:val="212121"/>
                <w:sz w:val="19"/>
              </w:rPr>
              <w:t>NMOSD constitutes a proportionally larger share of CNS demyelinating disease in Asians than in white populations, and part of what was historically called Asian 'opticospinal MS' is now recognised as AQP4-IgG NMOSD.</w:t>
            </w:r>
          </w:p>
          <w:p>
            <w:pPr>
              <w:spacing w:after="40" w:before="60" w:line="259" w:lineRule="auto"/>
            </w:pPr>
            <w:r>
              <w:rPr>
                <w:rFonts w:ascii="Calibri" w:hAnsi="Calibri"/>
                <w:b w:val="0"/>
                <w:i w:val="0"/>
                <w:color w:val="212121"/>
                <w:sz w:val="19"/>
              </w:rPr>
              <w:t>Prevalence in East Asians ~3.4-4.1/100,000 versus ~1/100,000 in white populations.</w:t>
            </w:r>
          </w:p>
          <w:p>
            <w:pPr>
              <w:spacing w:after="40" w:line="252" w:lineRule="auto"/>
            </w:pPr>
            <w:hyperlink r:id="rId11">
              <w:r>
                <w:rPr>
                  <w:rFonts w:ascii="Calibri" w:hAnsi="Calibri" w:cs="Calibri"/>
                  <w:sz w:val="18"/>
                  <w:color w:val="1155CC"/>
                  <w:u w:val="single"/>
                </w:rPr>
                <w:t xml:space="preserve">frontiersin.org — NMOSD epidemiology by ethnicity</w:t>
              </w:r>
            </w:hyperlink>
          </w:p>
          <w:p>
            <w:pPr>
              <w:spacing w:before="60" w:after="40"/>
            </w:pPr>
            <w:r>
              <w:rPr>
                <w:rFonts w:ascii="Calibri" w:hAnsi="Calibri"/>
                <w:b w:val="0"/>
                <w:i w:val="0"/>
                <w:color w:val="5A5A5A"/>
                <w:sz w:val="18"/>
              </w:rPr>
              <w:t>#asian  #india  #opticospinal  #higherburden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African / Afro-Caribbean descent</w:t>
            </w:r>
          </w:p>
        </w:tc>
        <w:tc>
          <w:tcPr>
            <w:tcW w:type="dxa" w:w="4276"/>
            <w:vAlign w:val="top"/>
          </w:tcPr>
          <w:p>
            <w:pPr>
              <w:spacing w:after="60" w:line="259" w:lineRule="auto"/>
            </w:pPr>
            <w:r>
              <w:rPr>
                <w:rFonts w:ascii="Calibri" w:hAnsi="Calibri"/>
                <w:b w:val="0"/>
                <w:i w:val="0"/>
                <w:color w:val="212121"/>
                <w:sz w:val="19"/>
              </w:rPr>
              <w:t>People of African ancestry show the highest reported prevalence and often a more aggressive, disabling course, underscoring a strong ancestry-linked susceptibility.</w:t>
            </w:r>
          </w:p>
          <w:p>
            <w:pPr>
              <w:spacing w:after="40" w:before="60" w:line="259" w:lineRule="auto"/>
            </w:pPr>
            <w:r>
              <w:rPr>
                <w:rFonts w:ascii="Calibri" w:hAnsi="Calibri"/>
                <w:b w:val="0"/>
                <w:i w:val="0"/>
                <w:color w:val="212121"/>
                <w:sz w:val="19"/>
              </w:rPr>
              <w:t>Prevalence in Black populations ranges ~1.8-10/100,000, reaching 11.5/100,000 in Martinique.</w:t>
            </w:r>
          </w:p>
          <w:p>
            <w:pPr>
              <w:spacing w:after="40" w:line="252" w:lineRule="auto"/>
            </w:pPr>
            <w:hyperlink r:id="rId11">
              <w:r>
                <w:rPr>
                  <w:rFonts w:ascii="Calibri" w:hAnsi="Calibri" w:cs="Calibri"/>
                  <w:sz w:val="18"/>
                  <w:color w:val="1155CC"/>
                  <w:u w:val="single"/>
                </w:rPr>
                <w:t xml:space="preserve">frontiersin.org — highest prevalence in Black populations</w:t>
              </w:r>
            </w:hyperlink>
          </w:p>
          <w:p>
            <w:pPr>
              <w:spacing w:before="60" w:after="40"/>
            </w:pPr>
            <w:r>
              <w:rPr>
                <w:rFonts w:ascii="Calibri" w:hAnsi="Calibri"/>
                <w:b w:val="0"/>
                <w:i w:val="0"/>
                <w:color w:val="5A5A5A"/>
                <w:sz w:val="18"/>
              </w:rPr>
              <w:t>#africandescent  #highprevalence  #severe  #ancestry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South India (Mangalore cohort)</w:t>
            </w:r>
          </w:p>
        </w:tc>
        <w:tc>
          <w:tcPr>
            <w:tcW w:type="dxa" w:w="4276"/>
            <w:vAlign w:val="top"/>
          </w:tcPr>
          <w:p>
            <w:pPr>
              <w:spacing w:after="60" w:line="259" w:lineRule="auto"/>
            </w:pPr>
            <w:r>
              <w:rPr>
                <w:rFonts w:ascii="Calibri" w:hAnsi="Calibri"/>
                <w:b w:val="0"/>
                <w:i w:val="0"/>
                <w:color w:val="212121"/>
                <w:sz w:val="19"/>
              </w:rPr>
              <w:t>Robust population-based Indian data come chiefly from the Mangalore demyelinating disease registry, which applied contemporary criteria and confirms NMOSD as a recognised, if rare, cause of demyelination in the Indian subcontinent.</w:t>
            </w:r>
          </w:p>
          <w:p>
            <w:pPr>
              <w:spacing w:after="40" w:before="60" w:line="259" w:lineRule="auto"/>
            </w:pPr>
            <w:r>
              <w:rPr>
                <w:rFonts w:ascii="Calibri" w:hAnsi="Calibri"/>
                <w:b w:val="0"/>
                <w:i w:val="0"/>
                <w:color w:val="212121"/>
                <w:sz w:val="19"/>
              </w:rPr>
              <w:t>South Indian (Mangalore) prevalence ~0.72/100,000 using 2015 diagnostic criteria.</w:t>
            </w:r>
          </w:p>
          <w:p>
            <w:pPr>
              <w:spacing w:after="40" w:line="252" w:lineRule="auto"/>
            </w:pPr>
            <w:hyperlink r:id="rId11">
              <w:r>
                <w:rPr>
                  <w:rFonts w:ascii="Calibri" w:hAnsi="Calibri" w:cs="Calibri"/>
                  <w:sz w:val="18"/>
                  <w:color w:val="1155CC"/>
                  <w:u w:val="single"/>
                </w:rPr>
                <w:t xml:space="preserve">frontiersin.org — South India 0.72/100,000</w:t>
              </w:r>
            </w:hyperlink>
          </w:p>
          <w:p>
            <w:pPr>
              <w:spacing w:before="60" w:after="40"/>
            </w:pPr>
            <w:r>
              <w:rPr>
                <w:rFonts w:ascii="Calibri" w:hAnsi="Calibri"/>
                <w:b w:val="0"/>
                <w:i w:val="0"/>
                <w:color w:val="5A5A5A"/>
                <w:sz w:val="18"/>
              </w:rPr>
              <w:t>#india  #mangalore  #registry  #populationdata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smoke is pro-inflammatory and promotes autoimmune demyelination and vascular injury; smoking is listed among the factors that may increase NMOSD risk and tends to worsen outcomes and recovery.</w:t>
            </w:r>
          </w:p>
          <w:p>
            <w:pPr>
              <w:spacing w:after="40" w:before="60" w:line="259" w:lineRule="auto"/>
            </w:pPr>
            <w:r>
              <w:rPr>
                <w:rFonts w:ascii="Calibri" w:hAnsi="Calibri"/>
                <w:b w:val="0"/>
                <w:i w:val="0"/>
                <w:color w:val="212121"/>
                <w:sz w:val="19"/>
              </w:rPr>
              <w:t>Smoking, low vitamin D and limited childhood infections are cited as factors that may raise NMOSD risk.</w:t>
            </w:r>
          </w:p>
          <w:p>
            <w:pPr>
              <w:spacing w:after="40" w:line="252" w:lineRule="auto"/>
            </w:pPr>
            <w:hyperlink r:id="rId10">
              <w:r>
                <w:rPr>
                  <w:rFonts w:ascii="Calibri" w:hAnsi="Calibri" w:cs="Calibri"/>
                  <w:sz w:val="18"/>
                  <w:color w:val="1155CC"/>
                  <w:u w:val="single"/>
                </w:rPr>
                <w:t xml:space="preserve">mayoclinic.org — smoking &amp; NMO risk</w:t>
              </w:r>
            </w:hyperlink>
          </w:p>
          <w:p>
            <w:pPr>
              <w:spacing w:before="60" w:after="40"/>
            </w:pPr>
            <w:r>
              <w:rPr>
                <w:rFonts w:ascii="Calibri" w:hAnsi="Calibri"/>
                <w:b w:val="0"/>
                <w:i w:val="0"/>
                <w:color w:val="5A5A5A"/>
                <w:sz w:val="18"/>
              </w:rPr>
              <w:t>#smoking  #tobacco  #modifiable  #vascular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sunlight exposure</w:t>
            </w:r>
          </w:p>
        </w:tc>
        <w:tc>
          <w:tcPr>
            <w:tcW w:type="dxa" w:w="2160"/>
            <w:vAlign w:val="top"/>
          </w:tcPr>
          <w:p>
            <w:pPr>
              <w:spacing w:after="40" w:before="0" w:line="259" w:lineRule="auto"/>
            </w:pPr>
            <w:r>
              <w:rPr>
                <w:rFonts w:ascii="Calibri" w:hAnsi="Calibri"/>
                <w:b w:val="0"/>
                <w:i w:val="0"/>
                <w:color w:val="212121"/>
                <w:sz w:val="19"/>
              </w:rPr>
              <w:t>Indoor, veiled or urban-dwelling adults</w:t>
            </w:r>
          </w:p>
        </w:tc>
        <w:tc>
          <w:tcPr>
            <w:tcW w:type="dxa" w:w="4276"/>
            <w:vAlign w:val="top"/>
          </w:tcPr>
          <w:p>
            <w:pPr>
              <w:spacing w:after="60" w:line="259" w:lineRule="auto"/>
            </w:pPr>
            <w:r>
              <w:rPr>
                <w:rFonts w:ascii="Calibri" w:hAnsi="Calibri"/>
                <w:b w:val="0"/>
                <w:i w:val="0"/>
                <w:color w:val="212121"/>
                <w:sz w:val="19"/>
              </w:rPr>
              <w:t>Limited ultraviolet-B exposure lowers cutaneous vitamin D synthesis; low vitamin D is implicated in autoimmune demyelination and is extremely common among urban and covered Indian populations.</w:t>
            </w:r>
          </w:p>
          <w:p>
            <w:pPr>
              <w:spacing w:after="40" w:before="60" w:line="259" w:lineRule="auto"/>
            </w:pPr>
            <w:r>
              <w:rPr>
                <w:rFonts w:ascii="Calibri" w:hAnsi="Calibri"/>
                <w:b w:val="0"/>
                <w:i w:val="0"/>
                <w:color w:val="212121"/>
                <w:sz w:val="19"/>
              </w:rPr>
              <w:t>Low vitamin D is cited among factors that may increase the risk of NMOSD.</w:t>
            </w:r>
          </w:p>
          <w:p>
            <w:pPr>
              <w:spacing w:after="40" w:line="252" w:lineRule="auto"/>
            </w:pPr>
            <w:hyperlink r:id="rId10">
              <w:r>
                <w:rPr>
                  <w:rFonts w:ascii="Calibri" w:hAnsi="Calibri" w:cs="Calibri"/>
                  <w:sz w:val="18"/>
                  <w:color w:val="1155CC"/>
                  <w:u w:val="single"/>
                </w:rPr>
                <w:t xml:space="preserve">mayoclinic.org — low vitamin D &amp; NMO</w:t>
              </w:r>
            </w:hyperlink>
          </w:p>
          <w:p>
            <w:pPr>
              <w:spacing w:before="60" w:after="40"/>
            </w:pPr>
            <w:r>
              <w:rPr>
                <w:rFonts w:ascii="Calibri" w:hAnsi="Calibri"/>
                <w:b w:val="0"/>
                <w:i w:val="0"/>
                <w:color w:val="5A5A5A"/>
                <w:sz w:val="18"/>
              </w:rPr>
              <w:t>#vitamind  #sunlight  #urban  #autoimmunity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immobilised</w:t>
            </w:r>
          </w:p>
        </w:tc>
        <w:tc>
          <w:tcPr>
            <w:tcW w:type="dxa" w:w="2160"/>
            <w:vAlign w:val="top"/>
          </w:tcPr>
          <w:p>
            <w:pPr>
              <w:spacing w:after="40" w:before="0" w:line="259" w:lineRule="auto"/>
            </w:pPr>
            <w:r>
              <w:rPr>
                <w:rFonts w:ascii="Calibri" w:hAnsi="Calibri"/>
                <w:b w:val="0"/>
                <w:i w:val="0"/>
                <w:color w:val="212121"/>
                <w:sz w:val="19"/>
              </w:rPr>
              <w:t>Patients after acute myelitis</w:t>
            </w:r>
          </w:p>
        </w:tc>
        <w:tc>
          <w:tcPr>
            <w:tcW w:type="dxa" w:w="4276"/>
            <w:vAlign w:val="top"/>
          </w:tcPr>
          <w:p>
            <w:pPr>
              <w:spacing w:after="60" w:line="259" w:lineRule="auto"/>
            </w:pPr>
            <w:r>
              <w:rPr>
                <w:rFonts w:ascii="Calibri" w:hAnsi="Calibri"/>
                <w:b w:val="0"/>
                <w:i w:val="0"/>
                <w:color w:val="212121"/>
                <w:sz w:val="19"/>
              </w:rPr>
              <w:t>Paralysis and severe fatigue after a myelitis attack cause deconditioning, spasticity, pressure injury, venous thromboembolism and bone loss, compounding disability independent of further relapses.</w:t>
            </w:r>
          </w:p>
          <w:p>
            <w:pPr>
              <w:spacing w:before="60" w:after="40"/>
            </w:pPr>
            <w:r>
              <w:rPr>
                <w:rFonts w:ascii="Calibri" w:hAnsi="Calibri"/>
                <w:b w:val="0"/>
                <w:i w:val="0"/>
                <w:color w:val="5A5A5A"/>
                <w:sz w:val="18"/>
              </w:rPr>
              <w:t>#immobility  #deconditioning  #spasticity  #rehabilitation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Indians with low dietary intake / sun exposure</w:t>
            </w:r>
          </w:p>
        </w:tc>
        <w:tc>
          <w:tcPr>
            <w:tcW w:type="dxa" w:w="4276"/>
            <w:vAlign w:val="top"/>
          </w:tcPr>
          <w:p>
            <w:pPr>
              <w:spacing w:after="60" w:line="259" w:lineRule="auto"/>
            </w:pPr>
            <w:r>
              <w:rPr>
                <w:rFonts w:ascii="Calibri" w:hAnsi="Calibri"/>
                <w:b w:val="0"/>
                <w:i w:val="0"/>
                <w:color w:val="212121"/>
                <w:sz w:val="19"/>
              </w:rPr>
              <w:t>Nutritional vitamin D deficiency is highly prevalent across India and is associated with dysregulated adaptive immunity; correcting deficiency is a low-risk adjunct in autoimmune demyelinating disease.</w:t>
            </w:r>
          </w:p>
          <w:p>
            <w:pPr>
              <w:spacing w:after="40" w:before="60" w:line="259" w:lineRule="auto"/>
            </w:pPr>
            <w:r>
              <w:rPr>
                <w:rFonts w:ascii="Calibri" w:hAnsi="Calibri"/>
                <w:b w:val="0"/>
                <w:i w:val="0"/>
                <w:color w:val="212121"/>
                <w:sz w:val="19"/>
              </w:rPr>
              <w:t>Low vitamin D is listed by Mayo Clinic among possible NMOSD risk factors.</w:t>
            </w:r>
          </w:p>
          <w:p>
            <w:pPr>
              <w:spacing w:after="40" w:line="252" w:lineRule="auto"/>
            </w:pPr>
            <w:hyperlink r:id="rId10">
              <w:r>
                <w:rPr>
                  <w:rFonts w:ascii="Calibri" w:hAnsi="Calibri" w:cs="Calibri"/>
                  <w:sz w:val="18"/>
                  <w:color w:val="1155CC"/>
                  <w:u w:val="single"/>
                </w:rPr>
                <w:t xml:space="preserve">mayoclinic.org — vitamin D</w:t>
              </w:r>
            </w:hyperlink>
          </w:p>
          <w:p>
            <w:pPr>
              <w:spacing w:before="60" w:after="40"/>
            </w:pPr>
            <w:r>
              <w:rPr>
                <w:rFonts w:ascii="Calibri" w:hAnsi="Calibri"/>
                <w:b w:val="0"/>
                <w:i w:val="0"/>
                <w:color w:val="5A5A5A"/>
                <w:sz w:val="18"/>
              </w:rPr>
              <w:t>#vitamind  #deficiency  #india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High-salt / ultra-processed diet</w:t>
            </w:r>
          </w:p>
        </w:tc>
        <w:tc>
          <w:tcPr>
            <w:tcW w:type="dxa" w:w="2160"/>
            <w:vAlign w:val="top"/>
          </w:tcPr>
          <w:p>
            <w:pPr>
              <w:spacing w:after="40" w:before="0" w:line="259" w:lineRule="auto"/>
            </w:pPr>
            <w:r>
              <w:rPr>
                <w:rFonts w:ascii="Calibri" w:hAnsi="Calibri"/>
                <w:b w:val="0"/>
                <w:i w:val="0"/>
                <w:color w:val="212121"/>
                <w:sz w:val="19"/>
              </w:rPr>
              <w:t>Urban dietary-transition adults</w:t>
            </w:r>
          </w:p>
        </w:tc>
        <w:tc>
          <w:tcPr>
            <w:tcW w:type="dxa" w:w="4276"/>
            <w:vAlign w:val="top"/>
          </w:tcPr>
          <w:p>
            <w:pPr>
              <w:spacing w:after="60" w:line="259" w:lineRule="auto"/>
            </w:pPr>
            <w:r>
              <w:rPr>
                <w:rFonts w:ascii="Calibri" w:hAnsi="Calibri"/>
                <w:b w:val="0"/>
                <w:i w:val="0"/>
                <w:color w:val="212121"/>
                <w:sz w:val="19"/>
              </w:rPr>
              <w:t>Experimental data link high dietary sodium to expansion of pathogenic Th17 cells that drive autoimmunity; direct evidence in NMOSD is limited, but the urban Indian dietary shift is a plausible modifiable exposure.</w:t>
            </w:r>
          </w:p>
          <w:p>
            <w:pPr>
              <w:spacing w:before="60" w:after="40"/>
            </w:pPr>
            <w:r>
              <w:rPr>
                <w:rFonts w:ascii="Calibri" w:hAnsi="Calibri"/>
                <w:b w:val="0"/>
                <w:i w:val="0"/>
                <w:color w:val="5A5A5A"/>
                <w:sz w:val="18"/>
              </w:rPr>
              <w:t>#highsalt  #th17  #processedfood  #urbanshift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personal autoimmune history</w:t>
            </w:r>
          </w:p>
        </w:tc>
        <w:tc>
          <w:tcPr>
            <w:tcW w:type="dxa" w:w="2160"/>
            <w:vAlign w:val="top"/>
          </w:tcPr>
          <w:p>
            <w:pPr>
              <w:spacing w:after="40" w:before="0" w:line="259" w:lineRule="auto"/>
            </w:pPr>
            <w:r>
              <w:rPr>
                <w:rFonts w:ascii="Calibri" w:hAnsi="Calibri"/>
                <w:b w:val="0"/>
                <w:i w:val="0"/>
                <w:color w:val="212121"/>
                <w:sz w:val="19"/>
              </w:rPr>
              <w:t>Individuals with an autoimmune background</w:t>
            </w:r>
          </w:p>
        </w:tc>
        <w:tc>
          <w:tcPr>
            <w:tcW w:type="dxa" w:w="4276"/>
            <w:vAlign w:val="top"/>
          </w:tcPr>
          <w:p>
            <w:pPr>
              <w:spacing w:after="60" w:line="259" w:lineRule="auto"/>
            </w:pPr>
            <w:r>
              <w:rPr>
                <w:rFonts w:ascii="Calibri" w:hAnsi="Calibri"/>
                <w:b w:val="0"/>
                <w:i w:val="0"/>
                <w:color w:val="212121"/>
                <w:sz w:val="19"/>
              </w:rPr>
              <w:t>A personal or family history of autoimmunity markedly increases NMOSD susceptibility, reflecting shared immunogenetic predisposition rather than direct single-gene inheritance.</w:t>
            </w:r>
          </w:p>
          <w:p>
            <w:pPr>
              <w:spacing w:after="40" w:before="60" w:line="259" w:lineRule="auto"/>
            </w:pPr>
            <w:r>
              <w:rPr>
                <w:rFonts w:ascii="Calibri" w:hAnsi="Calibri"/>
                <w:b w:val="0"/>
                <w:i w:val="0"/>
                <w:color w:val="212121"/>
                <w:sz w:val="19"/>
              </w:rPr>
              <w:t>A personal or family history of autoimmunity is present in about 50% of NMOSD cases.</w:t>
            </w:r>
          </w:p>
          <w:p>
            <w:pPr>
              <w:spacing w:after="40" w:line="252" w:lineRule="auto"/>
            </w:pPr>
            <w:hyperlink r:id="rId12">
              <w:r>
                <w:rPr>
                  <w:rFonts w:ascii="Calibri" w:hAnsi="Calibri" w:cs="Calibri"/>
                  <w:sz w:val="18"/>
                  <w:color w:val="1155CC"/>
                  <w:u w:val="single"/>
                </w:rPr>
                <w:t xml:space="preserve">rarediseases.org — autoimmunity in ~50%</w:t>
              </w:r>
            </w:hyperlink>
          </w:p>
          <w:p>
            <w:pPr>
              <w:spacing w:before="60" w:after="40"/>
            </w:pPr>
            <w:r>
              <w:rPr>
                <w:rFonts w:ascii="Calibri" w:hAnsi="Calibri"/>
                <w:b w:val="0"/>
                <w:i w:val="0"/>
                <w:color w:val="5A5A5A"/>
                <w:sz w:val="18"/>
              </w:rPr>
              <w:t>#autoimmunity  #familyhistory  #predisposition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susceptibility</w:t>
            </w:r>
          </w:p>
        </w:tc>
        <w:tc>
          <w:tcPr>
            <w:tcW w:type="dxa" w:w="2160"/>
            <w:vAlign w:val="top"/>
          </w:tcPr>
          <w:p>
            <w:pPr>
              <w:spacing w:after="40" w:before="0" w:line="259" w:lineRule="auto"/>
            </w:pPr>
            <w:r>
              <w:rPr>
                <w:rFonts w:ascii="Calibri" w:hAnsi="Calibri"/>
                <w:b w:val="0"/>
                <w:i w:val="0"/>
                <w:color w:val="212121"/>
                <w:sz w:val="19"/>
              </w:rPr>
              <w:t>Genetically predisposed individuals</w:t>
            </w:r>
          </w:p>
        </w:tc>
        <w:tc>
          <w:tcPr>
            <w:tcW w:type="dxa" w:w="4276"/>
            <w:vAlign w:val="top"/>
          </w:tcPr>
          <w:p>
            <w:pPr>
              <w:spacing w:after="60" w:line="259" w:lineRule="auto"/>
            </w:pPr>
            <w:r>
              <w:rPr>
                <w:rFonts w:ascii="Calibri" w:hAnsi="Calibri"/>
                <w:b w:val="0"/>
                <w:i w:val="0"/>
                <w:color w:val="212121"/>
                <w:sz w:val="19"/>
              </w:rPr>
              <w:t>Specific HLA class II alleles (e.g., HLA-DRB1*03 in some groups) increase risk; importantly, NMOSD does not typically run in families, so risk is polygenic and modest at the individual level.</w:t>
            </w:r>
          </w:p>
          <w:p>
            <w:pPr>
              <w:spacing w:after="40" w:before="60" w:line="259" w:lineRule="auto"/>
            </w:pPr>
            <w:r>
              <w:rPr>
                <w:rFonts w:ascii="Calibri" w:hAnsi="Calibri"/>
                <w:b w:val="0"/>
                <w:i w:val="0"/>
                <w:color w:val="212121"/>
                <w:sz w:val="19"/>
              </w:rPr>
              <w:t>NMOSD does not typically run in families.</w:t>
            </w:r>
          </w:p>
          <w:p>
            <w:pPr>
              <w:spacing w:after="40" w:line="252" w:lineRule="auto"/>
            </w:pPr>
            <w:hyperlink r:id="rId13">
              <w:r>
                <w:rPr>
                  <w:rFonts w:ascii="Calibri" w:hAnsi="Calibri" w:cs="Calibri"/>
                  <w:sz w:val="18"/>
                  <w:color w:val="1155CC"/>
                  <w:u w:val="single"/>
                </w:rPr>
                <w:t xml:space="preserve">ninds.nih.gov — not typically familial</w:t>
              </w:r>
            </w:hyperlink>
          </w:p>
          <w:p>
            <w:pPr>
              <w:spacing w:before="60" w:after="40"/>
            </w:pPr>
            <w:r>
              <w:rPr>
                <w:rFonts w:ascii="Calibri" w:hAnsi="Calibri"/>
                <w:b w:val="0"/>
                <w:i w:val="0"/>
                <w:color w:val="5A5A5A"/>
                <w:sz w:val="18"/>
              </w:rPr>
              <w:t>#hla  #genetics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Systemic lupus erythematosus</w:t>
            </w:r>
          </w:p>
        </w:tc>
        <w:tc>
          <w:tcPr>
            <w:tcW w:type="dxa" w:w="2160"/>
            <w:vAlign w:val="top"/>
          </w:tcPr>
          <w:p>
            <w:pPr>
              <w:spacing w:after="40" w:before="0" w:line="259" w:lineRule="auto"/>
            </w:pPr>
            <w:r>
              <w:rPr>
                <w:rFonts w:ascii="Calibri" w:hAnsi="Calibri"/>
                <w:b w:val="0"/>
                <w:i w:val="0"/>
                <w:color w:val="212121"/>
                <w:sz w:val="19"/>
              </w:rPr>
              <w:t>Patients with SLE</w:t>
            </w:r>
          </w:p>
        </w:tc>
        <w:tc>
          <w:tcPr>
            <w:tcW w:type="dxa" w:w="4276"/>
            <w:vAlign w:val="top"/>
          </w:tcPr>
          <w:p>
            <w:pPr>
              <w:spacing w:after="60" w:line="259" w:lineRule="auto"/>
            </w:pPr>
            <w:r>
              <w:rPr>
                <w:rFonts w:ascii="Calibri" w:hAnsi="Calibri"/>
                <w:b w:val="0"/>
                <w:i w:val="0"/>
                <w:color w:val="212121"/>
                <w:sz w:val="19"/>
              </w:rPr>
              <w:t>SLE and NMOSD share antibody-mediated autoimmunity and frequently coexist; AQP4-IgG myelitis in a lupus patient represents true co-occurring NMOSD rather than lupus myelitis, altering treatment.</w:t>
            </w:r>
          </w:p>
          <w:p>
            <w:pPr>
              <w:spacing w:after="40" w:line="252" w:lineRule="auto"/>
            </w:pPr>
            <w:hyperlink r:id="rId14">
              <w:r>
                <w:rPr>
                  <w:rFonts w:ascii="Calibri" w:hAnsi="Calibri" w:cs="Calibri"/>
                  <w:sz w:val="18"/>
                  <w:color w:val="1155CC"/>
                  <w:u w:val="single"/>
                </w:rPr>
                <w:t xml:space="preserve">jneuroinflammation — NMOSD &amp; lupus</w:t>
              </w:r>
            </w:hyperlink>
          </w:p>
          <w:p>
            <w:pPr>
              <w:spacing w:before="60" w:after="40"/>
            </w:pPr>
            <w:r>
              <w:rPr>
                <w:rFonts w:ascii="Calibri" w:hAnsi="Calibri"/>
                <w:b w:val="0"/>
                <w:i w:val="0"/>
                <w:color w:val="5A5A5A"/>
                <w:sz w:val="18"/>
              </w:rPr>
              <w:t>#lupus  #sle  #overlap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Sjogren's syndrome</w:t>
            </w:r>
          </w:p>
        </w:tc>
        <w:tc>
          <w:tcPr>
            <w:tcW w:type="dxa" w:w="2160"/>
            <w:vAlign w:val="top"/>
          </w:tcPr>
          <w:p>
            <w:pPr>
              <w:spacing w:after="40" w:before="0" w:line="259" w:lineRule="auto"/>
            </w:pPr>
            <w:r>
              <w:rPr>
                <w:rFonts w:ascii="Calibri" w:hAnsi="Calibri"/>
                <w:b w:val="0"/>
                <w:i w:val="0"/>
                <w:color w:val="212121"/>
                <w:sz w:val="19"/>
              </w:rPr>
              <w:t>Patients with Sjogren's syndrome</w:t>
            </w:r>
          </w:p>
        </w:tc>
        <w:tc>
          <w:tcPr>
            <w:tcW w:type="dxa" w:w="4276"/>
            <w:vAlign w:val="top"/>
          </w:tcPr>
          <w:p>
            <w:pPr>
              <w:spacing w:after="60" w:line="259" w:lineRule="auto"/>
            </w:pPr>
            <w:r>
              <w:rPr>
                <w:rFonts w:ascii="Calibri" w:hAnsi="Calibri"/>
                <w:b w:val="0"/>
                <w:i w:val="0"/>
                <w:color w:val="212121"/>
                <w:sz w:val="19"/>
              </w:rPr>
              <w:t>Sjogren's syndrome is one of the autoimmune disorders most often reported alongside NMOSD; coexistence supports serological testing for AQP4-IgG when such patients develop optic neuritis or myelitis.</w:t>
            </w:r>
          </w:p>
          <w:p>
            <w:pPr>
              <w:spacing w:after="40" w:line="252" w:lineRule="auto"/>
            </w:pPr>
            <w:hyperlink r:id="rId14">
              <w:r>
                <w:rPr>
                  <w:rFonts w:ascii="Calibri" w:hAnsi="Calibri" w:cs="Calibri"/>
                  <w:sz w:val="18"/>
                  <w:color w:val="1155CC"/>
                  <w:u w:val="single"/>
                </w:rPr>
                <w:t xml:space="preserve">jneuroinflammation — NMOSD &amp; Sjogren's</w:t>
              </w:r>
            </w:hyperlink>
          </w:p>
          <w:p>
            <w:pPr>
              <w:spacing w:before="60" w:after="40"/>
            </w:pPr>
            <w:r>
              <w:rPr>
                <w:rFonts w:ascii="Calibri" w:hAnsi="Calibri"/>
                <w:b w:val="0"/>
                <w:i w:val="0"/>
                <w:color w:val="5A5A5A"/>
                <w:sz w:val="18"/>
              </w:rPr>
              <w:t>#sjogren  #siccasyndrome  #coexisting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Hashimoto's / Graves' disease</w:t>
            </w:r>
          </w:p>
        </w:tc>
        <w:tc>
          <w:tcPr>
            <w:tcW w:type="dxa" w:w="4276"/>
            <w:vAlign w:val="top"/>
          </w:tcPr>
          <w:p>
            <w:pPr>
              <w:spacing w:after="60" w:line="259" w:lineRule="auto"/>
            </w:pPr>
            <w:r>
              <w:rPr>
                <w:rFonts w:ascii="Calibri" w:hAnsi="Calibri"/>
                <w:b w:val="0"/>
                <w:i w:val="0"/>
                <w:color w:val="212121"/>
                <w:sz w:val="19"/>
              </w:rPr>
              <w:t>Organ-specific thyroid autoimmunity commonly clusters with NMOSD as part of a broader autoimmune diathesis and warrants thyroid screening at diagnosis.</w:t>
            </w:r>
          </w:p>
          <w:p>
            <w:pPr>
              <w:spacing w:after="40" w:line="252" w:lineRule="auto"/>
            </w:pPr>
            <w:hyperlink r:id="rId14">
              <w:r>
                <w:rPr>
                  <w:rFonts w:ascii="Calibri" w:hAnsi="Calibri" w:cs="Calibri"/>
                  <w:sz w:val="18"/>
                  <w:color w:val="1155CC"/>
                  <w:u w:val="single"/>
                </w:rPr>
                <w:t xml:space="preserve">jneuroinflammation — coexisting autoimmunity</w:t>
              </w:r>
            </w:hyperlink>
          </w:p>
          <w:p>
            <w:pPr>
              <w:spacing w:before="60" w:after="40"/>
            </w:pPr>
            <w:r>
              <w:rPr>
                <w:rFonts w:ascii="Calibri" w:hAnsi="Calibri"/>
                <w:b w:val="0"/>
                <w:i w:val="0"/>
                <w:color w:val="5A5A5A"/>
                <w:sz w:val="18"/>
              </w:rPr>
              <w:t>#thyroid  #hashimoto  #graves  #autoimmunecluster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Myasthenia gravis</w:t>
            </w:r>
          </w:p>
        </w:tc>
        <w:tc>
          <w:tcPr>
            <w:tcW w:type="dxa" w:w="2160"/>
            <w:vAlign w:val="top"/>
          </w:tcPr>
          <w:p>
            <w:pPr>
              <w:spacing w:after="40" w:before="0" w:line="259" w:lineRule="auto"/>
            </w:pPr>
            <w:r>
              <w:rPr>
                <w:rFonts w:ascii="Calibri" w:hAnsi="Calibri"/>
                <w:b w:val="0"/>
                <w:i w:val="0"/>
                <w:color w:val="212121"/>
                <w:sz w:val="19"/>
              </w:rPr>
              <w:t>Patients with myasthenia gravis</w:t>
            </w:r>
          </w:p>
        </w:tc>
        <w:tc>
          <w:tcPr>
            <w:tcW w:type="dxa" w:w="4276"/>
            <w:vAlign w:val="top"/>
          </w:tcPr>
          <w:p>
            <w:pPr>
              <w:spacing w:after="60" w:line="259" w:lineRule="auto"/>
            </w:pPr>
            <w:r>
              <w:rPr>
                <w:rFonts w:ascii="Calibri" w:hAnsi="Calibri"/>
                <w:b w:val="0"/>
                <w:i w:val="0"/>
                <w:color w:val="212121"/>
                <w:sz w:val="19"/>
              </w:rPr>
              <w:t>Myasthenia gravis, another antibody-mediated disease, is reported in association with NMOSD (sometimes after thymectomy), reflecting shared humoral-autoimmune mechanisms.</w:t>
            </w:r>
          </w:p>
          <w:p>
            <w:pPr>
              <w:spacing w:after="40" w:line="252" w:lineRule="auto"/>
            </w:pPr>
            <w:hyperlink r:id="rId14">
              <w:r>
                <w:rPr>
                  <w:rFonts w:ascii="Calibri" w:hAnsi="Calibri" w:cs="Calibri"/>
                  <w:sz w:val="18"/>
                  <w:color w:val="1155CC"/>
                  <w:u w:val="single"/>
                </w:rPr>
                <w:t xml:space="preserve">jneuroinflammation — NMOSD &amp; myasthenia gravis</w:t>
              </w:r>
            </w:hyperlink>
          </w:p>
          <w:p>
            <w:pPr>
              <w:spacing w:before="60" w:after="40"/>
            </w:pPr>
            <w:r>
              <w:rPr>
                <w:rFonts w:ascii="Calibri" w:hAnsi="Calibri"/>
                <w:b w:val="0"/>
                <w:i w:val="0"/>
                <w:color w:val="5A5A5A"/>
                <w:sz w:val="18"/>
              </w:rPr>
              <w:t>#myastheniagravis  #antibodymediated  #overlap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or prevent NMOSD, which is antibody-mediated; however, structured neurorehabilitation and graded exercise meaningfully reduce spasticity, fatigue, deconditioning and fall risk after myelitis or optic neuritis attacks.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diet causes or cures NMOSD. Vitamin D deficiency is linked to autoimmune demyelination, and adequate calcium, protein and glycaemic control matter during long-term corticosteroid and immunosuppressive therapy.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itself is not causal, but neuropathic pain, painful tonic spasms, nocturia from neurogenic bladder and diencephalic involvement disrupt sleep and worsen the profound fatigue common in NMOSD.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 candidate modifiable risk factor for autoimmune demyelination and, through vascular and pro-inflammatory effects, is associated with worse outcomes; cessation is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causal role, but excess intake is hepatotoxic and interacts with immunosuppressants such as azathioprine and methotrexate, and can worsen balance in patients with existing deficits.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chronic pain are common in NMOSD and bidirectionally affect adherence to relapse-prevention therapy, rehabilitation engagement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Although AQP4 is a water channel, hydration does not modify disease activity; however, area postrema syndrome causes intractable vomiting with dehydration, and neurogenic bladder management requires careful fluid planning.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relationship between caffeine intake and NMOSD onset or relapse has been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cause NMOSD, but long-term immunosuppression raises infection risk, so hand, skin, urinary-catheter and oral hygiene are important to prevent infections that can also trigger relapses.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Systemic infections, the postpartum period, and abrupt withdrawal or under-dosing of immunotherapy can precipitate relapses; certain multiple sclerosis drugs (interferon-beta, natalizumab, fingolimod) can markedly worsen NMOSD.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Expanded Disability Status Scale (EDSS)</w:t>
            </w:r>
          </w:p>
        </w:tc>
        <w:tc>
          <w:tcPr>
            <w:tcW w:type="dxa" w:w="1655"/>
            <w:vAlign w:val="top"/>
          </w:tcPr>
          <w:p>
            <w:pPr>
              <w:spacing w:after="40" w:before="0" w:line="259" w:lineRule="auto"/>
            </w:pPr>
            <w:r>
              <w:rPr>
                <w:rFonts w:ascii="Calibri" w:hAnsi="Calibri"/>
                <w:b w:val="0"/>
                <w:i w:val="0"/>
                <w:color w:val="212121"/>
                <w:sz w:val="19"/>
              </w:rPr>
              <w:t>NMOSD patients</w:t>
            </w:r>
          </w:p>
        </w:tc>
        <w:tc>
          <w:tcPr>
            <w:tcW w:type="dxa" w:w="1512"/>
            <w:vAlign w:val="top"/>
          </w:tcPr>
          <w:p>
            <w:pPr>
              <w:spacing w:after="40" w:before="0" w:line="259" w:lineRule="auto"/>
            </w:pPr>
            <w:r>
              <w:rPr>
                <w:rFonts w:ascii="Calibri" w:hAnsi="Calibri"/>
                <w:b w:val="0"/>
                <w:i w:val="0"/>
                <w:color w:val="212121"/>
                <w:sz w:val="19"/>
              </w:rPr>
              <w:t>0-1.5 (no/minimal disability)</w:t>
            </w:r>
          </w:p>
        </w:tc>
        <w:tc>
          <w:tcPr>
            <w:tcW w:type="dxa" w:w="1512"/>
            <w:vAlign w:val="top"/>
          </w:tcPr>
          <w:p>
            <w:pPr>
              <w:spacing w:after="40" w:before="0" w:line="259" w:lineRule="auto"/>
            </w:pPr>
            <w:r>
              <w:rPr>
                <w:rFonts w:ascii="Calibri" w:hAnsi="Calibri"/>
                <w:b w:val="0"/>
                <w:i w:val="0"/>
                <w:color w:val="212121"/>
                <w:sz w:val="19"/>
              </w:rPr>
              <w:t>≥6.0 (walking aid required)</w:t>
            </w:r>
          </w:p>
        </w:tc>
        <w:tc>
          <w:tcPr>
            <w:tcW w:type="dxa" w:w="1468"/>
            <w:vAlign w:val="top"/>
          </w:tcPr>
          <w:p>
            <w:pPr>
              <w:spacing w:after="60" w:line="259" w:lineRule="auto"/>
            </w:pPr>
            <w:r>
              <w:rPr>
                <w:rFonts w:ascii="Calibri" w:hAnsi="Calibri"/>
                <w:b w:val="0"/>
                <w:i w:val="0"/>
                <w:color w:val="212121"/>
                <w:sz w:val="19"/>
              </w:rPr>
              <w:t>Tracks stepwise disability accrual from relapses; a key rehabilitation and prognostic target.</w:t>
            </w:r>
          </w:p>
          <w:p>
            <w:pPr>
              <w:spacing w:after="40" w:line="252" w:lineRule="auto"/>
            </w:pPr>
            <w:hyperlink r:id="rId15">
              <w:r>
                <w:rPr>
                  <w:rFonts w:ascii="Calibri" w:hAnsi="Calibri" w:cs="Calibri"/>
                  <w:sz w:val="18"/>
                  <w:color w:val="1155CC"/>
                  <w:u w:val="single"/>
                </w:rPr>
                <w:t xml:space="preserve">https://pubmed.ncbi.nlm.nih.gov/26092914/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Adapted moderate activity (min/week)</w:t>
            </w:r>
          </w:p>
        </w:tc>
        <w:tc>
          <w:tcPr>
            <w:tcW w:type="dxa" w:w="1655"/>
            <w:vAlign w:val="top"/>
          </w:tcPr>
          <w:p>
            <w:pPr>
              <w:spacing w:after="40" w:before="0" w:line="259" w:lineRule="auto"/>
            </w:pPr>
            <w:r>
              <w:rPr>
                <w:rFonts w:ascii="Calibri" w:hAnsi="Calibri"/>
                <w:b w:val="0"/>
                <w:i w:val="0"/>
                <w:color w:val="212121"/>
                <w:sz w:val="19"/>
              </w:rPr>
              <w:t>Ambulant patients</w:t>
            </w:r>
          </w:p>
        </w:tc>
        <w:tc>
          <w:tcPr>
            <w:tcW w:type="dxa" w:w="1512"/>
            <w:vAlign w:val="top"/>
          </w:tcPr>
          <w:p>
            <w:pPr>
              <w:spacing w:after="40" w:before="0" w:line="259" w:lineRule="auto"/>
            </w:pPr>
            <w:r>
              <w:rPr>
                <w:rFonts w:ascii="Calibri" w:hAnsi="Calibri"/>
                <w:b w:val="0"/>
                <w:i w:val="0"/>
                <w:color w:val="212121"/>
                <w:sz w:val="19"/>
              </w:rPr>
              <w:t>≥150 min/week, individualised</w:t>
            </w:r>
          </w:p>
        </w:tc>
        <w:tc>
          <w:tcPr>
            <w:tcW w:type="dxa" w:w="1512"/>
            <w:vAlign w:val="top"/>
          </w:tcPr>
          <w:p>
            <w:pPr>
              <w:spacing w:after="40" w:before="0" w:line="259" w:lineRule="auto"/>
            </w:pPr>
            <w:r>
              <w:rPr>
                <w:rFonts w:ascii="Calibri" w:hAnsi="Calibri"/>
                <w:b w:val="0"/>
                <w:i w:val="0"/>
                <w:color w:val="212121"/>
                <w:sz w:val="19"/>
              </w:rPr>
              <w:t>&lt;90 min/week / prolonged immobility</w:t>
            </w:r>
          </w:p>
        </w:tc>
        <w:tc>
          <w:tcPr>
            <w:tcW w:type="dxa" w:w="1468"/>
            <w:vAlign w:val="top"/>
          </w:tcPr>
          <w:p>
            <w:pPr>
              <w:spacing w:after="40" w:before="0" w:line="259" w:lineRule="auto"/>
            </w:pPr>
            <w:r>
              <w:rPr>
                <w:rFonts w:ascii="Calibri" w:hAnsi="Calibri"/>
                <w:b w:val="0"/>
                <w:i w:val="0"/>
                <w:color w:val="212121"/>
                <w:sz w:val="19"/>
              </w:rPr>
              <w:t>Improves spasticity, fatigue and bone/cardiovascular health without provoking attacks.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Bone mineral density (T-score)</w:t>
            </w:r>
          </w:p>
        </w:tc>
        <w:tc>
          <w:tcPr>
            <w:tcW w:type="dxa" w:w="1655"/>
            <w:vAlign w:val="top"/>
          </w:tcPr>
          <w:p>
            <w:pPr>
              <w:spacing w:after="40" w:before="0" w:line="259" w:lineRule="auto"/>
            </w:pPr>
            <w:r>
              <w:rPr>
                <w:rFonts w:ascii="Calibri" w:hAnsi="Calibri"/>
                <w:b w:val="0"/>
                <w:i w:val="0"/>
                <w:color w:val="212121"/>
                <w:sz w:val="19"/>
              </w:rPr>
              <w:t>Chronic corticosteroid users</w:t>
            </w:r>
          </w:p>
        </w:tc>
        <w:tc>
          <w:tcPr>
            <w:tcW w:type="dxa" w:w="1512"/>
            <w:vAlign w:val="top"/>
          </w:tcPr>
          <w:p>
            <w:pPr>
              <w:spacing w:after="40" w:before="0" w:line="259" w:lineRule="auto"/>
            </w:pPr>
            <w:r>
              <w:rPr>
                <w:rFonts w:ascii="Calibri" w:hAnsi="Calibri"/>
                <w:b w:val="0"/>
                <w:i w:val="0"/>
                <w:color w:val="212121"/>
                <w:sz w:val="19"/>
              </w:rPr>
              <w:t>&gt; -1.0</w:t>
            </w:r>
          </w:p>
        </w:tc>
        <w:tc>
          <w:tcPr>
            <w:tcW w:type="dxa" w:w="1512"/>
            <w:vAlign w:val="top"/>
          </w:tcPr>
          <w:p>
            <w:pPr>
              <w:spacing w:after="40" w:before="0" w:line="259" w:lineRule="auto"/>
            </w:pPr>
            <w:r>
              <w:rPr>
                <w:rFonts w:ascii="Calibri" w:hAnsi="Calibri"/>
                <w:b w:val="0"/>
                <w:i w:val="0"/>
                <w:color w:val="212121"/>
                <w:sz w:val="19"/>
              </w:rPr>
              <w:t>≤ -2.5 (osteoporosis)</w:t>
            </w:r>
          </w:p>
        </w:tc>
        <w:tc>
          <w:tcPr>
            <w:tcW w:type="dxa" w:w="1468"/>
            <w:vAlign w:val="top"/>
          </w:tcPr>
          <w:p>
            <w:pPr>
              <w:spacing w:after="40" w:before="0" w:line="259" w:lineRule="auto"/>
            </w:pPr>
            <w:r>
              <w:rPr>
                <w:rFonts w:ascii="Calibri" w:hAnsi="Calibri"/>
                <w:b w:val="0"/>
                <w:i w:val="0"/>
                <w:color w:val="212121"/>
                <w:sz w:val="19"/>
              </w:rPr>
              <w:t>Long-term steroids cause bone loss; monitor DXA and give calcium, vitamin D ± bisphosphonate.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Retinal nerve fibre layer on OCT (µm)</w:t>
            </w:r>
          </w:p>
        </w:tc>
        <w:tc>
          <w:tcPr>
            <w:tcW w:type="dxa" w:w="1655"/>
            <w:vAlign w:val="top"/>
          </w:tcPr>
          <w:p>
            <w:pPr>
              <w:spacing w:after="40" w:before="0" w:line="259" w:lineRule="auto"/>
            </w:pPr>
            <w:r>
              <w:rPr>
                <w:rFonts w:ascii="Calibri" w:hAnsi="Calibri"/>
                <w:b w:val="0"/>
                <w:i w:val="0"/>
                <w:color w:val="212121"/>
                <w:sz w:val="19"/>
              </w:rPr>
              <w:t>After optic neuritis</w:t>
            </w:r>
          </w:p>
        </w:tc>
        <w:tc>
          <w:tcPr>
            <w:tcW w:type="dxa" w:w="1512"/>
            <w:vAlign w:val="top"/>
          </w:tcPr>
          <w:p>
            <w:pPr>
              <w:spacing w:after="40" w:before="0" w:line="259" w:lineRule="auto"/>
            </w:pPr>
            <w:r>
              <w:rPr>
                <w:rFonts w:ascii="Calibri" w:hAnsi="Calibri"/>
                <w:b w:val="0"/>
                <w:i w:val="0"/>
                <w:color w:val="212121"/>
                <w:sz w:val="19"/>
              </w:rPr>
              <w:t>~90-110 µm</w:t>
            </w:r>
          </w:p>
        </w:tc>
        <w:tc>
          <w:tcPr>
            <w:tcW w:type="dxa" w:w="1512"/>
            <w:vAlign w:val="top"/>
          </w:tcPr>
          <w:p>
            <w:pPr>
              <w:spacing w:after="40" w:before="0" w:line="259" w:lineRule="auto"/>
            </w:pPr>
            <w:r>
              <w:rPr>
                <w:rFonts w:ascii="Calibri" w:hAnsi="Calibri"/>
                <w:b w:val="0"/>
                <w:i w:val="0"/>
                <w:color w:val="212121"/>
                <w:sz w:val="19"/>
              </w:rPr>
              <w:t>Marked thinning (&lt;75 µm)</w:t>
            </w:r>
          </w:p>
        </w:tc>
        <w:tc>
          <w:tcPr>
            <w:tcW w:type="dxa" w:w="1468"/>
            <w:vAlign w:val="top"/>
          </w:tcPr>
          <w:p>
            <w:pPr>
              <w:spacing w:after="60" w:line="259" w:lineRule="auto"/>
            </w:pPr>
            <w:r>
              <w:rPr>
                <w:rFonts w:ascii="Calibri" w:hAnsi="Calibri"/>
                <w:b w:val="0"/>
                <w:i w:val="0"/>
                <w:color w:val="212121"/>
                <w:sz w:val="19"/>
              </w:rPr>
              <w:t>Quantifies optic-nerve axonal loss; often more severe than in MS.</w:t>
            </w:r>
          </w:p>
          <w:p>
            <w:pPr>
              <w:spacing w:after="40" w:line="252" w:lineRule="auto"/>
            </w:pPr>
            <w:hyperlink r:id="rId16">
              <w:r>
                <w:rPr>
                  <w:rFonts w:ascii="Calibri" w:hAnsi="Calibri" w:cs="Calibri"/>
                  <w:sz w:val="18"/>
                  <w:color w:val="1155CC"/>
                  <w:u w:val="single"/>
                </w:rPr>
                <w:t xml:space="preserve">https://www.mayoclinic.org/diseases-conditions/neuromyelitis-optica/diagnosis-treatment/drc-20375655</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Indian adults, patients on therapy</w:t>
            </w:r>
          </w:p>
        </w:tc>
        <w:tc>
          <w:tcPr>
            <w:tcW w:type="dxa" w:w="1512"/>
            <w:vAlign w:val="top"/>
          </w:tcPr>
          <w:p>
            <w:pPr>
              <w:spacing w:after="40" w:before="0" w:line="259" w:lineRule="auto"/>
            </w:pPr>
            <w:r>
              <w:rPr>
                <w:rFonts w:ascii="Calibri" w:hAnsi="Calibri"/>
                <w:b w:val="0"/>
                <w:i w:val="0"/>
                <w:color w:val="212121"/>
                <w:sz w:val="19"/>
              </w:rPr>
              <w:t>30-50 ng/mL</w:t>
            </w:r>
          </w:p>
        </w:tc>
        <w:tc>
          <w:tcPr>
            <w:tcW w:type="dxa" w:w="1512"/>
            <w:vAlign w:val="top"/>
          </w:tcPr>
          <w:p>
            <w:pPr>
              <w:spacing w:after="40" w:before="0" w:line="259" w:lineRule="auto"/>
            </w:pPr>
            <w:r>
              <w:rPr>
                <w:rFonts w:ascii="Calibri" w:hAnsi="Calibri"/>
                <w:b w:val="0"/>
                <w:i w:val="0"/>
                <w:color w:val="212121"/>
                <w:sz w:val="19"/>
              </w:rPr>
              <w:t>&lt;20 ng/mL (deficient)</w:t>
            </w:r>
          </w:p>
        </w:tc>
        <w:tc>
          <w:tcPr>
            <w:tcW w:type="dxa" w:w="1468"/>
            <w:vAlign w:val="top"/>
          </w:tcPr>
          <w:p>
            <w:pPr>
              <w:spacing w:after="60" w:line="259" w:lineRule="auto"/>
            </w:pPr>
            <w:r>
              <w:rPr>
                <w:rFonts w:ascii="Calibri" w:hAnsi="Calibri"/>
                <w:b w:val="0"/>
                <w:i w:val="0"/>
                <w:color w:val="212121"/>
                <w:sz w:val="19"/>
              </w:rPr>
              <w:t>Deficiency is widespread in India and linked to autoimmune demyelination; replete safely.</w:t>
            </w:r>
          </w:p>
          <w:p>
            <w:pPr>
              <w:spacing w:after="40" w:line="252" w:lineRule="auto"/>
            </w:pPr>
            <w:hyperlink r:id="rId10">
              <w:r>
                <w:rPr>
                  <w:rFonts w:ascii="Calibri" w:hAnsi="Calibri" w:cs="Calibri"/>
                  <w:sz w:val="18"/>
                  <w:color w:val="1155CC"/>
                  <w:u w:val="single"/>
                </w:rPr>
                <w:t xml:space="preserve">https://www.mayoclinic.org/diseases-conditions/neuromyelitis-optica/symptoms-causes/syc-20375652</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pain/spasms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&lt;6 hours or fragmented</w:t>
            </w:r>
          </w:p>
        </w:tc>
        <w:tc>
          <w:tcPr>
            <w:tcW w:type="dxa" w:w="1468"/>
            <w:vAlign w:val="top"/>
          </w:tcPr>
          <w:p>
            <w:pPr>
              <w:spacing w:after="40" w:before="0" w:line="259" w:lineRule="auto"/>
            </w:pPr>
            <w:r>
              <w:rPr>
                <w:rFonts w:ascii="Calibri" w:hAnsi="Calibri"/>
                <w:b w:val="0"/>
                <w:i w:val="0"/>
                <w:color w:val="212121"/>
                <w:sz w:val="19"/>
              </w:rPr>
              <w:t>Nocturnal spasms, neuropathic pain and nocturia impair sleep and amplify fatigue.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≥1 cigarette/day</w:t>
            </w:r>
          </w:p>
        </w:tc>
        <w:tc>
          <w:tcPr>
            <w:tcW w:type="dxa" w:w="1468"/>
            <w:vAlign w:val="top"/>
          </w:tcPr>
          <w:p>
            <w:pPr>
              <w:spacing w:after="60" w:line="259" w:lineRule="auto"/>
            </w:pPr>
            <w:r>
              <w:rPr>
                <w:rFonts w:ascii="Calibri" w:hAnsi="Calibri"/>
                <w:b w:val="0"/>
                <w:i w:val="0"/>
                <w:color w:val="212121"/>
                <w:sz w:val="19"/>
              </w:rPr>
              <w:t>Smoking is a modifiable risk factor for autoimmune demyelination; advise complete cessation.</w:t>
            </w:r>
          </w:p>
          <w:p>
            <w:pPr>
              <w:spacing w:after="40" w:line="252" w:lineRule="auto"/>
            </w:pPr>
            <w:hyperlink r:id="rId10">
              <w:r>
                <w:rPr>
                  <w:rFonts w:ascii="Calibri" w:hAnsi="Calibri" w:cs="Calibri"/>
                  <w:sz w:val="18"/>
                  <w:color w:val="1155CC"/>
                  <w:u w:val="single"/>
                </w:rPr>
                <w:t xml:space="preserve">https://www.mayoclinic.org/diseases-conditions/neuromyelitis-optica/symptoms-causes/syc-20375652</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Patients on azathioprine/methotrexate</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Regular or heavy intake</w:t>
            </w:r>
          </w:p>
        </w:tc>
        <w:tc>
          <w:tcPr>
            <w:tcW w:type="dxa" w:w="1468"/>
            <w:vAlign w:val="top"/>
          </w:tcPr>
          <w:p>
            <w:pPr>
              <w:spacing w:after="40" w:before="0" w:line="259" w:lineRule="auto"/>
            </w:pPr>
            <w:r>
              <w:rPr>
                <w:rFonts w:ascii="Calibri" w:hAnsi="Calibri"/>
                <w:b w:val="0"/>
                <w:i w:val="0"/>
                <w:color w:val="212121"/>
                <w:sz w:val="19"/>
              </w:rPr>
              <w:t>Hepatotoxic and interacts with immunosuppressants; monitor liver function.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Adults with chronic disability</w:t>
            </w:r>
          </w:p>
        </w:tc>
        <w:tc>
          <w:tcPr>
            <w:tcW w:type="dxa" w:w="1512"/>
            <w:vAlign w:val="top"/>
          </w:tcPr>
          <w:p>
            <w:pPr>
              <w:spacing w:after="40" w:before="0" w:line="259" w:lineRule="auto"/>
            </w:pPr>
            <w:r>
              <w:rPr>
                <w:rFonts w:ascii="Calibri" w:hAnsi="Calibri"/>
                <w:b w:val="0"/>
                <w:i w:val="0"/>
                <w:color w:val="212121"/>
                <w:sz w:val="19"/>
              </w:rPr>
              <w:t>&lt;5 (minimal)</w:t>
            </w:r>
          </w:p>
        </w:tc>
        <w:tc>
          <w:tcPr>
            <w:tcW w:type="dxa" w:w="1512"/>
            <w:vAlign w:val="top"/>
          </w:tcPr>
          <w:p>
            <w:pPr>
              <w:spacing w:after="40" w:before="0" w:line="259" w:lineRule="auto"/>
            </w:pPr>
            <w:r>
              <w:rPr>
                <w:rFonts w:ascii="Calibri" w:hAnsi="Calibri"/>
                <w:b w:val="0"/>
                <w:i w:val="0"/>
                <w:color w:val="212121"/>
                <w:sz w:val="19"/>
              </w:rPr>
              <w:t>≥10 (moderate-severe)</w:t>
            </w:r>
          </w:p>
        </w:tc>
        <w:tc>
          <w:tcPr>
            <w:tcW w:type="dxa" w:w="1468"/>
            <w:vAlign w:val="top"/>
          </w:tcPr>
          <w:p>
            <w:pPr>
              <w:spacing w:after="40" w:before="0" w:line="259" w:lineRule="auto"/>
            </w:pPr>
            <w:r>
              <w:rPr>
                <w:rFonts w:ascii="Calibri" w:hAnsi="Calibri"/>
                <w:b w:val="0"/>
                <w:i w:val="0"/>
                <w:color w:val="212121"/>
                <w:sz w:val="19"/>
              </w:rPr>
              <w:t>Depression is common, under-treated and undermines adherence and rehabilitation.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Annualised relapse rate (ARR)</w:t>
            </w:r>
          </w:p>
        </w:tc>
        <w:tc>
          <w:tcPr>
            <w:tcW w:type="dxa" w:w="1655"/>
            <w:vAlign w:val="top"/>
          </w:tcPr>
          <w:p>
            <w:pPr>
              <w:spacing w:after="40" w:before="0" w:line="259" w:lineRule="auto"/>
            </w:pPr>
            <w:r>
              <w:rPr>
                <w:rFonts w:ascii="Calibri" w:hAnsi="Calibri"/>
                <w:b w:val="0"/>
                <w:i w:val="0"/>
                <w:color w:val="212121"/>
                <w:sz w:val="19"/>
              </w:rPr>
              <w:t>Relapsing NMOSD</w:t>
            </w:r>
          </w:p>
        </w:tc>
        <w:tc>
          <w:tcPr>
            <w:tcW w:type="dxa" w:w="1512"/>
            <w:vAlign w:val="top"/>
          </w:tcPr>
          <w:p>
            <w:pPr>
              <w:spacing w:after="40" w:before="0" w:line="259" w:lineRule="auto"/>
            </w:pPr>
            <w:r>
              <w:rPr>
                <w:rFonts w:ascii="Calibri" w:hAnsi="Calibri"/>
                <w:b w:val="0"/>
                <w:i w:val="0"/>
                <w:color w:val="212121"/>
                <w:sz w:val="19"/>
              </w:rPr>
              <w:t>0 relapses/year on therapy</w:t>
            </w:r>
          </w:p>
        </w:tc>
        <w:tc>
          <w:tcPr>
            <w:tcW w:type="dxa" w:w="1512"/>
            <w:vAlign w:val="top"/>
          </w:tcPr>
          <w:p>
            <w:pPr>
              <w:spacing w:after="40" w:before="0" w:line="259" w:lineRule="auto"/>
            </w:pPr>
            <w:r>
              <w:rPr>
                <w:rFonts w:ascii="Calibri" w:hAnsi="Calibri"/>
                <w:b w:val="0"/>
                <w:i w:val="0"/>
                <w:color w:val="212121"/>
                <w:sz w:val="19"/>
              </w:rPr>
              <w:t>≥1 relapse/year</w:t>
            </w:r>
          </w:p>
        </w:tc>
        <w:tc>
          <w:tcPr>
            <w:tcW w:type="dxa" w:w="1468"/>
            <w:vAlign w:val="top"/>
          </w:tcPr>
          <w:p>
            <w:pPr>
              <w:spacing w:after="60" w:line="259" w:lineRule="auto"/>
            </w:pPr>
            <w:r>
              <w:rPr>
                <w:rFonts w:ascii="Calibri" w:hAnsi="Calibri"/>
                <w:b w:val="0"/>
                <w:i w:val="0"/>
                <w:color w:val="212121"/>
                <w:sz w:val="19"/>
              </w:rPr>
              <w:t>Each relapse can cause fixed deficit; the aim of maintenance immunotherapy is zero relapses.</w:t>
            </w:r>
          </w:p>
          <w:p>
            <w:pPr>
              <w:spacing w:after="40" w:line="252" w:lineRule="auto"/>
            </w:pPr>
            <w:hyperlink r:id="rId11">
              <w:r>
                <w:rPr>
                  <w:rFonts w:ascii="Calibri" w:hAnsi="Calibri" w:cs="Calibri"/>
                  <w:sz w:val="18"/>
                  <w:color w:val="1155CC"/>
                  <w:u w:val="single"/>
                </w:rPr>
                <w:t xml:space="preserve">https://www.frontiersin.org/articles/10.3389/fneur.2020.00501/full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AQP4-IgG serostatus</w:t>
            </w:r>
          </w:p>
        </w:tc>
        <w:tc>
          <w:tcPr>
            <w:tcW w:type="dxa" w:w="1655"/>
            <w:vAlign w:val="top"/>
          </w:tcPr>
          <w:p>
            <w:pPr>
              <w:spacing w:after="40" w:before="0" w:line="259" w:lineRule="auto"/>
            </w:pPr>
            <w:r>
              <w:rPr>
                <w:rFonts w:ascii="Calibri" w:hAnsi="Calibri"/>
                <w:b w:val="0"/>
                <w:i w:val="0"/>
                <w:color w:val="212121"/>
                <w:sz w:val="19"/>
              </w:rPr>
              <w:t>All suspected NMOSD</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 (seropositive NMOSD)</w:t>
            </w:r>
          </w:p>
        </w:tc>
        <w:tc>
          <w:tcPr>
            <w:tcW w:type="dxa" w:w="1468"/>
            <w:vAlign w:val="top"/>
          </w:tcPr>
          <w:p>
            <w:pPr>
              <w:spacing w:after="60" w:line="259" w:lineRule="auto"/>
            </w:pPr>
            <w:r>
              <w:rPr>
                <w:rFonts w:ascii="Calibri" w:hAnsi="Calibri"/>
                <w:b w:val="0"/>
                <w:i w:val="0"/>
                <w:color w:val="212121"/>
                <w:sz w:val="19"/>
              </w:rPr>
              <w:t>Seropositivity predicts relapsing disease (81-91%) and mandates long-term relapse prevention.</w:t>
            </w:r>
          </w:p>
          <w:p>
            <w:pPr>
              <w:spacing w:after="40" w:line="252" w:lineRule="auto"/>
            </w:pPr>
            <w:hyperlink r:id="rId9">
              <w:r>
                <w:rPr>
                  <w:rFonts w:ascii="Calibri" w:hAnsi="Calibri" w:cs="Calibri"/>
                  <w:sz w:val="18"/>
                  <w:color w:val="1155CC"/>
                  <w:u w:val="single"/>
                </w:rPr>
                <w:t xml:space="preserve">https://journals.sagepub.com/doi/10.1177/1352458515572406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Serum AQP4-IgG (cell-based assay)</w:t>
            </w:r>
          </w:p>
        </w:tc>
        <w:tc>
          <w:tcPr>
            <w:tcW w:type="dxa" w:w="892"/>
            <w:vAlign w:val="top"/>
          </w:tcPr>
          <w:p>
            <w:pPr>
              <w:spacing w:after="40" w:before="0" w:line="259" w:lineRule="auto"/>
            </w:pPr>
            <w:r>
              <w:rPr>
                <w:rFonts w:ascii="Calibri" w:hAnsi="Calibri"/>
                <w:b w:val="0"/>
                <w:i w:val="0"/>
                <w:color w:val="212121"/>
                <w:sz w:val="16"/>
              </w:rPr>
              <w:t>Aquaporin-4 antibody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Highly specific; defines AQP4-IgG seropositive NMOSD and distinguishes it from MS</w:t>
            </w:r>
          </w:p>
        </w:tc>
        <w:tc>
          <w:tcPr>
            <w:tcW w:type="dxa" w:w="1036"/>
            <w:vAlign w:val="top"/>
          </w:tcPr>
          <w:p>
            <w:pPr>
              <w:spacing w:after="40" w:before="0" w:line="259" w:lineRule="auto"/>
            </w:pPr>
            <w:r>
              <w:rPr>
                <w:rFonts w:ascii="Calibri" w:hAnsi="Calibri"/>
                <w:b w:val="0"/>
                <w:i w:val="0"/>
                <w:color w:val="212121"/>
                <w:sz w:val="16"/>
              </w:rPr>
              <w:t>All suspected NMOSD, optic neuritis, LETM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Cell-based assay strongly preferred; test before immunotherapy.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Serum MOG-IgG (cell-based assay)</w:t>
            </w:r>
          </w:p>
        </w:tc>
        <w:tc>
          <w:tcPr>
            <w:tcW w:type="dxa" w:w="892"/>
            <w:vAlign w:val="top"/>
          </w:tcPr>
          <w:p>
            <w:pPr>
              <w:spacing w:after="40" w:before="0" w:line="259" w:lineRule="auto"/>
            </w:pPr>
            <w:r>
              <w:rPr>
                <w:rFonts w:ascii="Calibri" w:hAnsi="Calibri"/>
                <w:b w:val="0"/>
                <w:i w:val="0"/>
                <w:color w:val="212121"/>
                <w:sz w:val="16"/>
              </w:rPr>
              <w:t>MOG antibody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Positivity indicates MOG antibody-associated disease (MOGAD), a distinct entity</w:t>
            </w:r>
          </w:p>
        </w:tc>
        <w:tc>
          <w:tcPr>
            <w:tcW w:type="dxa" w:w="1036"/>
            <w:vAlign w:val="top"/>
          </w:tcPr>
          <w:p>
            <w:pPr>
              <w:spacing w:after="40" w:before="0" w:line="259" w:lineRule="auto"/>
            </w:pPr>
            <w:r>
              <w:rPr>
                <w:rFonts w:ascii="Calibri" w:hAnsi="Calibri"/>
                <w:b w:val="0"/>
                <w:i w:val="0"/>
                <w:color w:val="212121"/>
                <w:sz w:val="16"/>
              </w:rPr>
              <w:t>AQP4-negative patients, children, bilateral optic neuritis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Up to ~40-42% of AQP4-negative NMOSD-like cases are MOG-IgG positive.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spinal cord</w:t>
            </w:r>
          </w:p>
        </w:tc>
        <w:tc>
          <w:tcPr>
            <w:tcW w:type="dxa" w:w="892"/>
            <w:vAlign w:val="top"/>
          </w:tcPr>
          <w:p>
            <w:pPr>
              <w:spacing w:after="40" w:before="0" w:line="259" w:lineRule="auto"/>
            </w:pPr>
            <w:r>
              <w:rPr>
                <w:rFonts w:ascii="Calibri" w:hAnsi="Calibri"/>
                <w:b w:val="0"/>
                <w:i w:val="0"/>
                <w:color w:val="212121"/>
                <w:sz w:val="16"/>
              </w:rPr>
              <w:t>Neuroimaging</w:t>
            </w:r>
          </w:p>
        </w:tc>
        <w:tc>
          <w:tcPr>
            <w:tcW w:type="dxa" w:w="950"/>
            <w:vAlign w:val="top"/>
          </w:tcPr>
          <w:p>
            <w:pPr>
              <w:spacing w:after="40" w:before="0" w:line="259" w:lineRule="auto"/>
            </w:pPr>
            <w:r>
              <w:rPr>
                <w:rFonts w:ascii="Calibri" w:hAnsi="Calibri"/>
                <w:b w:val="0"/>
                <w:i w:val="0"/>
                <w:color w:val="212121"/>
                <w:sz w:val="16"/>
              </w:rPr>
              <w:t>No cord lesion</w:t>
            </w:r>
          </w:p>
        </w:tc>
        <w:tc>
          <w:tcPr>
            <w:tcW w:type="dxa" w:w="950"/>
            <w:vAlign w:val="top"/>
          </w:tcPr>
          <w:p>
            <w:pPr>
              <w:spacing w:after="40" w:before="0" w:line="259" w:lineRule="auto"/>
            </w:pPr>
            <w:r>
              <w:rPr>
                <w:rFonts w:ascii="Calibri" w:hAnsi="Calibri"/>
                <w:b w:val="0"/>
                <w:i w:val="0"/>
                <w:color w:val="212121"/>
                <w:sz w:val="16"/>
              </w:rPr>
              <w:t>Longitudinally extensive lesion ≥3 segments (LETM)</w:t>
            </w:r>
          </w:p>
        </w:tc>
        <w:tc>
          <w:tcPr>
            <w:tcW w:type="dxa" w:w="1036"/>
            <w:vAlign w:val="top"/>
          </w:tcPr>
          <w:p>
            <w:pPr>
              <w:spacing w:after="40" w:before="0" w:line="259" w:lineRule="auto"/>
            </w:pPr>
            <w:r>
              <w:rPr>
                <w:rFonts w:ascii="Calibri" w:hAnsi="Calibri"/>
                <w:b w:val="0"/>
                <w:i w:val="0"/>
                <w:color w:val="212121"/>
                <w:sz w:val="16"/>
              </w:rPr>
              <w:t>LETM is a hallmark of NMOSD and helps differentiate it from the short lesions of MS</w:t>
            </w:r>
          </w:p>
        </w:tc>
        <w:tc>
          <w:tcPr>
            <w:tcW w:type="dxa" w:w="1036"/>
            <w:vAlign w:val="top"/>
          </w:tcPr>
          <w:p>
            <w:pPr>
              <w:spacing w:after="40" w:before="0" w:line="259" w:lineRule="auto"/>
            </w:pPr>
            <w:r>
              <w:rPr>
                <w:rFonts w:ascii="Calibri" w:hAnsi="Calibri"/>
                <w:b w:val="0"/>
                <w:i w:val="0"/>
                <w:color w:val="212121"/>
                <w:sz w:val="16"/>
              </w:rPr>
              <w:t>Acute myelitis, paraparesis, sensory level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Central, oedematous cord lesion; may enhance in the acute phase.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brain &amp; optic nerves</w:t>
            </w:r>
          </w:p>
        </w:tc>
        <w:tc>
          <w:tcPr>
            <w:tcW w:type="dxa" w:w="892"/>
            <w:vAlign w:val="top"/>
          </w:tcPr>
          <w:p>
            <w:pPr>
              <w:spacing w:after="40" w:before="0" w:line="259" w:lineRule="auto"/>
            </w:pPr>
            <w:r>
              <w:rPr>
                <w:rFonts w:ascii="Calibri" w:hAnsi="Calibri"/>
                <w:b w:val="0"/>
                <w:i w:val="0"/>
                <w:color w:val="212121"/>
                <w:sz w:val="16"/>
              </w:rPr>
              <w:t>Neuroimaging</w:t>
            </w:r>
          </w:p>
        </w:tc>
        <w:tc>
          <w:tcPr>
            <w:tcW w:type="dxa" w:w="950"/>
            <w:vAlign w:val="top"/>
          </w:tcPr>
          <w:p>
            <w:pPr>
              <w:spacing w:after="40" w:before="0" w:line="259" w:lineRule="auto"/>
            </w:pPr>
            <w:r>
              <w:rPr>
                <w:rFonts w:ascii="Calibri" w:hAnsi="Calibri"/>
                <w:b w:val="0"/>
                <w:i w:val="0"/>
                <w:color w:val="212121"/>
                <w:sz w:val="16"/>
              </w:rPr>
              <w:t>No typical lesion</w:t>
            </w:r>
          </w:p>
        </w:tc>
        <w:tc>
          <w:tcPr>
            <w:tcW w:type="dxa" w:w="950"/>
            <w:vAlign w:val="top"/>
          </w:tcPr>
          <w:p>
            <w:pPr>
              <w:spacing w:after="40" w:before="0" w:line="259" w:lineRule="auto"/>
            </w:pPr>
            <w:r>
              <w:rPr>
                <w:rFonts w:ascii="Calibri" w:hAnsi="Calibri"/>
                <w:b w:val="0"/>
                <w:i w:val="0"/>
                <w:color w:val="212121"/>
                <w:sz w:val="16"/>
              </w:rPr>
              <w:t>Long/posterior optic-nerve or chiasmal, area postrema, periependymal lesions</w:t>
            </w:r>
          </w:p>
        </w:tc>
        <w:tc>
          <w:tcPr>
            <w:tcW w:type="dxa" w:w="1036"/>
            <w:vAlign w:val="top"/>
          </w:tcPr>
          <w:p>
            <w:pPr>
              <w:spacing w:after="40" w:before="0" w:line="259" w:lineRule="auto"/>
            </w:pPr>
            <w:r>
              <w:rPr>
                <w:rFonts w:ascii="Calibri" w:hAnsi="Calibri"/>
                <w:b w:val="0"/>
                <w:i w:val="0"/>
                <w:color w:val="212121"/>
                <w:sz w:val="16"/>
              </w:rPr>
              <w:t>Supports NMOSD and localises the six core syndromes; excludes MS-typical lesions</w:t>
            </w:r>
          </w:p>
        </w:tc>
        <w:tc>
          <w:tcPr>
            <w:tcW w:type="dxa" w:w="1036"/>
            <w:vAlign w:val="top"/>
          </w:tcPr>
          <w:p>
            <w:pPr>
              <w:spacing w:after="40" w:before="0" w:line="259" w:lineRule="auto"/>
            </w:pPr>
            <w:r>
              <w:rPr>
                <w:rFonts w:ascii="Calibri" w:hAnsi="Calibri"/>
                <w:b w:val="0"/>
                <w:i w:val="0"/>
                <w:color w:val="212121"/>
                <w:sz w:val="16"/>
              </w:rPr>
              <w:t>Optic neuritis, intractable vomiting/hiccups, brainstem syndromes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Dorsal medulla (area postrema) lesion is characteristic.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Cerebrospinal fluid</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Normal cell count; no pleocytosis</w:t>
            </w:r>
          </w:p>
        </w:tc>
        <w:tc>
          <w:tcPr>
            <w:tcW w:type="dxa" w:w="950"/>
            <w:vAlign w:val="top"/>
          </w:tcPr>
          <w:p>
            <w:pPr>
              <w:spacing w:after="40" w:before="0" w:line="259" w:lineRule="auto"/>
            </w:pPr>
            <w:r>
              <w:rPr>
                <w:rFonts w:ascii="Calibri" w:hAnsi="Calibri"/>
                <w:b w:val="0"/>
                <w:i w:val="0"/>
                <w:color w:val="212121"/>
                <w:sz w:val="16"/>
              </w:rPr>
              <w:t>Marked pleocytosis (often &gt;50 cells, may be neutrophilic); oligoclonal bands usually absent</w:t>
            </w:r>
          </w:p>
        </w:tc>
        <w:tc>
          <w:tcPr>
            <w:tcW w:type="dxa" w:w="1036"/>
            <w:vAlign w:val="top"/>
          </w:tcPr>
          <w:p>
            <w:pPr>
              <w:spacing w:after="40" w:before="0" w:line="259" w:lineRule="auto"/>
            </w:pPr>
            <w:r>
              <w:rPr>
                <w:rFonts w:ascii="Calibri" w:hAnsi="Calibri"/>
                <w:b w:val="0"/>
                <w:i w:val="0"/>
                <w:color w:val="212121"/>
                <w:sz w:val="16"/>
              </w:rPr>
              <w:t>Prominent pleocytosis with negative oligoclonal bands favours NMOSD over MS</w:t>
            </w:r>
          </w:p>
        </w:tc>
        <w:tc>
          <w:tcPr>
            <w:tcW w:type="dxa" w:w="1036"/>
            <w:vAlign w:val="top"/>
          </w:tcPr>
          <w:p>
            <w:pPr>
              <w:spacing w:after="40" w:before="0" w:line="259" w:lineRule="auto"/>
            </w:pPr>
            <w:r>
              <w:rPr>
                <w:rFonts w:ascii="Calibri" w:hAnsi="Calibri"/>
                <w:b w:val="0"/>
                <w:i w:val="0"/>
                <w:color w:val="212121"/>
                <w:sz w:val="16"/>
              </w:rPr>
              <w:t>Acute attacks, diagnostic uncertainty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CSF white-cell counts exceed those usually seen in 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Optical coherence tomography (RNFL)</w:t>
            </w:r>
          </w:p>
        </w:tc>
        <w:tc>
          <w:tcPr>
            <w:tcW w:type="dxa" w:w="892"/>
            <w:vAlign w:val="top"/>
          </w:tcPr>
          <w:p>
            <w:pPr>
              <w:spacing w:after="40" w:before="0" w:line="259" w:lineRule="auto"/>
            </w:pPr>
            <w:r>
              <w:rPr>
                <w:rFonts w:ascii="Calibri" w:hAnsi="Calibri"/>
                <w:b w:val="0"/>
                <w:i w:val="0"/>
                <w:color w:val="212121"/>
                <w:sz w:val="16"/>
              </w:rPr>
              <w:t>OCT</w:t>
            </w:r>
          </w:p>
        </w:tc>
        <w:tc>
          <w:tcPr>
            <w:tcW w:type="dxa" w:w="950"/>
            <w:vAlign w:val="top"/>
          </w:tcPr>
          <w:p>
            <w:pPr>
              <w:spacing w:after="40" w:before="0" w:line="259" w:lineRule="auto"/>
            </w:pPr>
            <w:r>
              <w:rPr>
                <w:rFonts w:ascii="Calibri" w:hAnsi="Calibri"/>
                <w:b w:val="0"/>
                <w:i w:val="0"/>
                <w:color w:val="212121"/>
                <w:sz w:val="16"/>
              </w:rPr>
              <w:t>~90-110 µm retinal nerve fibre layer</w:t>
            </w:r>
          </w:p>
        </w:tc>
        <w:tc>
          <w:tcPr>
            <w:tcW w:type="dxa" w:w="950"/>
            <w:vAlign w:val="top"/>
          </w:tcPr>
          <w:p>
            <w:pPr>
              <w:spacing w:after="40" w:before="0" w:line="259" w:lineRule="auto"/>
            </w:pPr>
            <w:r>
              <w:rPr>
                <w:rFonts w:ascii="Calibri" w:hAnsi="Calibri"/>
                <w:b w:val="0"/>
                <w:i w:val="0"/>
                <w:color w:val="212121"/>
                <w:sz w:val="16"/>
              </w:rPr>
              <w:t>Significant RNFL thinning</w:t>
            </w:r>
          </w:p>
        </w:tc>
        <w:tc>
          <w:tcPr>
            <w:tcW w:type="dxa" w:w="1036"/>
            <w:vAlign w:val="top"/>
          </w:tcPr>
          <w:p>
            <w:pPr>
              <w:spacing w:after="40" w:before="0" w:line="259" w:lineRule="auto"/>
            </w:pPr>
            <w:r>
              <w:rPr>
                <w:rFonts w:ascii="Calibri" w:hAnsi="Calibri"/>
                <w:b w:val="0"/>
                <w:i w:val="0"/>
                <w:color w:val="212121"/>
                <w:sz w:val="16"/>
              </w:rPr>
              <w:t>Quantifies optic-nerve axonal loss after optic neuritis; typically more severe than MS</w:t>
            </w:r>
          </w:p>
        </w:tc>
        <w:tc>
          <w:tcPr>
            <w:tcW w:type="dxa" w:w="1036"/>
            <w:vAlign w:val="top"/>
          </w:tcPr>
          <w:p>
            <w:pPr>
              <w:spacing w:after="40" w:before="0" w:line="259" w:lineRule="auto"/>
            </w:pPr>
            <w:r>
              <w:rPr>
                <w:rFonts w:ascii="Calibri" w:hAnsi="Calibri"/>
                <w:b w:val="0"/>
                <w:i w:val="0"/>
                <w:color w:val="212121"/>
                <w:sz w:val="16"/>
              </w:rPr>
              <w:t>Post optic neuritis, monitoring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Useful for structural follow-up of visual pathway damage.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Visual evoked potentials</w:t>
            </w:r>
          </w:p>
        </w:tc>
        <w:tc>
          <w:tcPr>
            <w:tcW w:type="dxa" w:w="892"/>
            <w:vAlign w:val="top"/>
          </w:tcPr>
          <w:p>
            <w:pPr>
              <w:spacing w:after="40" w:before="0" w:line="259" w:lineRule="auto"/>
            </w:pPr>
            <w:r>
              <w:rPr>
                <w:rFonts w:ascii="Calibri" w:hAnsi="Calibri"/>
                <w:b w:val="0"/>
                <w:i w:val="0"/>
                <w:color w:val="212121"/>
                <w:sz w:val="16"/>
              </w:rPr>
              <w:t>VEP</w:t>
            </w:r>
          </w:p>
        </w:tc>
        <w:tc>
          <w:tcPr>
            <w:tcW w:type="dxa" w:w="950"/>
            <w:vAlign w:val="top"/>
          </w:tcPr>
          <w:p>
            <w:pPr>
              <w:spacing w:after="40" w:before="0" w:line="259" w:lineRule="auto"/>
            </w:pPr>
            <w:r>
              <w:rPr>
                <w:rFonts w:ascii="Calibri" w:hAnsi="Calibri"/>
                <w:b w:val="0"/>
                <w:i w:val="0"/>
                <w:color w:val="212121"/>
                <w:sz w:val="16"/>
              </w:rPr>
              <w:t>Normal latency/amplitude</w:t>
            </w:r>
          </w:p>
        </w:tc>
        <w:tc>
          <w:tcPr>
            <w:tcW w:type="dxa" w:w="950"/>
            <w:vAlign w:val="top"/>
          </w:tcPr>
          <w:p>
            <w:pPr>
              <w:spacing w:after="40" w:before="0" w:line="259" w:lineRule="auto"/>
            </w:pPr>
            <w:r>
              <w:rPr>
                <w:rFonts w:ascii="Calibri" w:hAnsi="Calibri"/>
                <w:b w:val="0"/>
                <w:i w:val="0"/>
                <w:color w:val="212121"/>
                <w:sz w:val="16"/>
              </w:rPr>
              <w:t>Prolonged latency and/or reduced amplitude</w:t>
            </w:r>
          </w:p>
        </w:tc>
        <w:tc>
          <w:tcPr>
            <w:tcW w:type="dxa" w:w="1036"/>
            <w:vAlign w:val="top"/>
          </w:tcPr>
          <w:p>
            <w:pPr>
              <w:spacing w:after="40" w:before="0" w:line="259" w:lineRule="auto"/>
            </w:pPr>
            <w:r>
              <w:rPr>
                <w:rFonts w:ascii="Calibri" w:hAnsi="Calibri"/>
                <w:b w:val="0"/>
                <w:i w:val="0"/>
                <w:color w:val="212121"/>
                <w:sz w:val="16"/>
              </w:rPr>
              <w:t>Confirms optic-nerve conduction dysfunction, including subclinical involvement</w:t>
            </w:r>
          </w:p>
        </w:tc>
        <w:tc>
          <w:tcPr>
            <w:tcW w:type="dxa" w:w="1036"/>
            <w:vAlign w:val="top"/>
          </w:tcPr>
          <w:p>
            <w:pPr>
              <w:spacing w:after="40" w:before="0" w:line="259" w:lineRule="auto"/>
            </w:pPr>
            <w:r>
              <w:rPr>
                <w:rFonts w:ascii="Calibri" w:hAnsi="Calibri"/>
                <w:b w:val="0"/>
                <w:i w:val="0"/>
                <w:color w:val="212121"/>
                <w:sz w:val="16"/>
              </w:rPr>
              <w:t>Optic neuritis, unexplained visual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Complements OCT and MRI in assessing the visual pathway.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Autoimmune screen</w:t>
            </w:r>
          </w:p>
        </w:tc>
        <w:tc>
          <w:tcPr>
            <w:tcW w:type="dxa" w:w="1036"/>
            <w:vAlign w:val="top"/>
          </w:tcPr>
          <w:p>
            <w:pPr>
              <w:spacing w:after="40" w:before="0" w:line="259" w:lineRule="auto"/>
            </w:pPr>
            <w:r>
              <w:rPr>
                <w:rFonts w:ascii="Calibri" w:hAnsi="Calibri"/>
                <w:b w:val="0"/>
                <w:i w:val="0"/>
                <w:color w:val="212121"/>
                <w:sz w:val="16"/>
              </w:rPr>
              <w:t>ANA, anti-Ro/SSA, anti-La/SSB, TSH, anti-TPO</w:t>
            </w:r>
          </w:p>
        </w:tc>
        <w:tc>
          <w:tcPr>
            <w:tcW w:type="dxa" w:w="892"/>
            <w:vAlign w:val="top"/>
          </w:tcPr>
          <w:p>
            <w:pPr>
              <w:spacing w:after="40" w:before="0" w:line="259" w:lineRule="auto"/>
            </w:pPr>
            <w:r>
              <w:rPr>
                <w:rFonts w:ascii="Calibri" w:hAnsi="Calibri"/>
                <w:b w:val="0"/>
                <w:i w:val="0"/>
                <w:color w:val="212121"/>
                <w:sz w:val="16"/>
              </w:rPr>
              <w:t>Coexisting autoimmunity panel</w:t>
            </w:r>
          </w:p>
        </w:tc>
        <w:tc>
          <w:tcPr>
            <w:tcW w:type="dxa" w:w="950"/>
            <w:vAlign w:val="top"/>
          </w:tcPr>
          <w:p>
            <w:pPr>
              <w:spacing w:after="40" w:before="0" w:line="259" w:lineRule="auto"/>
            </w:pPr>
            <w:r>
              <w:rPr>
                <w:rFonts w:ascii="Calibri" w:hAnsi="Calibri"/>
                <w:b w:val="0"/>
                <w:i w:val="0"/>
                <w:color w:val="212121"/>
                <w:sz w:val="16"/>
              </w:rPr>
              <w:t>Negative / euthyroid</w:t>
            </w:r>
          </w:p>
        </w:tc>
        <w:tc>
          <w:tcPr>
            <w:tcW w:type="dxa" w:w="950"/>
            <w:vAlign w:val="top"/>
          </w:tcPr>
          <w:p>
            <w:pPr>
              <w:spacing w:after="40" w:before="0" w:line="259" w:lineRule="auto"/>
            </w:pPr>
            <w:r>
              <w:rPr>
                <w:rFonts w:ascii="Calibri" w:hAnsi="Calibri"/>
                <w:b w:val="0"/>
                <w:i w:val="0"/>
                <w:color w:val="212121"/>
                <w:sz w:val="16"/>
              </w:rPr>
              <w:t>Positive autoantibodies or thyroid dysfunction</w:t>
            </w:r>
          </w:p>
        </w:tc>
        <w:tc>
          <w:tcPr>
            <w:tcW w:type="dxa" w:w="1036"/>
            <w:vAlign w:val="top"/>
          </w:tcPr>
          <w:p>
            <w:pPr>
              <w:spacing w:after="40" w:before="0" w:line="259" w:lineRule="auto"/>
            </w:pPr>
            <w:r>
              <w:rPr>
                <w:rFonts w:ascii="Calibri" w:hAnsi="Calibri"/>
                <w:b w:val="0"/>
                <w:i w:val="0"/>
                <w:color w:val="212121"/>
                <w:sz w:val="16"/>
              </w:rPr>
              <w:t>Identifies coexisting SLE, Sjogren's or autoimmune thyroid disease common in NMOSD</w:t>
            </w:r>
          </w:p>
        </w:tc>
        <w:tc>
          <w:tcPr>
            <w:tcW w:type="dxa" w:w="1036"/>
            <w:vAlign w:val="top"/>
          </w:tcPr>
          <w:p>
            <w:pPr>
              <w:spacing w:after="40" w:before="0" w:line="259" w:lineRule="auto"/>
            </w:pPr>
            <w:r>
              <w:rPr>
                <w:rFonts w:ascii="Calibri" w:hAnsi="Calibri"/>
                <w:b w:val="0"/>
                <w:i w:val="0"/>
                <w:color w:val="212121"/>
                <w:sz w:val="16"/>
              </w:rPr>
              <w:t>All NMOSD, patients with sicca/rash/arthralgia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Autoimmunity coexists in about half of NMOSD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w:t>
            </w:r>
          </w:p>
        </w:tc>
        <w:tc>
          <w:tcPr>
            <w:tcW w:type="dxa" w:w="950"/>
            <w:vAlign w:val="top"/>
          </w:tcPr>
          <w:p>
            <w:pPr>
              <w:spacing w:after="40" w:before="0" w:line="259" w:lineRule="auto"/>
            </w:pPr>
            <w:r>
              <w:rPr>
                <w:rFonts w:ascii="Calibri" w:hAnsi="Calibri"/>
                <w:b w:val="0"/>
                <w:i w:val="0"/>
                <w:color w:val="212121"/>
                <w:sz w:val="16"/>
              </w:rPr>
              <w:t>30-50 ng/mL</w:t>
            </w:r>
          </w:p>
        </w:tc>
        <w:tc>
          <w:tcPr>
            <w:tcW w:type="dxa" w:w="950"/>
            <w:vAlign w:val="top"/>
          </w:tcPr>
          <w:p>
            <w:pPr>
              <w:spacing w:after="40" w:before="0" w:line="259" w:lineRule="auto"/>
            </w:pPr>
            <w:r>
              <w:rPr>
                <w:rFonts w:ascii="Calibri" w:hAnsi="Calibri"/>
                <w:b w:val="0"/>
                <w:i w:val="0"/>
                <w:color w:val="212121"/>
                <w:sz w:val="16"/>
              </w:rPr>
              <w:t>&lt;20 ng/mL (deficient)</w:t>
            </w:r>
          </w:p>
        </w:tc>
        <w:tc>
          <w:tcPr>
            <w:tcW w:type="dxa" w:w="1036"/>
            <w:vAlign w:val="top"/>
          </w:tcPr>
          <w:p>
            <w:pPr>
              <w:spacing w:after="40" w:before="0" w:line="259" w:lineRule="auto"/>
            </w:pPr>
            <w:r>
              <w:rPr>
                <w:rFonts w:ascii="Calibri" w:hAnsi="Calibri"/>
                <w:b w:val="0"/>
                <w:i w:val="0"/>
                <w:color w:val="212121"/>
                <w:sz w:val="16"/>
              </w:rPr>
              <w:t>Deficiency is a modifiable factor linked to autoimmune demyelination and bone health</w:t>
            </w:r>
          </w:p>
        </w:tc>
        <w:tc>
          <w:tcPr>
            <w:tcW w:type="dxa" w:w="1036"/>
            <w:vAlign w:val="top"/>
          </w:tcPr>
          <w:p>
            <w:pPr>
              <w:spacing w:after="40" w:before="0" w:line="259" w:lineRule="auto"/>
            </w:pPr>
            <w:r>
              <w:rPr>
                <w:rFonts w:ascii="Calibri" w:hAnsi="Calibri"/>
                <w:b w:val="0"/>
                <w:i w:val="0"/>
                <w:color w:val="212121"/>
                <w:sz w:val="16"/>
              </w:rPr>
              <w:t>Indian adults, patients on corticosteroids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Replete alongside calcium during long-term steroid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Acute visual loss, limb weakness, sensory level, bladder/bowel dysfunction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Core attack syndromes of optic neuritis and acute myelitis</w:t>
            </w:r>
          </w:p>
        </w:tc>
        <w:tc>
          <w:tcPr>
            <w:tcW w:type="dxa" w:w="1036"/>
            <w:vAlign w:val="top"/>
          </w:tcPr>
          <w:p>
            <w:pPr>
              <w:spacing w:after="40" w:before="0" w:line="259" w:lineRule="auto"/>
            </w:pPr>
            <w:r>
              <w:rPr>
                <w:rFonts w:ascii="Calibri" w:hAnsi="Calibri"/>
                <w:b w:val="0"/>
                <w:i w:val="0"/>
                <w:color w:val="212121"/>
                <w:sz w:val="16"/>
              </w:rPr>
              <w:t>Patients with subacute vision loss or myelopathy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Attacks are typically severe and evolve over hours to 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Area postrema symptoms</w:t>
            </w:r>
          </w:p>
        </w:tc>
        <w:tc>
          <w:tcPr>
            <w:tcW w:type="dxa" w:w="979"/>
            <w:vAlign w:val="top"/>
          </w:tcPr>
          <w:p>
            <w:pPr>
              <w:spacing w:after="40" w:before="0" w:line="259" w:lineRule="auto"/>
            </w:pPr>
            <w:r>
              <w:rPr>
                <w:rFonts w:ascii="Calibri" w:hAnsi="Calibri"/>
                <w:b w:val="0"/>
                <w:i w:val="0"/>
                <w:color w:val="212121"/>
                <w:sz w:val="16"/>
              </w:rPr>
              <w:t>Intractable hiccups, nausea and vomiting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Unexplained, persisting &gt;48 hours</w:t>
            </w:r>
          </w:p>
        </w:tc>
        <w:tc>
          <w:tcPr>
            <w:tcW w:type="dxa" w:w="1036"/>
            <w:vAlign w:val="top"/>
          </w:tcPr>
          <w:p>
            <w:pPr>
              <w:spacing w:after="40" w:before="0" w:line="259" w:lineRule="auto"/>
            </w:pPr>
            <w:r>
              <w:rPr>
                <w:rFonts w:ascii="Calibri" w:hAnsi="Calibri"/>
                <w:b w:val="0"/>
                <w:i w:val="0"/>
                <w:color w:val="212121"/>
                <w:sz w:val="16"/>
              </w:rPr>
              <w:t>Area postrema syndrome is a specific core characteristic of NMOSD</w:t>
            </w:r>
          </w:p>
        </w:tc>
        <w:tc>
          <w:tcPr>
            <w:tcW w:type="dxa" w:w="1036"/>
            <w:vAlign w:val="top"/>
          </w:tcPr>
          <w:p>
            <w:pPr>
              <w:spacing w:after="40" w:before="0" w:line="259" w:lineRule="auto"/>
            </w:pPr>
            <w:r>
              <w:rPr>
                <w:rFonts w:ascii="Calibri" w:hAnsi="Calibri"/>
                <w:b w:val="0"/>
                <w:i w:val="0"/>
                <w:color w:val="212121"/>
                <w:sz w:val="16"/>
              </w:rPr>
              <w:t>Patients with unexplained persistent vomiting/hiccups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Often mistaken for a gastrointestinal disorder, delaying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Relapse history</w:t>
            </w:r>
          </w:p>
        </w:tc>
        <w:tc>
          <w:tcPr>
            <w:tcW w:type="dxa" w:w="979"/>
            <w:vAlign w:val="top"/>
          </w:tcPr>
          <w:p>
            <w:pPr>
              <w:spacing w:after="40" w:before="0" w:line="259" w:lineRule="auto"/>
            </w:pPr>
            <w:r>
              <w:rPr>
                <w:rFonts w:ascii="Calibri" w:hAnsi="Calibri"/>
                <w:b w:val="0"/>
                <w:i w:val="0"/>
                <w:color w:val="212121"/>
                <w:sz w:val="16"/>
              </w:rPr>
              <w:t>Recurrent attacks with incomplete recovery</w:t>
            </w:r>
          </w:p>
        </w:tc>
        <w:tc>
          <w:tcPr>
            <w:tcW w:type="dxa" w:w="950"/>
            <w:vAlign w:val="top"/>
          </w:tcPr>
          <w:p>
            <w:pPr>
              <w:spacing w:after="40" w:before="0" w:line="259" w:lineRule="auto"/>
            </w:pPr>
            <w:r>
              <w:rPr>
                <w:rFonts w:ascii="Calibri" w:hAnsi="Calibri"/>
                <w:b w:val="0"/>
                <w:i w:val="0"/>
                <w:color w:val="212121"/>
                <w:sz w:val="16"/>
              </w:rPr>
              <w:t>Single/no prior event</w:t>
            </w:r>
          </w:p>
        </w:tc>
        <w:tc>
          <w:tcPr>
            <w:tcW w:type="dxa" w:w="950"/>
            <w:vAlign w:val="top"/>
          </w:tcPr>
          <w:p>
            <w:pPr>
              <w:spacing w:after="40" w:before="0" w:line="259" w:lineRule="auto"/>
            </w:pPr>
            <w:r>
              <w:rPr>
                <w:rFonts w:ascii="Calibri" w:hAnsi="Calibri"/>
                <w:b w:val="0"/>
                <w:i w:val="0"/>
                <w:color w:val="212121"/>
                <w:sz w:val="16"/>
              </w:rPr>
              <w:t>≥2 stereotyped attacks</w:t>
            </w:r>
          </w:p>
        </w:tc>
        <w:tc>
          <w:tcPr>
            <w:tcW w:type="dxa" w:w="1036"/>
            <w:vAlign w:val="top"/>
          </w:tcPr>
          <w:p>
            <w:pPr>
              <w:spacing w:after="40" w:before="0" w:line="259" w:lineRule="auto"/>
            </w:pPr>
            <w:r>
              <w:rPr>
                <w:rFonts w:ascii="Calibri" w:hAnsi="Calibri"/>
                <w:b w:val="0"/>
                <w:i w:val="0"/>
                <w:color w:val="212121"/>
                <w:sz w:val="16"/>
              </w:rPr>
              <w:t>Relapsing course defines the prognosis and the need for long-term immunotherapy</w:t>
            </w:r>
          </w:p>
        </w:tc>
        <w:tc>
          <w:tcPr>
            <w:tcW w:type="dxa" w:w="1036"/>
            <w:vAlign w:val="top"/>
          </w:tcPr>
          <w:p>
            <w:pPr>
              <w:spacing w:after="40" w:before="0" w:line="259" w:lineRule="auto"/>
            </w:pPr>
            <w:r>
              <w:rPr>
                <w:rFonts w:ascii="Calibri" w:hAnsi="Calibri"/>
                <w:b w:val="0"/>
                <w:i w:val="0"/>
                <w:color w:val="212121"/>
                <w:sz w:val="16"/>
              </w:rPr>
              <w:t>Established NMOSD, recurrent optic neuritis/myelitis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~85-90% of patients follow a relapsing course.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Autoimmune history</w:t>
            </w:r>
          </w:p>
        </w:tc>
        <w:tc>
          <w:tcPr>
            <w:tcW w:type="dxa" w:w="979"/>
            <w:vAlign w:val="top"/>
          </w:tcPr>
          <w:p>
            <w:pPr>
              <w:spacing w:after="40" w:before="0" w:line="259" w:lineRule="auto"/>
            </w:pPr>
            <w:r>
              <w:rPr>
                <w:rFonts w:ascii="Calibri" w:hAnsi="Calibri"/>
                <w:b w:val="0"/>
                <w:i w:val="0"/>
                <w:color w:val="212121"/>
                <w:sz w:val="16"/>
              </w:rPr>
              <w:t>Personal/family SLE, Sjogren's, thyroid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Autoimmune background increases NMOSD likelihood and guides screening</w:t>
            </w:r>
          </w:p>
        </w:tc>
        <w:tc>
          <w:tcPr>
            <w:tcW w:type="dxa" w:w="1036"/>
            <w:vAlign w:val="top"/>
          </w:tcPr>
          <w:p>
            <w:pPr>
              <w:spacing w:after="40" w:before="0" w:line="259" w:lineRule="auto"/>
            </w:pPr>
            <w:r>
              <w:rPr>
                <w:rFonts w:ascii="Calibri" w:hAnsi="Calibri"/>
                <w:b w:val="0"/>
                <w:i w:val="0"/>
                <w:color w:val="212121"/>
                <w:sz w:val="16"/>
              </w:rPr>
              <w:t>Patients with sicca, rash, arthralgia, thyroid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Autoimmunity coexists in about 50%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Visual function examination</w:t>
            </w:r>
          </w:p>
        </w:tc>
        <w:tc>
          <w:tcPr>
            <w:tcW w:type="dxa" w:w="979"/>
            <w:vAlign w:val="top"/>
          </w:tcPr>
          <w:p>
            <w:pPr>
              <w:spacing w:after="40" w:before="0" w:line="259" w:lineRule="auto"/>
            </w:pPr>
            <w:r>
              <w:rPr>
                <w:rFonts w:ascii="Calibri" w:hAnsi="Calibri"/>
                <w:b w:val="0"/>
                <w:i w:val="0"/>
                <w:color w:val="212121"/>
                <w:sz w:val="16"/>
              </w:rPr>
              <w:t>Acuity, colour vision, RAPD, fundoscopy</w:t>
            </w:r>
          </w:p>
        </w:tc>
        <w:tc>
          <w:tcPr>
            <w:tcW w:type="dxa" w:w="950"/>
            <w:vAlign w:val="top"/>
          </w:tcPr>
          <w:p>
            <w:pPr>
              <w:spacing w:after="40" w:before="0" w:line="259" w:lineRule="auto"/>
            </w:pPr>
            <w:r>
              <w:rPr>
                <w:rFonts w:ascii="Calibri" w:hAnsi="Calibri"/>
                <w:b w:val="0"/>
                <w:i w:val="0"/>
                <w:color w:val="212121"/>
                <w:sz w:val="16"/>
              </w:rPr>
              <w:t>Normal acuity, no RAPD, normal disc</w:t>
            </w:r>
          </w:p>
        </w:tc>
        <w:tc>
          <w:tcPr>
            <w:tcW w:type="dxa" w:w="950"/>
            <w:vAlign w:val="top"/>
          </w:tcPr>
          <w:p>
            <w:pPr>
              <w:spacing w:after="40" w:before="0" w:line="259" w:lineRule="auto"/>
            </w:pPr>
            <w:r>
              <w:rPr>
                <w:rFonts w:ascii="Calibri" w:hAnsi="Calibri"/>
                <w:b w:val="0"/>
                <w:i w:val="0"/>
                <w:color w:val="212121"/>
                <w:sz w:val="16"/>
              </w:rPr>
              <w:t>Reduced acuity, colour desaturation, RAPD, disc swelling or pallor</w:t>
            </w:r>
          </w:p>
        </w:tc>
        <w:tc>
          <w:tcPr>
            <w:tcW w:type="dxa" w:w="1036"/>
            <w:vAlign w:val="top"/>
          </w:tcPr>
          <w:p>
            <w:pPr>
              <w:spacing w:after="40" w:before="0" w:line="259" w:lineRule="auto"/>
            </w:pPr>
            <w:r>
              <w:rPr>
                <w:rFonts w:ascii="Calibri" w:hAnsi="Calibri"/>
                <w:b w:val="0"/>
                <w:i w:val="0"/>
                <w:color w:val="212121"/>
                <w:sz w:val="16"/>
              </w:rPr>
              <w:t>Confirms optic neuritis and quantifies visual-pathway damage</w:t>
            </w:r>
          </w:p>
        </w:tc>
        <w:tc>
          <w:tcPr>
            <w:tcW w:type="dxa" w:w="1036"/>
            <w:vAlign w:val="top"/>
          </w:tcPr>
          <w:p>
            <w:pPr>
              <w:spacing w:after="40" w:before="0" w:line="259" w:lineRule="auto"/>
            </w:pPr>
            <w:r>
              <w:rPr>
                <w:rFonts w:ascii="Calibri" w:hAnsi="Calibri"/>
                <w:b w:val="0"/>
                <w:i w:val="0"/>
                <w:color w:val="212121"/>
                <w:sz w:val="16"/>
              </w:rPr>
              <w:t>Patients with eye pain or visual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Colour desaturation and RAPD are sensitive early signs.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Motor power, tone, sensory level, reflexes, sphincter function</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Spastic para/quadriparesis, sensory level, hyperreflexia, extensor plantars, urinary retention</w:t>
            </w:r>
          </w:p>
        </w:tc>
        <w:tc>
          <w:tcPr>
            <w:tcW w:type="dxa" w:w="1036"/>
            <w:vAlign w:val="top"/>
          </w:tcPr>
          <w:p>
            <w:pPr>
              <w:spacing w:after="40" w:before="0" w:line="259" w:lineRule="auto"/>
            </w:pPr>
            <w:r>
              <w:rPr>
                <w:rFonts w:ascii="Calibri" w:hAnsi="Calibri"/>
                <w:b w:val="0"/>
                <w:i w:val="0"/>
                <w:color w:val="212121"/>
                <w:sz w:val="16"/>
              </w:rPr>
              <w:t>Localises the myelitis and grades severity</w:t>
            </w:r>
          </w:p>
        </w:tc>
        <w:tc>
          <w:tcPr>
            <w:tcW w:type="dxa" w:w="1036"/>
            <w:vAlign w:val="top"/>
          </w:tcPr>
          <w:p>
            <w:pPr>
              <w:spacing w:after="40" w:before="0" w:line="259" w:lineRule="auto"/>
            </w:pPr>
            <w:r>
              <w:rPr>
                <w:rFonts w:ascii="Calibri" w:hAnsi="Calibri"/>
                <w:b w:val="0"/>
                <w:i w:val="0"/>
                <w:color w:val="212121"/>
                <w:sz w:val="16"/>
              </w:rPr>
              <w:t>Patients with weakness, numbness, bladder symptoms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clear sensory level points to spinal-cord involvement.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Disability assessment</w:t>
            </w:r>
          </w:p>
        </w:tc>
        <w:tc>
          <w:tcPr>
            <w:tcW w:type="dxa" w:w="979"/>
            <w:vAlign w:val="top"/>
          </w:tcPr>
          <w:p>
            <w:pPr>
              <w:spacing w:after="40" w:before="0" w:line="259" w:lineRule="auto"/>
            </w:pPr>
            <w:r>
              <w:rPr>
                <w:rFonts w:ascii="Calibri" w:hAnsi="Calibri"/>
                <w:b w:val="0"/>
                <w:i w:val="0"/>
                <w:color w:val="212121"/>
                <w:sz w:val="16"/>
              </w:rPr>
              <w:t>Expanded Disability Status Scale (EDSS)</w:t>
            </w:r>
          </w:p>
        </w:tc>
        <w:tc>
          <w:tcPr>
            <w:tcW w:type="dxa" w:w="950"/>
            <w:vAlign w:val="top"/>
          </w:tcPr>
          <w:p>
            <w:pPr>
              <w:spacing w:after="40" w:before="0" w:line="259" w:lineRule="auto"/>
            </w:pPr>
            <w:r>
              <w:rPr>
                <w:rFonts w:ascii="Calibri" w:hAnsi="Calibri"/>
                <w:b w:val="0"/>
                <w:i w:val="0"/>
                <w:color w:val="212121"/>
                <w:sz w:val="16"/>
              </w:rPr>
              <w:t>0-1.5</w:t>
            </w:r>
          </w:p>
        </w:tc>
        <w:tc>
          <w:tcPr>
            <w:tcW w:type="dxa" w:w="950"/>
            <w:vAlign w:val="top"/>
          </w:tcPr>
          <w:p>
            <w:pPr>
              <w:spacing w:after="40" w:before="0" w:line="259" w:lineRule="auto"/>
            </w:pPr>
            <w:r>
              <w:rPr>
                <w:rFonts w:ascii="Calibri" w:hAnsi="Calibri"/>
                <w:b w:val="0"/>
                <w:i w:val="0"/>
                <w:color w:val="212121"/>
                <w:sz w:val="16"/>
              </w:rPr>
              <w:t>Rising score (≥6.0 needs walking aid)</w:t>
            </w:r>
          </w:p>
        </w:tc>
        <w:tc>
          <w:tcPr>
            <w:tcW w:type="dxa" w:w="1036"/>
            <w:vAlign w:val="top"/>
          </w:tcPr>
          <w:p>
            <w:pPr>
              <w:spacing w:after="40" w:before="0" w:line="259" w:lineRule="auto"/>
            </w:pPr>
            <w:r>
              <w:rPr>
                <w:rFonts w:ascii="Calibri" w:hAnsi="Calibri"/>
                <w:b w:val="0"/>
                <w:i w:val="0"/>
                <w:color w:val="212121"/>
                <w:sz w:val="16"/>
              </w:rPr>
              <w:t>Standardised measure of accumulated disability and treatment response</w:t>
            </w:r>
          </w:p>
        </w:tc>
        <w:tc>
          <w:tcPr>
            <w:tcW w:type="dxa" w:w="1036"/>
            <w:vAlign w:val="top"/>
          </w:tcPr>
          <w:p>
            <w:pPr>
              <w:spacing w:after="40" w:before="0" w:line="259" w:lineRule="auto"/>
            </w:pPr>
            <w:r>
              <w:rPr>
                <w:rFonts w:ascii="Calibri" w:hAnsi="Calibri"/>
                <w:b w:val="0"/>
                <w:i w:val="0"/>
                <w:color w:val="212121"/>
                <w:sz w:val="16"/>
              </w:rPr>
              <w:t>All NMOSD at follow-up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Serial EDSS documents relapse-related decline.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Vision loss (optic neuritis)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Subacute, often severe loss of vision in one or both eyes from optic-nerve inflammation; recovery is frequently incomplete.</w:t>
            </w:r>
          </w:p>
        </w:tc>
      </w:tr>
      <w:tr>
        <w:trPr>
          <w:cantSplit/>
        </w:trPr>
        <w:tc>
          <w:tcPr>
            <w:tcW w:type="dxa" w:w="2304"/>
            <w:vAlign w:val="top"/>
          </w:tcPr>
          <w:p>
            <w:pPr>
              <w:spacing w:after="40" w:before="0" w:line="259" w:lineRule="auto"/>
            </w:pPr>
            <w:r>
              <w:rPr>
                <w:rFonts w:ascii="Calibri" w:hAnsi="Calibri"/>
                <w:b/>
                <w:i w:val="0"/>
                <w:color w:val="212121"/>
                <w:sz w:val="19"/>
              </w:rPr>
              <w:t>Eye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in or around the eye, typically worse on eye movement, accompanying optic neuritis.</w:t>
            </w:r>
          </w:p>
        </w:tc>
      </w:tr>
      <w:tr>
        <w:trPr>
          <w:cantSplit/>
        </w:trPr>
        <w:tc>
          <w:tcPr>
            <w:tcW w:type="dxa" w:w="2304"/>
            <w:vAlign w:val="top"/>
          </w:tcPr>
          <w:p>
            <w:pPr>
              <w:spacing w:after="40" w:before="0" w:line="259" w:lineRule="auto"/>
            </w:pPr>
            <w:r>
              <w:rPr>
                <w:rFonts w:ascii="Calibri" w:hAnsi="Calibri"/>
                <w:b/>
                <w:i w:val="0"/>
                <w:color w:val="212121"/>
                <w:sz w:val="19"/>
              </w:rPr>
              <w:t>Loss of colour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Colour desaturation (especially red) is an early and sensitive feature of optic-nerve involvement.</w:t>
            </w:r>
          </w:p>
        </w:tc>
      </w:tr>
      <w:tr>
        <w:trPr>
          <w:cantSplit/>
        </w:trPr>
        <w:tc>
          <w:tcPr>
            <w:tcW w:type="dxa" w:w="2304"/>
            <w:vAlign w:val="top"/>
          </w:tcPr>
          <w:p>
            <w:pPr>
              <w:spacing w:after="40" w:before="0" w:line="259" w:lineRule="auto"/>
            </w:pPr>
            <w:r>
              <w:rPr>
                <w:rFonts w:ascii="Calibri" w:hAnsi="Calibri"/>
                <w:b/>
                <w:i w:val="0"/>
                <w:color w:val="212121"/>
                <w:sz w:val="19"/>
              </w:rPr>
              <w:t>Limb weakness or paralysis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Weakness of the legs and sometimes arms due to transverse myelitis; may progress to para- or quadriplegia.</w:t>
            </w:r>
          </w:p>
        </w:tc>
      </w:tr>
      <w:tr>
        <w:trPr>
          <w:cantSplit/>
        </w:trPr>
        <w:tc>
          <w:tcPr>
            <w:tcW w:type="dxa" w:w="2304"/>
            <w:vAlign w:val="top"/>
          </w:tcPr>
          <w:p>
            <w:pPr>
              <w:spacing w:after="40" w:before="0" w:line="259" w:lineRule="auto"/>
            </w:pPr>
            <w:r>
              <w:rPr>
                <w:rFonts w:ascii="Calibri" w:hAnsi="Calibri"/>
                <w:b/>
                <w:i w:val="0"/>
                <w:color w:val="212121"/>
                <w:sz w:val="19"/>
              </w:rPr>
              <w:t>Numbness and sensory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Sensory disturbance below a spinal level, with tingling or a tight banding sensation around the trunk.</w:t>
            </w:r>
          </w:p>
        </w:tc>
      </w:tr>
      <w:tr>
        <w:trPr>
          <w:cantSplit/>
        </w:trPr>
        <w:tc>
          <w:tcPr>
            <w:tcW w:type="dxa" w:w="2304"/>
            <w:vAlign w:val="top"/>
          </w:tcPr>
          <w:p>
            <w:pPr>
              <w:spacing w:after="40" w:before="0" w:line="259" w:lineRule="auto"/>
            </w:pPr>
            <w:r>
              <w:rPr>
                <w:rFonts w:ascii="Calibri" w:hAnsi="Calibri"/>
                <w:b/>
                <w:i w:val="0"/>
                <w:color w:val="212121"/>
                <w:sz w:val="19"/>
              </w:rPr>
              <w:t>Bladder and bowel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Urinary retention or incontinence and constipation from spinal-cord involvement (neurogenic bladder/bowel).</w:t>
            </w:r>
          </w:p>
        </w:tc>
      </w:tr>
      <w:tr>
        <w:trPr>
          <w:cantSplit/>
        </w:trPr>
        <w:tc>
          <w:tcPr>
            <w:tcW w:type="dxa" w:w="2304"/>
            <w:vAlign w:val="top"/>
          </w:tcPr>
          <w:p>
            <w:pPr>
              <w:spacing w:after="40" w:before="0" w:line="259" w:lineRule="auto"/>
            </w:pPr>
            <w:r>
              <w:rPr>
                <w:rFonts w:ascii="Calibri" w:hAnsi="Calibri"/>
                <w:b/>
                <w:i w:val="0"/>
                <w:color w:val="212121"/>
                <w:sz w:val="19"/>
              </w:rPr>
              <w:t>Painful tonic spasms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Brief, painful stiffening of a limb, a characteristic and distressing feature of NMOSD myelitis.</w:t>
            </w:r>
          </w:p>
        </w:tc>
      </w:tr>
      <w:tr>
        <w:trPr>
          <w:cantSplit/>
        </w:trPr>
        <w:tc>
          <w:tcPr>
            <w:tcW w:type="dxa" w:w="2304"/>
            <w:vAlign w:val="top"/>
          </w:tcPr>
          <w:p>
            <w:pPr>
              <w:spacing w:after="40" w:before="0" w:line="259" w:lineRule="auto"/>
            </w:pPr>
            <w:r>
              <w:rPr>
                <w:rFonts w:ascii="Calibri" w:hAnsi="Calibri"/>
                <w:b/>
                <w:i w:val="0"/>
                <w:color w:val="212121"/>
                <w:sz w:val="19"/>
              </w:rPr>
              <w:t>Neuropathic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Burning, shooting or itching pain in affected dermatomes; chronic and often difficult to treat.</w:t>
            </w:r>
          </w:p>
        </w:tc>
      </w:tr>
      <w:tr>
        <w:trPr>
          <w:cantSplit/>
        </w:trPr>
        <w:tc>
          <w:tcPr>
            <w:tcW w:type="dxa" w:w="2304"/>
            <w:vAlign w:val="top"/>
          </w:tcPr>
          <w:p>
            <w:pPr>
              <w:spacing w:after="40" w:before="0" w:line="259" w:lineRule="auto"/>
            </w:pPr>
            <w:r>
              <w:rPr>
                <w:rFonts w:ascii="Calibri" w:hAnsi="Calibri"/>
                <w:b/>
                <w:i w:val="0"/>
                <w:color w:val="212121"/>
                <w:sz w:val="19"/>
              </w:rPr>
              <w:t>Intractable hiccups, 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Area postrema syndrome from a dorsal-medulla lesion; persistent, unexplained and easily mistaken for a GI disorder.</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often disabling tiredness that is disproportionate to physical activity.</w:t>
            </w:r>
          </w:p>
        </w:tc>
      </w:tr>
      <w:tr>
        <w:trPr>
          <w:cantSplit/>
        </w:trPr>
        <w:tc>
          <w:tcPr>
            <w:tcW w:type="dxa" w:w="2304"/>
            <w:vAlign w:val="top"/>
          </w:tcPr>
          <w:p>
            <w:pPr>
              <w:spacing w:after="40" w:before="0" w:line="259" w:lineRule="auto"/>
            </w:pPr>
            <w:r>
              <w:rPr>
                <w:rFonts w:ascii="Calibri" w:hAnsi="Calibri"/>
                <w:b/>
                <w:i w:val="0"/>
                <w:color w:val="212121"/>
                <w:sz w:val="19"/>
              </w:rPr>
              <w:t>Lhermitte's phenomenon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electric-shock sensation down the spine on neck flexion, reflecting cervical-cord involvement.</w:t>
            </w:r>
          </w:p>
        </w:tc>
      </w:tr>
      <w:tr>
        <w:trPr>
          <w:cantSplit/>
        </w:trPr>
        <w:tc>
          <w:tcPr>
            <w:tcW w:type="dxa" w:w="2304"/>
            <w:vAlign w:val="top"/>
          </w:tcPr>
          <w:p>
            <w:pPr>
              <w:spacing w:after="40" w:before="0" w:line="259" w:lineRule="auto"/>
            </w:pPr>
            <w:r>
              <w:rPr>
                <w:rFonts w:ascii="Calibri" w:hAnsi="Calibri"/>
                <w:b/>
                <w:i w:val="0"/>
                <w:color w:val="212121"/>
                <w:sz w:val="19"/>
              </w:rPr>
              <w:t>Respiratory difficulty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High cervical-cord myelitis can impair the diaphragm and cause potentially life-threatening respiratory failure.</w:t>
            </w:r>
          </w:p>
        </w:tc>
      </w:tr>
      <w:tr>
        <w:trPr>
          <w:cantSplit/>
        </w:trPr>
        <w:tc>
          <w:tcPr>
            <w:tcW w:type="dxa" w:w="2304"/>
            <w:vAlign w:val="top"/>
          </w:tcPr>
          <w:p>
            <w:pPr>
              <w:spacing w:after="40" w:before="0" w:line="259" w:lineRule="auto"/>
            </w:pPr>
            <w:r>
              <w:rPr>
                <w:rFonts w:ascii="Calibri" w:hAnsi="Calibri"/>
                <w:b/>
                <w:i w:val="0"/>
                <w:color w:val="212121"/>
                <w:sz w:val="19"/>
              </w:rPr>
              <w:t>Excessive daytime sleepiness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Diencephalic/hypothalamic involvement can cause narcolepsy-like hypersomnia or symptomatic narcolepsy.</w:t>
            </w:r>
          </w:p>
        </w:tc>
      </w:tr>
      <w:tr>
        <w:trPr>
          <w:cantSplit/>
        </w:trPr>
        <w:tc>
          <w:tcPr>
            <w:tcW w:type="dxa" w:w="2304"/>
            <w:vAlign w:val="top"/>
          </w:tcPr>
          <w:p>
            <w:pPr>
              <w:spacing w:after="40" w:before="0" w:line="259" w:lineRule="auto"/>
            </w:pPr>
            <w:r>
              <w:rPr>
                <w:rFonts w:ascii="Calibri" w:hAnsi="Calibri"/>
                <w:b/>
                <w:i w:val="0"/>
                <w:color w:val="212121"/>
                <w:sz w:val="19"/>
              </w:rPr>
              <w:t>Seizures or encephalopathy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Cerebral syndromes, seen more often in children, may produce confusion, seizures or reduced consciousness.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visual acuity with colour desaturation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loss of acuity and colour vision on formal testing during or after optic neuritis.</w:t>
            </w:r>
          </w:p>
        </w:tc>
      </w:tr>
      <w:tr>
        <w:trPr>
          <w:cantSplit/>
        </w:trPr>
        <w:tc>
          <w:tcPr>
            <w:tcW w:type="dxa" w:w="3456"/>
            <w:vAlign w:val="top"/>
          </w:tcPr>
          <w:p>
            <w:pPr>
              <w:spacing w:after="40" w:before="0" w:line="259" w:lineRule="auto"/>
            </w:pPr>
            <w:r>
              <w:rPr>
                <w:rFonts w:ascii="Calibri" w:hAnsi="Calibri"/>
                <w:b/>
                <w:i w:val="0"/>
                <w:color w:val="212121"/>
                <w:sz w:val="19"/>
              </w:rPr>
              <w:t>Relative afferent pupillary defect (RAPD)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Swinging-flashlight test shows an afferent defect in the affected eye — a hallmark of unilateral optic neuropathy.</w:t>
            </w:r>
          </w:p>
        </w:tc>
      </w:tr>
      <w:tr>
        <w:trPr>
          <w:cantSplit/>
        </w:trPr>
        <w:tc>
          <w:tcPr>
            <w:tcW w:type="dxa" w:w="3456"/>
            <w:vAlign w:val="top"/>
          </w:tcPr>
          <w:p>
            <w:pPr>
              <w:spacing w:after="40" w:before="0" w:line="259" w:lineRule="auto"/>
            </w:pPr>
            <w:r>
              <w:rPr>
                <w:rFonts w:ascii="Calibri" w:hAnsi="Calibri"/>
                <w:b/>
                <w:i w:val="0"/>
                <w:color w:val="212121"/>
                <w:sz w:val="19"/>
              </w:rPr>
              <w:t>Optic disc swelling or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 swelling in acute anterior optic neuritis; temporal or diffuse pallor develops as atrophy sets in.</w:t>
            </w:r>
          </w:p>
        </w:tc>
      </w:tr>
      <w:tr>
        <w:trPr>
          <w:cantSplit/>
        </w:trPr>
        <w:tc>
          <w:tcPr>
            <w:tcW w:type="dxa" w:w="3456"/>
            <w:vAlign w:val="top"/>
          </w:tcPr>
          <w:p>
            <w:pPr>
              <w:spacing w:after="40" w:before="0" w:line="259" w:lineRule="auto"/>
            </w:pPr>
            <w:r>
              <w:rPr>
                <w:rFonts w:ascii="Calibri" w:hAnsi="Calibri"/>
                <w:b/>
                <w:i w:val="0"/>
                <w:color w:val="212121"/>
                <w:sz w:val="19"/>
              </w:rPr>
              <w:t>Spastic paraparesis or quadriparesis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tone with weakness of the limbs from transverse myelitis.</w:t>
            </w:r>
          </w:p>
        </w:tc>
      </w:tr>
      <w:tr>
        <w:trPr>
          <w:cantSplit/>
        </w:trPr>
        <w:tc>
          <w:tcPr>
            <w:tcW w:type="dxa" w:w="3456"/>
            <w:vAlign w:val="top"/>
          </w:tcPr>
          <w:p>
            <w:pPr>
              <w:spacing w:after="40" w:before="0" w:line="259" w:lineRule="auto"/>
            </w:pPr>
            <w:r>
              <w:rPr>
                <w:rFonts w:ascii="Calibri" w:hAnsi="Calibri"/>
                <w:b/>
                <w:i w:val="0"/>
                <w:color w:val="212121"/>
                <w:sz w:val="19"/>
              </w:rPr>
              <w:t>Sensory level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discrete level below which sensation is impaired, localising the spinal-cord lesion.</w:t>
            </w:r>
          </w:p>
        </w:tc>
      </w:tr>
      <w:tr>
        <w:trPr>
          <w:cantSplit/>
        </w:trPr>
        <w:tc>
          <w:tcPr>
            <w:tcW w:type="dxa" w:w="3456"/>
            <w:vAlign w:val="top"/>
          </w:tcPr>
          <w:p>
            <w:pPr>
              <w:spacing w:after="40" w:before="0" w:line="259" w:lineRule="auto"/>
            </w:pPr>
            <w:r>
              <w:rPr>
                <w:rFonts w:ascii="Calibri" w:hAnsi="Calibri"/>
                <w:b/>
                <w:i w:val="0"/>
                <w:color w:val="212121"/>
                <w:sz w:val="19"/>
              </w:rPr>
              <w:t>Hyperreflexia and extensor plantar responses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Brisk reflexes and Babinski sign indicate upper-motor-neuron (corticospinal) involvement.</w:t>
            </w:r>
          </w:p>
        </w:tc>
      </w:tr>
      <w:tr>
        <w:trPr>
          <w:cantSplit/>
        </w:trPr>
        <w:tc>
          <w:tcPr>
            <w:tcW w:type="dxa" w:w="3456"/>
            <w:vAlign w:val="top"/>
          </w:tcPr>
          <w:p>
            <w:pPr>
              <w:spacing w:after="40" w:before="0" w:line="259" w:lineRule="auto"/>
            </w:pPr>
            <w:r>
              <w:rPr>
                <w:rFonts w:ascii="Calibri" w:hAnsi="Calibri"/>
                <w:b/>
                <w:i w:val="0"/>
                <w:color w:val="212121"/>
                <w:sz w:val="19"/>
              </w:rPr>
              <w:t>Neurogenic bladder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Urinary retention or incontinence demonstrable clinically and on bladder assessment.</w:t>
            </w:r>
          </w:p>
        </w:tc>
      </w:tr>
      <w:tr>
        <w:trPr>
          <w:cantSplit/>
        </w:trPr>
        <w:tc>
          <w:tcPr>
            <w:tcW w:type="dxa" w:w="3456"/>
            <w:vAlign w:val="top"/>
          </w:tcPr>
          <w:p>
            <w:pPr>
              <w:spacing w:after="40" w:before="0" w:line="259" w:lineRule="auto"/>
            </w:pPr>
            <w:r>
              <w:rPr>
                <w:rFonts w:ascii="Calibri" w:hAnsi="Calibri"/>
                <w:b/>
                <w:i w:val="0"/>
                <w:color w:val="212121"/>
                <w:sz w:val="19"/>
              </w:rPr>
              <w:t>Longitudinally extensive cord lesion on MRI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central cord lesion spanning ≥3 contiguous vertebral segments (LETM) — an imaging hallmark.</w:t>
            </w:r>
          </w:p>
        </w:tc>
      </w:tr>
      <w:tr>
        <w:trPr>
          <w:cantSplit/>
        </w:trPr>
        <w:tc>
          <w:tcPr>
            <w:tcW w:type="dxa" w:w="3456"/>
            <w:vAlign w:val="top"/>
          </w:tcPr>
          <w:p>
            <w:pPr>
              <w:spacing w:after="40" w:before="0" w:line="259" w:lineRule="auto"/>
            </w:pPr>
            <w:r>
              <w:rPr>
                <w:rFonts w:ascii="Calibri" w:hAnsi="Calibri"/>
                <w:b/>
                <w:i w:val="0"/>
                <w:color w:val="212121"/>
                <w:sz w:val="19"/>
              </w:rPr>
              <w:t>Retinal nerve fibre layer thinning on OCT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Structural evidence of optic-nerve axonal loss, often more marked than in multiple sclerosis.</w:t>
            </w:r>
          </w:p>
        </w:tc>
      </w:tr>
      <w:tr>
        <w:trPr>
          <w:cantSplit/>
        </w:trPr>
        <w:tc>
          <w:tcPr>
            <w:tcW w:type="dxa" w:w="3456"/>
            <w:vAlign w:val="top"/>
          </w:tcPr>
          <w:p>
            <w:pPr>
              <w:spacing w:after="40" w:before="0" w:line="259" w:lineRule="auto"/>
            </w:pPr>
            <w:r>
              <w:rPr>
                <w:rFonts w:ascii="Calibri" w:hAnsi="Calibri"/>
                <w:b/>
                <w:i w:val="0"/>
                <w:color w:val="212121"/>
                <w:sz w:val="19"/>
              </w:rPr>
              <w:t>Uhthoff phenomenon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Transient worsening of vision or other deficits with heat or exertion, reflecting impaired conduction in demyelinated fibres.</w:t>
            </w:r>
          </w:p>
        </w:tc>
      </w:tr>
      <w:tr>
        <w:trPr>
          <w:cantSplit/>
        </w:trPr>
        <w:tc>
          <w:tcPr>
            <w:tcW w:type="dxa" w:w="3456"/>
            <w:vAlign w:val="top"/>
          </w:tcPr>
          <w:p>
            <w:pPr>
              <w:spacing w:after="40" w:before="0" w:line="259" w:lineRule="auto"/>
            </w:pPr>
            <w:r>
              <w:rPr>
                <w:rFonts w:ascii="Calibri" w:hAnsi="Calibri"/>
                <w:b/>
                <w:i w:val="0"/>
                <w:color w:val="212121"/>
                <w:sz w:val="19"/>
              </w:rPr>
              <w:t>Respiratory muscle weakness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Reduced respiratory effort/vital capacity in high cervical myelitis, a neurological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acute visual loss, up to blindness, from optic neuritis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transverse myelitis with para- or quadriplegia and a sensory level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Area postrema syndrome with intractable vomiting, hiccups and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 respiratory failure from high cervical-cord involvement</w:t>
            </w:r>
          </w:p>
        </w:tc>
        <w:tc>
          <w:tcPr>
            <w:tcW w:type="dxa" w:w="2980"/>
            <w:vAlign w:val="top"/>
          </w:tcPr>
          <w:p>
            <w:pPr>
              <w:spacing w:after="40" w:before="0" w:line="259" w:lineRule="auto"/>
            </w:pPr>
            <w:r>
              <w:rPr>
                <w:rFonts w:ascii="Calibri" w:hAnsi="Calibri"/>
                <w:b w:val="0"/>
                <w:i w:val="0"/>
                <w:color w:val="212121"/>
                <w:sz w:val="19"/>
              </w:rPr>
              <w:t>Direct consequences of acute inflammatory attacks on the optic nerves, spinal cord and dorsal medulla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visual impairment and optic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spastic paraparesis and impaired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 bladder and bowel with recurrent urinary 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neuropathic pain and recurrent painful tonic spasms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harm: corticosteroid osteoporosis/diabetes and infections from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disabling fatigue</w:t>
            </w:r>
          </w:p>
        </w:tc>
        <w:tc>
          <w:tcPr>
            <w:tcW w:type="dxa" w:w="2980"/>
            <w:vAlign w:val="top"/>
          </w:tcPr>
          <w:p>
            <w:pPr>
              <w:spacing w:after="40" w:before="0" w:line="259" w:lineRule="auto"/>
            </w:pPr>
            <w:r>
              <w:rPr>
                <w:rFonts w:ascii="Calibri" w:hAnsi="Calibri"/>
                <w:b w:val="0"/>
                <w:i w:val="0"/>
                <w:color w:val="212121"/>
                <w:sz w:val="19"/>
              </w:rPr>
              <w:t>Result from incomplete recovery after relapses and from the adverse effects of long-term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Wheelchair dependence or paraplegia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ulcers and contractures from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urosepsis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 chiefly from respiratory failure during severe cervical 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long-term disability with loss of independence</w:t>
            </w:r>
          </w:p>
        </w:tc>
        <w:tc>
          <w:tcPr>
            <w:tcW w:type="dxa" w:w="2980"/>
            <w:vAlign w:val="top"/>
          </w:tcPr>
          <w:p>
            <w:pPr>
              <w:spacing w:after="40" w:before="0" w:line="259" w:lineRule="auto"/>
            </w:pPr>
            <w:r>
              <w:rPr>
                <w:rFonts w:ascii="Calibri" w:hAnsi="Calibri"/>
                <w:b w:val="0"/>
                <w:i w:val="0"/>
                <w:color w:val="212121"/>
                <w:sz w:val="19"/>
              </w:rPr>
              <w:t>Disabling, largely irreversible end-stage outcomes of recurrent, inadequately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(SLE)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antibody-mediated autoimmunity with NMOSD and frequently coexists; AQP4-IgG confirms true co-occurring NMOSD rather than lupus myelitis, which changes management.</w:t>
            </w:r>
          </w:p>
        </w:tc>
      </w:tr>
      <w:tr>
        <w:trPr>
          <w:cantSplit/>
        </w:trPr>
        <w:tc>
          <w:tcPr>
            <w:tcW w:type="dxa" w:w="2232"/>
            <w:vAlign w:val="top"/>
          </w:tcPr>
          <w:p>
            <w:pPr>
              <w:spacing w:after="40" w:before="0" w:line="259" w:lineRule="auto"/>
            </w:pPr>
            <w:r>
              <w:rPr>
                <w:rFonts w:ascii="Calibri" w:hAnsi="Calibri"/>
                <w:b/>
                <w:i w:val="0"/>
                <w:color w:val="212121"/>
                <w:sz w:val="19"/>
              </w:rPr>
              <w:t>Sjogren's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One of the autoimmune disorders most commonly reported with NMOSD; coexistence should prompt AQP4-IgG testing when optic neuritis or myelitis develops.</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(Hashimoto's / Graves')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Organ-specific thyroid autoimmunity clusters with NMOSD as part of a broader autoimmune diathesis; screen thyroid function and antibodies at diagnosis.</w:t>
            </w:r>
          </w:p>
        </w:tc>
      </w:tr>
      <w:tr>
        <w:trPr>
          <w:cantSplit/>
        </w:trPr>
        <w:tc>
          <w:tcPr>
            <w:tcW w:type="dxa" w:w="2232"/>
            <w:vAlign w:val="top"/>
          </w:tcPr>
          <w:p>
            <w:pPr>
              <w:spacing w:after="40" w:before="0" w:line="259" w:lineRule="auto"/>
            </w:pPr>
            <w:r>
              <w:rPr>
                <w:rFonts w:ascii="Calibri" w:hAnsi="Calibri"/>
                <w:b/>
                <w:i w:val="0"/>
                <w:color w:val="212121"/>
                <w:sz w:val="19"/>
              </w:rPr>
              <w:t>Myasthenia gravis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Antibody-mediated neuromuscular autoimmune disease reported in association with NMOSD, sometimes following thymectomy.</w:t>
            </w:r>
          </w:p>
        </w:tc>
      </w:tr>
      <w:tr>
        <w:trPr>
          <w:cantSplit/>
        </w:trPr>
        <w:tc>
          <w:tcPr>
            <w:tcW w:type="dxa" w:w="2232"/>
            <w:vAlign w:val="top"/>
          </w:tcPr>
          <w:p>
            <w:pPr>
              <w:spacing w:after="40" w:before="0" w:line="259" w:lineRule="auto"/>
            </w:pPr>
            <w:r>
              <w:rPr>
                <w:rFonts w:ascii="Calibri" w:hAnsi="Calibri"/>
                <w:b/>
                <w:i w:val="0"/>
                <w:color w:val="212121"/>
                <w:sz w:val="19"/>
              </w:rPr>
              <w:t>Antiphospholipid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autoantibody-mediated disorder that may coexist with NMOSD and complicate the interpretation of myelopathy and stroke-like events.</w:t>
            </w:r>
          </w:p>
        </w:tc>
      </w:tr>
      <w:tr>
        <w:trPr>
          <w:cantSplit/>
        </w:trPr>
        <w:tc>
          <w:tcPr>
            <w:tcW w:type="dxa" w:w="2232"/>
            <w:vAlign w:val="top"/>
          </w:tcPr>
          <w:p>
            <w:pPr>
              <w:spacing w:after="40" w:before="0" w:line="259" w:lineRule="auto"/>
            </w:pPr>
            <w:r>
              <w:rPr>
                <w:rFonts w:ascii="Calibri" w:hAnsi="Calibri"/>
                <w:b/>
                <w:i w:val="0"/>
                <w:color w:val="212121"/>
                <w:sz w:val="19"/>
              </w:rPr>
              <w:t>MOG antibody-associated disease (MOGAD)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distinct demyelinating entity that can mimic AQP4-negative NMOSD; up to ~40-42% of AQP4-negative cases are MOG-IgG positive, and its course and treatment differ.</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consequence of chronic disability, pain and steroid therapy; bidirectionally reduces adherence and rehabilitation outcomes.</w:t>
            </w:r>
          </w:p>
        </w:tc>
      </w:tr>
      <w:tr>
        <w:trPr>
          <w:cantSplit/>
        </w:trPr>
        <w:tc>
          <w:tcPr>
            <w:tcW w:type="dxa" w:w="2232"/>
            <w:vAlign w:val="top"/>
          </w:tcPr>
          <w:p>
            <w:pPr>
              <w:spacing w:after="40" w:before="0" w:line="259" w:lineRule="auto"/>
            </w:pPr>
            <w:r>
              <w:rPr>
                <w:rFonts w:ascii="Calibri" w:hAnsi="Calibri"/>
                <w:b/>
                <w:i w:val="0"/>
                <w:color w:val="212121"/>
                <w:sz w:val="19"/>
              </w:rPr>
              <w:t>Chronic neuropathic pain and tonic spasms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from spinal-cord injury and is a major driver of poor quality of life requiring dedicated pain management.</w:t>
            </w:r>
          </w:p>
        </w:tc>
      </w:tr>
      <w:tr>
        <w:trPr>
          <w:cantSplit/>
        </w:trPr>
        <w:tc>
          <w:tcPr>
            <w:tcW w:type="dxa" w:w="2232"/>
            <w:vAlign w:val="top"/>
          </w:tcPr>
          <w:p>
            <w:pPr>
              <w:spacing w:after="40" w:before="0" w:line="259" w:lineRule="auto"/>
            </w:pPr>
            <w:r>
              <w:rPr>
                <w:rFonts w:ascii="Calibri" w:hAnsi="Calibri"/>
                <w:b/>
                <w:i w:val="0"/>
                <w:color w:val="212121"/>
                <w:sz w:val="19"/>
              </w:rPr>
              <w:t>Neurogenic bladder with recurrent UTIs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Arises from myelitis and predisposes to recurrent urinary infection and urosepsis, which can in turn trigger relapses.</w:t>
            </w:r>
          </w:p>
        </w:tc>
      </w:tr>
      <w:tr>
        <w:trPr>
          <w:cantSplit/>
        </w:trPr>
        <w:tc>
          <w:tcPr>
            <w:tcW w:type="dxa" w:w="2232"/>
            <w:vAlign w:val="top"/>
          </w:tcPr>
          <w:p>
            <w:pPr>
              <w:spacing w:after="40" w:before="0" w:line="259" w:lineRule="auto"/>
            </w:pPr>
            <w:r>
              <w:rPr>
                <w:rFonts w:ascii="Calibri" w:hAnsi="Calibri"/>
                <w:b/>
                <w:i w:val="0"/>
                <w:color w:val="212121"/>
                <w:sz w:val="19"/>
              </w:rPr>
              <w:t>Corticosteroid-induced 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steroids used for attacks and maintenance cause bone loss and fragility fractures; requires calcium, vitamin D and bone-protective therapy.</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India, linked to autoimmune demyelination and worsened by reduced mobility and sunlight; correction supports immune and bone health.</w:t>
            </w:r>
          </w:p>
        </w:tc>
      </w:tr>
      <w:tr>
        <w:trPr>
          <w:cantSplit/>
        </w:trPr>
        <w:tc>
          <w:tcPr>
            <w:tcW w:type="dxa" w:w="2232"/>
            <w:vAlign w:val="top"/>
          </w:tcPr>
          <w:p>
            <w:pPr>
              <w:spacing w:after="40" w:before="0" w:line="259" w:lineRule="auto"/>
            </w:pPr>
            <w:r>
              <w:rPr>
                <w:rFonts w:ascii="Calibri" w:hAnsi="Calibri"/>
                <w:b/>
                <w:i w:val="0"/>
                <w:color w:val="212121"/>
                <w:sz w:val="19"/>
              </w:rPr>
              <w:t>Pernicious anaemia / autoimmune gastritis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Another organ-specific autoimmune condition that can coexist and independently cause a myelopathy (subacute combined degeneration) needing exclusion.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NMOSD is a relapsing autoimmune disease: relapse prevention with long-term immunotherapy (rituximab, azathioprine, mycophenolate, or approved biologics such as eculizumab, inebilizumab or satralizumab) is the cornerstone of preserving vision and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relapse warning signs — new visual loss or eye pain, limb weakness or numbness, a sensory band, bladder problems, or intractable hiccups/vomiting — and seek urgent care, as early treatment limits permanent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correct diagnosis with AQP4-IgG (and MOG-IgG) cell-based testing, because several multiple sclerosis drugs (interferon-beta, natalizumab, fingolimod) can severely worsen NMOSD.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stop or reduce immunotherapy without specialist advice; abrupt withdrawal can provoke severe relapses.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needed vaccinations before starting immunosuppression and avoid live vaccines while immunosuppressed; treat infections promptly as they can trigger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pregnancy with the treating neurologist, since the postpartum period carries a higher relapse risk and therapy must be adjusted.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NMOSD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AQP4-IgG seropositive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childbearing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individualised neurorehabilitation and physiotherapy after each attack to rebuild strength, balance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targeted spasticity management (stretching, positioning, physiotherapy) alongside medical treatment to reduce painful tonic spasms.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regular, adapted aerobic and resistance activity within tolerance to counter deconditioning, fatigue and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overheating and exhaustion, which can transiently worsen deficits (Uhthoff phenomenon); keep cool and pace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fall-prevention strategies and appropriate mobility aids, plus occupational therapy for activities of daily living.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Ambulant patients with residual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spasticity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 frail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correct vitamin D deficiency, which is common in India and linked to autoimmune demyelination.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vitamin D and protein to protect bone during long-term corticosteroid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largely plant-forward, low-glycaemic diet to limit steroid-related weight gain and hyperglycaemia.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manage nausea during area postrema attacks to prevent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salt and ultra-processed foods as part of a general anti-inflammatory dietary pattern.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Indian urban dietary-transition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consistent sleep hygiene with a regular schedule and a comfortable, cool environment.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nocturnal neuropathic pain, painful tonic spasms and nocturia that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disabling fatigue through paced activity, treatment of depression, and management of sleep-disordered breathing where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diencephalic/hypothalamic involvement in patients with excessive daytime sleepiness.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spasms/nocturia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as tobacco is a modifiable risk factor for autoimmune demyelination and worsens vascular and overall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counselling and pharmacotherapy — to sustain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vascular comorbidity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is hepatotoxic and interacts with immunosuppressants such as azathioprine and methotrexate.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when balance or mobility is impaired to reduce fall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all alcohol use so liver function can be monitored during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azathioprine/methotrexate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gait/balance deficits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which are common and undertreated in NMOSD.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counselling or cognitive behavioural therapy and, where indicated,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access to peer support and patient organisations to reduce isolation and improve coping.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chronic-pain management, since persistent pain strongly affects mood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mental-health support around relapses and major disability changes.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sagepub.com/doi/10.1177/1352458515572406" TargetMode="External"/><Relationship Id="rId10" Type="http://schemas.openxmlformats.org/officeDocument/2006/relationships/hyperlink" Target="https://www.mayoclinic.org/diseases-conditions/neuromyelitis-optica/symptoms-causes/syc-20375652" TargetMode="External"/><Relationship Id="rId11" Type="http://schemas.openxmlformats.org/officeDocument/2006/relationships/hyperlink" Target="https://www.frontiersin.org/articles/10.3389/fneur.2020.00501/full" TargetMode="External"/><Relationship Id="rId12" Type="http://schemas.openxmlformats.org/officeDocument/2006/relationships/hyperlink" Target="https://rarediseases.org/rare-diseases/neuromyelitis-optica/" TargetMode="External"/><Relationship Id="rId13" Type="http://schemas.openxmlformats.org/officeDocument/2006/relationships/hyperlink" Target="https://www.ninds.nih.gov/health-information/disorders/neuromyelitis-optica" TargetMode="External"/><Relationship Id="rId14" Type="http://schemas.openxmlformats.org/officeDocument/2006/relationships/hyperlink" Target="https://link.springer.com/article/10.1186/s12974-021-02249-1" TargetMode="External"/><Relationship Id="rId15" Type="http://schemas.openxmlformats.org/officeDocument/2006/relationships/hyperlink" Target="https://pubmed.ncbi.nlm.nih.gov/26092914/" TargetMode="External"/><Relationship Id="rId16" Type="http://schemas.openxmlformats.org/officeDocument/2006/relationships/hyperlink" Target="https://www.mayoclinic.org/diseases-conditions/neuromyelitis-optica/diagnosis-treatment/drc-20375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