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Myasthenia Gravis</w:t>
      </w:r>
    </w:p>
    <w:p>
      <w:pPr>
        <w:spacing w:before="0" w:after="160"/>
      </w:pPr>
      <w:r>
        <w:rPr>
          <w:rFonts w:ascii="Calibri" w:hAnsi="Calibri"/>
          <w:b/>
          <w:i w:val="0"/>
          <w:color w:val="212121"/>
          <w:sz w:val="22"/>
        </w:rPr>
        <w:t xml:space="preserve">AKA </w:t>
      </w:r>
      <w:r>
        <w:rPr>
          <w:rFonts w:ascii="Calibri" w:hAnsi="Calibri"/>
          <w:b w:val="0"/>
          <w:i w:val="0"/>
          <w:color w:val="212121"/>
          <w:sz w:val="22"/>
        </w:rPr>
        <w:t>i.e., MG, Autoimmune myasthenia gravis, “grave muscle weakness”, historically Goldflam disease (Erb–Goldflam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Myasthenia gravis (MG) is a chronic autoimmune disorder of the neuromuscular junction characterised by fluctuating, fatigable weakness of voluntary (skeletal) muscles that worsens with sustained activity and improves with rest. In most patients the immune system produces IgG autoantibodies against the nicotinic acetylcholine receptor (AChR) on the post-synaptic muscle membrane; a minority have antibodies to muscle-specific kinase (MuSK) or lipoprotein-related protein 4 (LRP4), which together impair transmission of the nerve signal to the muscle. Clinically it typically begins with ocular weakness (drooping eyelids and double vision) and may generalise to involve bulbar (speech, chewing, swallowing), neck, limb and respiratory muscles. The most dangerous manifestation is a myasthenic crisis — weakness of the breathing and airway muscles severe enough to require ventilatory support.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MG is an uncommon but increasingly recognised disorder. Systematic-review estimates put global prevalence at roughly 150–200 per million (pooled mean ~173 per million) and incidence at ~15 per million per year. Asia has a somewhat lower overall prevalence (~127 per million) but the highest burden of juvenile/childhood-onset ocular MG in the world (~46 per million versus ~21 per million globally). Indian hospital-based series report an incidence of about 10–20 per million per year, thymoma in roughly 15–20% and thymic hyperplasia in a majority of cases. A striking Indian pattern, described in several series, is a relative male predominance (opposite to the classic Western young-female peak), with men often presenting in the sixth–seventh decade and women in the third decade. Diagnosis is frequently delayed in India — a median of around 22 months in one series — because early fatigable weakness is mistaken for other conditions, which increases the risk of avoidable bulbar and respiratory complications.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MG is diagnosed by combining a characteristic clinical picture of fatigable weakness with confirmatory serological and electrophysiological tests, and by imaging the thymus. No single test is perfect, so the diagnosis rests on the pattern of findings: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hallmark — painless, fluctuating, fatigable weakness of specific muscle groups (ptosis, diplopia, bulbar, neck, proximal limb) that worsens with sustained effort and toward evening and improves with rest, with normal sensation and preserved tendon reflexes.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Bedside tests — the ice-pack test (≥ 2 mm improvement in ptosis after 2–5 minutes of ice) and fatigability manoeuvres (sustained up-gaze, arm abduction); the edrophonium (Tensilon) test is now rarely used.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 anti-acetylcholine-receptor (AChR) antibodies, positive in ~80–90% of generalised and ~40–77% of purely ocular MG; anti-MuSK antibodies in ~5–10% of AChR-negative patients; anti-LRP4 in a further small fraction of ‘seronegative’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Repetitive nerve stimulation (RNS) — a decremental response of ≥ 10% in compound muscle action potential amplitude between the 1st and 4th–5th stimulus at low frequency (2–3 Hz).</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Single-fibre electromyography (SFEMG) — increased ‘jitter’ and blocking; the most sensitive test (sensitivity &gt; 95%), useful when serology and RNS are negative.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Thymic imaging — CT (or MRI) of the chest in every newly diagnosed patient to detect thymoma or thymic hyperplasia, which alters management (thymectomy).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associated autoimmunity — thyroid function and thyroid antibodies (and other autoimmune screens as indicated), because coexisting autoimmune disease is common.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MG is classified by the distribution and severity of weakness, by the causative antibody, and by age of onset and thymic pathology — distinctions that guide prognosis and treatment:</w:t>
      </w:r>
    </w:p>
    <w:p>
      <w:pPr>
        <w:spacing w:before="0" w:after="80"/>
      </w:pPr>
      <w:r>
        <w:rPr>
          <w:rFonts w:ascii="Calibri" w:hAnsi="Calibri"/>
          <w:b w:val="0"/>
          <w:i w:val="0"/>
          <w:color w:val="212121"/>
          <w:sz w:val="21"/>
        </w:rPr>
        <w:t>(1) Ocular MG — weakness confined to the eyelids and extra-ocular muscles (ptosis and diplopia). About half of all patients begin this way; roughly 50–80% later generalise, most within the first two years, so early treatment and follow-up are important.</w:t>
      </w:r>
    </w:p>
    <w:p>
      <w:pPr>
        <w:spacing w:before="0" w:after="80"/>
      </w:pPr>
      <w:r>
        <w:rPr>
          <w:rFonts w:ascii="Calibri" w:hAnsi="Calibri"/>
          <w:b w:val="0"/>
          <w:i w:val="0"/>
          <w:color w:val="212121"/>
          <w:sz w:val="21"/>
        </w:rPr>
        <w:t>(2) Generalised MG — weakness beyond the eyes involving bulbar (speech, chewing, swallowing), facial, neck, limb and/or respiratory muscles. The Myasthenia Gravis Foundation of America (MGFA) grades severity from Class I (ocular only), through Class II–IV (mild, moderate and severe generalised weakness, each subdivided into a-limb/axial-predominant and b-bulbar/respiratory-predominant), to Class V (intubation, with or without ventilation — i.e. myasthenic crisis).</w:t>
      </w:r>
    </w:p>
    <w:p>
      <w:pPr>
        <w:spacing w:before="0" w:after="80"/>
      </w:pPr>
      <w:r>
        <w:rPr>
          <w:rFonts w:ascii="Calibri" w:hAnsi="Calibri"/>
          <w:b w:val="0"/>
          <w:i w:val="0"/>
          <w:color w:val="212121"/>
          <w:sz w:val="21"/>
        </w:rPr>
        <w:t>(3) By antibody — AChR-positive (commonest), MuSK-positive (more bulbar/facial/neck involvement, often refractory, poor response to cholinesterase inhibitors), LRP4-positive, and ‘seronegative’ MG (no detectable antibody on standard assays).</w:t>
      </w:r>
    </w:p>
    <w:p>
      <w:pPr>
        <w:spacing w:before="0" w:after="80"/>
      </w:pPr>
      <w:r>
        <w:rPr>
          <w:rFonts w:ascii="Calibri" w:hAnsi="Calibri"/>
          <w:b w:val="0"/>
          <w:i w:val="0"/>
          <w:color w:val="212121"/>
          <w:sz w:val="21"/>
        </w:rPr>
        <w:t>(4) By age and thymus — early-onset MG (&lt; 50 years, female-predominant, HLA-associated, thymic follicular hyperplasia), late-onset MG (≥ 50 years, male-predominant, thymic atrophy), and thymoma-associated (paraneoplastic) MG (~10–15% of patients). Juvenile MG (onset &lt; 18 years) is proportionally more common in Asian populations, including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Anti-AChR antibodies: IgG1/IgG3 autoantibodies bind the post-synaptic acetylcholine receptor, activating complement, cross-linking and internalising receptors and destroying the folded end-plate membrane, so fewer receptors are available and transmission fails with repeated 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Anti-MuSK / anti-LRP4 antibodies: IgG4 antibodies to muscle-specific kinase (or to LRP4) disrupt the agrin–LRP4–MuSK pathway that clusters and maintains AChRs, producing a clinically distinct, often more bulbar and treatment-resistant form of MG.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Thymic pathology: The thymus is central to disease — thymic follicular hyperplasia (early-onset) and thymoma (~10–15%) provide an environment for autoreactive T- and B-cell priming; thymectomy can improve AChR-positive non-thymomatous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HLA susceptibility: Early-onset AChR-MG is linked to HLA-B8/DR3 and other loci; a personal or family background of autoimmunity increases risk, reflecting shared immune dysregulation.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Coexisting autoimmune disease: Autoimmune thyroid disease, rheumatoid arthritis, SLE, type 1 diabetes and pernicious anaemia cluster with MG, indicating a common tendency to loss of self-tolerance.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 and immunotherapy-induced MG: D-penicillamine and, increasingly, immune-checkpoint inhibitors (used in cancer therapy) can trigger de-novo or unmask myasthenia.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Precipitants of weakness/crisis: Infection, high fever/heat, physical or emotional stress, surgery, pregnancy and childbirth, tapering of immunosuppression and a long list of aggravating drugs (aminoglycosides, fluoroquinolones, macrolides, beta-blockers, calcium-channel blockers, magnesium, quinine, iodinated contrast) can abruptly worsen an established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(2nd–4th decade), especially women</w:t>
            </w:r>
          </w:p>
        </w:tc>
        <w:tc>
          <w:tcPr>
            <w:tcW w:type="dxa" w:w="4276"/>
            <w:vAlign w:val="top"/>
          </w:tcPr>
          <w:p>
            <w:pPr>
              <w:spacing w:after="60" w:line="259" w:lineRule="auto"/>
            </w:pPr>
            <w:r>
              <w:rPr>
                <w:rFonts w:ascii="Calibri" w:hAnsi="Calibri"/>
                <w:b w:val="0"/>
                <w:i w:val="0"/>
                <w:color w:val="212121"/>
                <w:sz w:val="19"/>
              </w:rPr>
              <w:t>MG has a bimodal age pattern. The earlier peak falls in young adulthood and is associated with thymic follicular hyperplasia and HLA-B8/DR3; autoreactive antibodies against the acetylcholine receptor progressively impair neuromuscular transmission.</w:t>
            </w:r>
          </w:p>
          <w:p>
            <w:pPr>
              <w:spacing w:after="40" w:before="60" w:line="259" w:lineRule="auto"/>
            </w:pPr>
            <w:r>
              <w:rPr>
                <w:rFonts w:ascii="Calibri" w:hAnsi="Calibri"/>
                <w:b w:val="0"/>
                <w:i w:val="0"/>
                <w:color w:val="212121"/>
                <w:sz w:val="19"/>
              </w:rPr>
              <w:t>Peak onset is between 20 and 40 years, when women predominate roughly 3:1 over men.</w:t>
            </w:r>
          </w:p>
          <w:p>
            <w:pPr>
              <w:spacing w:after="40" w:line="252" w:lineRule="auto"/>
            </w:pPr>
            <w:hyperlink r:id="rId9">
              <w:r>
                <w:rPr>
                  <w:rFonts w:ascii="Calibri" w:hAnsi="Calibri" w:cs="Calibri"/>
                  <w:sz w:val="18"/>
                  <w:color w:val="1155CC"/>
                  <w:u w:val="single"/>
                </w:rPr>
                <w:t xml:space="preserve">rarediseaseadvisor.com — MG epidemiology (bimodal onset, 3:1 female &lt; 40)</w:t>
              </w:r>
            </w:hyperlink>
          </w:p>
          <w:p>
            <w:pPr>
              <w:spacing w:before="60" w:after="40"/>
            </w:pPr>
            <w:r>
              <w:rPr>
                <w:rFonts w:ascii="Calibri" w:hAnsi="Calibri"/>
                <w:b w:val="0"/>
                <w:i w:val="0"/>
                <w:color w:val="5A5A5A"/>
                <w:sz w:val="18"/>
              </w:rPr>
              <w:t>#earlyonset  #autoimmune  #thymichyperplasia  #youngwomen  #HLADR3</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50–60 years), especially men</w:t>
            </w:r>
          </w:p>
        </w:tc>
        <w:tc>
          <w:tcPr>
            <w:tcW w:type="dxa" w:w="4276"/>
            <w:vAlign w:val="top"/>
          </w:tcPr>
          <w:p>
            <w:pPr>
              <w:spacing w:after="60" w:line="259" w:lineRule="auto"/>
            </w:pPr>
            <w:r>
              <w:rPr>
                <w:rFonts w:ascii="Calibri" w:hAnsi="Calibri"/>
                <w:b w:val="0"/>
                <w:i w:val="0"/>
                <w:color w:val="212121"/>
                <w:sz w:val="19"/>
              </w:rPr>
              <w:t>The second, later peak is rising as populations age. Late-onset MG is associated with thymic atrophy rather than hyperplasia, higher anti-AChR titres, and more frequent generalisation and crisis; it is easily missed because fatigue is attributed to ageing or stroke.</w:t>
            </w:r>
          </w:p>
          <w:p>
            <w:pPr>
              <w:spacing w:after="40" w:before="60" w:line="259" w:lineRule="auto"/>
            </w:pPr>
            <w:r>
              <w:rPr>
                <w:rFonts w:ascii="Calibri" w:hAnsi="Calibri"/>
                <w:b w:val="0"/>
                <w:i w:val="0"/>
                <w:color w:val="212121"/>
                <w:sz w:val="19"/>
              </w:rPr>
              <w:t>After age 50 the sex ratio approaches 1:1 and, in Indian series, men in the 6th–7th decade predominate; incidence and prevalence are increasing most in older adults worldwide.</w:t>
            </w:r>
          </w:p>
          <w:p>
            <w:pPr>
              <w:spacing w:after="40" w:line="252" w:lineRule="auto"/>
            </w:pPr>
            <w:hyperlink r:id="rId10">
              <w:r>
                <w:rPr>
                  <w:rFonts w:ascii="Calibri" w:hAnsi="Calibri" w:cs="Calibri"/>
                  <w:sz w:val="18"/>
                  <w:color w:val="1155CC"/>
                  <w:u w:val="single"/>
                </w:rPr>
                <w:t xml:space="preserve">Indian J Ophthalmol — ocular MG review (Indian male late-onset pattern)</w:t>
              </w:r>
            </w:hyperlink>
          </w:p>
          <w:p>
            <w:pPr>
              <w:spacing w:before="60" w:after="40"/>
            </w:pPr>
            <w:r>
              <w:rPr>
                <w:rFonts w:ascii="Calibri" w:hAnsi="Calibri"/>
                <w:b w:val="0"/>
                <w:i w:val="0"/>
                <w:color w:val="5A5A5A"/>
                <w:sz w:val="18"/>
              </w:rPr>
              <w:t>#lateonset  #elderly  #thymicatrophy  #malepredominance  #crisisrisk</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(reproductive age)</w:t>
            </w:r>
          </w:p>
        </w:tc>
        <w:tc>
          <w:tcPr>
            <w:tcW w:type="dxa" w:w="4276"/>
            <w:vAlign w:val="top"/>
          </w:tcPr>
          <w:p>
            <w:pPr>
              <w:spacing w:after="60" w:line="259" w:lineRule="auto"/>
            </w:pPr>
            <w:r>
              <w:rPr>
                <w:rFonts w:ascii="Calibri" w:hAnsi="Calibri"/>
                <w:b w:val="0"/>
                <w:i w:val="0"/>
                <w:color w:val="212121"/>
                <w:sz w:val="19"/>
              </w:rPr>
              <w:t>Women dominate early-onset MG, and fluctuations of the disease around menstruation, pregnancy and the postpartum period reflect hormonal and immune influences on antibody activity. Pregnancy can worsen, improve or leave MG unchanged and carries a risk of neonatal MG.</w:t>
            </w:r>
          </w:p>
          <w:p>
            <w:pPr>
              <w:spacing w:after="40" w:before="60" w:line="259" w:lineRule="auto"/>
            </w:pPr>
            <w:r>
              <w:rPr>
                <w:rFonts w:ascii="Calibri" w:hAnsi="Calibri"/>
                <w:b w:val="0"/>
                <w:i w:val="0"/>
                <w:color w:val="212121"/>
                <w:sz w:val="19"/>
              </w:rPr>
              <w:t>Below 40 years the female-to-male ratio is about 3:1; MG affects women in their 20s–30s far more often than age-matched men.</w:t>
            </w:r>
          </w:p>
          <w:p>
            <w:pPr>
              <w:spacing w:after="40" w:line="252" w:lineRule="auto"/>
            </w:pPr>
            <w:hyperlink r:id="rId9">
              <w:r>
                <w:rPr>
                  <w:rFonts w:ascii="Calibri" w:hAnsi="Calibri" w:cs="Calibri"/>
                  <w:sz w:val="18"/>
                  <w:color w:val="1155CC"/>
                  <w:u w:val="single"/>
                </w:rPr>
                <w:t xml:space="preserve">rarediseaseadvisor.com — MG epidemiology (female predominance &lt; 40)</w:t>
              </w:r>
            </w:hyperlink>
          </w:p>
          <w:p>
            <w:pPr>
              <w:spacing w:before="60" w:after="40"/>
            </w:pPr>
            <w:r>
              <w:rPr>
                <w:rFonts w:ascii="Calibri" w:hAnsi="Calibri"/>
                <w:b w:val="0"/>
                <w:i w:val="0"/>
                <w:color w:val="5A5A5A"/>
                <w:sz w:val="18"/>
              </w:rPr>
              <w:t>#women  #pregnancy  #neonatalMG  #hormonal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(older adults, India)</w:t>
            </w:r>
          </w:p>
        </w:tc>
        <w:tc>
          <w:tcPr>
            <w:tcW w:type="dxa" w:w="4276"/>
            <w:vAlign w:val="top"/>
          </w:tcPr>
          <w:p>
            <w:pPr>
              <w:spacing w:after="60" w:line="259" w:lineRule="auto"/>
            </w:pPr>
            <w:r>
              <w:rPr>
                <w:rFonts w:ascii="Calibri" w:hAnsi="Calibri"/>
                <w:b w:val="0"/>
                <w:i w:val="0"/>
                <w:color w:val="212121"/>
                <w:sz w:val="19"/>
              </w:rPr>
              <w:t>In much of India the usual Western young-female predominance is reversed, with a relative excess of older men, more late-onset and thymoma-associated disease and more bulbar presentation — a pattern important for local index of suspicion.</w:t>
            </w:r>
          </w:p>
          <w:p>
            <w:pPr>
              <w:spacing w:after="40" w:before="60" w:line="259" w:lineRule="auto"/>
            </w:pPr>
            <w:r>
              <w:rPr>
                <w:rFonts w:ascii="Calibri" w:hAnsi="Calibri"/>
                <w:b w:val="0"/>
                <w:i w:val="0"/>
                <w:color w:val="212121"/>
                <w:sz w:val="19"/>
              </w:rPr>
              <w:t>Indian reviews report MG as relatively more common in males, with male onset in the sixth–seventh decade and female onset in the third decade.</w:t>
            </w:r>
          </w:p>
          <w:p>
            <w:pPr>
              <w:spacing w:after="40" w:line="252" w:lineRule="auto"/>
            </w:pPr>
            <w:hyperlink r:id="rId10">
              <w:r>
                <w:rPr>
                  <w:rFonts w:ascii="Calibri" w:hAnsi="Calibri" w:cs="Calibri"/>
                  <w:sz w:val="18"/>
                  <w:color w:val="1155CC"/>
                  <w:u w:val="single"/>
                </w:rPr>
                <w:t xml:space="preserve">Indian J Ophthalmol — ocular MG review (male predominance in India)</w:t>
              </w:r>
            </w:hyperlink>
          </w:p>
          <w:p>
            <w:pPr>
              <w:spacing w:before="60" w:after="40"/>
            </w:pPr>
            <w:r>
              <w:rPr>
                <w:rFonts w:ascii="Calibri" w:hAnsi="Calibri"/>
                <w:b w:val="0"/>
                <w:i w:val="0"/>
                <w:color w:val="5A5A5A"/>
                <w:sz w:val="18"/>
              </w:rPr>
              <w:t>#indianmen  #lateonset  #thymoma  #bulbar  #malepredominance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low health access</w:t>
            </w:r>
          </w:p>
        </w:tc>
        <w:tc>
          <w:tcPr>
            <w:tcW w:type="dxa" w:w="4276"/>
            <w:vAlign w:val="top"/>
          </w:tcPr>
          <w:p>
            <w:pPr>
              <w:spacing w:after="60" w:line="259" w:lineRule="auto"/>
            </w:pPr>
            <w:r>
              <w:rPr>
                <w:rFonts w:ascii="Calibri" w:hAnsi="Calibri"/>
                <w:b w:val="0"/>
                <w:i w:val="0"/>
                <w:color w:val="212121"/>
                <w:sz w:val="19"/>
              </w:rPr>
              <w:t>MG needs antibody testing, electrophysiology, chest imaging and long-term immunotherapy, all concentrated in tertiary centres. Poor access delays diagnosis, so patients present late with bulbar or respiratory failure, and cost limits adherence to immunosuppression and IVIG/plasma exchange.</w:t>
            </w:r>
          </w:p>
          <w:p>
            <w:pPr>
              <w:spacing w:after="40" w:before="60" w:line="259" w:lineRule="auto"/>
            </w:pPr>
            <w:r>
              <w:rPr>
                <w:rFonts w:ascii="Calibri" w:hAnsi="Calibri"/>
                <w:b w:val="0"/>
                <w:i w:val="0"/>
                <w:color w:val="212121"/>
                <w:sz w:val="19"/>
              </w:rPr>
              <w:t>An Indian series reported a median diagnostic delay of ~22 months (longer, ~28 months, in seronegative patients), with ~60% developing bulbar/respiratory symptoms before diagnosis.</w:t>
            </w:r>
          </w:p>
          <w:p>
            <w:pPr>
              <w:spacing w:after="40" w:line="252" w:lineRule="auto"/>
            </w:pPr>
            <w:hyperlink r:id="rId11">
              <w:r>
                <w:rPr>
                  <w:rFonts w:ascii="Calibri" w:hAnsi="Calibri" w:cs="Calibri"/>
                  <w:sz w:val="18"/>
                  <w:color w:val="1155CC"/>
                  <w:u w:val="single"/>
                </w:rPr>
                <w:t xml:space="preserve">PARIPEX Indian J Research — MG in India (diagnostic delay ~22 months)</w:t>
              </w:r>
            </w:hyperlink>
          </w:p>
          <w:p>
            <w:pPr>
              <w:spacing w:before="60" w:after="40"/>
            </w:pPr>
            <w:r>
              <w:rPr>
                <w:rFonts w:ascii="Calibri" w:hAnsi="Calibri"/>
                <w:b w:val="0"/>
                <w:i w:val="0"/>
                <w:color w:val="5A5A5A"/>
                <w:sz w:val="18"/>
              </w:rPr>
              <w:t>#diagnosticdelay  #ruralaccess  #tertiarycare  #costbarrier  #latepresentation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East / South Asian populations</w:t>
            </w:r>
          </w:p>
        </w:tc>
        <w:tc>
          <w:tcPr>
            <w:tcW w:type="dxa" w:w="4276"/>
            <w:vAlign w:val="top"/>
          </w:tcPr>
          <w:p>
            <w:pPr>
              <w:spacing w:after="60" w:line="259" w:lineRule="auto"/>
            </w:pPr>
            <w:r>
              <w:rPr>
                <w:rFonts w:ascii="Calibri" w:hAnsi="Calibri"/>
                <w:b w:val="0"/>
                <w:i w:val="0"/>
                <w:color w:val="212121"/>
                <w:sz w:val="19"/>
              </w:rPr>
              <w:t>Asian populations show a distinctive phenotype: a high proportion of childhood- and juvenile-onset MG that is predominantly ocular, linked to particular HLA associations, in contrast to the generalised adult-onset disease that dominates Western cohorts.</w:t>
            </w:r>
          </w:p>
          <w:p>
            <w:pPr>
              <w:spacing w:after="40" w:before="60" w:line="259" w:lineRule="auto"/>
            </w:pPr>
            <w:r>
              <w:rPr>
                <w:rFonts w:ascii="Calibri" w:hAnsi="Calibri"/>
                <w:b w:val="0"/>
                <w:i w:val="0"/>
                <w:color w:val="212121"/>
                <w:sz w:val="19"/>
              </w:rPr>
              <w:t>Asia has the highest juvenile MG prevalence (~46 per million vs ~21 per million worldwide); infantile-onset ocular MG accounts for ~80% of childhood cases in Asia versus 14–30% in the West.</w:t>
            </w:r>
          </w:p>
          <w:p>
            <w:pPr>
              <w:spacing w:after="40" w:line="252" w:lineRule="auto"/>
            </w:pPr>
            <w:hyperlink r:id="rId12">
              <w:r>
                <w:rPr>
                  <w:rFonts w:ascii="Calibri" w:hAnsi="Calibri" w:cs="Calibri"/>
                  <w:sz w:val="18"/>
                  <w:color w:val="1155CC"/>
                  <w:u w:val="single"/>
                </w:rPr>
                <w:t xml:space="preserve">Neuroepidemiology (Karger) — systematic review (juvenile MG highest in Asia)</w:t>
              </w:r>
            </w:hyperlink>
          </w:p>
          <w:p>
            <w:pPr>
              <w:spacing w:before="60" w:after="40"/>
            </w:pPr>
            <w:r>
              <w:rPr>
                <w:rFonts w:ascii="Calibri" w:hAnsi="Calibri"/>
                <w:b w:val="0"/>
                <w:i w:val="0"/>
                <w:color w:val="5A5A5A"/>
                <w:sz w:val="18"/>
              </w:rPr>
              <w:t>#asianphenotype  #juvenileMG  #ocularMG  #HLA  #childhoodonset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India (tertiary-centre cohorts)</w:t>
            </w:r>
          </w:p>
        </w:tc>
        <w:tc>
          <w:tcPr>
            <w:tcW w:type="dxa" w:w="4276"/>
            <w:vAlign w:val="top"/>
          </w:tcPr>
          <w:p>
            <w:pPr>
              <w:spacing w:after="60" w:line="259" w:lineRule="auto"/>
            </w:pPr>
            <w:r>
              <w:rPr>
                <w:rFonts w:ascii="Calibri" w:hAnsi="Calibri"/>
                <w:b w:val="0"/>
                <w:i w:val="0"/>
                <w:color w:val="212121"/>
                <w:sz w:val="19"/>
              </w:rPr>
              <w:t>Indian cohorts combine a male- and late-onset-shifted pattern, a substantial thymoma burden and long pre-diagnosis intervals, so more patients reach care with generalised or crisis-level disease than in high-income settings with earlier detection.</w:t>
            </w:r>
          </w:p>
          <w:p>
            <w:pPr>
              <w:spacing w:after="40" w:before="60" w:line="259" w:lineRule="auto"/>
            </w:pPr>
            <w:r>
              <w:rPr>
                <w:rFonts w:ascii="Calibri" w:hAnsi="Calibri"/>
                <w:b w:val="0"/>
                <w:i w:val="0"/>
                <w:color w:val="212121"/>
                <w:sz w:val="19"/>
              </w:rPr>
              <w:t>Indian series report thymoma in ~15–20% and thymic follicular hyperplasia in a majority; paediatric-onset cases form ~10–15%, slightly higher than Western cohorts.</w:t>
            </w:r>
          </w:p>
          <w:p>
            <w:pPr>
              <w:spacing w:after="40" w:line="252" w:lineRule="auto"/>
            </w:pPr>
            <w:hyperlink r:id="rId11">
              <w:r>
                <w:rPr>
                  <w:rFonts w:ascii="Calibri" w:hAnsi="Calibri" w:cs="Calibri"/>
                  <w:sz w:val="18"/>
                  <w:color w:val="1155CC"/>
                  <w:u w:val="single"/>
                </w:rPr>
                <w:t xml:space="preserve">PARIPEX Indian J Research — MG in India (thymoma 15–20%, hyperplasia ~65%)</w:t>
              </w:r>
            </w:hyperlink>
          </w:p>
          <w:p>
            <w:pPr>
              <w:spacing w:before="60" w:after="40"/>
            </w:pPr>
            <w:r>
              <w:rPr>
                <w:rFonts w:ascii="Calibri" w:hAnsi="Calibri"/>
                <w:b w:val="0"/>
                <w:i w:val="0"/>
                <w:color w:val="5A5A5A"/>
                <w:sz w:val="18"/>
              </w:rPr>
              <w:t>#india  #thymoma  #thymichyperplasia  #pediatricMG  #tertiarycohort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deconditioning</w:t>
            </w:r>
          </w:p>
        </w:tc>
        <w:tc>
          <w:tcPr>
            <w:tcW w:type="dxa" w:w="2160"/>
            <w:vAlign w:val="top"/>
          </w:tcPr>
          <w:p>
            <w:pPr>
              <w:spacing w:after="40" w:before="0" w:line="259" w:lineRule="auto"/>
            </w:pPr>
            <w:r>
              <w:rPr>
                <w:rFonts w:ascii="Calibri" w:hAnsi="Calibri"/>
                <w:b w:val="0"/>
                <w:i w:val="0"/>
                <w:color w:val="212121"/>
                <w:sz w:val="19"/>
              </w:rPr>
              <w:t>Deconditioned &amp; long-term-steroid patients</w:t>
            </w:r>
          </w:p>
        </w:tc>
        <w:tc>
          <w:tcPr>
            <w:tcW w:type="dxa" w:w="4276"/>
            <w:vAlign w:val="top"/>
          </w:tcPr>
          <w:p>
            <w:pPr>
              <w:spacing w:after="60" w:line="259" w:lineRule="auto"/>
            </w:pPr>
            <w:r>
              <w:rPr>
                <w:rFonts w:ascii="Calibri" w:hAnsi="Calibri"/>
                <w:b w:val="0"/>
                <w:i w:val="0"/>
                <w:color w:val="212121"/>
                <w:sz w:val="19"/>
              </w:rPr>
              <w:t>MG is not caused by inactivity, but prolonged inactivity and chronic corticosteroid use add a steroid (type-II fibre) myopathy and general deconditioning on top of neuromuscular weakness, compounding fatigue and reducing respiratory reserve. Carefully graded exercise in stable disease improves strength and endurance.</w:t>
            </w:r>
          </w:p>
          <w:p>
            <w:pPr>
              <w:spacing w:after="40" w:before="60" w:line="259" w:lineRule="auto"/>
            </w:pPr>
            <w:r>
              <w:rPr>
                <w:rFonts w:ascii="Calibri" w:hAnsi="Calibri"/>
                <w:b w:val="0"/>
                <w:i w:val="0"/>
                <w:color w:val="212121"/>
                <w:sz w:val="19"/>
              </w:rPr>
              <w:t>Disuse atrophy and steroid myopathy are recognised, potentially reversible contributors to weakness in chronically treated MG; supervised graded activity is beneficial once disease is stable.</w:t>
            </w:r>
          </w:p>
          <w:p>
            <w:pPr>
              <w:spacing w:before="60" w:after="40"/>
            </w:pPr>
            <w:r>
              <w:rPr>
                <w:rFonts w:ascii="Calibri" w:hAnsi="Calibri"/>
                <w:b w:val="0"/>
                <w:i w:val="0"/>
                <w:color w:val="5A5A5A"/>
                <w:sz w:val="18"/>
              </w:rPr>
              <w:t>#deconditioning  #steroidmyopathy  #gradedexercise  #respiratoryreserve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(incl. bidi)</w:t>
            </w:r>
          </w:p>
        </w:tc>
        <w:tc>
          <w:tcPr>
            <w:tcW w:type="dxa" w:w="4276"/>
            <w:vAlign w:val="top"/>
          </w:tcPr>
          <w:p>
            <w:pPr>
              <w:spacing w:after="60" w:line="259" w:lineRule="auto"/>
            </w:pPr>
            <w:r>
              <w:rPr>
                <w:rFonts w:ascii="Calibri" w:hAnsi="Calibri"/>
                <w:b w:val="0"/>
                <w:i w:val="0"/>
                <w:color w:val="212121"/>
                <w:sz w:val="19"/>
              </w:rPr>
              <w:t>Tobacco is not a primary cause of MG, but smoking impairs respiratory reserve and mucociliary clearance and raises the risk of chest infection — the single commonest trigger of myasthenic crisis — and worsens perioperative and anaesthetic risk during thymectomy.</w:t>
            </w:r>
          </w:p>
          <w:p>
            <w:pPr>
              <w:spacing w:after="40" w:before="60" w:line="259" w:lineRule="auto"/>
            </w:pPr>
            <w:r>
              <w:rPr>
                <w:rFonts w:ascii="Calibri" w:hAnsi="Calibri"/>
                <w:b w:val="0"/>
                <w:i w:val="0"/>
                <w:color w:val="212121"/>
                <w:sz w:val="19"/>
              </w:rPr>
              <w:t>Respiratory infection is the leading precipitant of myasthenic crisis; smoking-related airway disease and impaired clearance amplify that risk.</w:t>
            </w:r>
          </w:p>
          <w:p>
            <w:pPr>
              <w:spacing w:before="60" w:after="40"/>
            </w:pPr>
            <w:r>
              <w:rPr>
                <w:rFonts w:ascii="Calibri" w:hAnsi="Calibri"/>
                <w:b w:val="0"/>
                <w:i w:val="0"/>
                <w:color w:val="5A5A5A"/>
                <w:sz w:val="18"/>
              </w:rPr>
              <w:t>#smoking  #bidi  #chestinfection  #crisistrigger  #respiratoryreserve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drinkers</w:t>
            </w:r>
          </w:p>
        </w:tc>
        <w:tc>
          <w:tcPr>
            <w:tcW w:type="dxa" w:w="4276"/>
            <w:vAlign w:val="top"/>
          </w:tcPr>
          <w:p>
            <w:pPr>
              <w:spacing w:after="60" w:line="259" w:lineRule="auto"/>
            </w:pPr>
            <w:r>
              <w:rPr>
                <w:rFonts w:ascii="Calibri" w:hAnsi="Calibri"/>
                <w:b w:val="0"/>
                <w:i w:val="0"/>
                <w:color w:val="212121"/>
                <w:sz w:val="19"/>
              </w:rPr>
              <w:t>Alcohol does not cause MG but can transiently worsen weakness, impairs adherence to cholinesterase-inhibitor and immunosuppressant regimens, adds hepatotoxic and marrow-suppressive interactions with azathioprine/methotrexate, and increases aspiration risk in patients with bulbar weakness.</w:t>
            </w:r>
          </w:p>
          <w:p>
            <w:pPr>
              <w:spacing w:after="40" w:before="60" w:line="259" w:lineRule="auto"/>
            </w:pPr>
            <w:r>
              <w:rPr>
                <w:rFonts w:ascii="Calibri" w:hAnsi="Calibri"/>
                <w:b w:val="0"/>
                <w:i w:val="0"/>
                <w:color w:val="212121"/>
                <w:sz w:val="19"/>
              </w:rPr>
              <w:t>Alcohol excess interacts adversely with immunosuppressive therapy (hepatic and marrow toxicity) and heightens aspiration risk in bulbar MG.</w:t>
            </w:r>
          </w:p>
          <w:p>
            <w:pPr>
              <w:spacing w:before="60" w:after="40"/>
            </w:pPr>
            <w:r>
              <w:rPr>
                <w:rFonts w:ascii="Calibri" w:hAnsi="Calibri"/>
                <w:b w:val="0"/>
                <w:i w:val="0"/>
                <w:color w:val="5A5A5A"/>
                <w:sz w:val="18"/>
              </w:rPr>
              <w:t>#alcohol  #adherence  #hepatotoxicity  #aspiration  #druginteraction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on corticosteroids</w:t>
            </w:r>
          </w:p>
        </w:tc>
        <w:tc>
          <w:tcPr>
            <w:tcW w:type="dxa" w:w="4276"/>
            <w:vAlign w:val="top"/>
          </w:tcPr>
          <w:p>
            <w:pPr>
              <w:spacing w:after="60" w:line="259" w:lineRule="auto"/>
            </w:pPr>
            <w:r>
              <w:rPr>
                <w:rFonts w:ascii="Calibri" w:hAnsi="Calibri"/>
                <w:b w:val="0"/>
                <w:i w:val="0"/>
                <w:color w:val="212121"/>
                <w:sz w:val="19"/>
              </w:rPr>
              <w:t>Corticosteroids — a mainstay of MG therapy — commonly cause weight gain, central obesity, hyperglycaemia and hypertension; excess weight reduces chest-wall compliance and respiratory reserve, worsening dyspnoea and complicating recovery from crisis.</w:t>
            </w:r>
          </w:p>
          <w:p>
            <w:pPr>
              <w:spacing w:after="40" w:before="60" w:line="259" w:lineRule="auto"/>
            </w:pPr>
            <w:r>
              <w:rPr>
                <w:rFonts w:ascii="Calibri" w:hAnsi="Calibri"/>
                <w:b w:val="0"/>
                <w:i w:val="0"/>
                <w:color w:val="212121"/>
                <w:sz w:val="19"/>
              </w:rPr>
              <w:t>Steroid-related weight gain and metabolic effects are among the commonest treatment burdens in MG and add cardiometabolic risk on top of the disease.</w:t>
            </w:r>
          </w:p>
          <w:p>
            <w:pPr>
              <w:spacing w:before="60" w:after="40"/>
            </w:pPr>
            <w:r>
              <w:rPr>
                <w:rFonts w:ascii="Calibri" w:hAnsi="Calibri"/>
                <w:b w:val="0"/>
                <w:i w:val="0"/>
                <w:color w:val="5A5A5A"/>
                <w:sz w:val="18"/>
              </w:rPr>
              <w:t>#steroidweightgain  #centralobesity  #respiratoryreserve  #cardiometabolic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patients / obstructive sleep apnoea</w:t>
            </w:r>
          </w:p>
        </w:tc>
        <w:tc>
          <w:tcPr>
            <w:tcW w:type="dxa" w:w="4276"/>
            <w:vAlign w:val="top"/>
          </w:tcPr>
          <w:p>
            <w:pPr>
              <w:spacing w:after="60" w:line="259" w:lineRule="auto"/>
            </w:pPr>
            <w:r>
              <w:rPr>
                <w:rFonts w:ascii="Calibri" w:hAnsi="Calibri"/>
                <w:b w:val="0"/>
                <w:i w:val="0"/>
                <w:color w:val="212121"/>
                <w:sz w:val="19"/>
              </w:rPr>
              <w:t>Obesity and obstructive sleep apnoea coexist frequently, both reduce ventilatory reserve and nocturnal oxygenation, and their symptoms (daytime fatigue, morning headache) overlap with and can mask worsening respiratory MG, delaying recognition of impending crisis.</w:t>
            </w:r>
          </w:p>
          <w:p>
            <w:pPr>
              <w:spacing w:after="40" w:before="60" w:line="259" w:lineRule="auto"/>
            </w:pPr>
            <w:r>
              <w:rPr>
                <w:rFonts w:ascii="Calibri" w:hAnsi="Calibri"/>
                <w:b w:val="0"/>
                <w:i w:val="0"/>
                <w:color w:val="212121"/>
                <w:sz w:val="19"/>
              </w:rPr>
              <w:t>Reduced respiratory reserve from obesity/OSA compounds diaphragmatic weakness and raises the threat of ventilatory failure in generalised MG.</w:t>
            </w:r>
          </w:p>
          <w:p>
            <w:pPr>
              <w:spacing w:before="60" w:after="40"/>
            </w:pPr>
            <w:r>
              <w:rPr>
                <w:rFonts w:ascii="Calibri" w:hAnsi="Calibri"/>
                <w:b w:val="0"/>
                <w:i w:val="0"/>
                <w:color w:val="5A5A5A"/>
                <w:sz w:val="18"/>
              </w:rPr>
              <w:t>#obesity  #OSA  #ventilatoryfailure  #nocturnalhypoventilation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 / texture</w:t>
            </w:r>
          </w:p>
        </w:tc>
        <w:tc>
          <w:tcPr>
            <w:tcW w:type="dxa" w:w="2160"/>
            <w:vAlign w:val="top"/>
          </w:tcPr>
          <w:p>
            <w:pPr>
              <w:spacing w:after="40" w:before="0" w:line="259" w:lineRule="auto"/>
            </w:pPr>
            <w:r>
              <w:rPr>
                <w:rFonts w:ascii="Calibri" w:hAnsi="Calibri"/>
                <w:b w:val="0"/>
                <w:i w:val="0"/>
                <w:color w:val="212121"/>
                <w:sz w:val="19"/>
              </w:rPr>
              <w:t>Patients with bulbar weakness</w:t>
            </w:r>
          </w:p>
        </w:tc>
        <w:tc>
          <w:tcPr>
            <w:tcW w:type="dxa" w:w="4276"/>
            <w:vAlign w:val="top"/>
          </w:tcPr>
          <w:p>
            <w:pPr>
              <w:spacing w:after="60" w:line="259" w:lineRule="auto"/>
            </w:pPr>
            <w:r>
              <w:rPr>
                <w:rFonts w:ascii="Calibri" w:hAnsi="Calibri"/>
                <w:b w:val="0"/>
                <w:i w:val="0"/>
                <w:color w:val="212121"/>
                <w:sz w:val="19"/>
              </w:rPr>
              <w:t>Diet is not causal, but chewing and swallowing muscles fatigue during a meal, so large, hard or hurried meals provoke choking and aspiration; texture-modified diets, small frequent meals and timing food to peak pyridostigmine effect reduce this risk. Steroid therapy also demands a low-salt, low-sugar, calcium/vitamin-D-adequate diet.</w:t>
            </w:r>
          </w:p>
          <w:p>
            <w:pPr>
              <w:spacing w:after="40" w:before="60" w:line="259" w:lineRule="auto"/>
            </w:pPr>
            <w:r>
              <w:rPr>
                <w:rFonts w:ascii="Calibri" w:hAnsi="Calibri"/>
                <w:b w:val="0"/>
                <w:i w:val="0"/>
                <w:color w:val="212121"/>
                <w:sz w:val="19"/>
              </w:rPr>
              <w:t>Bulbar palsy affects a substantial minority of Indian MG patients (~30–40% in one series), making aspiration and weight loss important nutritional concerns.</w:t>
            </w:r>
          </w:p>
          <w:p>
            <w:pPr>
              <w:spacing w:after="40" w:line="252" w:lineRule="auto"/>
            </w:pPr>
            <w:hyperlink r:id="rId11">
              <w:r>
                <w:rPr>
                  <w:rFonts w:ascii="Calibri" w:hAnsi="Calibri" w:cs="Calibri"/>
                  <w:sz w:val="18"/>
                  <w:color w:val="1155CC"/>
                  <w:u w:val="single"/>
                </w:rPr>
                <w:t xml:space="preserve">PARIPEX Indian J Research — MG in India (bulbar palsy 30–40%)</w:t>
              </w:r>
            </w:hyperlink>
          </w:p>
          <w:p>
            <w:pPr>
              <w:spacing w:before="60" w:after="40"/>
            </w:pPr>
            <w:r>
              <w:rPr>
                <w:rFonts w:ascii="Calibri" w:hAnsi="Calibri"/>
                <w:b w:val="0"/>
                <w:i w:val="0"/>
                <w:color w:val="5A5A5A"/>
                <w:sz w:val="18"/>
              </w:rPr>
              <w:t>#dysphagia  #aspiration  #texturemodified  #pyridostigminetiming  #steroiddiet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autoimmunity</w:t>
            </w:r>
          </w:p>
        </w:tc>
        <w:tc>
          <w:tcPr>
            <w:tcW w:type="dxa" w:w="2160"/>
            <w:vAlign w:val="top"/>
          </w:tcPr>
          <w:p>
            <w:pPr>
              <w:spacing w:after="40" w:before="0" w:line="259" w:lineRule="auto"/>
            </w:pPr>
            <w:r>
              <w:rPr>
                <w:rFonts w:ascii="Calibri" w:hAnsi="Calibri"/>
                <w:b w:val="0"/>
                <w:i w:val="0"/>
                <w:color w:val="212121"/>
                <w:sz w:val="19"/>
              </w:rPr>
              <w:t>Relatives with MG or other autoimmune disease</w:t>
            </w:r>
          </w:p>
        </w:tc>
        <w:tc>
          <w:tcPr>
            <w:tcW w:type="dxa" w:w="4276"/>
            <w:vAlign w:val="top"/>
          </w:tcPr>
          <w:p>
            <w:pPr>
              <w:spacing w:after="60" w:line="259" w:lineRule="auto"/>
            </w:pPr>
            <w:r>
              <w:rPr>
                <w:rFonts w:ascii="Calibri" w:hAnsi="Calibri"/>
                <w:b w:val="0"/>
                <w:i w:val="0"/>
                <w:color w:val="212121"/>
                <w:sz w:val="19"/>
              </w:rPr>
              <w:t>MG is usually sporadic, but a family history of MG or of other autoimmune disease (thyroid disease, type 1 diabetes, rheumatoid arthritis, SLE) reflects shared, heritable immune dysregulation and modestly raises risk; rare familial and congenital myasthenic syndromes are distinct entities.</w:t>
            </w:r>
          </w:p>
          <w:p>
            <w:pPr>
              <w:spacing w:after="40" w:before="60" w:line="259" w:lineRule="auto"/>
            </w:pPr>
            <w:r>
              <w:rPr>
                <w:rFonts w:ascii="Calibri" w:hAnsi="Calibri"/>
                <w:b w:val="0"/>
                <w:i w:val="0"/>
                <w:color w:val="212121"/>
                <w:sz w:val="19"/>
              </w:rPr>
              <w:t>Clustering of MG with other autoimmune disorders in patients and families points to a common genetic tendency to loss of self-tolerance.</w:t>
            </w:r>
          </w:p>
          <w:p>
            <w:pPr>
              <w:spacing w:before="60" w:after="40"/>
            </w:pPr>
            <w:r>
              <w:rPr>
                <w:rFonts w:ascii="Calibri" w:hAnsi="Calibri"/>
                <w:b w:val="0"/>
                <w:i w:val="0"/>
                <w:color w:val="5A5A5A"/>
                <w:sz w:val="18"/>
              </w:rPr>
              <w:t>#familyhistory  #autoimmunity  #selftolerance  #polyautoimmunity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genotype</w:t>
            </w:r>
          </w:p>
        </w:tc>
        <w:tc>
          <w:tcPr>
            <w:tcW w:type="dxa" w:w="2160"/>
            <w:vAlign w:val="top"/>
          </w:tcPr>
          <w:p>
            <w:pPr>
              <w:spacing w:after="40" w:before="0" w:line="259" w:lineRule="auto"/>
            </w:pPr>
            <w:r>
              <w:rPr>
                <w:rFonts w:ascii="Calibri" w:hAnsi="Calibri"/>
                <w:b w:val="0"/>
                <w:i w:val="0"/>
                <w:color w:val="212121"/>
                <w:sz w:val="19"/>
              </w:rPr>
              <w:t>HLA-B8 / DR3 (early-onset) carriers</w:t>
            </w:r>
          </w:p>
        </w:tc>
        <w:tc>
          <w:tcPr>
            <w:tcW w:type="dxa" w:w="4276"/>
            <w:vAlign w:val="top"/>
          </w:tcPr>
          <w:p>
            <w:pPr>
              <w:spacing w:after="60" w:line="259" w:lineRule="auto"/>
            </w:pPr>
            <w:r>
              <w:rPr>
                <w:rFonts w:ascii="Calibri" w:hAnsi="Calibri"/>
                <w:b w:val="0"/>
                <w:i w:val="0"/>
                <w:color w:val="212121"/>
                <w:sz w:val="19"/>
              </w:rPr>
              <w:t>Specific HLA haplotypes shape susceptibility and phenotype: HLA-B8/DR3 is linked to early-onset, thymic-hyperplastic, AChR-positive disease in young women, while other alleles associate with late-onset and MuSK-positive forms, and distinct HLA links underlie the Asian juvenile ocular phenotype.</w:t>
            </w:r>
          </w:p>
          <w:p>
            <w:pPr>
              <w:spacing w:after="40" w:before="60" w:line="259" w:lineRule="auto"/>
            </w:pPr>
            <w:r>
              <w:rPr>
                <w:rFonts w:ascii="Calibri" w:hAnsi="Calibri"/>
                <w:b w:val="0"/>
                <w:i w:val="0"/>
                <w:color w:val="212121"/>
                <w:sz w:val="19"/>
              </w:rPr>
              <w:t>HLA-B8/DR3 is a well-established susceptibility haplotype for early-onset AChR-positive MG.</w:t>
            </w:r>
          </w:p>
          <w:p>
            <w:pPr>
              <w:spacing w:before="60" w:after="40"/>
            </w:pPr>
            <w:r>
              <w:rPr>
                <w:rFonts w:ascii="Calibri" w:hAnsi="Calibri"/>
                <w:b w:val="0"/>
                <w:i w:val="0"/>
                <w:color w:val="5A5A5A"/>
                <w:sz w:val="18"/>
              </w:rPr>
              <w:t>#HLAB8  #HLADR3  #earlyonset  #geneticrisk  #thymichyperplasia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MG with Graves / Hashimoto disease</w:t>
            </w:r>
          </w:p>
        </w:tc>
        <w:tc>
          <w:tcPr>
            <w:tcW w:type="dxa" w:w="4276"/>
            <w:vAlign w:val="top"/>
          </w:tcPr>
          <w:p>
            <w:pPr>
              <w:spacing w:after="60" w:line="259" w:lineRule="auto"/>
            </w:pPr>
            <w:r>
              <w:rPr>
                <w:rFonts w:ascii="Calibri" w:hAnsi="Calibri"/>
                <w:b w:val="0"/>
                <w:i w:val="0"/>
                <w:color w:val="212121"/>
                <w:sz w:val="19"/>
              </w:rPr>
              <w:t>Autoimmune thyroid disease is the commonest co-existing autoimmune condition in MG; shared immune mechanisms link the two, and thyroid dysfunction (hyper- or hypothyroid) can itself worsen muscle weakness and confound assessment, so thyroid screening is routine.</w:t>
            </w:r>
          </w:p>
          <w:p>
            <w:pPr>
              <w:spacing w:after="40" w:before="60" w:line="259" w:lineRule="auto"/>
            </w:pPr>
            <w:r>
              <w:rPr>
                <w:rFonts w:ascii="Calibri" w:hAnsi="Calibri"/>
                <w:b w:val="0"/>
                <w:i w:val="0"/>
                <w:color w:val="212121"/>
                <w:sz w:val="19"/>
              </w:rPr>
              <w:t>About 18% of people with MG also have thyroid disease versus ~4% without, and MG patients are ~2.4× more likely to develop thyroid disease.</w:t>
            </w:r>
          </w:p>
          <w:p>
            <w:pPr>
              <w:spacing w:after="40" w:line="252" w:lineRule="auto"/>
            </w:pPr>
            <w:hyperlink r:id="rId13">
              <w:r>
                <w:rPr>
                  <w:rFonts w:ascii="Calibri" w:hAnsi="Calibri" w:cs="Calibri"/>
                  <w:sz w:val="18"/>
                  <w:color w:val="1155CC"/>
                  <w:u w:val="single"/>
                </w:rPr>
                <w:t xml:space="preserve">mgteam.com — conditions related to MG (thyroid disease 18.4%)</w:t>
              </w:r>
            </w:hyperlink>
          </w:p>
          <w:p>
            <w:pPr>
              <w:spacing w:before="60" w:after="40"/>
            </w:pPr>
            <w:r>
              <w:rPr>
                <w:rFonts w:ascii="Calibri" w:hAnsi="Calibri"/>
                <w:b w:val="0"/>
                <w:i w:val="0"/>
                <w:color w:val="5A5A5A"/>
                <w:sz w:val="18"/>
              </w:rPr>
              <w:t>#thyroid  #graves  #hashimoto  #autoimmune  #sharedmechanism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Thymoma</w:t>
            </w:r>
          </w:p>
        </w:tc>
        <w:tc>
          <w:tcPr>
            <w:tcW w:type="dxa" w:w="2160"/>
            <w:vAlign w:val="top"/>
          </w:tcPr>
          <w:p>
            <w:pPr>
              <w:spacing w:after="40" w:before="0" w:line="259" w:lineRule="auto"/>
            </w:pPr>
            <w:r>
              <w:rPr>
                <w:rFonts w:ascii="Calibri" w:hAnsi="Calibri"/>
                <w:b w:val="0"/>
                <w:i w:val="0"/>
                <w:color w:val="212121"/>
                <w:sz w:val="19"/>
              </w:rPr>
              <w:t>Thymoma-associated (paraneoplastic) MG</w:t>
            </w:r>
          </w:p>
        </w:tc>
        <w:tc>
          <w:tcPr>
            <w:tcW w:type="dxa" w:w="4276"/>
            <w:vAlign w:val="top"/>
          </w:tcPr>
          <w:p>
            <w:pPr>
              <w:spacing w:after="60" w:line="259" w:lineRule="auto"/>
            </w:pPr>
            <w:r>
              <w:rPr>
                <w:rFonts w:ascii="Calibri" w:hAnsi="Calibri"/>
                <w:b w:val="0"/>
                <w:i w:val="0"/>
                <w:color w:val="212121"/>
                <w:sz w:val="19"/>
              </w:rPr>
              <w:t>A thymic tumour drives autoantibody production against the acetylcholine receptor and related muscle antigens; thymoma-associated MG tends to be generalised and AChR-positive, mandates chest imaging in every patient, and is an indication for thymectomy.</w:t>
            </w:r>
          </w:p>
          <w:p>
            <w:pPr>
              <w:spacing w:after="40" w:before="60" w:line="259" w:lineRule="auto"/>
            </w:pPr>
            <w:r>
              <w:rPr>
                <w:rFonts w:ascii="Calibri" w:hAnsi="Calibri"/>
                <w:b w:val="0"/>
                <w:i w:val="0"/>
                <w:color w:val="212121"/>
                <w:sz w:val="19"/>
              </w:rPr>
              <w:t>Thymoma is present in ~10–15% of MG patients, and conversely 15–40% of people with a thymoma have MG.</w:t>
            </w:r>
          </w:p>
          <w:p>
            <w:pPr>
              <w:spacing w:after="40" w:line="252" w:lineRule="auto"/>
            </w:pPr>
            <w:hyperlink r:id="rId13">
              <w:r>
                <w:rPr>
                  <w:rFonts w:ascii="Calibri" w:hAnsi="Calibri" w:cs="Calibri"/>
                  <w:sz w:val="18"/>
                  <w:color w:val="1155CC"/>
                  <w:u w:val="single"/>
                </w:rPr>
                <w:t xml:space="preserve">mgteam.com — conditions related to MG (thymoma 10–15%)</w:t>
              </w:r>
            </w:hyperlink>
          </w:p>
          <w:p>
            <w:pPr>
              <w:spacing w:before="60" w:after="40"/>
            </w:pPr>
            <w:r>
              <w:rPr>
                <w:rFonts w:ascii="Calibri" w:hAnsi="Calibri"/>
                <w:b w:val="0"/>
                <w:i w:val="0"/>
                <w:color w:val="5A5A5A"/>
                <w:sz w:val="18"/>
              </w:rPr>
              <w:t>#thymoma  #paraneoplastic  #thymectomy  #chestCT  #AChRpositive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autoimmune disease</w:t>
            </w:r>
          </w:p>
        </w:tc>
        <w:tc>
          <w:tcPr>
            <w:tcW w:type="dxa" w:w="2160"/>
            <w:vAlign w:val="top"/>
          </w:tcPr>
          <w:p>
            <w:pPr>
              <w:spacing w:after="40" w:before="0" w:line="259" w:lineRule="auto"/>
            </w:pPr>
            <w:r>
              <w:rPr>
                <w:rFonts w:ascii="Calibri" w:hAnsi="Calibri"/>
                <w:b w:val="0"/>
                <w:i w:val="0"/>
                <w:color w:val="212121"/>
                <w:sz w:val="19"/>
              </w:rPr>
              <w:t>MG with rheumatoid arthritis / SLE</w:t>
            </w:r>
          </w:p>
        </w:tc>
        <w:tc>
          <w:tcPr>
            <w:tcW w:type="dxa" w:w="4276"/>
            <w:vAlign w:val="top"/>
          </w:tcPr>
          <w:p>
            <w:pPr>
              <w:spacing w:after="60" w:line="259" w:lineRule="auto"/>
            </w:pPr>
            <w:r>
              <w:rPr>
                <w:rFonts w:ascii="Calibri" w:hAnsi="Calibri"/>
                <w:b w:val="0"/>
                <w:i w:val="0"/>
                <w:color w:val="212121"/>
                <w:sz w:val="19"/>
              </w:rPr>
              <w:t>MG co-occurs with systemic autoimmune diseases more often than expected by chance, reflecting a shared predisposition to autoimmunity; their coexistence complicates immunosuppressive management and interpretation of overlapping symptoms such as fatigue and weakness.</w:t>
            </w:r>
          </w:p>
          <w:p>
            <w:pPr>
              <w:spacing w:after="40" w:before="60" w:line="259" w:lineRule="auto"/>
            </w:pPr>
            <w:r>
              <w:rPr>
                <w:rFonts w:ascii="Calibri" w:hAnsi="Calibri"/>
                <w:b w:val="0"/>
                <w:i w:val="0"/>
                <w:color w:val="212121"/>
                <w:sz w:val="19"/>
              </w:rPr>
              <w:t>Roughly 1–4% of MG patients have rheumatoid arthritis, and SLE patients develop MG about ten-fold more often than the general population.</w:t>
            </w:r>
          </w:p>
          <w:p>
            <w:pPr>
              <w:spacing w:after="40" w:line="252" w:lineRule="auto"/>
            </w:pPr>
            <w:hyperlink r:id="rId13">
              <w:r>
                <w:rPr>
                  <w:rFonts w:ascii="Calibri" w:hAnsi="Calibri" w:cs="Calibri"/>
                  <w:sz w:val="18"/>
                  <w:color w:val="1155CC"/>
                  <w:u w:val="single"/>
                </w:rPr>
                <w:t xml:space="preserve">mgteam.com — conditions related to MG (RA 1–4%, SLE)</w:t>
              </w:r>
            </w:hyperlink>
          </w:p>
          <w:p>
            <w:pPr>
              <w:spacing w:before="60" w:after="40"/>
            </w:pPr>
            <w:r>
              <w:rPr>
                <w:rFonts w:ascii="Calibri" w:hAnsi="Calibri"/>
                <w:b w:val="0"/>
                <w:i w:val="0"/>
                <w:color w:val="5A5A5A"/>
                <w:sz w:val="18"/>
              </w:rPr>
              <w:t>#rheumatoidarthritis  #lupus  #polyautoimmunity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Steroid-related morbidity</w:t>
            </w:r>
          </w:p>
        </w:tc>
        <w:tc>
          <w:tcPr>
            <w:tcW w:type="dxa" w:w="2160"/>
            <w:vAlign w:val="top"/>
          </w:tcPr>
          <w:p>
            <w:pPr>
              <w:spacing w:after="40" w:before="0" w:line="259" w:lineRule="auto"/>
            </w:pPr>
            <w:r>
              <w:rPr>
                <w:rFonts w:ascii="Calibri" w:hAnsi="Calibri"/>
                <w:b w:val="0"/>
                <w:i w:val="0"/>
                <w:color w:val="212121"/>
                <w:sz w:val="19"/>
              </w:rPr>
              <w:t>Long-term corticosteroid / immunosuppression</w:t>
            </w:r>
          </w:p>
        </w:tc>
        <w:tc>
          <w:tcPr>
            <w:tcW w:type="dxa" w:w="4276"/>
            <w:vAlign w:val="top"/>
          </w:tcPr>
          <w:p>
            <w:pPr>
              <w:spacing w:after="60" w:line="259" w:lineRule="auto"/>
            </w:pPr>
            <w:r>
              <w:rPr>
                <w:rFonts w:ascii="Calibri" w:hAnsi="Calibri"/>
                <w:b w:val="0"/>
                <w:i w:val="0"/>
                <w:color w:val="212121"/>
                <w:sz w:val="19"/>
              </w:rPr>
              <w:t>Prolonged corticosteroids and steroid-sparing immunosuppressants (azathioprine, mycophenolate, methotrexate) cause osteoporosis, hyperglycaemia/steroid diabetes, hypertension, cataract and heightened infection risk — complications of treatment that must be actively prevented and monitored, especially infection, which can also trigger crisis.</w:t>
            </w:r>
          </w:p>
          <w:p>
            <w:pPr>
              <w:spacing w:after="40" w:before="60" w:line="259" w:lineRule="auto"/>
            </w:pPr>
            <w:r>
              <w:rPr>
                <w:rFonts w:ascii="Calibri" w:hAnsi="Calibri"/>
                <w:b w:val="0"/>
                <w:i w:val="0"/>
                <w:color w:val="212121"/>
                <w:sz w:val="19"/>
              </w:rPr>
              <w:t>Osteoporosis, steroid-induced diabetes and opportunistic infection are recognised long-term consequences of the immunosuppressive therapy used to control MG.</w:t>
            </w:r>
          </w:p>
          <w:p>
            <w:pPr>
              <w:spacing w:before="60" w:after="40"/>
            </w:pPr>
            <w:r>
              <w:rPr>
                <w:rFonts w:ascii="Calibri" w:hAnsi="Calibri"/>
                <w:b w:val="0"/>
                <w:i w:val="0"/>
                <w:color w:val="5A5A5A"/>
                <w:sz w:val="18"/>
              </w:rPr>
              <w:t>#osteoporosis  #steroiddiabetes  #immunosuppression  #infectionrisk  #treatmentburden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Activity has a dual role: sustained or vigorous exertion transiently worsens weakness (fatigability is the disease hallmark), yet chronic inactivity and steroid myopathy cause deconditioning. Supervised, graded aerobic and resistance exercise in stable disease safely improves strength, endurance and quality of life, so pacing and energy conservation are key.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does not cause MG but strongly affects safety and treatment: bulbar weakness makes chewing/swallowing fatigue and aspiration a risk, favouring small, soft, frequent meals timed to peak pyridostigmine effect; corticosteroid therapy requires low-salt, low-refined-sugar, calcium- and vitamin-D-adequate eating.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Fatigue and weakness are typically worst in the evening and after exertion; poor or insufficient sleep aggravates fatigue, and nocturnal hypoventilation or coexisting sleep apnoea can herald respiratory compromise, so rest and sleep quality materially influence day-to-day function.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does not cause MG but impairs respiratory reserve and mucociliary clearance, raises the risk of the chest infections that most often precipitate myasthenic crisis, and worsens perioperative risk at thymectomy; cessation is strongly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causal but can transiently worsen weakness, undermine medication adherence, add hepatic/marrow toxicity with azathioprine or methotrexate, and increase aspiration risk in bulbar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Emotional stress is a recognised precipitant of symptom flares and crisis, and chronic, fluctuating disabling weakness commonly causes anxiety and depression; psychological well-being and stress management measurably influence disease course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well-being and safe swallowing and offsets fluid loss with fever, but there is no direct evidence that water intake alters MG activity; extremes of dehydration should be avoided, especially with bulbar weakness.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may transiently lessen the perception of fatigue but has no established effect on neuromuscular transmission or disease course; excess can worsen tremor, anxiety and sleep.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Infection prevention is disproportionately important because respiratory and other infections are the leading trigger of myasthenic crisis; hand hygiene, oral and respiratory hygiene, timely vaccination and prompt treatment of infection reduce crisis risk, particularly in immunosuppressed patients.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Well-defined precipitants abruptly worsen MG: infection, fever and heat, physical or emotional stress, surgery and anaesthesia, pregnancy and the postpartum period, missed or tapered immunosuppression, and many aggravating drugs (aminoglycosides, fluoroquinolones, macrolides, beta-blockers, calcium-channel blockers, magnesium, quinine, iodinated contrast, checkpoint inhibitors, D-penicillamine).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Weakness is position- and activity-dependent: ptosis and diplopia worsen with sustained up-gaze, neck-extensor fatigue causes ‘head drop’, and lying flat can worsen orthopnoea when the diaphragm is weak; positioning, head support and rest of specific muscle groups help function and safe swallowing.</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Forced vital capacity (FVC)</w:t>
            </w:r>
          </w:p>
        </w:tc>
        <w:tc>
          <w:tcPr>
            <w:tcW w:type="dxa" w:w="1655"/>
            <w:vAlign w:val="top"/>
          </w:tcPr>
          <w:p>
            <w:pPr>
              <w:spacing w:after="40" w:before="0" w:line="259" w:lineRule="auto"/>
            </w:pPr>
            <w:r>
              <w:rPr>
                <w:rFonts w:ascii="Calibri" w:hAnsi="Calibri"/>
                <w:b w:val="0"/>
                <w:i w:val="0"/>
                <w:color w:val="212121"/>
                <w:sz w:val="19"/>
              </w:rPr>
              <w:t>Generalised/bulbar MG, crisis watch</w:t>
            </w:r>
          </w:p>
        </w:tc>
        <w:tc>
          <w:tcPr>
            <w:tcW w:type="dxa" w:w="1512"/>
            <w:vAlign w:val="top"/>
          </w:tcPr>
          <w:p>
            <w:pPr>
              <w:spacing w:after="40" w:before="0" w:line="259" w:lineRule="auto"/>
            </w:pPr>
            <w:r>
              <w:rPr>
                <w:rFonts w:ascii="Calibri" w:hAnsi="Calibri"/>
                <w:b w:val="0"/>
                <w:i w:val="0"/>
                <w:color w:val="212121"/>
                <w:sz w:val="19"/>
              </w:rPr>
              <w:t>≥ 60 mL/kg (or normal predicted)</w:t>
            </w:r>
          </w:p>
        </w:tc>
        <w:tc>
          <w:tcPr>
            <w:tcW w:type="dxa" w:w="1512"/>
            <w:vAlign w:val="top"/>
          </w:tcPr>
          <w:p>
            <w:pPr>
              <w:spacing w:after="40" w:before="0" w:line="259" w:lineRule="auto"/>
            </w:pPr>
            <w:r>
              <w:rPr>
                <w:rFonts w:ascii="Calibri" w:hAnsi="Calibri"/>
                <w:b w:val="0"/>
                <w:i w:val="0"/>
                <w:color w:val="212121"/>
                <w:sz w:val="19"/>
              </w:rPr>
              <w:t>&lt; 15–20 mL/kg (or &lt; 1 L) — impending crisis</w:t>
            </w:r>
          </w:p>
        </w:tc>
        <w:tc>
          <w:tcPr>
            <w:tcW w:type="dxa" w:w="1468"/>
            <w:vAlign w:val="top"/>
          </w:tcPr>
          <w:p>
            <w:pPr>
              <w:spacing w:after="40" w:before="0" w:line="259" w:lineRule="auto"/>
            </w:pPr>
            <w:r>
              <w:rPr>
                <w:rFonts w:ascii="Calibri" w:hAnsi="Calibri"/>
                <w:b w:val="0"/>
                <w:i w:val="0"/>
                <w:color w:val="212121"/>
                <w:sz w:val="19"/>
              </w:rPr>
              <w:t>Falling FVC signals ventilatory failure; trend at the bedside in worsening disease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Single-breath count</w:t>
            </w:r>
          </w:p>
        </w:tc>
        <w:tc>
          <w:tcPr>
            <w:tcW w:type="dxa" w:w="1655"/>
            <w:vAlign w:val="top"/>
          </w:tcPr>
          <w:p>
            <w:pPr>
              <w:spacing w:after="40" w:before="0" w:line="259" w:lineRule="auto"/>
            </w:pPr>
            <w:r>
              <w:rPr>
                <w:rFonts w:ascii="Calibri" w:hAnsi="Calibri"/>
                <w:b w:val="0"/>
                <w:i w:val="0"/>
                <w:color w:val="212121"/>
                <w:sz w:val="19"/>
              </w:rPr>
              <w:t>Bulbar/respiratory MG</w:t>
            </w:r>
          </w:p>
        </w:tc>
        <w:tc>
          <w:tcPr>
            <w:tcW w:type="dxa" w:w="1512"/>
            <w:vAlign w:val="top"/>
          </w:tcPr>
          <w:p>
            <w:pPr>
              <w:spacing w:after="40" w:before="0" w:line="259" w:lineRule="auto"/>
            </w:pPr>
            <w:r>
              <w:rPr>
                <w:rFonts w:ascii="Calibri" w:hAnsi="Calibri"/>
                <w:b w:val="0"/>
                <w:i w:val="0"/>
                <w:color w:val="212121"/>
                <w:sz w:val="19"/>
              </w:rPr>
              <w:t>≥ 40–50 in one breath</w:t>
            </w:r>
          </w:p>
        </w:tc>
        <w:tc>
          <w:tcPr>
            <w:tcW w:type="dxa" w:w="1512"/>
            <w:vAlign w:val="top"/>
          </w:tcPr>
          <w:p>
            <w:pPr>
              <w:spacing w:after="40" w:before="0" w:line="259" w:lineRule="auto"/>
            </w:pPr>
            <w:r>
              <w:rPr>
                <w:rFonts w:ascii="Calibri" w:hAnsi="Calibri"/>
                <w:b w:val="0"/>
                <w:i w:val="0"/>
                <w:color w:val="212121"/>
                <w:sz w:val="19"/>
              </w:rPr>
              <w:t>&lt; 20 in one breath</w:t>
            </w:r>
          </w:p>
        </w:tc>
        <w:tc>
          <w:tcPr>
            <w:tcW w:type="dxa" w:w="1468"/>
            <w:vAlign w:val="top"/>
          </w:tcPr>
          <w:p>
            <w:pPr>
              <w:spacing w:after="40" w:before="0" w:line="259" w:lineRule="auto"/>
            </w:pPr>
            <w:r>
              <w:rPr>
                <w:rFonts w:ascii="Calibri" w:hAnsi="Calibri"/>
                <w:b w:val="0"/>
                <w:i w:val="0"/>
                <w:color w:val="212121"/>
                <w:sz w:val="19"/>
              </w:rPr>
              <w:t>Simple bedside proxy for vital capacity and respiratory reserve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Negative inspiratory force (NIF/MIP)</w:t>
            </w:r>
          </w:p>
        </w:tc>
        <w:tc>
          <w:tcPr>
            <w:tcW w:type="dxa" w:w="1655"/>
            <w:vAlign w:val="top"/>
          </w:tcPr>
          <w:p>
            <w:pPr>
              <w:spacing w:after="40" w:before="0" w:line="259" w:lineRule="auto"/>
            </w:pPr>
            <w:r>
              <w:rPr>
                <w:rFonts w:ascii="Calibri" w:hAnsi="Calibri"/>
                <w:b w:val="0"/>
                <w:i w:val="0"/>
                <w:color w:val="212121"/>
                <w:sz w:val="19"/>
              </w:rPr>
              <w:t>Crisis monitoring</w:t>
            </w:r>
          </w:p>
        </w:tc>
        <w:tc>
          <w:tcPr>
            <w:tcW w:type="dxa" w:w="1512"/>
            <w:vAlign w:val="top"/>
          </w:tcPr>
          <w:p>
            <w:pPr>
              <w:spacing w:after="40" w:before="0" w:line="259" w:lineRule="auto"/>
            </w:pPr>
            <w:r>
              <w:rPr>
                <w:rFonts w:ascii="Calibri" w:hAnsi="Calibri"/>
                <w:b w:val="0"/>
                <w:i w:val="0"/>
                <w:color w:val="212121"/>
                <w:sz w:val="19"/>
              </w:rPr>
              <w:t>more negative than −60 cmH2O</w:t>
            </w:r>
          </w:p>
        </w:tc>
        <w:tc>
          <w:tcPr>
            <w:tcW w:type="dxa" w:w="1512"/>
            <w:vAlign w:val="top"/>
          </w:tcPr>
          <w:p>
            <w:pPr>
              <w:spacing w:after="40" w:before="0" w:line="259" w:lineRule="auto"/>
            </w:pPr>
            <w:r>
              <w:rPr>
                <w:rFonts w:ascii="Calibri" w:hAnsi="Calibri"/>
                <w:b w:val="0"/>
                <w:i w:val="0"/>
                <w:color w:val="212121"/>
                <w:sz w:val="19"/>
              </w:rPr>
              <w:t>less negative than −20 to −30 cmH2O</w:t>
            </w:r>
          </w:p>
        </w:tc>
        <w:tc>
          <w:tcPr>
            <w:tcW w:type="dxa" w:w="1468"/>
            <w:vAlign w:val="top"/>
          </w:tcPr>
          <w:p>
            <w:pPr>
              <w:spacing w:after="40" w:before="0" w:line="259" w:lineRule="auto"/>
            </w:pPr>
            <w:r>
              <w:rPr>
                <w:rFonts w:ascii="Calibri" w:hAnsi="Calibri"/>
                <w:b w:val="0"/>
                <w:i w:val="0"/>
                <w:color w:val="212121"/>
                <w:sz w:val="19"/>
              </w:rPr>
              <w:t>Weak inspiratory pressure predicts need for ventilatory support</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MG-ADL / fatigability score</w:t>
            </w:r>
          </w:p>
        </w:tc>
        <w:tc>
          <w:tcPr>
            <w:tcW w:type="dxa" w:w="1655"/>
            <w:vAlign w:val="top"/>
          </w:tcPr>
          <w:p>
            <w:pPr>
              <w:spacing w:after="40" w:before="0" w:line="259" w:lineRule="auto"/>
            </w:pPr>
            <w:r>
              <w:rPr>
                <w:rFonts w:ascii="Calibri" w:hAnsi="Calibri"/>
                <w:b w:val="0"/>
                <w:i w:val="0"/>
                <w:color w:val="212121"/>
                <w:sz w:val="19"/>
              </w:rPr>
              <w:t>All MG, follow-up</w:t>
            </w:r>
          </w:p>
        </w:tc>
        <w:tc>
          <w:tcPr>
            <w:tcW w:type="dxa" w:w="1512"/>
            <w:vAlign w:val="top"/>
          </w:tcPr>
          <w:p>
            <w:pPr>
              <w:spacing w:after="40" w:before="0" w:line="259" w:lineRule="auto"/>
            </w:pPr>
            <w:r>
              <w:rPr>
                <w:rFonts w:ascii="Calibri" w:hAnsi="Calibri"/>
                <w:b w:val="0"/>
                <w:i w:val="0"/>
                <w:color w:val="212121"/>
                <w:sz w:val="19"/>
              </w:rPr>
              <w:t>Low / stable score</w:t>
            </w:r>
          </w:p>
        </w:tc>
        <w:tc>
          <w:tcPr>
            <w:tcW w:type="dxa" w:w="1512"/>
            <w:vAlign w:val="top"/>
          </w:tcPr>
          <w:p>
            <w:pPr>
              <w:spacing w:after="40" w:before="0" w:line="259" w:lineRule="auto"/>
            </w:pPr>
            <w:r>
              <w:rPr>
                <w:rFonts w:ascii="Calibri" w:hAnsi="Calibri"/>
                <w:b w:val="0"/>
                <w:i w:val="0"/>
                <w:color w:val="212121"/>
                <w:sz w:val="19"/>
              </w:rPr>
              <w:t>Rising score or new bulbar/respiratory items</w:t>
            </w:r>
          </w:p>
        </w:tc>
        <w:tc>
          <w:tcPr>
            <w:tcW w:type="dxa" w:w="1468"/>
            <w:vAlign w:val="top"/>
          </w:tcPr>
          <w:p>
            <w:pPr>
              <w:spacing w:after="40" w:before="0" w:line="259" w:lineRule="auto"/>
            </w:pPr>
            <w:r>
              <w:rPr>
                <w:rFonts w:ascii="Calibri" w:hAnsi="Calibri"/>
                <w:b w:val="0"/>
                <w:i w:val="0"/>
                <w:color w:val="212121"/>
                <w:sz w:val="19"/>
              </w:rPr>
              <w:t>Tracks fatigable weakness and treatment response over time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 / heat exposure</w:t>
            </w:r>
          </w:p>
        </w:tc>
        <w:tc>
          <w:tcPr>
            <w:tcW w:type="dxa" w:w="1655"/>
            <w:vAlign w:val="top"/>
          </w:tcPr>
          <w:p>
            <w:pPr>
              <w:spacing w:after="40" w:before="0" w:line="259" w:lineRule="auto"/>
            </w:pPr>
            <w:r>
              <w:rPr>
                <w:rFonts w:ascii="Calibri" w:hAnsi="Calibri"/>
                <w:b w:val="0"/>
                <w:i w:val="0"/>
                <w:color w:val="212121"/>
                <w:sz w:val="19"/>
              </w:rPr>
              <w:t>Heat-sensitive patients</w:t>
            </w:r>
          </w:p>
        </w:tc>
        <w:tc>
          <w:tcPr>
            <w:tcW w:type="dxa" w:w="1512"/>
            <w:vAlign w:val="top"/>
          </w:tcPr>
          <w:p>
            <w:pPr>
              <w:spacing w:after="40" w:before="0" w:line="259" w:lineRule="auto"/>
            </w:pPr>
            <w:r>
              <w:rPr>
                <w:rFonts w:ascii="Calibri" w:hAnsi="Calibri"/>
                <w:b w:val="0"/>
                <w:i w:val="0"/>
                <w:color w:val="212121"/>
                <w:sz w:val="19"/>
              </w:rPr>
              <w:t>Afebrile; avoid heat stress</w:t>
            </w:r>
          </w:p>
        </w:tc>
        <w:tc>
          <w:tcPr>
            <w:tcW w:type="dxa" w:w="1512"/>
            <w:vAlign w:val="top"/>
          </w:tcPr>
          <w:p>
            <w:pPr>
              <w:spacing w:after="40" w:before="0" w:line="259" w:lineRule="auto"/>
            </w:pPr>
            <w:r>
              <w:rPr>
                <w:rFonts w:ascii="Calibri" w:hAnsi="Calibri"/>
                <w:b w:val="0"/>
                <w:i w:val="0"/>
                <w:color w:val="212121"/>
                <w:sz w:val="19"/>
              </w:rPr>
              <w:t>Fever or high ambient heat</w:t>
            </w:r>
          </w:p>
        </w:tc>
        <w:tc>
          <w:tcPr>
            <w:tcW w:type="dxa" w:w="1468"/>
            <w:vAlign w:val="top"/>
          </w:tcPr>
          <w:p>
            <w:pPr>
              <w:spacing w:after="40" w:before="0" w:line="259" w:lineRule="auto"/>
            </w:pPr>
            <w:r>
              <w:rPr>
                <w:rFonts w:ascii="Calibri" w:hAnsi="Calibri"/>
                <w:b w:val="0"/>
                <w:i w:val="0"/>
                <w:color w:val="212121"/>
                <w:sz w:val="19"/>
              </w:rPr>
              <w:t>Heat and fever transiently block neuromuscular transmission and worsen weakness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Swallow / aspiration assessment</w:t>
            </w:r>
          </w:p>
        </w:tc>
        <w:tc>
          <w:tcPr>
            <w:tcW w:type="dxa" w:w="1655"/>
            <w:vAlign w:val="top"/>
          </w:tcPr>
          <w:p>
            <w:pPr>
              <w:spacing w:after="40" w:before="0" w:line="259" w:lineRule="auto"/>
            </w:pPr>
            <w:r>
              <w:rPr>
                <w:rFonts w:ascii="Calibri" w:hAnsi="Calibri"/>
                <w:b w:val="0"/>
                <w:i w:val="0"/>
                <w:color w:val="212121"/>
                <w:sz w:val="19"/>
              </w:rPr>
              <w:t>Bulbar MG</w:t>
            </w:r>
          </w:p>
        </w:tc>
        <w:tc>
          <w:tcPr>
            <w:tcW w:type="dxa" w:w="1512"/>
            <w:vAlign w:val="top"/>
          </w:tcPr>
          <w:p>
            <w:pPr>
              <w:spacing w:after="40" w:before="0" w:line="259" w:lineRule="auto"/>
            </w:pPr>
            <w:r>
              <w:rPr>
                <w:rFonts w:ascii="Calibri" w:hAnsi="Calibri"/>
                <w:b w:val="0"/>
                <w:i w:val="0"/>
                <w:color w:val="212121"/>
                <w:sz w:val="19"/>
              </w:rPr>
              <w:t>Safe swallow, no choking</w:t>
            </w:r>
          </w:p>
        </w:tc>
        <w:tc>
          <w:tcPr>
            <w:tcW w:type="dxa" w:w="1512"/>
            <w:vAlign w:val="top"/>
          </w:tcPr>
          <w:p>
            <w:pPr>
              <w:spacing w:after="40" w:before="0" w:line="259" w:lineRule="auto"/>
            </w:pPr>
            <w:r>
              <w:rPr>
                <w:rFonts w:ascii="Calibri" w:hAnsi="Calibri"/>
                <w:b w:val="0"/>
                <w:i w:val="0"/>
                <w:color w:val="212121"/>
                <w:sz w:val="19"/>
              </w:rPr>
              <w:t>Coughing, nasal regurgitation, wet voice</w:t>
            </w:r>
          </w:p>
        </w:tc>
        <w:tc>
          <w:tcPr>
            <w:tcW w:type="dxa" w:w="1468"/>
            <w:vAlign w:val="top"/>
          </w:tcPr>
          <w:p>
            <w:pPr>
              <w:spacing w:after="40" w:before="0" w:line="259" w:lineRule="auto"/>
            </w:pPr>
            <w:r>
              <w:rPr>
                <w:rFonts w:ascii="Calibri" w:hAnsi="Calibri"/>
                <w:b w:val="0"/>
                <w:i w:val="0"/>
                <w:color w:val="212121"/>
                <w:sz w:val="19"/>
              </w:rPr>
              <w:t>Guides diet texture, meal timing and need for speech-therapy/feeding support</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nocturnal symptoms</w:t>
            </w:r>
          </w:p>
        </w:tc>
        <w:tc>
          <w:tcPr>
            <w:tcW w:type="dxa" w:w="1655"/>
            <w:vAlign w:val="top"/>
          </w:tcPr>
          <w:p>
            <w:pPr>
              <w:spacing w:after="40" w:before="0" w:line="259" w:lineRule="auto"/>
            </w:pPr>
            <w:r>
              <w:rPr>
                <w:rFonts w:ascii="Calibri" w:hAnsi="Calibri"/>
                <w:b w:val="0"/>
                <w:i w:val="0"/>
                <w:color w:val="212121"/>
                <w:sz w:val="19"/>
              </w:rPr>
              <w:t>Adults, obese, OSA overlap</w:t>
            </w:r>
          </w:p>
        </w:tc>
        <w:tc>
          <w:tcPr>
            <w:tcW w:type="dxa" w:w="1512"/>
            <w:vAlign w:val="top"/>
          </w:tcPr>
          <w:p>
            <w:pPr>
              <w:spacing w:after="40" w:before="0" w:line="259" w:lineRule="auto"/>
            </w:pPr>
            <w:r>
              <w:rPr>
                <w:rFonts w:ascii="Calibri" w:hAnsi="Calibri"/>
                <w:b w:val="0"/>
                <w:i w:val="0"/>
                <w:color w:val="212121"/>
                <w:sz w:val="19"/>
              </w:rPr>
              <w:t>7–8 h; no orthopnoea/apnoea</w:t>
            </w:r>
          </w:p>
        </w:tc>
        <w:tc>
          <w:tcPr>
            <w:tcW w:type="dxa" w:w="1512"/>
            <w:vAlign w:val="top"/>
          </w:tcPr>
          <w:p>
            <w:pPr>
              <w:spacing w:after="40" w:before="0" w:line="259" w:lineRule="auto"/>
            </w:pPr>
            <w:r>
              <w:rPr>
                <w:rFonts w:ascii="Calibri" w:hAnsi="Calibri"/>
                <w:b w:val="0"/>
                <w:i w:val="0"/>
                <w:color w:val="212121"/>
                <w:sz w:val="19"/>
              </w:rPr>
              <w:t>&lt; 6 h, orthopnoea, snoring/apnoea</w:t>
            </w:r>
          </w:p>
        </w:tc>
        <w:tc>
          <w:tcPr>
            <w:tcW w:type="dxa" w:w="1468"/>
            <w:vAlign w:val="top"/>
          </w:tcPr>
          <w:p>
            <w:pPr>
              <w:spacing w:after="40" w:before="0" w:line="259" w:lineRule="auto"/>
            </w:pPr>
            <w:r>
              <w:rPr>
                <w:rFonts w:ascii="Calibri" w:hAnsi="Calibri"/>
                <w:b w:val="0"/>
                <w:i w:val="0"/>
                <w:color w:val="212121"/>
                <w:sz w:val="19"/>
              </w:rPr>
              <w:t>Poor sleep worsens fatigue; nocturnal hypoventilation warns of respiratory involvement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w:t>
            </w:r>
          </w:p>
        </w:tc>
        <w:tc>
          <w:tcPr>
            <w:tcW w:type="dxa" w:w="1655"/>
            <w:vAlign w:val="top"/>
          </w:tcPr>
          <w:p>
            <w:pPr>
              <w:spacing w:after="40" w:before="0" w:line="259" w:lineRule="auto"/>
            </w:pPr>
            <w:r>
              <w:rPr>
                <w:rFonts w:ascii="Calibri" w:hAnsi="Calibri"/>
                <w:b w:val="0"/>
                <w:i w:val="0"/>
                <w:color w:val="212121"/>
                <w:sz w:val="19"/>
              </w:rPr>
              <w:t>Smokers, bidi users, pre-thymectomy</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use/day</w:t>
            </w:r>
          </w:p>
        </w:tc>
        <w:tc>
          <w:tcPr>
            <w:tcW w:type="dxa" w:w="1468"/>
            <w:vAlign w:val="top"/>
          </w:tcPr>
          <w:p>
            <w:pPr>
              <w:spacing w:after="40" w:before="0" w:line="259" w:lineRule="auto"/>
            </w:pPr>
            <w:r>
              <w:rPr>
                <w:rFonts w:ascii="Calibri" w:hAnsi="Calibri"/>
                <w:b w:val="0"/>
                <w:i w:val="0"/>
                <w:color w:val="212121"/>
                <w:sz w:val="19"/>
              </w:rPr>
              <w:t>Raises chest-infection and perioperative risk; cessation before thymectomy advised</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on immunosuppression</w:t>
            </w:r>
          </w:p>
        </w:tc>
        <w:tc>
          <w:tcPr>
            <w:tcW w:type="dxa" w:w="1512"/>
            <w:vAlign w:val="top"/>
          </w:tcPr>
          <w:p>
            <w:pPr>
              <w:spacing w:after="40" w:before="0" w:line="259" w:lineRule="auto"/>
            </w:pPr>
            <w:r>
              <w:rPr>
                <w:rFonts w:ascii="Calibri" w:hAnsi="Calibri"/>
                <w:b w:val="0"/>
                <w:i w:val="0"/>
                <w:color w:val="212121"/>
                <w:sz w:val="19"/>
              </w:rPr>
              <w:t>Minimal / abstinence</w:t>
            </w:r>
          </w:p>
        </w:tc>
        <w:tc>
          <w:tcPr>
            <w:tcW w:type="dxa" w:w="1512"/>
            <w:vAlign w:val="top"/>
          </w:tcPr>
          <w:p>
            <w:pPr>
              <w:spacing w:after="40" w:before="0" w:line="259" w:lineRule="auto"/>
            </w:pPr>
            <w:r>
              <w:rPr>
                <w:rFonts w:ascii="Calibri" w:hAnsi="Calibri"/>
                <w:b w:val="0"/>
                <w:i w:val="0"/>
                <w:color w:val="212121"/>
                <w:sz w:val="19"/>
              </w:rPr>
              <w:t>Regular or heavy use with azathioprine/methotrexate</w:t>
            </w:r>
          </w:p>
        </w:tc>
        <w:tc>
          <w:tcPr>
            <w:tcW w:type="dxa" w:w="1468"/>
            <w:vAlign w:val="top"/>
          </w:tcPr>
          <w:p>
            <w:pPr>
              <w:spacing w:after="40" w:before="0" w:line="259" w:lineRule="auto"/>
            </w:pPr>
            <w:r>
              <w:rPr>
                <w:rFonts w:ascii="Calibri" w:hAnsi="Calibri"/>
                <w:b w:val="0"/>
                <w:i w:val="0"/>
                <w:color w:val="212121"/>
                <w:sz w:val="19"/>
              </w:rPr>
              <w:t>Adds hepatic/marrow toxicity and aspiration risk; monitor liver function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Patients on corticosteroids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 or steroid weight gain</w:t>
            </w:r>
          </w:p>
        </w:tc>
        <w:tc>
          <w:tcPr>
            <w:tcW w:type="dxa" w:w="1468"/>
            <w:vAlign w:val="top"/>
          </w:tcPr>
          <w:p>
            <w:pPr>
              <w:spacing w:after="40" w:before="0" w:line="259" w:lineRule="auto"/>
            </w:pPr>
            <w:r>
              <w:rPr>
                <w:rFonts w:ascii="Calibri" w:hAnsi="Calibri"/>
                <w:b w:val="0"/>
                <w:i w:val="0"/>
                <w:color w:val="212121"/>
                <w:sz w:val="19"/>
              </w:rPr>
              <w:t>Steroid-driven weight gain reduces respiratory reserve and adds cardiometabolic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On corticosteroids</w:t>
            </w:r>
          </w:p>
        </w:tc>
        <w:tc>
          <w:tcPr>
            <w:tcW w:type="dxa" w:w="1512"/>
            <w:vAlign w:val="top"/>
          </w:tcPr>
          <w:p>
            <w:pPr>
              <w:spacing w:after="40" w:before="0" w:line="259" w:lineRule="auto"/>
            </w:pPr>
            <w:r>
              <w:rPr>
                <w:rFonts w:ascii="Calibri" w:hAnsi="Calibri"/>
                <w:b w:val="0"/>
                <w:i w:val="0"/>
                <w:color w:val="212121"/>
                <w:sz w:val="19"/>
              </w:rPr>
              <w:t>FPG &lt; 100 mg/dL; HbA1c &lt; 5.7%</w:t>
            </w:r>
          </w:p>
        </w:tc>
        <w:tc>
          <w:tcPr>
            <w:tcW w:type="dxa" w:w="1512"/>
            <w:vAlign w:val="top"/>
          </w:tcPr>
          <w:p>
            <w:pPr>
              <w:spacing w:after="40" w:before="0" w:line="259" w:lineRule="auto"/>
            </w:pPr>
            <w:r>
              <w:rPr>
                <w:rFonts w:ascii="Calibri" w:hAnsi="Calibri"/>
                <w:b w:val="0"/>
                <w:i w:val="0"/>
                <w:color w:val="212121"/>
                <w:sz w:val="19"/>
              </w:rPr>
              <w:t>FPG ≥ 126 mg/dL; HbA1c ≥ 6.5%</w:t>
            </w:r>
          </w:p>
        </w:tc>
        <w:tc>
          <w:tcPr>
            <w:tcW w:type="dxa" w:w="1468"/>
            <w:vAlign w:val="top"/>
          </w:tcPr>
          <w:p>
            <w:pPr>
              <w:spacing w:after="40" w:before="0" w:line="259" w:lineRule="auto"/>
            </w:pPr>
            <w:r>
              <w:rPr>
                <w:rFonts w:ascii="Calibri" w:hAnsi="Calibri"/>
                <w:b w:val="0"/>
                <w:i w:val="0"/>
                <w:color w:val="212121"/>
                <w:sz w:val="19"/>
              </w:rPr>
              <w:t>Screen for steroid-induced hyperglycaemia/diabetes during immunotherapy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density / vitamin D</w:t>
            </w:r>
          </w:p>
        </w:tc>
        <w:tc>
          <w:tcPr>
            <w:tcW w:type="dxa" w:w="1655"/>
            <w:vAlign w:val="top"/>
          </w:tcPr>
          <w:p>
            <w:pPr>
              <w:spacing w:after="40" w:before="0" w:line="259" w:lineRule="auto"/>
            </w:pPr>
            <w:r>
              <w:rPr>
                <w:rFonts w:ascii="Calibri" w:hAnsi="Calibri"/>
                <w:b w:val="0"/>
                <w:i w:val="0"/>
                <w:color w:val="212121"/>
                <w:sz w:val="19"/>
              </w:rPr>
              <w:t>Long-term steroid therapy</w:t>
            </w:r>
          </w:p>
        </w:tc>
        <w:tc>
          <w:tcPr>
            <w:tcW w:type="dxa" w:w="1512"/>
            <w:vAlign w:val="top"/>
          </w:tcPr>
          <w:p>
            <w:pPr>
              <w:spacing w:after="40" w:before="0" w:line="259" w:lineRule="auto"/>
            </w:pPr>
            <w:r>
              <w:rPr>
                <w:rFonts w:ascii="Calibri" w:hAnsi="Calibri"/>
                <w:b w:val="0"/>
                <w:i w:val="0"/>
                <w:color w:val="212121"/>
                <w:sz w:val="19"/>
              </w:rPr>
              <w:t>Normal T-score; vitamin D ≥ 30 ng/mL</w:t>
            </w:r>
          </w:p>
        </w:tc>
        <w:tc>
          <w:tcPr>
            <w:tcW w:type="dxa" w:w="1512"/>
            <w:vAlign w:val="top"/>
          </w:tcPr>
          <w:p>
            <w:pPr>
              <w:spacing w:after="40" w:before="0" w:line="259" w:lineRule="auto"/>
            </w:pPr>
            <w:r>
              <w:rPr>
                <w:rFonts w:ascii="Calibri" w:hAnsi="Calibri"/>
                <w:b w:val="0"/>
                <w:i w:val="0"/>
                <w:color w:val="212121"/>
                <w:sz w:val="19"/>
              </w:rPr>
              <w:t>Osteopenia/osteoporosis; vitamin D &lt; 20 ng/mL</w:t>
            </w:r>
          </w:p>
        </w:tc>
        <w:tc>
          <w:tcPr>
            <w:tcW w:type="dxa" w:w="1468"/>
            <w:vAlign w:val="top"/>
          </w:tcPr>
          <w:p>
            <w:pPr>
              <w:spacing w:after="40" w:before="0" w:line="259" w:lineRule="auto"/>
            </w:pPr>
            <w:r>
              <w:rPr>
                <w:rFonts w:ascii="Calibri" w:hAnsi="Calibri"/>
                <w:b w:val="0"/>
                <w:i w:val="0"/>
                <w:color w:val="212121"/>
                <w:sz w:val="19"/>
              </w:rPr>
              <w:t>Steroids cause bone loss; give calcium, vitamin D ± bone-protective therapy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Anti-acetylcholine-receptor (AChR) antibody</w:t>
            </w:r>
          </w:p>
        </w:tc>
        <w:tc>
          <w:tcPr>
            <w:tcW w:type="dxa" w:w="892"/>
            <w:vAlign w:val="top"/>
          </w:tcPr>
          <w:p>
            <w:pPr>
              <w:spacing w:after="40" w:before="0" w:line="259" w:lineRule="auto"/>
            </w:pPr>
            <w:r>
              <w:rPr>
                <w:rFonts w:ascii="Calibri" w:hAnsi="Calibri"/>
                <w:b w:val="0"/>
                <w:i w:val="0"/>
                <w:color w:val="212121"/>
                <w:sz w:val="16"/>
              </w:rPr>
              <w:t>Serum autoantibody assay</w:t>
            </w:r>
          </w:p>
        </w:tc>
        <w:tc>
          <w:tcPr>
            <w:tcW w:type="dxa" w:w="950"/>
            <w:vAlign w:val="top"/>
          </w:tcPr>
          <w:p>
            <w:pPr>
              <w:spacing w:after="40" w:before="0" w:line="259" w:lineRule="auto"/>
            </w:pPr>
            <w:r>
              <w:rPr>
                <w:rFonts w:ascii="Calibri" w:hAnsi="Calibri"/>
                <w:b w:val="0"/>
                <w:i w:val="0"/>
                <w:color w:val="212121"/>
                <w:sz w:val="16"/>
              </w:rPr>
              <w:t>Negative / undetectable</w:t>
            </w:r>
          </w:p>
        </w:tc>
        <w:tc>
          <w:tcPr>
            <w:tcW w:type="dxa" w:w="950"/>
            <w:vAlign w:val="top"/>
          </w:tcPr>
          <w:p>
            <w:pPr>
              <w:spacing w:after="40" w:before="0" w:line="259" w:lineRule="auto"/>
            </w:pPr>
            <w:r>
              <w:rPr>
                <w:rFonts w:ascii="Calibri" w:hAnsi="Calibri"/>
                <w:b w:val="0"/>
                <w:i w:val="0"/>
                <w:color w:val="212121"/>
                <w:sz w:val="16"/>
              </w:rPr>
              <w:t>Elevated (binding) antibody titre</w:t>
            </w:r>
          </w:p>
        </w:tc>
        <w:tc>
          <w:tcPr>
            <w:tcW w:type="dxa" w:w="1036"/>
            <w:vAlign w:val="top"/>
          </w:tcPr>
          <w:p>
            <w:pPr>
              <w:spacing w:after="40" w:before="0" w:line="259" w:lineRule="auto"/>
            </w:pPr>
            <w:r>
              <w:rPr>
                <w:rFonts w:ascii="Calibri" w:hAnsi="Calibri"/>
                <w:b w:val="0"/>
                <w:i w:val="0"/>
                <w:color w:val="212121"/>
                <w:sz w:val="16"/>
              </w:rPr>
              <w:t>Confirms autoimmune MG; positive in ~80–90% generalised and ~40–77% ocular disease</w:t>
            </w:r>
          </w:p>
        </w:tc>
        <w:tc>
          <w:tcPr>
            <w:tcW w:type="dxa" w:w="1036"/>
            <w:vAlign w:val="top"/>
          </w:tcPr>
          <w:p>
            <w:pPr>
              <w:spacing w:after="40" w:before="0" w:line="259" w:lineRule="auto"/>
            </w:pPr>
            <w:r>
              <w:rPr>
                <w:rFonts w:ascii="Calibri" w:hAnsi="Calibri"/>
                <w:b w:val="0"/>
                <w:i w:val="0"/>
                <w:color w:val="212121"/>
                <w:sz w:val="16"/>
              </w:rPr>
              <w:t>Generalised MG, ocular MG, thymoma-associated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Titre correlates poorly with severity within a patient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Anti-MuSK (and anti-LRP4) antibody</w:t>
            </w:r>
          </w:p>
        </w:tc>
        <w:tc>
          <w:tcPr>
            <w:tcW w:type="dxa" w:w="892"/>
            <w:vAlign w:val="top"/>
          </w:tcPr>
          <w:p>
            <w:pPr>
              <w:spacing w:after="40" w:before="0" w:line="259" w:lineRule="auto"/>
            </w:pPr>
            <w:r>
              <w:rPr>
                <w:rFonts w:ascii="Calibri" w:hAnsi="Calibri"/>
                <w:b w:val="0"/>
                <w:i w:val="0"/>
                <w:color w:val="212121"/>
                <w:sz w:val="16"/>
              </w:rPr>
              <w:t>Serum 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MuSK (or LRP4) antibody</w:t>
            </w:r>
          </w:p>
        </w:tc>
        <w:tc>
          <w:tcPr>
            <w:tcW w:type="dxa" w:w="1036"/>
            <w:vAlign w:val="top"/>
          </w:tcPr>
          <w:p>
            <w:pPr>
              <w:spacing w:after="40" w:before="0" w:line="259" w:lineRule="auto"/>
            </w:pPr>
            <w:r>
              <w:rPr>
                <w:rFonts w:ascii="Calibri" w:hAnsi="Calibri"/>
                <w:b w:val="0"/>
                <w:i w:val="0"/>
                <w:color w:val="212121"/>
                <w:sz w:val="16"/>
              </w:rPr>
              <w:t>Identifies AChR-negative subtypes; MuSK-MG is more bulbar and often steroid/rituximab-responsive but poorly responsive to pyridostigmine</w:t>
            </w:r>
          </w:p>
        </w:tc>
        <w:tc>
          <w:tcPr>
            <w:tcW w:type="dxa" w:w="1036"/>
            <w:vAlign w:val="top"/>
          </w:tcPr>
          <w:p>
            <w:pPr>
              <w:spacing w:after="40" w:before="0" w:line="259" w:lineRule="auto"/>
            </w:pPr>
            <w:r>
              <w:rPr>
                <w:rFonts w:ascii="Calibri" w:hAnsi="Calibri"/>
                <w:b w:val="0"/>
                <w:i w:val="0"/>
                <w:color w:val="212121"/>
                <w:sz w:val="16"/>
              </w:rPr>
              <w:t>AChR-negative / seronegative, bulbar-predominant MG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Test when AChR is negative but MG is clinically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Repetitive nerve stimulation (RNS)</w:t>
            </w:r>
          </w:p>
        </w:tc>
        <w:tc>
          <w:tcPr>
            <w:tcW w:type="dxa" w:w="892"/>
            <w:vAlign w:val="top"/>
          </w:tcPr>
          <w:p>
            <w:pPr>
              <w:spacing w:after="40" w:before="0" w:line="259" w:lineRule="auto"/>
            </w:pPr>
            <w:r>
              <w:rPr>
                <w:rFonts w:ascii="Calibri" w:hAnsi="Calibri"/>
                <w:b w:val="0"/>
                <w:i w:val="0"/>
                <w:color w:val="212121"/>
                <w:sz w:val="16"/>
              </w:rPr>
              <w:t>Low-frequency (2–3 Hz) RNS</w:t>
            </w:r>
          </w:p>
        </w:tc>
        <w:tc>
          <w:tcPr>
            <w:tcW w:type="dxa" w:w="950"/>
            <w:vAlign w:val="top"/>
          </w:tcPr>
          <w:p>
            <w:pPr>
              <w:spacing w:after="40" w:before="0" w:line="259" w:lineRule="auto"/>
            </w:pPr>
            <w:r>
              <w:rPr>
                <w:rFonts w:ascii="Calibri" w:hAnsi="Calibri"/>
                <w:b w:val="0"/>
                <w:i w:val="0"/>
                <w:color w:val="212121"/>
                <w:sz w:val="16"/>
              </w:rPr>
              <w:t>&lt; 10% decrement</w:t>
            </w:r>
          </w:p>
        </w:tc>
        <w:tc>
          <w:tcPr>
            <w:tcW w:type="dxa" w:w="950"/>
            <w:vAlign w:val="top"/>
          </w:tcPr>
          <w:p>
            <w:pPr>
              <w:spacing w:after="40" w:before="0" w:line="259" w:lineRule="auto"/>
            </w:pPr>
            <w:r>
              <w:rPr>
                <w:rFonts w:ascii="Calibri" w:hAnsi="Calibri"/>
                <w:b w:val="0"/>
                <w:i w:val="0"/>
                <w:color w:val="212121"/>
                <w:sz w:val="16"/>
              </w:rPr>
              <w:t>≥ 10% decremental CMAP response</w:t>
            </w:r>
          </w:p>
        </w:tc>
        <w:tc>
          <w:tcPr>
            <w:tcW w:type="dxa" w:w="1036"/>
            <w:vAlign w:val="top"/>
          </w:tcPr>
          <w:p>
            <w:pPr>
              <w:spacing w:after="40" w:before="0" w:line="259" w:lineRule="auto"/>
            </w:pPr>
            <w:r>
              <w:rPr>
                <w:rFonts w:ascii="Calibri" w:hAnsi="Calibri"/>
                <w:b w:val="0"/>
                <w:i w:val="0"/>
                <w:color w:val="212121"/>
                <w:sz w:val="16"/>
              </w:rPr>
              <w:t>Demonstrates failing neuromuscular transmission with repetitive activity</w:t>
            </w:r>
          </w:p>
        </w:tc>
        <w:tc>
          <w:tcPr>
            <w:tcW w:type="dxa" w:w="1036"/>
            <w:vAlign w:val="top"/>
          </w:tcPr>
          <w:p>
            <w:pPr>
              <w:spacing w:after="40" w:before="0" w:line="259" w:lineRule="auto"/>
            </w:pPr>
            <w:r>
              <w:rPr>
                <w:rFonts w:ascii="Calibri" w:hAnsi="Calibri"/>
                <w:b w:val="0"/>
                <w:i w:val="0"/>
                <w:color w:val="212121"/>
                <w:sz w:val="16"/>
              </w:rPr>
              <w:t>Generalised MG; less sensitive in pure ocular MG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Withhold pyridostigmine before testing where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Single-fibre EMG (jitter)</w:t>
            </w:r>
          </w:p>
        </w:tc>
        <w:tc>
          <w:tcPr>
            <w:tcW w:type="dxa" w:w="892"/>
            <w:vAlign w:val="top"/>
          </w:tcPr>
          <w:p>
            <w:pPr>
              <w:spacing w:after="40" w:before="0" w:line="259" w:lineRule="auto"/>
            </w:pPr>
            <w:r>
              <w:rPr>
                <w:rFonts w:ascii="Calibri" w:hAnsi="Calibri"/>
                <w:b w:val="0"/>
                <w:i w:val="0"/>
                <w:color w:val="212121"/>
                <w:sz w:val="16"/>
              </w:rPr>
              <w:t>Single-fibre electromyography</w:t>
            </w:r>
          </w:p>
        </w:tc>
        <w:tc>
          <w:tcPr>
            <w:tcW w:type="dxa" w:w="950"/>
            <w:vAlign w:val="top"/>
          </w:tcPr>
          <w:p>
            <w:pPr>
              <w:spacing w:after="40" w:before="0" w:line="259" w:lineRule="auto"/>
            </w:pPr>
            <w:r>
              <w:rPr>
                <w:rFonts w:ascii="Calibri" w:hAnsi="Calibri"/>
                <w:b w:val="0"/>
                <w:i w:val="0"/>
                <w:color w:val="212121"/>
                <w:sz w:val="16"/>
              </w:rPr>
              <w:t>Normal jitter, no blocking</w:t>
            </w:r>
          </w:p>
        </w:tc>
        <w:tc>
          <w:tcPr>
            <w:tcW w:type="dxa" w:w="950"/>
            <w:vAlign w:val="top"/>
          </w:tcPr>
          <w:p>
            <w:pPr>
              <w:spacing w:after="40" w:before="0" w:line="259" w:lineRule="auto"/>
            </w:pPr>
            <w:r>
              <w:rPr>
                <w:rFonts w:ascii="Calibri" w:hAnsi="Calibri"/>
                <w:b w:val="0"/>
                <w:i w:val="0"/>
                <w:color w:val="212121"/>
                <w:sz w:val="16"/>
              </w:rPr>
              <w:t>Increased jitter and/or blocking</w:t>
            </w:r>
          </w:p>
        </w:tc>
        <w:tc>
          <w:tcPr>
            <w:tcW w:type="dxa" w:w="1036"/>
            <w:vAlign w:val="top"/>
          </w:tcPr>
          <w:p>
            <w:pPr>
              <w:spacing w:after="40" w:before="0" w:line="259" w:lineRule="auto"/>
            </w:pPr>
            <w:r>
              <w:rPr>
                <w:rFonts w:ascii="Calibri" w:hAnsi="Calibri"/>
                <w:b w:val="0"/>
                <w:i w:val="0"/>
                <w:color w:val="212121"/>
                <w:sz w:val="16"/>
              </w:rPr>
              <w:t>Most sensitive test (&gt;95%); confirms NMJ dysfunction when RNS/serology are negative</w:t>
            </w:r>
          </w:p>
        </w:tc>
        <w:tc>
          <w:tcPr>
            <w:tcW w:type="dxa" w:w="1036"/>
            <w:vAlign w:val="top"/>
          </w:tcPr>
          <w:p>
            <w:pPr>
              <w:spacing w:after="40" w:before="0" w:line="259" w:lineRule="auto"/>
            </w:pPr>
            <w:r>
              <w:rPr>
                <w:rFonts w:ascii="Calibri" w:hAnsi="Calibri"/>
                <w:b w:val="0"/>
                <w:i w:val="0"/>
                <w:color w:val="212121"/>
                <w:sz w:val="16"/>
              </w:rPr>
              <w:t>Ocular MG, seronegative MG, diagnostic uncertainty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Most sensitive</w:t>
            </w:r>
          </w:p>
        </w:tc>
        <w:tc>
          <w:tcPr>
            <w:tcW w:type="dxa" w:w="720"/>
            <w:vAlign w:val="top"/>
          </w:tcPr>
          <w:p>
            <w:pPr>
              <w:spacing w:after="40" w:before="0" w:line="259" w:lineRule="auto"/>
            </w:pPr>
            <w:r>
              <w:rPr>
                <w:rFonts w:ascii="Calibri" w:hAnsi="Calibri"/>
                <w:b w:val="0"/>
                <w:i w:val="0"/>
                <w:color w:val="212121"/>
                <w:sz w:val="16"/>
              </w:rPr>
              <w:t>Sensitive but not specific —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Thymus (thymoma / hyperplasia)</w:t>
            </w:r>
          </w:p>
        </w:tc>
        <w:tc>
          <w:tcPr>
            <w:tcW w:type="dxa" w:w="892"/>
            <w:vAlign w:val="top"/>
          </w:tcPr>
          <w:p>
            <w:pPr>
              <w:spacing w:after="40" w:before="0" w:line="259" w:lineRule="auto"/>
            </w:pPr>
            <w:r>
              <w:rPr>
                <w:rFonts w:ascii="Calibri" w:hAnsi="Calibri"/>
                <w:b w:val="0"/>
                <w:i w:val="0"/>
                <w:color w:val="212121"/>
                <w:sz w:val="16"/>
              </w:rPr>
              <w:t>CT (or MRI) chest</w:t>
            </w:r>
          </w:p>
        </w:tc>
        <w:tc>
          <w:tcPr>
            <w:tcW w:type="dxa" w:w="950"/>
            <w:vAlign w:val="top"/>
          </w:tcPr>
          <w:p>
            <w:pPr>
              <w:spacing w:after="40" w:before="0" w:line="259" w:lineRule="auto"/>
            </w:pPr>
            <w:r>
              <w:rPr>
                <w:rFonts w:ascii="Calibri" w:hAnsi="Calibri"/>
                <w:b w:val="0"/>
                <w:i w:val="0"/>
                <w:color w:val="212121"/>
                <w:sz w:val="16"/>
              </w:rPr>
              <w:t>No thymic mass; age-appropriate thymus</w:t>
            </w:r>
          </w:p>
        </w:tc>
        <w:tc>
          <w:tcPr>
            <w:tcW w:type="dxa" w:w="950"/>
            <w:vAlign w:val="top"/>
          </w:tcPr>
          <w:p>
            <w:pPr>
              <w:spacing w:after="40" w:before="0" w:line="259" w:lineRule="auto"/>
            </w:pPr>
            <w:r>
              <w:rPr>
                <w:rFonts w:ascii="Calibri" w:hAnsi="Calibri"/>
                <w:b w:val="0"/>
                <w:i w:val="0"/>
                <w:color w:val="212121"/>
                <w:sz w:val="16"/>
              </w:rPr>
              <w:t>Thymoma or thymic hyperplasia</w:t>
            </w:r>
          </w:p>
        </w:tc>
        <w:tc>
          <w:tcPr>
            <w:tcW w:type="dxa" w:w="1036"/>
            <w:vAlign w:val="top"/>
          </w:tcPr>
          <w:p>
            <w:pPr>
              <w:spacing w:after="40" w:before="0" w:line="259" w:lineRule="auto"/>
            </w:pPr>
            <w:r>
              <w:rPr>
                <w:rFonts w:ascii="Calibri" w:hAnsi="Calibri"/>
                <w:b w:val="0"/>
                <w:i w:val="0"/>
                <w:color w:val="212121"/>
                <w:sz w:val="16"/>
              </w:rPr>
              <w:t>Detects thymoma (~10–15%) and guides thymectomy; mandatory at diagnosis</w:t>
            </w:r>
          </w:p>
        </w:tc>
        <w:tc>
          <w:tcPr>
            <w:tcW w:type="dxa" w:w="1036"/>
            <w:vAlign w:val="top"/>
          </w:tcPr>
          <w:p>
            <w:pPr>
              <w:spacing w:after="40" w:before="0" w:line="259" w:lineRule="auto"/>
            </w:pPr>
            <w:r>
              <w:rPr>
                <w:rFonts w:ascii="Calibri" w:hAnsi="Calibri"/>
                <w:b w:val="0"/>
                <w:i w:val="0"/>
                <w:color w:val="212121"/>
                <w:sz w:val="16"/>
              </w:rPr>
              <w:t>All newly diagnosed MG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Thymoma mandates surgical referral irrespective of MG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&amp; thyroid antibodies</w:t>
            </w:r>
          </w:p>
        </w:tc>
        <w:tc>
          <w:tcPr>
            <w:tcW w:type="dxa" w:w="892"/>
            <w:vAlign w:val="top"/>
          </w:tcPr>
          <w:p>
            <w:pPr>
              <w:spacing w:after="40" w:before="0" w:line="259" w:lineRule="auto"/>
            </w:pPr>
            <w:r>
              <w:rPr>
                <w:rFonts w:ascii="Calibri" w:hAnsi="Calibri"/>
                <w:b w:val="0"/>
                <w:i w:val="0"/>
                <w:color w:val="212121"/>
                <w:sz w:val="16"/>
              </w:rPr>
              <w:t>TSH, free T4, anti-TPO</w:t>
            </w:r>
          </w:p>
        </w:tc>
        <w:tc>
          <w:tcPr>
            <w:tcW w:type="dxa" w:w="950"/>
            <w:vAlign w:val="top"/>
          </w:tcPr>
          <w:p>
            <w:pPr>
              <w:spacing w:after="40" w:before="0" w:line="259" w:lineRule="auto"/>
            </w:pPr>
            <w:r>
              <w:rPr>
                <w:rFonts w:ascii="Calibri" w:hAnsi="Calibri"/>
                <w:b w:val="0"/>
                <w:i w:val="0"/>
                <w:color w:val="212121"/>
                <w:sz w:val="16"/>
              </w:rPr>
              <w:t>Euthyroid; antibodies negative</w:t>
            </w:r>
          </w:p>
        </w:tc>
        <w:tc>
          <w:tcPr>
            <w:tcW w:type="dxa" w:w="950"/>
            <w:vAlign w:val="top"/>
          </w:tcPr>
          <w:p>
            <w:pPr>
              <w:spacing w:after="40" w:before="0" w:line="259" w:lineRule="auto"/>
            </w:pPr>
            <w:r>
              <w:rPr>
                <w:rFonts w:ascii="Calibri" w:hAnsi="Calibri"/>
                <w:b w:val="0"/>
                <w:i w:val="0"/>
                <w:color w:val="212121"/>
                <w:sz w:val="16"/>
              </w:rPr>
              <w:t>Hyper-/hypothyroidism; positive thyroid antibodies</w:t>
            </w:r>
          </w:p>
        </w:tc>
        <w:tc>
          <w:tcPr>
            <w:tcW w:type="dxa" w:w="1036"/>
            <w:vAlign w:val="top"/>
          </w:tcPr>
          <w:p>
            <w:pPr>
              <w:spacing w:after="40" w:before="0" w:line="259" w:lineRule="auto"/>
            </w:pPr>
            <w:r>
              <w:rPr>
                <w:rFonts w:ascii="Calibri" w:hAnsi="Calibri"/>
                <w:b w:val="0"/>
                <w:i w:val="0"/>
                <w:color w:val="212121"/>
                <w:sz w:val="16"/>
              </w:rPr>
              <w:t>Detects coexisting autoimmune thyroid disease (~18%) that mimics/worsens weakness</w:t>
            </w:r>
          </w:p>
        </w:tc>
        <w:tc>
          <w:tcPr>
            <w:tcW w:type="dxa" w:w="1036"/>
            <w:vAlign w:val="top"/>
          </w:tcPr>
          <w:p>
            <w:pPr>
              <w:spacing w:after="40" w:before="0" w:line="259" w:lineRule="auto"/>
            </w:pPr>
            <w:r>
              <w:rPr>
                <w:rFonts w:ascii="Calibri" w:hAnsi="Calibri"/>
                <w:b w:val="0"/>
                <w:i w:val="0"/>
                <w:color w:val="212121"/>
                <w:sz w:val="16"/>
              </w:rPr>
              <w:t>All MG, especially women, autoimmune background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Correcting thyroid dysfunction improves overall strength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Respiratory</w:t>
            </w:r>
          </w:p>
        </w:tc>
        <w:tc>
          <w:tcPr>
            <w:tcW w:type="dxa" w:w="1036"/>
            <w:vAlign w:val="top"/>
          </w:tcPr>
          <w:p>
            <w:pPr>
              <w:spacing w:after="40" w:before="0" w:line="259" w:lineRule="auto"/>
            </w:pPr>
            <w:r>
              <w:rPr>
                <w:rFonts w:ascii="Calibri" w:hAnsi="Calibri"/>
                <w:b w:val="0"/>
                <w:i w:val="0"/>
                <w:color w:val="212121"/>
                <w:sz w:val="16"/>
              </w:rPr>
              <w:t>Vital capacity / inspiratory pressures</w:t>
            </w:r>
          </w:p>
        </w:tc>
        <w:tc>
          <w:tcPr>
            <w:tcW w:type="dxa" w:w="892"/>
            <w:vAlign w:val="top"/>
          </w:tcPr>
          <w:p>
            <w:pPr>
              <w:spacing w:after="40" w:before="0" w:line="259" w:lineRule="auto"/>
            </w:pPr>
            <w:r>
              <w:rPr>
                <w:rFonts w:ascii="Calibri" w:hAnsi="Calibri"/>
                <w:b w:val="0"/>
                <w:i w:val="0"/>
                <w:color w:val="212121"/>
                <w:sz w:val="16"/>
              </w:rPr>
              <w:t>Bedside spirometry (FVC, NIF/MIP)</w:t>
            </w:r>
          </w:p>
        </w:tc>
        <w:tc>
          <w:tcPr>
            <w:tcW w:type="dxa" w:w="950"/>
            <w:vAlign w:val="top"/>
          </w:tcPr>
          <w:p>
            <w:pPr>
              <w:spacing w:after="40" w:before="0" w:line="259" w:lineRule="auto"/>
            </w:pPr>
            <w:r>
              <w:rPr>
                <w:rFonts w:ascii="Calibri" w:hAnsi="Calibri"/>
                <w:b w:val="0"/>
                <w:i w:val="0"/>
                <w:color w:val="212121"/>
                <w:sz w:val="16"/>
              </w:rPr>
              <w:t>FVC ≥ 60 mL/kg; NIF more negative than −60 cmH2O</w:t>
            </w:r>
          </w:p>
        </w:tc>
        <w:tc>
          <w:tcPr>
            <w:tcW w:type="dxa" w:w="950"/>
            <w:vAlign w:val="top"/>
          </w:tcPr>
          <w:p>
            <w:pPr>
              <w:spacing w:after="40" w:before="0" w:line="259" w:lineRule="auto"/>
            </w:pPr>
            <w:r>
              <w:rPr>
                <w:rFonts w:ascii="Calibri" w:hAnsi="Calibri"/>
                <w:b w:val="0"/>
                <w:i w:val="0"/>
                <w:color w:val="212121"/>
                <w:sz w:val="16"/>
              </w:rPr>
              <w:t>FVC &lt; 15–20 mL/kg; NIF less negative than −20 to −30 cmH2O</w:t>
            </w:r>
          </w:p>
        </w:tc>
        <w:tc>
          <w:tcPr>
            <w:tcW w:type="dxa" w:w="1036"/>
            <w:vAlign w:val="top"/>
          </w:tcPr>
          <w:p>
            <w:pPr>
              <w:spacing w:after="40" w:before="0" w:line="259" w:lineRule="auto"/>
            </w:pPr>
            <w:r>
              <w:rPr>
                <w:rFonts w:ascii="Calibri" w:hAnsi="Calibri"/>
                <w:b w:val="0"/>
                <w:i w:val="0"/>
                <w:color w:val="212121"/>
                <w:sz w:val="16"/>
              </w:rPr>
              <w:t>Quantifies respiratory reserve and predicts need for ventilation in crisis</w:t>
            </w:r>
          </w:p>
        </w:tc>
        <w:tc>
          <w:tcPr>
            <w:tcW w:type="dxa" w:w="1036"/>
            <w:vAlign w:val="top"/>
          </w:tcPr>
          <w:p>
            <w:pPr>
              <w:spacing w:after="40" w:before="0" w:line="259" w:lineRule="auto"/>
            </w:pPr>
            <w:r>
              <w:rPr>
                <w:rFonts w:ascii="Calibri" w:hAnsi="Calibri"/>
                <w:b w:val="0"/>
                <w:i w:val="0"/>
                <w:color w:val="212121"/>
                <w:sz w:val="16"/>
              </w:rPr>
              <w:t>Generalised/bulbar MG, suspected crisis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Do not rely on SpO2/ABG — they fall late; trend VC/NIF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Pre-treatment screening</w:t>
            </w:r>
          </w:p>
        </w:tc>
        <w:tc>
          <w:tcPr>
            <w:tcW w:type="dxa" w:w="1036"/>
            <w:vAlign w:val="top"/>
          </w:tcPr>
          <w:p>
            <w:pPr>
              <w:spacing w:after="40" w:before="0" w:line="259" w:lineRule="auto"/>
            </w:pPr>
            <w:r>
              <w:rPr>
                <w:rFonts w:ascii="Calibri" w:hAnsi="Calibri"/>
                <w:b w:val="0"/>
                <w:i w:val="0"/>
                <w:color w:val="212121"/>
                <w:sz w:val="16"/>
              </w:rPr>
              <w:t>Infection, glucose, TPMT, bone/vitamin D</w:t>
            </w:r>
          </w:p>
        </w:tc>
        <w:tc>
          <w:tcPr>
            <w:tcW w:type="dxa" w:w="892"/>
            <w:vAlign w:val="top"/>
          </w:tcPr>
          <w:p>
            <w:pPr>
              <w:spacing w:after="40" w:before="0" w:line="259" w:lineRule="auto"/>
            </w:pPr>
            <w:r>
              <w:rPr>
                <w:rFonts w:ascii="Calibri" w:hAnsi="Calibri"/>
                <w:b w:val="0"/>
                <w:i w:val="0"/>
                <w:color w:val="212121"/>
                <w:sz w:val="16"/>
              </w:rPr>
              <w:t>Baseline safety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Latent TB/hepatitis, hyperglycaemia, low/absent TPMT, low vitamin D</w:t>
            </w:r>
          </w:p>
        </w:tc>
        <w:tc>
          <w:tcPr>
            <w:tcW w:type="dxa" w:w="1036"/>
            <w:vAlign w:val="top"/>
          </w:tcPr>
          <w:p>
            <w:pPr>
              <w:spacing w:after="40" w:before="0" w:line="259" w:lineRule="auto"/>
            </w:pPr>
            <w:r>
              <w:rPr>
                <w:rFonts w:ascii="Calibri" w:hAnsi="Calibri"/>
                <w:b w:val="0"/>
                <w:i w:val="0"/>
                <w:color w:val="212121"/>
                <w:sz w:val="16"/>
              </w:rPr>
              <w:t>Screens for infection and metabolic/enzyme issues before steroids/immunosuppressants</w:t>
            </w:r>
          </w:p>
        </w:tc>
        <w:tc>
          <w:tcPr>
            <w:tcW w:type="dxa" w:w="1036"/>
            <w:vAlign w:val="top"/>
          </w:tcPr>
          <w:p>
            <w:pPr>
              <w:spacing w:after="40" w:before="0" w:line="259" w:lineRule="auto"/>
            </w:pPr>
            <w:r>
              <w:rPr>
                <w:rFonts w:ascii="Calibri" w:hAnsi="Calibri"/>
                <w:b w:val="0"/>
                <w:i w:val="0"/>
                <w:color w:val="212121"/>
                <w:sz w:val="16"/>
              </w:rPr>
              <w:t>Patients starting steroids/azathioprine/biologics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Check TPMT before azathioprine; screen TB/hepatitis before immunosuppression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&amp; fluctuation</w:t>
            </w:r>
          </w:p>
        </w:tc>
        <w:tc>
          <w:tcPr>
            <w:tcW w:type="dxa" w:w="979"/>
            <w:vAlign w:val="top"/>
          </w:tcPr>
          <w:p>
            <w:pPr>
              <w:spacing w:after="40" w:before="0" w:line="259" w:lineRule="auto"/>
            </w:pPr>
            <w:r>
              <w:rPr>
                <w:rFonts w:ascii="Calibri" w:hAnsi="Calibri"/>
                <w:b w:val="0"/>
                <w:i w:val="0"/>
                <w:color w:val="212121"/>
                <w:sz w:val="16"/>
              </w:rPr>
              <w:t>Fatigable ptosis, diplopia, dysphagia, dysarthria, limb weakness worse by evening</w:t>
            </w:r>
          </w:p>
        </w:tc>
        <w:tc>
          <w:tcPr>
            <w:tcW w:type="dxa" w:w="950"/>
            <w:vAlign w:val="top"/>
          </w:tcPr>
          <w:p>
            <w:pPr>
              <w:spacing w:after="40" w:before="0" w:line="259" w:lineRule="auto"/>
            </w:pPr>
            <w:r>
              <w:rPr>
                <w:rFonts w:ascii="Calibri" w:hAnsi="Calibri"/>
                <w:b w:val="0"/>
                <w:i w:val="0"/>
                <w:color w:val="212121"/>
                <w:sz w:val="16"/>
              </w:rPr>
              <w:t>No fatigable weakness</w:t>
            </w:r>
          </w:p>
        </w:tc>
        <w:tc>
          <w:tcPr>
            <w:tcW w:type="dxa" w:w="950"/>
            <w:vAlign w:val="top"/>
          </w:tcPr>
          <w:p>
            <w:pPr>
              <w:spacing w:after="40" w:before="0" w:line="259" w:lineRule="auto"/>
            </w:pPr>
            <w:r>
              <w:rPr>
                <w:rFonts w:ascii="Calibri" w:hAnsi="Calibri"/>
                <w:b w:val="0"/>
                <w:i w:val="0"/>
                <w:color w:val="212121"/>
                <w:sz w:val="16"/>
              </w:rPr>
              <w:t>Weakness worsening with use / toward evening, improving with rest</w:t>
            </w:r>
          </w:p>
        </w:tc>
        <w:tc>
          <w:tcPr>
            <w:tcW w:type="dxa" w:w="1036"/>
            <w:vAlign w:val="top"/>
          </w:tcPr>
          <w:p>
            <w:pPr>
              <w:spacing w:after="40" w:before="0" w:line="259" w:lineRule="auto"/>
            </w:pPr>
            <w:r>
              <w:rPr>
                <w:rFonts w:ascii="Calibri" w:hAnsi="Calibri"/>
                <w:b w:val="0"/>
                <w:i w:val="0"/>
                <w:color w:val="212121"/>
                <w:sz w:val="16"/>
              </w:rPr>
              <w:t>Fluctuating, fatigable weakness is the clinical hallmark of MG</w:t>
            </w:r>
          </w:p>
        </w:tc>
        <w:tc>
          <w:tcPr>
            <w:tcW w:type="dxa" w:w="1036"/>
            <w:vAlign w:val="top"/>
          </w:tcPr>
          <w:p>
            <w:pPr>
              <w:spacing w:after="40" w:before="0" w:line="259" w:lineRule="auto"/>
            </w:pPr>
            <w:r>
              <w:rPr>
                <w:rFonts w:ascii="Calibri" w:hAnsi="Calibri"/>
                <w:b w:val="0"/>
                <w:i w:val="0"/>
                <w:color w:val="212121"/>
                <w:sz w:val="16"/>
              </w:rPr>
              <w:t>All suspected MG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diurnal variation and effect of rest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Fatigability manoeuvres</w:t>
            </w:r>
          </w:p>
        </w:tc>
        <w:tc>
          <w:tcPr>
            <w:tcW w:type="dxa" w:w="979"/>
            <w:vAlign w:val="top"/>
          </w:tcPr>
          <w:p>
            <w:pPr>
              <w:spacing w:after="40" w:before="0" w:line="259" w:lineRule="auto"/>
            </w:pPr>
            <w:r>
              <w:rPr>
                <w:rFonts w:ascii="Calibri" w:hAnsi="Calibri"/>
                <w:b w:val="0"/>
                <w:i w:val="0"/>
                <w:color w:val="212121"/>
                <w:sz w:val="16"/>
              </w:rPr>
              <w:t>Sustained up-gaze, prolonged arm abduction, repeated sit-to-stand</w:t>
            </w:r>
          </w:p>
        </w:tc>
        <w:tc>
          <w:tcPr>
            <w:tcW w:type="dxa" w:w="950"/>
            <w:vAlign w:val="top"/>
          </w:tcPr>
          <w:p>
            <w:pPr>
              <w:spacing w:after="40" w:before="0" w:line="259" w:lineRule="auto"/>
            </w:pPr>
            <w:r>
              <w:rPr>
                <w:rFonts w:ascii="Calibri" w:hAnsi="Calibri"/>
                <w:b w:val="0"/>
                <w:i w:val="0"/>
                <w:color w:val="212121"/>
                <w:sz w:val="16"/>
              </w:rPr>
              <w:t>Sustained strength</w:t>
            </w:r>
          </w:p>
        </w:tc>
        <w:tc>
          <w:tcPr>
            <w:tcW w:type="dxa" w:w="950"/>
            <w:vAlign w:val="top"/>
          </w:tcPr>
          <w:p>
            <w:pPr>
              <w:spacing w:after="40" w:before="0" w:line="259" w:lineRule="auto"/>
            </w:pPr>
            <w:r>
              <w:rPr>
                <w:rFonts w:ascii="Calibri" w:hAnsi="Calibri"/>
                <w:b w:val="0"/>
                <w:i w:val="0"/>
                <w:color w:val="212121"/>
                <w:sz w:val="16"/>
              </w:rPr>
              <w:t>Progressive ptosis/weakness on sustained effort</w:t>
            </w:r>
          </w:p>
        </w:tc>
        <w:tc>
          <w:tcPr>
            <w:tcW w:type="dxa" w:w="1036"/>
            <w:vAlign w:val="top"/>
          </w:tcPr>
          <w:p>
            <w:pPr>
              <w:spacing w:after="40" w:before="0" w:line="259" w:lineRule="auto"/>
            </w:pPr>
            <w:r>
              <w:rPr>
                <w:rFonts w:ascii="Calibri" w:hAnsi="Calibri"/>
                <w:b w:val="0"/>
                <w:i w:val="0"/>
                <w:color w:val="212121"/>
                <w:sz w:val="16"/>
              </w:rPr>
              <w:t>Reproduces fatigability at the bedside and localises affected muscle groups</w:t>
            </w:r>
          </w:p>
        </w:tc>
        <w:tc>
          <w:tcPr>
            <w:tcW w:type="dxa" w:w="1036"/>
            <w:vAlign w:val="top"/>
          </w:tcPr>
          <w:p>
            <w:pPr>
              <w:spacing w:after="40" w:before="0" w:line="259" w:lineRule="auto"/>
            </w:pPr>
            <w:r>
              <w:rPr>
                <w:rFonts w:ascii="Calibri" w:hAnsi="Calibri"/>
                <w:b w:val="0"/>
                <w:i w:val="0"/>
                <w:color w:val="212121"/>
                <w:sz w:val="16"/>
              </w:rPr>
              <w:t>Ocular and generalised MG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Also look for Cogan lid-twitch and the ‘peek’ sign of orbicularis fatigue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test</w:t>
            </w:r>
          </w:p>
        </w:tc>
        <w:tc>
          <w:tcPr>
            <w:tcW w:type="dxa" w:w="950"/>
            <w:vAlign w:val="top"/>
          </w:tcPr>
          <w:p>
            <w:pPr>
              <w:spacing w:after="40" w:before="0" w:line="259" w:lineRule="auto"/>
            </w:pPr>
            <w:r>
              <w:rPr>
                <w:rFonts w:ascii="Calibri" w:hAnsi="Calibri"/>
                <w:b w:val="0"/>
                <w:i w:val="0"/>
                <w:color w:val="212121"/>
                <w:sz w:val="16"/>
              </w:rPr>
              <w:t>Ice-pack test</w:t>
            </w:r>
          </w:p>
        </w:tc>
        <w:tc>
          <w:tcPr>
            <w:tcW w:type="dxa" w:w="979"/>
            <w:vAlign w:val="top"/>
          </w:tcPr>
          <w:p>
            <w:pPr>
              <w:spacing w:after="40" w:before="0" w:line="259" w:lineRule="auto"/>
            </w:pPr>
            <w:r>
              <w:rPr>
                <w:rFonts w:ascii="Calibri" w:hAnsi="Calibri"/>
                <w:b w:val="0"/>
                <w:i w:val="0"/>
                <w:color w:val="212121"/>
                <w:sz w:val="16"/>
              </w:rPr>
              <w:t>Ptosis before vs after 2–5 min ice application</w:t>
            </w:r>
          </w:p>
        </w:tc>
        <w:tc>
          <w:tcPr>
            <w:tcW w:type="dxa" w:w="950"/>
            <w:vAlign w:val="top"/>
          </w:tcPr>
          <w:p>
            <w:pPr>
              <w:spacing w:after="40" w:before="0" w:line="259" w:lineRule="auto"/>
            </w:pPr>
            <w:r>
              <w:rPr>
                <w:rFonts w:ascii="Calibri" w:hAnsi="Calibri"/>
                <w:b w:val="0"/>
                <w:i w:val="0"/>
                <w:color w:val="212121"/>
                <w:sz w:val="16"/>
              </w:rPr>
              <w:t>No change</w:t>
            </w:r>
          </w:p>
        </w:tc>
        <w:tc>
          <w:tcPr>
            <w:tcW w:type="dxa" w:w="950"/>
            <w:vAlign w:val="top"/>
          </w:tcPr>
          <w:p>
            <w:pPr>
              <w:spacing w:after="40" w:before="0" w:line="259" w:lineRule="auto"/>
            </w:pPr>
            <w:r>
              <w:rPr>
                <w:rFonts w:ascii="Calibri" w:hAnsi="Calibri"/>
                <w:b w:val="0"/>
                <w:i w:val="0"/>
                <w:color w:val="212121"/>
                <w:sz w:val="16"/>
              </w:rPr>
              <w:t>≥ 2 mm improvement in ptosis after cooling</w:t>
            </w:r>
          </w:p>
        </w:tc>
        <w:tc>
          <w:tcPr>
            <w:tcW w:type="dxa" w:w="1036"/>
            <w:vAlign w:val="top"/>
          </w:tcPr>
          <w:p>
            <w:pPr>
              <w:spacing w:after="40" w:before="0" w:line="259" w:lineRule="auto"/>
            </w:pPr>
            <w:r>
              <w:rPr>
                <w:rFonts w:ascii="Calibri" w:hAnsi="Calibri"/>
                <w:b w:val="0"/>
                <w:i w:val="0"/>
                <w:color w:val="212121"/>
                <w:sz w:val="16"/>
              </w:rPr>
              <w:t>Cooling improves neuromuscular transmission — a safe, specific bedside pointer to MG ptosis</w:t>
            </w:r>
          </w:p>
        </w:tc>
        <w:tc>
          <w:tcPr>
            <w:tcW w:type="dxa" w:w="1036"/>
            <w:vAlign w:val="top"/>
          </w:tcPr>
          <w:p>
            <w:pPr>
              <w:spacing w:after="40" w:before="0" w:line="259" w:lineRule="auto"/>
            </w:pPr>
            <w:r>
              <w:rPr>
                <w:rFonts w:ascii="Calibri" w:hAnsi="Calibri"/>
                <w:b w:val="0"/>
                <w:i w:val="0"/>
                <w:color w:val="212121"/>
                <w:sz w:val="16"/>
              </w:rPr>
              <w:t>Ptosis / ocular MG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Simple, safe alternative to the edrophonium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Bulbar &amp; respiratory assessment</w:t>
            </w:r>
          </w:p>
        </w:tc>
        <w:tc>
          <w:tcPr>
            <w:tcW w:type="dxa" w:w="979"/>
            <w:vAlign w:val="top"/>
          </w:tcPr>
          <w:p>
            <w:pPr>
              <w:spacing w:after="40" w:before="0" w:line="259" w:lineRule="auto"/>
            </w:pPr>
            <w:r>
              <w:rPr>
                <w:rFonts w:ascii="Calibri" w:hAnsi="Calibri"/>
                <w:b w:val="0"/>
                <w:i w:val="0"/>
                <w:color w:val="212121"/>
                <w:sz w:val="16"/>
              </w:rPr>
              <w:t>Nasal speech, palatal movement, cough strength, single-breath count, neck flexion/extension</w:t>
            </w:r>
          </w:p>
        </w:tc>
        <w:tc>
          <w:tcPr>
            <w:tcW w:type="dxa" w:w="950"/>
            <w:vAlign w:val="top"/>
          </w:tcPr>
          <w:p>
            <w:pPr>
              <w:spacing w:after="40" w:before="0" w:line="259" w:lineRule="auto"/>
            </w:pPr>
            <w:r>
              <w:rPr>
                <w:rFonts w:ascii="Calibri" w:hAnsi="Calibri"/>
                <w:b w:val="0"/>
                <w:i w:val="0"/>
                <w:color w:val="212121"/>
                <w:sz w:val="16"/>
              </w:rPr>
              <w:t>Clear speech, strong cough, count ≥ 40</w:t>
            </w:r>
          </w:p>
        </w:tc>
        <w:tc>
          <w:tcPr>
            <w:tcW w:type="dxa" w:w="950"/>
            <w:vAlign w:val="top"/>
          </w:tcPr>
          <w:p>
            <w:pPr>
              <w:spacing w:after="40" w:before="0" w:line="259" w:lineRule="auto"/>
            </w:pPr>
            <w:r>
              <w:rPr>
                <w:rFonts w:ascii="Calibri" w:hAnsi="Calibri"/>
                <w:b w:val="0"/>
                <w:i w:val="0"/>
                <w:color w:val="212121"/>
                <w:sz w:val="16"/>
              </w:rPr>
              <w:t>Nasal/slurred speech, weak cough, head drop, count &lt; 20</w:t>
            </w:r>
          </w:p>
        </w:tc>
        <w:tc>
          <w:tcPr>
            <w:tcW w:type="dxa" w:w="1036"/>
            <w:vAlign w:val="top"/>
          </w:tcPr>
          <w:p>
            <w:pPr>
              <w:spacing w:after="40" w:before="0" w:line="259" w:lineRule="auto"/>
            </w:pPr>
            <w:r>
              <w:rPr>
                <w:rFonts w:ascii="Calibri" w:hAnsi="Calibri"/>
                <w:b w:val="0"/>
                <w:i w:val="0"/>
                <w:color w:val="212121"/>
                <w:sz w:val="16"/>
              </w:rPr>
              <w:t>Identifies bulbar and respiratory involvement that threatens airway and breathing</w:t>
            </w:r>
          </w:p>
        </w:tc>
        <w:tc>
          <w:tcPr>
            <w:tcW w:type="dxa" w:w="1036"/>
            <w:vAlign w:val="top"/>
          </w:tcPr>
          <w:p>
            <w:pPr>
              <w:spacing w:after="40" w:before="0" w:line="259" w:lineRule="auto"/>
            </w:pPr>
            <w:r>
              <w:rPr>
                <w:rFonts w:ascii="Calibri" w:hAnsi="Calibri"/>
                <w:b w:val="0"/>
                <w:i w:val="0"/>
                <w:color w:val="212121"/>
                <w:sz w:val="16"/>
              </w:rPr>
              <w:t>Generalised/bulbar MG, crisis watch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Bulbar and neck weakness flag high risk of aspiration and crisis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Reflexes, sensation, pupils</w:t>
            </w:r>
          </w:p>
        </w:tc>
        <w:tc>
          <w:tcPr>
            <w:tcW w:type="dxa" w:w="979"/>
            <w:vAlign w:val="top"/>
          </w:tcPr>
          <w:p>
            <w:pPr>
              <w:spacing w:after="40" w:before="0" w:line="259" w:lineRule="auto"/>
            </w:pPr>
            <w:r>
              <w:rPr>
                <w:rFonts w:ascii="Calibri" w:hAnsi="Calibri"/>
                <w:b w:val="0"/>
                <w:i w:val="0"/>
                <w:color w:val="212121"/>
                <w:sz w:val="16"/>
              </w:rPr>
              <w:t>Deep-tendon reflexes, sensory exam, pupillary responses</w:t>
            </w:r>
          </w:p>
        </w:tc>
        <w:tc>
          <w:tcPr>
            <w:tcW w:type="dxa" w:w="950"/>
            <w:vAlign w:val="top"/>
          </w:tcPr>
          <w:p>
            <w:pPr>
              <w:spacing w:after="40" w:before="0" w:line="259" w:lineRule="auto"/>
            </w:pPr>
            <w:r>
              <w:rPr>
                <w:rFonts w:ascii="Calibri" w:hAnsi="Calibri"/>
                <w:b w:val="0"/>
                <w:i w:val="0"/>
                <w:color w:val="212121"/>
                <w:sz w:val="16"/>
              </w:rPr>
              <w:t>Preserved reflexes &amp; sensation; normal pupils</w:t>
            </w:r>
          </w:p>
        </w:tc>
        <w:tc>
          <w:tcPr>
            <w:tcW w:type="dxa" w:w="950"/>
            <w:vAlign w:val="top"/>
          </w:tcPr>
          <w:p>
            <w:pPr>
              <w:spacing w:after="40" w:before="0" w:line="259" w:lineRule="auto"/>
            </w:pPr>
            <w:r>
              <w:rPr>
                <w:rFonts w:ascii="Calibri" w:hAnsi="Calibri"/>
                <w:b w:val="0"/>
                <w:i w:val="0"/>
                <w:color w:val="212121"/>
                <w:sz w:val="16"/>
              </w:rPr>
              <w:t>Normal (helps exclude mimics)</w:t>
            </w:r>
          </w:p>
        </w:tc>
        <w:tc>
          <w:tcPr>
            <w:tcW w:type="dxa" w:w="1036"/>
            <w:vAlign w:val="top"/>
          </w:tcPr>
          <w:p>
            <w:pPr>
              <w:spacing w:after="40" w:before="0" w:line="259" w:lineRule="auto"/>
            </w:pPr>
            <w:r>
              <w:rPr>
                <w:rFonts w:ascii="Calibri" w:hAnsi="Calibri"/>
                <w:b w:val="0"/>
                <w:i w:val="0"/>
                <w:color w:val="212121"/>
                <w:sz w:val="16"/>
              </w:rPr>
              <w:t>Normal reflexes, sensation and pupils distinguish MG from neuropathy, LEMS and botulism</w:t>
            </w:r>
          </w:p>
        </w:tc>
        <w:tc>
          <w:tcPr>
            <w:tcW w:type="dxa" w:w="1036"/>
            <w:vAlign w:val="top"/>
          </w:tcPr>
          <w:p>
            <w:pPr>
              <w:spacing w:after="40" w:before="0" w:line="259" w:lineRule="auto"/>
            </w:pPr>
            <w:r>
              <w:rPr>
                <w:rFonts w:ascii="Calibri" w:hAnsi="Calibri"/>
                <w:b w:val="0"/>
                <w:i w:val="0"/>
                <w:color w:val="212121"/>
                <w:sz w:val="16"/>
              </w:rPr>
              <w:t>All suspected MG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Reduced reflexes + autonomic features suggest LEMS instead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precipitant review</w:t>
            </w:r>
          </w:p>
        </w:tc>
        <w:tc>
          <w:tcPr>
            <w:tcW w:type="dxa" w:w="979"/>
            <w:vAlign w:val="top"/>
          </w:tcPr>
          <w:p>
            <w:pPr>
              <w:spacing w:after="40" w:before="0" w:line="259" w:lineRule="auto"/>
            </w:pPr>
            <w:r>
              <w:rPr>
                <w:rFonts w:ascii="Calibri" w:hAnsi="Calibri"/>
                <w:b w:val="0"/>
                <w:i w:val="0"/>
                <w:color w:val="212121"/>
                <w:sz w:val="16"/>
              </w:rPr>
              <w:t>Aggravating drugs, recent infection, surgery, pregnancy, heat, stress, missed doses</w:t>
            </w:r>
          </w:p>
        </w:tc>
        <w:tc>
          <w:tcPr>
            <w:tcW w:type="dxa" w:w="950"/>
            <w:vAlign w:val="top"/>
          </w:tcPr>
          <w:p>
            <w:pPr>
              <w:spacing w:after="40" w:before="0" w:line="259" w:lineRule="auto"/>
            </w:pPr>
            <w:r>
              <w:rPr>
                <w:rFonts w:ascii="Calibri" w:hAnsi="Calibri"/>
                <w:b w:val="0"/>
                <w:i w:val="0"/>
                <w:color w:val="212121"/>
                <w:sz w:val="16"/>
              </w:rPr>
              <w:t>No precipitant identified</w:t>
            </w:r>
          </w:p>
        </w:tc>
        <w:tc>
          <w:tcPr>
            <w:tcW w:type="dxa" w:w="950"/>
            <w:vAlign w:val="top"/>
          </w:tcPr>
          <w:p>
            <w:pPr>
              <w:spacing w:after="40" w:before="0" w:line="259" w:lineRule="auto"/>
            </w:pPr>
            <w:r>
              <w:rPr>
                <w:rFonts w:ascii="Calibri" w:hAnsi="Calibri"/>
                <w:b w:val="0"/>
                <w:i w:val="0"/>
                <w:color w:val="212121"/>
                <w:sz w:val="16"/>
              </w:rPr>
              <w:t>Exposure to aggravating drug or precipitant</w:t>
            </w:r>
          </w:p>
        </w:tc>
        <w:tc>
          <w:tcPr>
            <w:tcW w:type="dxa" w:w="1036"/>
            <w:vAlign w:val="top"/>
          </w:tcPr>
          <w:p>
            <w:pPr>
              <w:spacing w:after="40" w:before="0" w:line="259" w:lineRule="auto"/>
            </w:pPr>
            <w:r>
              <w:rPr>
                <w:rFonts w:ascii="Calibri" w:hAnsi="Calibri"/>
                <w:b w:val="0"/>
                <w:i w:val="0"/>
                <w:color w:val="212121"/>
                <w:sz w:val="16"/>
              </w:rPr>
              <w:t>Uncovers reversible triggers of worsening and guides crisis prevention</w:t>
            </w:r>
          </w:p>
        </w:tc>
        <w:tc>
          <w:tcPr>
            <w:tcW w:type="dxa" w:w="1036"/>
            <w:vAlign w:val="top"/>
          </w:tcPr>
          <w:p>
            <w:pPr>
              <w:spacing w:after="40" w:before="0" w:line="259" w:lineRule="auto"/>
            </w:pPr>
            <w:r>
              <w:rPr>
                <w:rFonts w:ascii="Calibri" w:hAnsi="Calibri"/>
                <w:b w:val="0"/>
                <w:i w:val="0"/>
                <w:color w:val="212121"/>
                <w:sz w:val="16"/>
              </w:rPr>
              <w:t>Worsening MG, pre-operative, pregnancy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Avoid aminoglycosides, fluoroquinolones, magnesium, beta-blockers, etc.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Autoimmune &amp; family history</w:t>
            </w:r>
          </w:p>
        </w:tc>
        <w:tc>
          <w:tcPr>
            <w:tcW w:type="dxa" w:w="979"/>
            <w:vAlign w:val="top"/>
          </w:tcPr>
          <w:p>
            <w:pPr>
              <w:spacing w:after="40" w:before="0" w:line="259" w:lineRule="auto"/>
            </w:pPr>
            <w:r>
              <w:rPr>
                <w:rFonts w:ascii="Calibri" w:hAnsi="Calibri"/>
                <w:b w:val="0"/>
                <w:i w:val="0"/>
                <w:color w:val="212121"/>
                <w:sz w:val="16"/>
              </w:rPr>
              <w:t>Personal/family thyroid disease, RA, SLE, type 1 diabetes, pernicious anaemia</w:t>
            </w:r>
          </w:p>
        </w:tc>
        <w:tc>
          <w:tcPr>
            <w:tcW w:type="dxa" w:w="950"/>
            <w:vAlign w:val="top"/>
          </w:tcPr>
          <w:p>
            <w:pPr>
              <w:spacing w:after="40" w:before="0" w:line="259" w:lineRule="auto"/>
            </w:pPr>
            <w:r>
              <w:rPr>
                <w:rFonts w:ascii="Calibri" w:hAnsi="Calibri"/>
                <w:b w:val="0"/>
                <w:i w:val="0"/>
                <w:color w:val="212121"/>
                <w:sz w:val="16"/>
              </w:rPr>
              <w:t>No autoimmune background</w:t>
            </w:r>
          </w:p>
        </w:tc>
        <w:tc>
          <w:tcPr>
            <w:tcW w:type="dxa" w:w="950"/>
            <w:vAlign w:val="top"/>
          </w:tcPr>
          <w:p>
            <w:pPr>
              <w:spacing w:after="40" w:before="0" w:line="259" w:lineRule="auto"/>
            </w:pPr>
            <w:r>
              <w:rPr>
                <w:rFonts w:ascii="Calibri" w:hAnsi="Calibri"/>
                <w:b w:val="0"/>
                <w:i w:val="0"/>
                <w:color w:val="212121"/>
                <w:sz w:val="16"/>
              </w:rPr>
              <w:t>Personal or family autoimmune disease</w:t>
            </w:r>
          </w:p>
        </w:tc>
        <w:tc>
          <w:tcPr>
            <w:tcW w:type="dxa" w:w="1036"/>
            <w:vAlign w:val="top"/>
          </w:tcPr>
          <w:p>
            <w:pPr>
              <w:spacing w:after="40" w:before="0" w:line="259" w:lineRule="auto"/>
            </w:pPr>
            <w:r>
              <w:rPr>
                <w:rFonts w:ascii="Calibri" w:hAnsi="Calibri"/>
                <w:b w:val="0"/>
                <w:i w:val="0"/>
                <w:color w:val="212121"/>
                <w:sz w:val="16"/>
              </w:rPr>
              <w:t>Highlights coexisting autoimmunity that alters screening and management</w:t>
            </w:r>
          </w:p>
        </w:tc>
        <w:tc>
          <w:tcPr>
            <w:tcW w:type="dxa" w:w="1036"/>
            <w:vAlign w:val="top"/>
          </w:tcPr>
          <w:p>
            <w:pPr>
              <w:spacing w:after="40" w:before="0" w:line="259" w:lineRule="auto"/>
            </w:pPr>
            <w:r>
              <w:rPr>
                <w:rFonts w:ascii="Calibri" w:hAnsi="Calibri"/>
                <w:b w:val="0"/>
                <w:i w:val="0"/>
                <w:color w:val="212121"/>
                <w:sz w:val="16"/>
              </w:rPr>
              <w:t>All MG, especially young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thyroid and other autoimmune screening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Ptosis (drooping eyelid)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first symptom; frequently asymmetric and worse toward evening or on sustained up-gaze.</w:t>
            </w:r>
          </w:p>
        </w:tc>
      </w:tr>
      <w:tr>
        <w:trPr>
          <w:cantSplit/>
        </w:trPr>
        <w:tc>
          <w:tcPr>
            <w:tcW w:type="dxa" w:w="2304"/>
            <w:vAlign w:val="top"/>
          </w:tcPr>
          <w:p>
            <w:pPr>
              <w:spacing w:after="40" w:before="0" w:line="259" w:lineRule="auto"/>
            </w:pPr>
            <w:r>
              <w:rPr>
                <w:rFonts w:ascii="Calibri" w:hAnsi="Calibri"/>
                <w:b/>
                <w:i w:val="0"/>
                <w:color w:val="212121"/>
                <w:sz w:val="19"/>
              </w:rPr>
              <w:t>Diplopia (double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Variable, intermittent double vision from fatigable extra-ocular muscle weakness; improves with rest.</w:t>
            </w:r>
          </w:p>
        </w:tc>
      </w:tr>
      <w:tr>
        <w:trPr>
          <w:cantSplit/>
        </w:trPr>
        <w:tc>
          <w:tcPr>
            <w:tcW w:type="dxa" w:w="2304"/>
            <w:vAlign w:val="top"/>
          </w:tcPr>
          <w:p>
            <w:pPr>
              <w:spacing w:after="40" w:before="0" w:line="259" w:lineRule="auto"/>
            </w:pPr>
            <w:r>
              <w:rPr>
                <w:rFonts w:ascii="Calibri" w:hAnsi="Calibri"/>
                <w:b/>
                <w:i w:val="0"/>
                <w:color w:val="212121"/>
                <w:sz w:val="19"/>
              </w:rPr>
              <w:t>Fatigable limb weakness (proximal)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climbing stairs, rising from a chair or combing hair; upper &gt; lower limbs, worse with use.</w:t>
            </w:r>
          </w:p>
        </w:tc>
      </w:tr>
      <w:tr>
        <w:trPr>
          <w:cantSplit/>
        </w:trPr>
        <w:tc>
          <w:tcPr>
            <w:tcW w:type="dxa" w:w="2304"/>
            <w:vAlign w:val="top"/>
          </w:tcPr>
          <w:p>
            <w:pPr>
              <w:spacing w:after="40" w:before="0" w:line="259" w:lineRule="auto"/>
            </w:pPr>
            <w:r>
              <w:rPr>
                <w:rFonts w:ascii="Calibri" w:hAnsi="Calibri"/>
                <w:b/>
                <w:i w:val="0"/>
                <w:color w:val="212121"/>
                <w:sz w:val="19"/>
              </w:rPr>
              <w:t>Difficulty chewing / jaw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Jaw tires part-way through a meal (patient may support the jaw by hand); a bulbar feature.</w:t>
            </w:r>
          </w:p>
        </w:tc>
      </w:tr>
      <w:tr>
        <w:trPr>
          <w:cantSplit/>
        </w:trPr>
        <w:tc>
          <w:tcPr>
            <w:tcW w:type="dxa" w:w="2304"/>
            <w:vAlign w:val="top"/>
          </w:tcPr>
          <w:p>
            <w:pPr>
              <w:spacing w:after="40" w:before="0" w:line="259" w:lineRule="auto"/>
            </w:pPr>
            <w:r>
              <w:rPr>
                <w:rFonts w:ascii="Calibri" w:hAnsi="Calibri"/>
                <w:b/>
                <w:i w:val="0"/>
                <w:color w:val="212121"/>
                <w:sz w:val="19"/>
              </w:rPr>
              <w:t>Dysphagia (difficulty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Choking, nasal regurgitation or prolonged meals; raises the risk of aspiration and weight loss.</w:t>
            </w:r>
          </w:p>
        </w:tc>
      </w:tr>
      <w:tr>
        <w:trPr>
          <w:cantSplit/>
        </w:trPr>
        <w:tc>
          <w:tcPr>
            <w:tcW w:type="dxa" w:w="2304"/>
            <w:vAlign w:val="top"/>
          </w:tcPr>
          <w:p>
            <w:pPr>
              <w:spacing w:after="40" w:before="0" w:line="259" w:lineRule="auto"/>
            </w:pPr>
            <w:r>
              <w:rPr>
                <w:rFonts w:ascii="Calibri" w:hAnsi="Calibri"/>
                <w:b/>
                <w:i w:val="0"/>
                <w:color w:val="212121"/>
                <w:sz w:val="19"/>
              </w:rPr>
              <w:t>Dysarthria / nasal, slurred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Speech becomes soft, nasal or slurred as talking continues — fatigable bulbar weakness.</w:t>
            </w:r>
          </w:p>
        </w:tc>
      </w:tr>
      <w:tr>
        <w:trPr>
          <w:cantSplit/>
        </w:trPr>
        <w:tc>
          <w:tcPr>
            <w:tcW w:type="dxa" w:w="2304"/>
            <w:vAlign w:val="top"/>
          </w:tcPr>
          <w:p>
            <w:pPr>
              <w:spacing w:after="40" w:before="0" w:line="259" w:lineRule="auto"/>
            </w:pPr>
            <w:r>
              <w:rPr>
                <w:rFonts w:ascii="Calibri" w:hAnsi="Calibri"/>
                <w:b/>
                <w:i w:val="0"/>
                <w:color w:val="212121"/>
                <w:sz w:val="19"/>
              </w:rPr>
              <w:t>Facial weakness / loss of expression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eye closure and a flattened smile (the ‘myasthenic snarl’); more prominent in MuSK-MG.</w:t>
            </w:r>
          </w:p>
        </w:tc>
      </w:tr>
      <w:tr>
        <w:trPr>
          <w:cantSplit/>
        </w:trPr>
        <w:tc>
          <w:tcPr>
            <w:tcW w:type="dxa" w:w="2304"/>
            <w:vAlign w:val="top"/>
          </w:tcPr>
          <w:p>
            <w:pPr>
              <w:spacing w:after="40" w:before="0" w:line="259" w:lineRule="auto"/>
            </w:pPr>
            <w:r>
              <w:rPr>
                <w:rFonts w:ascii="Calibri" w:hAnsi="Calibri"/>
                <w:b/>
                <w:i w:val="0"/>
                <w:color w:val="212121"/>
                <w:sz w:val="19"/>
              </w:rPr>
              <w:t>Neck (head-drop)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Neck-extensor fatigue makes the head fall forward, especially late in the day.</w:t>
            </w:r>
          </w:p>
        </w:tc>
      </w:tr>
      <w:tr>
        <w:trPr>
          <w:cantSplit/>
        </w:trPr>
        <w:tc>
          <w:tcPr>
            <w:tcW w:type="dxa" w:w="2304"/>
            <w:vAlign w:val="top"/>
          </w:tcPr>
          <w:p>
            <w:pPr>
              <w:spacing w:after="40" w:before="0" w:line="259" w:lineRule="auto"/>
            </w:pPr>
            <w:r>
              <w:rPr>
                <w:rFonts w:ascii="Calibri" w:hAnsi="Calibri"/>
                <w:b/>
                <w:i w:val="0"/>
                <w:color w:val="212121"/>
                <w:sz w:val="19"/>
              </w:rPr>
              <w:t>Shortness of breath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Weak respiratory muscles cause breathlessness or orthopnoea; a warning of impending crisis.</w:t>
            </w:r>
          </w:p>
        </w:tc>
      </w:tr>
      <w:tr>
        <w:trPr>
          <w:cantSplit/>
        </w:trPr>
        <w:tc>
          <w:tcPr>
            <w:tcW w:type="dxa" w:w="2304"/>
            <w:vAlign w:val="top"/>
          </w:tcPr>
          <w:p>
            <w:pPr>
              <w:spacing w:after="40" w:before="0" w:line="259" w:lineRule="auto"/>
            </w:pPr>
            <w:r>
              <w:rPr>
                <w:rFonts w:ascii="Calibri" w:hAnsi="Calibri"/>
                <w:b/>
                <w:i w:val="0"/>
                <w:color w:val="212121"/>
                <w:sz w:val="19"/>
              </w:rPr>
              <w:t>Generalised fatigue worse in the evening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tiredness and weakness through the day, characteristically relieved by rest.</w:t>
            </w:r>
          </w:p>
        </w:tc>
      </w:tr>
      <w:tr>
        <w:trPr>
          <w:cantSplit/>
        </w:trPr>
        <w:tc>
          <w:tcPr>
            <w:tcW w:type="dxa" w:w="2304"/>
            <w:vAlign w:val="top"/>
          </w:tcPr>
          <w:p>
            <w:pPr>
              <w:spacing w:after="40" w:before="0" w:line="259" w:lineRule="auto"/>
            </w:pPr>
            <w:r>
              <w:rPr>
                <w:rFonts w:ascii="Calibri" w:hAnsi="Calibri"/>
                <w:b/>
                <w:i w:val="0"/>
                <w:color w:val="212121"/>
                <w:sz w:val="19"/>
              </w:rPr>
              <w:t>Acute breathing failure (myasthenic crisis)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respiratory-muscle weakness needing ventilatory support — a medical emergency.</w:t>
            </w:r>
          </w:p>
        </w:tc>
      </w:tr>
      <w:tr>
        <w:trPr>
          <w:cantSplit/>
        </w:trPr>
        <w:tc>
          <w:tcPr>
            <w:tcW w:type="dxa" w:w="2304"/>
            <w:vAlign w:val="top"/>
          </w:tcPr>
          <w:p>
            <w:pPr>
              <w:spacing w:after="40" w:before="0" w:line="259" w:lineRule="auto"/>
            </w:pPr>
            <w:r>
              <w:rPr>
                <w:rFonts w:ascii="Calibri" w:hAnsi="Calibri"/>
                <w:b/>
                <w:i w:val="0"/>
                <w:color w:val="212121"/>
                <w:sz w:val="19"/>
              </w:rPr>
              <w:t>Isolated bulbar onset in older adults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Speech/swallowing weakness without eye signs; typical of MuSK-MG and easily misdiagnosed.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Fatigable ptosis on sustained up-gaze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Eyelid droops progressively when the patient looks up for 30–60 seconds; recovers with rest or ice.</w:t>
            </w:r>
          </w:p>
        </w:tc>
      </w:tr>
      <w:tr>
        <w:trPr>
          <w:cantSplit/>
        </w:trPr>
        <w:tc>
          <w:tcPr>
            <w:tcW w:type="dxa" w:w="3456"/>
            <w:vAlign w:val="top"/>
          </w:tcPr>
          <w:p>
            <w:pPr>
              <w:spacing w:after="40" w:before="0" w:line="259" w:lineRule="auto"/>
            </w:pPr>
            <w:r>
              <w:rPr>
                <w:rFonts w:ascii="Calibri" w:hAnsi="Calibri"/>
                <w:b/>
                <w:i w:val="0"/>
                <w:color w:val="212121"/>
                <w:sz w:val="19"/>
              </w:rPr>
              <w:t>Cogan lid-twitch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Brief overshoot/twitch of the upper lid when the eye returns to primary gaze from downgaze.</w:t>
            </w:r>
          </w:p>
        </w:tc>
      </w:tr>
      <w:tr>
        <w:trPr>
          <w:cantSplit/>
        </w:trPr>
        <w:tc>
          <w:tcPr>
            <w:tcW w:type="dxa" w:w="3456"/>
            <w:vAlign w:val="top"/>
          </w:tcPr>
          <w:p>
            <w:pPr>
              <w:spacing w:after="40" w:before="0" w:line="259" w:lineRule="auto"/>
            </w:pPr>
            <w:r>
              <w:rPr>
                <w:rFonts w:ascii="Calibri" w:hAnsi="Calibri"/>
                <w:b/>
                <w:i w:val="0"/>
                <w:color w:val="212121"/>
                <w:sz w:val="19"/>
              </w:rPr>
              <w:t>Variable ophthalmoplegia with spared pupils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Fatigable extra-ocular weakness not confined to one nerve, with normal pupillary responses.</w:t>
            </w:r>
          </w:p>
        </w:tc>
      </w:tr>
      <w:tr>
        <w:trPr>
          <w:cantSplit/>
        </w:trPr>
        <w:tc>
          <w:tcPr>
            <w:tcW w:type="dxa" w:w="3456"/>
            <w:vAlign w:val="top"/>
          </w:tcPr>
          <w:p>
            <w:pPr>
              <w:spacing w:after="40" w:before="0" w:line="259" w:lineRule="auto"/>
            </w:pPr>
            <w:r>
              <w:rPr>
                <w:rFonts w:ascii="Calibri" w:hAnsi="Calibri"/>
                <w:b/>
                <w:i w:val="0"/>
                <w:color w:val="212121"/>
                <w:sz w:val="19"/>
              </w:rPr>
              <w:t>Peek sign (orbicularis oculi fatigue)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Sustained forced lid closure fatigues, so the sclera ‘peeks’ through — facial-muscle involvement.</w:t>
            </w:r>
          </w:p>
        </w:tc>
      </w:tr>
      <w:tr>
        <w:trPr>
          <w:cantSplit/>
        </w:trPr>
        <w:tc>
          <w:tcPr>
            <w:tcW w:type="dxa" w:w="3456"/>
            <w:vAlign w:val="top"/>
          </w:tcPr>
          <w:p>
            <w:pPr>
              <w:spacing w:after="40" w:before="0" w:line="259" w:lineRule="auto"/>
            </w:pPr>
            <w:r>
              <w:rPr>
                <w:rFonts w:ascii="Calibri" w:hAnsi="Calibri"/>
                <w:b/>
                <w:i w:val="0"/>
                <w:color w:val="212121"/>
                <w:sz w:val="19"/>
              </w:rPr>
              <w:t>Nasal speech &amp; weak palatal movement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Bulbar weakness produces a nasal voice and reduced palatal elevation; hoarseness with talking.</w:t>
            </w:r>
          </w:p>
        </w:tc>
      </w:tr>
      <w:tr>
        <w:trPr>
          <w:cantSplit/>
        </w:trPr>
        <w:tc>
          <w:tcPr>
            <w:tcW w:type="dxa" w:w="3456"/>
            <w:vAlign w:val="top"/>
          </w:tcPr>
          <w:p>
            <w:pPr>
              <w:spacing w:after="40" w:before="0" w:line="259" w:lineRule="auto"/>
            </w:pPr>
            <w:r>
              <w:rPr>
                <w:rFonts w:ascii="Calibri" w:hAnsi="Calibri"/>
                <w:b/>
                <w:i w:val="0"/>
                <w:color w:val="212121"/>
                <w:sz w:val="19"/>
              </w:rPr>
              <w:t>Fatigable proximal-limb weakness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Strength declines on repeated or sustained testing (e.g. arm abduction), then recovers with rest.</w:t>
            </w:r>
          </w:p>
        </w:tc>
      </w:tr>
      <w:tr>
        <w:trPr>
          <w:cantSplit/>
        </w:trPr>
        <w:tc>
          <w:tcPr>
            <w:tcW w:type="dxa" w:w="3456"/>
            <w:vAlign w:val="top"/>
          </w:tcPr>
          <w:p>
            <w:pPr>
              <w:spacing w:after="40" w:before="0" w:line="259" w:lineRule="auto"/>
            </w:pPr>
            <w:r>
              <w:rPr>
                <w:rFonts w:ascii="Calibri" w:hAnsi="Calibri"/>
                <w:b/>
                <w:i w:val="0"/>
                <w:color w:val="212121"/>
                <w:sz w:val="19"/>
              </w:rPr>
              <w:t>Head drop (neck-extensor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Inability to hold the head up against gravity, worse when fatigued.</w:t>
            </w:r>
          </w:p>
        </w:tc>
      </w:tr>
      <w:tr>
        <w:trPr>
          <w:cantSplit/>
        </w:trPr>
        <w:tc>
          <w:tcPr>
            <w:tcW w:type="dxa" w:w="3456"/>
            <w:vAlign w:val="top"/>
          </w:tcPr>
          <w:p>
            <w:pPr>
              <w:spacing w:after="40" w:before="0" w:line="259" w:lineRule="auto"/>
            </w:pPr>
            <w:r>
              <w:rPr>
                <w:rFonts w:ascii="Calibri" w:hAnsi="Calibri"/>
                <w:b/>
                <w:i w:val="0"/>
                <w:color w:val="212121"/>
                <w:sz w:val="19"/>
              </w:rPr>
              <w:t>Positive ice-pack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Measurable improvement in ptosis after 2–5 minutes of cooling — a specific bedside sign.</w:t>
            </w:r>
          </w:p>
        </w:tc>
      </w:tr>
      <w:tr>
        <w:trPr>
          <w:cantSplit/>
        </w:trPr>
        <w:tc>
          <w:tcPr>
            <w:tcW w:type="dxa" w:w="3456"/>
            <w:vAlign w:val="top"/>
          </w:tcPr>
          <w:p>
            <w:pPr>
              <w:spacing w:after="40" w:before="0" w:line="259" w:lineRule="auto"/>
            </w:pPr>
            <w:r>
              <w:rPr>
                <w:rFonts w:ascii="Calibri" w:hAnsi="Calibri"/>
                <w:b/>
                <w:i w:val="0"/>
                <w:color w:val="212121"/>
                <w:sz w:val="19"/>
              </w:rPr>
              <w:t>Preserved reflexes and sensation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deep-tendon reflexes and intact sensation help exclude neuropathy, LEMS and botulism.</w:t>
            </w:r>
          </w:p>
        </w:tc>
      </w:tr>
      <w:tr>
        <w:trPr>
          <w:cantSplit/>
        </w:trPr>
        <w:tc>
          <w:tcPr>
            <w:tcW w:type="dxa" w:w="3456"/>
            <w:vAlign w:val="top"/>
          </w:tcPr>
          <w:p>
            <w:pPr>
              <w:spacing w:after="40" w:before="0" w:line="259" w:lineRule="auto"/>
            </w:pPr>
            <w:r>
              <w:rPr>
                <w:rFonts w:ascii="Calibri" w:hAnsi="Calibri"/>
                <w:b/>
                <w:i w:val="0"/>
                <w:color w:val="212121"/>
                <w:sz w:val="19"/>
              </w:rPr>
              <w:t>Weak cough / reduced single-breath count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feeble cough and inability to count past ~20 in one breath indicate dangerous respiratory weakness.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Myasthenic crisis — acute respiratory-muscle failure requiring intubation/ventilation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 failure with airway compromise and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Cholinergic crisis from excess cholinesterase-inhibitor therapy (weakness with muscarinic overactivity)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generalisation of previously ocular or mild disease</w:t>
            </w:r>
          </w:p>
        </w:tc>
        <w:tc>
          <w:tcPr>
            <w:tcW w:type="dxa" w:w="2980"/>
            <w:vAlign w:val="top"/>
          </w:tcPr>
          <w:p>
            <w:pPr>
              <w:spacing w:after="40" w:before="0" w:line="259" w:lineRule="auto"/>
            </w:pPr>
            <w:r>
              <w:rPr>
                <w:rFonts w:ascii="Calibri" w:hAnsi="Calibri"/>
                <w:b w:val="0"/>
                <w:i w:val="0"/>
                <w:color w:val="212121"/>
                <w:sz w:val="19"/>
              </w:rPr>
              <w:t>Direct, life-threatening manifestations of failing neuromuscular transmission of respiratory and airway muscles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other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injuries from limb/neck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weight loss from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 complications: osteoporosis/fractures, steroid diabetes, hypertension,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Immunosuppression-related opportunistic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and deconditioning during prolonged crisis/ICU stay</w:t>
            </w:r>
          </w:p>
        </w:tc>
        <w:tc>
          <w:tcPr>
            <w:tcW w:type="dxa" w:w="2980"/>
            <w:vAlign w:val="top"/>
          </w:tcPr>
          <w:p>
            <w:pPr>
              <w:spacing w:after="40" w:before="0" w:line="259" w:lineRule="auto"/>
            </w:pPr>
            <w:r>
              <w:rPr>
                <w:rFonts w:ascii="Calibri" w:hAnsi="Calibri"/>
                <w:b w:val="0"/>
                <w:i w:val="0"/>
                <w:color w:val="212121"/>
                <w:sz w:val="19"/>
              </w:rPr>
              <w:t>Consequences of bulbar/respiratory weakness and of the long-term immunosuppressive therapy used to control MG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reduced quality of life from refractory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Ventilator dependence after severe or recurrent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Progression/recurrence or metastasis of an associated thymoma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 historically high in crisis but now uncommon with modern care</w:t>
            </w:r>
          </w:p>
        </w:tc>
        <w:tc>
          <w:tcPr>
            <w:tcW w:type="dxa" w:w="2980"/>
            <w:vAlign w:val="top"/>
          </w:tcPr>
          <w:p>
            <w:pPr>
              <w:spacing w:after="40" w:before="0" w:line="259" w:lineRule="auto"/>
            </w:pPr>
            <w:r>
              <w:rPr>
                <w:rFonts w:ascii="Calibri" w:hAnsi="Calibri"/>
                <w:b w:val="0"/>
                <w:i w:val="0"/>
                <w:color w:val="212121"/>
                <w:sz w:val="19"/>
              </w:rPr>
              <w:t>Long-term, disabling or irreversible outcomes of severe, recurrent or inadequately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thyroid disease (Graves / Hashimoto)</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coexisting autoimmune disease in MG; thyroid dysfunction itself worsens weakness, so screening and treatment are routine.</w:t>
            </w:r>
          </w:p>
          <w:p>
            <w:pPr>
              <w:spacing w:after="40" w:before="0" w:line="259" w:lineRule="auto"/>
            </w:pPr>
            <w:r>
              <w:rPr>
                <w:rFonts w:ascii="Calibri" w:hAnsi="Calibri"/>
                <w:b/>
                <w:i w:val="0"/>
                <w:color w:val="212121"/>
                <w:sz w:val="19"/>
              </w:rPr>
              <w:t>Up to ~18%</w:t>
            </w:r>
          </w:p>
        </w:tc>
      </w:tr>
      <w:tr>
        <w:trPr>
          <w:cantSplit/>
        </w:trPr>
        <w:tc>
          <w:tcPr>
            <w:tcW w:type="dxa" w:w="2232"/>
            <w:vAlign w:val="top"/>
          </w:tcPr>
          <w:p>
            <w:pPr>
              <w:spacing w:after="40" w:before="0" w:line="259" w:lineRule="auto"/>
            </w:pPr>
            <w:r>
              <w:rPr>
                <w:rFonts w:ascii="Calibri" w:hAnsi="Calibri"/>
                <w:b/>
                <w:i w:val="0"/>
                <w:color w:val="212121"/>
                <w:sz w:val="19"/>
              </w:rPr>
              <w:t>Thymoma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Thymic tumour drives anti-AChR autoimmunity; mandates chest imaging and is an indication for thymectomy.</w:t>
            </w:r>
          </w:p>
          <w:p>
            <w:pPr>
              <w:spacing w:after="40" w:before="0" w:line="259" w:lineRule="auto"/>
            </w:pPr>
            <w:r>
              <w:rPr>
                <w:rFonts w:ascii="Calibri" w:hAnsi="Calibri"/>
                <w:b/>
                <w:i w:val="0"/>
                <w:color w:val="212121"/>
                <w:sz w:val="19"/>
              </w:rPr>
              <w:t>~10–15%</w:t>
            </w:r>
          </w:p>
        </w:tc>
      </w:tr>
      <w:tr>
        <w:trPr>
          <w:cantSplit/>
        </w:trPr>
        <w:tc>
          <w:tcPr>
            <w:tcW w:type="dxa" w:w="2232"/>
            <w:vAlign w:val="top"/>
          </w:tcPr>
          <w:p>
            <w:pPr>
              <w:spacing w:after="40" w:before="0" w:line="259" w:lineRule="auto"/>
            </w:pPr>
            <w:r>
              <w:rPr>
                <w:rFonts w:ascii="Calibri" w:hAnsi="Calibri"/>
                <w:b/>
                <w:i w:val="0"/>
                <w:color w:val="212121"/>
                <w:sz w:val="19"/>
              </w:rPr>
              <w:t>Thymic follicular hyperplasia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early-onset AChR-positive MG; source of autoreactive priming and a rationale for thymectomy.</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Co-occurs more often than chance; shared autoimmune predisposition and overlapping fatigue/weakness complicate management.</w:t>
            </w:r>
          </w:p>
          <w:p>
            <w:pPr>
              <w:spacing w:after="40" w:before="0" w:line="259" w:lineRule="auto"/>
            </w:pPr>
            <w:r>
              <w:rPr>
                <w:rFonts w:ascii="Calibri" w:hAnsi="Calibri"/>
                <w:b/>
                <w:i w:val="0"/>
                <w:color w:val="212121"/>
                <w:sz w:val="19"/>
              </w:rPr>
              <w:t>~1–4%</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(SLE)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Clusters with MG (SLE patients develop MG far more often than the general population); shared loss of self-tolerance.</w:t>
            </w:r>
          </w:p>
        </w:tc>
      </w:tr>
      <w:tr>
        <w:trPr>
          <w:cantSplit/>
        </w:trPr>
        <w:tc>
          <w:tcPr>
            <w:tcW w:type="dxa" w:w="2232"/>
            <w:vAlign w:val="top"/>
          </w:tcPr>
          <w:p>
            <w:pPr>
              <w:spacing w:after="40" w:before="0" w:line="259" w:lineRule="auto"/>
            </w:pPr>
            <w:r>
              <w:rPr>
                <w:rFonts w:ascii="Calibri" w:hAnsi="Calibri"/>
                <w:b/>
                <w:i w:val="0"/>
                <w:color w:val="212121"/>
                <w:sz w:val="19"/>
              </w:rPr>
              <w:t>Type 1 diabetes / other organ-specific autoimmunity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polyautoimmune tendency in MG; shared genetic susceptibility.</w:t>
            </w:r>
          </w:p>
        </w:tc>
      </w:tr>
      <w:tr>
        <w:trPr>
          <w:cantSplit/>
        </w:trPr>
        <w:tc>
          <w:tcPr>
            <w:tcW w:type="dxa" w:w="2232"/>
            <w:vAlign w:val="top"/>
          </w:tcPr>
          <w:p>
            <w:pPr>
              <w:spacing w:after="40" w:before="0" w:line="259" w:lineRule="auto"/>
            </w:pPr>
            <w:r>
              <w:rPr>
                <w:rFonts w:ascii="Calibri" w:hAnsi="Calibri"/>
                <w:b/>
                <w:i w:val="0"/>
                <w:color w:val="212121"/>
                <w:sz w:val="19"/>
              </w:rPr>
              <w:t>Steroid-induced 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corticosteroids cause bone loss and fractures; requires calcium, vitamin D and bone protection.</w:t>
            </w:r>
          </w:p>
        </w:tc>
      </w:tr>
      <w:tr>
        <w:trPr>
          <w:cantSplit/>
        </w:trPr>
        <w:tc>
          <w:tcPr>
            <w:tcW w:type="dxa" w:w="2232"/>
            <w:vAlign w:val="top"/>
          </w:tcPr>
          <w:p>
            <w:pPr>
              <w:spacing w:after="40" w:before="0" w:line="259" w:lineRule="auto"/>
            </w:pPr>
            <w:r>
              <w:rPr>
                <w:rFonts w:ascii="Calibri" w:hAnsi="Calibri"/>
                <w:b/>
                <w:i w:val="0"/>
                <w:color w:val="212121"/>
                <w:sz w:val="19"/>
              </w:rPr>
              <w:t>Steroid-induced diabetes / hyperglycaemia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Corticosteroid therapy raises blood glucose; needs monitoring and may need treatment.</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Result of bulbar weakness and impaired cough; a leading cause of morbidity and a crisis trigger.</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with chronic fluctuating disability and steroid therapy; bidirectionally linked, as stress can precipitate flares.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Reduces ventilatory reserve and overlaps symptomatically with respiratory MG, which can delay recognition of crisis.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MG causes fatigable weakness that worsens with activity and improves with rest, and that it is treatable — most patients achieve good control with modern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signs of crisis (increasing breathlessness, weak cough, difficulty swallowing or clearing secretions, slurred/nasal speech, head drop) and seek emergency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a myasthenia alert card/list of drugs to avoid (aminoglycosides, fluoroquinolones, macrolides, beta-blockers, calcium-channel blockers, magnesium, quinine, iodinated contrast) and show it to every doctor, dentist and anaesthetist.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pyridostigmine and immunosuppressants exactly as prescribed, never stop steroids abruptly, and attend regular follow-up — abrupt changes and missed doses can precipitate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infection: keep up hand and oral hygiene, complete recommended vaccinations (with non-live vaccines while immunosuppressed) and treat infections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pregnancy with the neurology and obstetric team, and inform the team before any surgery or new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daily activity, schedule rest, and avoid extreme heat, dehydration and unnecessary physical/emotional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MG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disease is stable and controlled, undertake supervised, individualised graded exercise — combining light aerobic activity and low-load resistance work — to counter deconditioning and steroid 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energy conservation and activity pacing: break tasks into short bouts with planned rest before weakness sets 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respiratory and postural muscles; include breathing exercises and, where indicated, physiotherapy-guided neck and truncal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Exercise in cool conditions and stop at the onset of weakness rather than pushing through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or sustained exertion during a flare, infection or poorly controlled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Stable/controlled MG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Post-crisis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bulbar weakness, take small, frequent, soft or texture-modified meals and time eating to the peak effect of pyridostigmine to reduce choking and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Sit upright while eating and drinking, eat slowly and rest the jaw during longer meals; seek a swallow assessment if choking or nasal regurgitation occurs.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corticosteroids, follow a low-salt, low-refined-sugar diet with adequate protein, and ensure adequate calcium and vitamin D for bone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nutrition and a healthy weight to preserve respiratory reserve and offset steroid-related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adequately hydrated, especially in hot weather or with fever, taking care with thin liquids if swallowing is unsafe.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Bulbar/dysphagic MG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regular, good-quality sleep and build in daytime rest, since weakness and fatigue are typically worst when tired and late in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orthopnoea, morning headache, unrefreshing sleep or loud snoring — these may indicate nocturnal hypoventilation or sleep apnoea and warrant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head/trunk slightly elevated if breathing or swallowing is easier that 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obstructive sleep apnoea, which reduces respiratory reserve and can mask worsening MG.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 / OSA overlap</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and bidis — to protect respiratory reserve and reduce the chest infections that most often trigger myasthenic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appropriate pharmacotherapy to quit; 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cessation well before any planned thymectomy to lower perioperative and anaesthetic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thymectomy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involvement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which can transiently worsen weakness and undermine medication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cautious with alcohol while on azathioprine or methotrexate because of added liver and marrow toxicity, and attend liver-function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swallowing is impaired, limit alcohol to reduce sedation and aspiration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 MG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Heavy/harmful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practise stress-management techniques (relaxation, breathing, mindfulness), because emotional stress is a recognised trigger of symptom flares and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chronic fluctuating disability and with steroid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counselling, patient support groups and structured education to build coping skills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psychotropic medications carefully with the treating team, avoiding agents that can worsen neuromuscular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family/carers in recognising warning signs and supporting day-to-day pacing and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MG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Carers/family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arediseaseadvisor.com/disease-info-pages/myasthenia-gravis-epidemiology/" TargetMode="External"/><Relationship Id="rId10" Type="http://schemas.openxmlformats.org/officeDocument/2006/relationships/hyperlink" Target="https://journals.lww.com/ijo/Fulltext/2014/62100/Ocular_myasthenia_gravis__A_review.4.aspx" TargetMode="External"/><Relationship Id="rId11" Type="http://schemas.openxmlformats.org/officeDocument/2006/relationships/hyperlink" Target="https://www.worldwidejournals.com/paripex/recent_issues_pdf/2025/August/myasthenia-gravis-in-indiaa-breif-case-study_August_2025_5659518272_3807349.pdf" TargetMode="External"/><Relationship Id="rId12" Type="http://schemas.openxmlformats.org/officeDocument/2006/relationships/hyperlink" Target="https://karger.com/ned/article/59/5/579/914586/Prevalence-Incidence-and-Mortality-of-Myasthenia" TargetMode="External"/><Relationship Id="rId13" Type="http://schemas.openxmlformats.org/officeDocument/2006/relationships/hyperlink" Target="https://www.mgteam.com/resources/conditions-related-to-myasthenia-gravis-lems-graves-disease-and-m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