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Essential Tremor</w:t>
      </w:r>
    </w:p>
    <w:p>
      <w:pPr>
        <w:spacing w:before="0" w:after="160"/>
      </w:pPr>
      <w:r>
        <w:rPr>
          <w:rFonts w:ascii="Calibri" w:hAnsi="Calibri"/>
          <w:b/>
          <w:i w:val="0"/>
          <w:color w:val="212121"/>
          <w:sz w:val="22"/>
        </w:rPr>
        <w:t xml:space="preserve">AKA </w:t>
      </w:r>
      <w:r>
        <w:rPr>
          <w:rFonts w:ascii="Calibri" w:hAnsi="Calibri"/>
          <w:b w:val="0"/>
          <w:i w:val="0"/>
          <w:color w:val="212121"/>
          <w:sz w:val="22"/>
        </w:rPr>
        <w:t>i.e., ET, Benign Essential Tremor, Familial Tremor, Hereditary Essential Tremor, Action Tremor</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Essential tremor (ET) is a chronic, slowly progressive movement disorder characterised by a bilateral, largely symmetric postural and/or kinetic (action) tremor, most commonly affecting the hands and forearms and often extending to the head and voice. It is the most common adult movement disorder — several times more prevalent than Parkinson's disease — and is distinguished from parkinsonian tremor by its action (rather than rest) character, its frequent responsiveness to alcohol, and the absence of rigidity or bradykinesia. Onset may occur at any age but shows a bimodal pattern with an early peak in young adulthood and a second, larger peak after age 60, and both prevalence and tremor amplitude rise steeply with advancing age.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Essential tremor is the most common movement disorder worldwide, affecting roughly 1% of the general population across all ages and about 5–6% of adults over 65 (rising to 20% or more in the nineties). Indian community surveys have recorded lower crude rates, largely because of under-ascertainment: a house-to-house survey in Kolkata found a prevalence of about 0.35%, whereas the genetically isolated Parsi community of Mumbai showed a substantially higher rate of ≈ 1.7%. Because tremor is frequently dismissed in India as ‘old age’, weakness or nervousness, ET remains one of the most under-diagnosed and under-treated neurological conditions in the country.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Essential tremor is a clinical diagnosis based on the 2018 International Parkinson and Movement Disorder Society (MDS) consensus criteria; there is no confirmatory laboratory or imaging test, and investigations serve mainly to exclude mimics. ET is diagnosed when the following are satisfied: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isolated tremor syndrome of bilateral upper-limb ACTION tremor (postural and/or kinetic), largely symmetric;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duration of at least 3 years;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with or without tremor in other locations (head, voice or lower limbs);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other neurological signs such as dystonia, ataxia or parkinsonism (rest tremor, rigidity, bradykinesia);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tremor frequency typically 4–12 Hz (8–12 Hz in younger patients, slowing to 6–8 Hz in the elderly);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enhanced physiological tremor and secondary causes (thyrotoxicosis, drug/toxin exposure, Wilson disease, cerebellar or dystonic tremor).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 the 2018 MDS two-axis framework, essential tremor is classified by clinical syndrome (Axis 1) and, where known, by aetiology (Axis 2). In practice it is separated into two core categories, further sub-typed by distribution, inheritance, age of onset and severity:</w:t>
      </w:r>
    </w:p>
    <w:p>
      <w:pPr>
        <w:spacing w:before="0" w:after="80"/>
      </w:pPr>
      <w:r>
        <w:rPr>
          <w:rFonts w:ascii="Calibri" w:hAnsi="Calibri"/>
          <w:b w:val="0"/>
          <w:i w:val="0"/>
          <w:color w:val="212121"/>
          <w:sz w:val="21"/>
        </w:rPr>
        <w:t>(1) Essential Tremor (ET) — the core phenotype: an isolated bilateral upper-limb action tremor of at least 3 years' duration, with or without tremor of the head, voice or legs, and WITHOUT any additional neurological signs;</w:t>
      </w:r>
    </w:p>
    <w:p>
      <w:pPr>
        <w:spacing w:before="0" w:after="80"/>
      </w:pPr>
      <w:r>
        <w:rPr>
          <w:rFonts w:ascii="Calibri" w:hAnsi="Calibri"/>
          <w:b w:val="0"/>
          <w:i w:val="0"/>
          <w:color w:val="212121"/>
          <w:sz w:val="21"/>
        </w:rPr>
        <w:t>(2) Essential Tremor Plus (ET-plus) — the core ET phenotype PLUS additional soft neurological signs of uncertain significance (impaired tandem gait, questionable dystonic posturing, mild memory impairment) or the presence of rest tremor, none of which is sufficient to diagnose a separate disorder; ET-plus tends to have later onset and a higher burden of cognitive and gait involvement;</w:t>
      </w:r>
    </w:p>
    <w:p>
      <w:pPr>
        <w:spacing w:before="0" w:after="80"/>
      </w:pPr>
      <w:r>
        <w:rPr>
          <w:rFonts w:ascii="Calibri" w:hAnsi="Calibri"/>
          <w:b w:val="0"/>
          <w:i w:val="0"/>
          <w:color w:val="212121"/>
          <w:sz w:val="21"/>
        </w:rPr>
        <w:t>(3) By distribution and inheritance — upper-limb, head, voice or jaw predominant; and familial (autosomal-dominant, ~50–70% of cases) versus sporadic forms;</w:t>
      </w:r>
    </w:p>
    <w:p>
      <w:pPr>
        <w:spacing w:before="0" w:after="80"/>
      </w:pPr>
      <w:r>
        <w:rPr>
          <w:rFonts w:ascii="Calibri" w:hAnsi="Calibri"/>
          <w:b w:val="0"/>
          <w:i w:val="0"/>
          <w:color w:val="212121"/>
          <w:sz w:val="21"/>
        </w:rPr>
        <w:t>(4) By age of onset and severity — early-onset (often familial, alcohol-responsive, &lt;45 years) versus late-onset; and mild / moderate / severe grading based on functional impact on writing, eating, drinking and work.</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Strong familial clustering with autosomal-dominant inheritance and incomplete penetrance in an estimated 50–70% of cases; multiple susceptibility loci and candidate variants (e.g., LINGO1) have been described, though no single causative gene explains most cases.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Cerebello-thalamo-cortical dysfunction: Abnormal oscillatory activity within the olivocerebellar and cerebello-thalamo-cortical network, with Purkinje-cell pathology and reduced GABAergic inhibition, is the leading mechanistic model (supported by the harmaline animal model and thalamic/cerebellar imaging).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Advancing age: Prevalence and tremor amplitude rise steeply with age; neurodegenerative change is thought to unmask or amplify an underlying oscillatory tendency, explaining the second, larger peak after 60.</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Family history: Having a first-degree relative with ET is the single strongest risk factor, greatly increasing lifetime risk and predicting earlier, alcohol-responsive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neurotoxins: Chronic dietary exposure to β-carboline alkaloids such as harmane (found in well-cooked/charred meats) and possibly to lead has been proposed as a gene–environment contributor.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Enhancing / provoking factors: Adrenergic drive from stress, anxiety, caffeine, nicotine, fatigue, hypoglycaemia and stimulant or bronchodilator drugs amplifies tremor amplitude and can unmask latent ET.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 early-onset)</w:t>
            </w:r>
          </w:p>
        </w:tc>
        <w:tc>
          <w:tcPr>
            <w:tcW w:type="dxa" w:w="4276"/>
            <w:vAlign w:val="top"/>
          </w:tcPr>
          <w:p>
            <w:pPr>
              <w:spacing w:after="60" w:line="259" w:lineRule="auto"/>
            </w:pPr>
            <w:r>
              <w:rPr>
                <w:rFonts w:ascii="Calibri" w:hAnsi="Calibri"/>
                <w:b w:val="0"/>
                <w:i w:val="0"/>
                <w:color w:val="212121"/>
                <w:sz w:val="19"/>
              </w:rPr>
              <w:t>ET has a bimodal onset; an early peak in the 20s–40s is typically familial and alcohol-responsive. Action tremor of the hands emerging in working-age adults is often first noticed during fine tasks such as writing, using a phone or holding a cup.</w:t>
            </w:r>
          </w:p>
          <w:p>
            <w:pPr>
              <w:spacing w:after="40" w:before="60" w:line="259" w:lineRule="auto"/>
            </w:pPr>
            <w:r>
              <w:rPr>
                <w:rFonts w:ascii="Calibri" w:hAnsi="Calibri"/>
                <w:b w:val="0"/>
                <w:i w:val="0"/>
                <w:color w:val="212121"/>
                <w:sz w:val="19"/>
              </w:rPr>
              <w:t>In a South-Indian hospital cohort the mean age at symptom onset was 40.6 ± 15.4 years, confirming that a large share of patients develop tremor well before old age.</w:t>
            </w:r>
          </w:p>
          <w:p>
            <w:pPr>
              <w:spacing w:after="40" w:line="252" w:lineRule="auto"/>
            </w:pPr>
            <w:hyperlink r:id="rId9">
              <w:r>
                <w:rPr>
                  <w:rFonts w:ascii="Calibri" w:hAnsi="Calibri" w:cs="Calibri"/>
                  <w:sz w:val="18"/>
                  <w:color w:val="1155CC"/>
                  <w:u w:val="single"/>
                </w:rPr>
                <w:t xml:space="preserve">ruralneuropractice.com — ET in South India</w:t>
              </w:r>
            </w:hyperlink>
          </w:p>
          <w:p>
            <w:pPr>
              <w:spacing w:before="60" w:after="40"/>
            </w:pPr>
            <w:r>
              <w:rPr>
                <w:rFonts w:ascii="Calibri" w:hAnsi="Calibri"/>
                <w:b w:val="0"/>
                <w:i w:val="0"/>
                <w:color w:val="5A5A5A"/>
                <w:sz w:val="18"/>
              </w:rPr>
              <w:t>#actiontremor  #earlyonset  #familialtremor  #youngadults  #finemotor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Prevalence rises steeply with age and tremor amplitude worsens, so ET is the commonest movement disorder of older people. In the elderly it interacts with reduced dexterity, polypharmacy and gait impairment (ET-plus), amplifying disability.</w:t>
            </w:r>
          </w:p>
          <w:p>
            <w:pPr>
              <w:spacing w:after="40" w:before="60" w:line="259" w:lineRule="auto"/>
            </w:pPr>
            <w:r>
              <w:rPr>
                <w:rFonts w:ascii="Calibri" w:hAnsi="Calibri"/>
                <w:b w:val="0"/>
                <w:i w:val="0"/>
                <w:color w:val="212121"/>
                <w:sz w:val="19"/>
              </w:rPr>
              <w:t>Prevalence is about 5.8% at age ≥65 and increases by roughly 74% per decade of age, reaching 20% or more in people in their nineties.</w:t>
            </w:r>
          </w:p>
          <w:p>
            <w:pPr>
              <w:spacing w:after="40" w:line="252" w:lineRule="auto"/>
            </w:pPr>
            <w:hyperlink r:id="rId10">
              <w:r>
                <w:rPr>
                  <w:rFonts w:ascii="Calibri" w:hAnsi="Calibri" w:cs="Calibri"/>
                  <w:sz w:val="18"/>
                  <w:color w:val="1155CC"/>
                  <w:u w:val="single"/>
                </w:rPr>
                <w:t xml:space="preserve">tremorjournal.org — worldwide prevalence of ET</w:t>
              </w:r>
            </w:hyperlink>
          </w:p>
          <w:p>
            <w:pPr>
              <w:spacing w:before="60" w:after="40"/>
            </w:pPr>
            <w:r>
              <w:rPr>
                <w:rFonts w:ascii="Calibri" w:hAnsi="Calibri"/>
                <w:b w:val="0"/>
                <w:i w:val="0"/>
                <w:color w:val="5A5A5A"/>
                <w:sz w:val="18"/>
              </w:rPr>
              <w:t>#ageing  #elderly  #worseningamplitude  #ETplus  #disability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Overall prevalence is similar in both sexes, but limb (hand and leg) tremor tends to be more severe and functionally disabling in men, and hospital cohorts are male-skewed due to occupational referral.</w:t>
            </w:r>
          </w:p>
          <w:p>
            <w:pPr>
              <w:spacing w:after="40" w:before="60" w:line="259" w:lineRule="auto"/>
            </w:pPr>
            <w:r>
              <w:rPr>
                <w:rFonts w:ascii="Calibri" w:hAnsi="Calibri"/>
                <w:b w:val="0"/>
                <w:i w:val="0"/>
                <w:color w:val="212121"/>
                <w:sz w:val="19"/>
              </w:rPr>
              <w:t>In the South-India cohort 73% of patients were male (M:F 2.7:1) and all cases of leg tremor occurred in men.</w:t>
            </w:r>
          </w:p>
          <w:p>
            <w:pPr>
              <w:spacing w:after="40" w:line="252" w:lineRule="auto"/>
            </w:pPr>
            <w:hyperlink r:id="rId9">
              <w:r>
                <w:rPr>
                  <w:rFonts w:ascii="Calibri" w:hAnsi="Calibri" w:cs="Calibri"/>
                  <w:sz w:val="18"/>
                  <w:color w:val="1155CC"/>
                  <w:u w:val="single"/>
                </w:rPr>
                <w:t xml:space="preserve">ruralneuropractice.com — ET in South India</w:t>
              </w:r>
            </w:hyperlink>
          </w:p>
          <w:p>
            <w:pPr>
              <w:spacing w:before="60" w:after="40"/>
            </w:pPr>
            <w:r>
              <w:rPr>
                <w:rFonts w:ascii="Calibri" w:hAnsi="Calibri"/>
                <w:b w:val="0"/>
                <w:i w:val="0"/>
                <w:color w:val="5A5A5A"/>
                <w:sz w:val="18"/>
              </w:rPr>
              <w:t>#male  #limbtremor  #legtremor  #occupational  #severity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Although limb tremor is milder, head (titubation) and voice tremor are more frequent in women, which carries a disproportionate social and communication burden.</w:t>
            </w:r>
          </w:p>
          <w:p>
            <w:pPr>
              <w:spacing w:after="40" w:before="60" w:line="259" w:lineRule="auto"/>
            </w:pPr>
            <w:r>
              <w:rPr>
                <w:rFonts w:ascii="Calibri" w:hAnsi="Calibri"/>
                <w:b w:val="0"/>
                <w:i w:val="0"/>
                <w:color w:val="212121"/>
                <w:sz w:val="19"/>
              </w:rPr>
              <w:t>In the South-India cohort head tremor occurred in 26.6% of patients and was seen exclusively in women.</w:t>
            </w:r>
          </w:p>
          <w:p>
            <w:pPr>
              <w:spacing w:after="40" w:line="252" w:lineRule="auto"/>
            </w:pPr>
            <w:hyperlink r:id="rId9">
              <w:r>
                <w:rPr>
                  <w:rFonts w:ascii="Calibri" w:hAnsi="Calibri" w:cs="Calibri"/>
                  <w:sz w:val="18"/>
                  <w:color w:val="1155CC"/>
                  <w:u w:val="single"/>
                </w:rPr>
                <w:t xml:space="preserve">ruralneuropractice.com — ET in South India</w:t>
              </w:r>
            </w:hyperlink>
          </w:p>
          <w:p>
            <w:pPr>
              <w:spacing w:before="60" w:after="40"/>
            </w:pPr>
            <w:r>
              <w:rPr>
                <w:rFonts w:ascii="Calibri" w:hAnsi="Calibri"/>
                <w:b w:val="0"/>
                <w:i w:val="0"/>
                <w:color w:val="5A5A5A"/>
                <w:sz w:val="18"/>
              </w:rPr>
              <w:t>#female  #headtremor  #titubation  #voicetremor  #socialburden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Parsi community (Mumbai)</w:t>
            </w:r>
          </w:p>
        </w:tc>
        <w:tc>
          <w:tcPr>
            <w:tcW w:type="dxa" w:w="4276"/>
            <w:vAlign w:val="top"/>
          </w:tcPr>
          <w:p>
            <w:pPr>
              <w:spacing w:after="60" w:line="259" w:lineRule="auto"/>
            </w:pPr>
            <w:r>
              <w:rPr>
                <w:rFonts w:ascii="Calibri" w:hAnsi="Calibri"/>
                <w:b w:val="0"/>
                <w:i w:val="0"/>
                <w:color w:val="212121"/>
                <w:sz w:val="19"/>
              </w:rPr>
              <w:t>The Parsi community is a small, endogamous, genetically isolated population in western India; such founder communities concentrate autosomal-dominant tremor genes and show higher measured prevalence.</w:t>
            </w:r>
          </w:p>
          <w:p>
            <w:pPr>
              <w:spacing w:after="40" w:before="60" w:line="259" w:lineRule="auto"/>
            </w:pPr>
            <w:r>
              <w:rPr>
                <w:rFonts w:ascii="Calibri" w:hAnsi="Calibri"/>
                <w:b w:val="0"/>
                <w:i w:val="0"/>
                <w:color w:val="212121"/>
                <w:sz w:val="19"/>
              </w:rPr>
              <w:t>A door-to-door survey of the Parsi community of Bombay/Mumbai recorded an ET prevalence of about 1.7%, well above other Indian estimates.</w:t>
            </w:r>
          </w:p>
          <w:p>
            <w:pPr>
              <w:spacing w:after="40" w:line="252" w:lineRule="auto"/>
            </w:pPr>
            <w:hyperlink r:id="rId11">
              <w:r>
                <w:rPr>
                  <w:rFonts w:ascii="Calibri" w:hAnsi="Calibri" w:cs="Calibri"/>
                  <w:sz w:val="18"/>
                  <w:color w:val="1155CC"/>
                  <w:u w:val="single"/>
                </w:rPr>
                <w:t xml:space="preserve">jamanetwork.com — ET in the Parsi community</w:t>
              </w:r>
            </w:hyperlink>
          </w:p>
          <w:p>
            <w:pPr>
              <w:spacing w:before="60" w:after="40"/>
            </w:pPr>
            <w:r>
              <w:rPr>
                <w:rFonts w:ascii="Calibri" w:hAnsi="Calibri"/>
                <w:b w:val="0"/>
                <w:i w:val="0"/>
                <w:color w:val="5A5A5A"/>
                <w:sz w:val="18"/>
              </w:rPr>
              <w:t>#parsi  #foundereffect  #endogamy  #genetics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(urban India)</w:t>
            </w:r>
          </w:p>
        </w:tc>
        <w:tc>
          <w:tcPr>
            <w:tcW w:type="dxa" w:w="2160"/>
            <w:vAlign w:val="top"/>
          </w:tcPr>
          <w:p>
            <w:pPr>
              <w:spacing w:after="40" w:before="0" w:line="259" w:lineRule="auto"/>
            </w:pPr>
            <w:r>
              <w:rPr>
                <w:rFonts w:ascii="Calibri" w:hAnsi="Calibri"/>
                <w:b w:val="0"/>
                <w:i w:val="0"/>
                <w:color w:val="212121"/>
                <w:sz w:val="19"/>
              </w:rPr>
              <w:t>Urban Kolkata residents</w:t>
            </w:r>
          </w:p>
        </w:tc>
        <w:tc>
          <w:tcPr>
            <w:tcW w:type="dxa" w:w="4276"/>
            <w:vAlign w:val="top"/>
          </w:tcPr>
          <w:p>
            <w:pPr>
              <w:spacing w:after="60" w:line="259" w:lineRule="auto"/>
            </w:pPr>
            <w:r>
              <w:rPr>
                <w:rFonts w:ascii="Calibri" w:hAnsi="Calibri"/>
                <w:b w:val="0"/>
                <w:i w:val="0"/>
                <w:color w:val="212121"/>
                <w:sz w:val="19"/>
              </w:rPr>
              <w:t>Urban Indian surveys detect ET at lower rates than Western studies, reflecting under-ascertainment: tremor is frequently attributed to ageing or anxiety and not brought to medical attention.</w:t>
            </w:r>
          </w:p>
          <w:p>
            <w:pPr>
              <w:spacing w:after="40" w:before="60" w:line="259" w:lineRule="auto"/>
            </w:pPr>
            <w:r>
              <w:rPr>
                <w:rFonts w:ascii="Calibri" w:hAnsi="Calibri"/>
                <w:b w:val="0"/>
                <w:i w:val="0"/>
                <w:color w:val="212121"/>
                <w:sz w:val="19"/>
              </w:rPr>
              <w:t>A house-to-house survey in Kolkata found a crude ET prevalence of about 0.35% across all ages.</w:t>
            </w:r>
          </w:p>
          <w:p>
            <w:pPr>
              <w:spacing w:after="40" w:line="252" w:lineRule="auto"/>
            </w:pPr>
            <w:hyperlink r:id="rId12">
              <w:r>
                <w:rPr>
                  <w:rFonts w:ascii="Calibri" w:hAnsi="Calibri" w:cs="Calibri"/>
                  <w:sz w:val="18"/>
                  <w:color w:val="1155CC"/>
                  <w:u w:val="single"/>
                </w:rPr>
                <w:t xml:space="preserve">onlinelibrary.wiley.com — ET prevalence in Kolkata</w:t>
              </w:r>
            </w:hyperlink>
          </w:p>
          <w:p>
            <w:pPr>
              <w:spacing w:before="60" w:after="40"/>
            </w:pPr>
            <w:r>
              <w:rPr>
                <w:rFonts w:ascii="Calibri" w:hAnsi="Calibri"/>
                <w:b w:val="0"/>
                <w:i w:val="0"/>
                <w:color w:val="5A5A5A"/>
                <w:sz w:val="18"/>
              </w:rPr>
              <w:t>#kolkata  #underdiagnosis  #urbanindia  #ascertainment  #communitysurvey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(rural India)</w:t>
            </w:r>
          </w:p>
        </w:tc>
        <w:tc>
          <w:tcPr>
            <w:tcW w:type="dxa" w:w="2160"/>
            <w:vAlign w:val="top"/>
          </w:tcPr>
          <w:p>
            <w:pPr>
              <w:spacing w:after="40" w:before="0" w:line="259" w:lineRule="auto"/>
            </w:pPr>
            <w:r>
              <w:rPr>
                <w:rFonts w:ascii="Calibri" w:hAnsi="Calibri"/>
                <w:b w:val="0"/>
                <w:i w:val="0"/>
                <w:color w:val="212121"/>
                <w:sz w:val="19"/>
              </w:rPr>
              <w:t>Rural populations (e.g., Gujarat)</w:t>
            </w:r>
          </w:p>
        </w:tc>
        <w:tc>
          <w:tcPr>
            <w:tcW w:type="dxa" w:w="4276"/>
            <w:vAlign w:val="top"/>
          </w:tcPr>
          <w:p>
            <w:pPr>
              <w:spacing w:after="60" w:line="259" w:lineRule="auto"/>
            </w:pPr>
            <w:r>
              <w:rPr>
                <w:rFonts w:ascii="Calibri" w:hAnsi="Calibri"/>
                <w:b w:val="0"/>
                <w:i w:val="0"/>
                <w:color w:val="212121"/>
                <w:sz w:val="19"/>
              </w:rPr>
              <w:t>In rural India limited access to neurologists and low awareness mean ET is rarely diagnosed or treated; tremor is normalised as part of ageing or manual-labour fatigue, delaying care.</w:t>
            </w:r>
          </w:p>
          <w:p>
            <w:pPr>
              <w:spacing w:after="40" w:before="60" w:line="259" w:lineRule="auto"/>
            </w:pPr>
            <w:r>
              <w:rPr>
                <w:rFonts w:ascii="Calibri" w:hAnsi="Calibri"/>
                <w:b w:val="0"/>
                <w:i w:val="0"/>
                <w:color w:val="212121"/>
                <w:sz w:val="19"/>
              </w:rPr>
              <w:t>Community surveys such as those in rural Gujarat continue to report ET as an under-recognised cause of disability, with most cases previously undiagnosed.</w:t>
            </w:r>
          </w:p>
          <w:p>
            <w:pPr>
              <w:spacing w:after="40" w:line="252" w:lineRule="auto"/>
            </w:pPr>
            <w:hyperlink r:id="rId13">
              <w:r>
                <w:rPr>
                  <w:rFonts w:ascii="Calibri" w:hAnsi="Calibri" w:cs="Calibri"/>
                  <w:sz w:val="18"/>
                  <w:color w:val="1155CC"/>
                  <w:u w:val="single"/>
                </w:rPr>
                <w:t xml:space="preserve">mdsabstracts.org — ET in rural Gujarat</w:t>
              </w:r>
            </w:hyperlink>
          </w:p>
          <w:p>
            <w:pPr>
              <w:spacing w:before="60" w:after="40"/>
            </w:pPr>
            <w:r>
              <w:rPr>
                <w:rFonts w:ascii="Calibri" w:hAnsi="Calibri"/>
                <w:b w:val="0"/>
                <w:i w:val="0"/>
                <w:color w:val="5A5A5A"/>
                <w:sz w:val="18"/>
              </w:rPr>
              <w:t>#ruralindia  #gujarat  #untreated  #awareness  #accessgap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 precision work</w:t>
            </w:r>
          </w:p>
        </w:tc>
        <w:tc>
          <w:tcPr>
            <w:tcW w:type="dxa" w:w="2160"/>
            <w:vAlign w:val="top"/>
          </w:tcPr>
          <w:p>
            <w:pPr>
              <w:spacing w:after="40" w:before="0" w:line="259" w:lineRule="auto"/>
            </w:pPr>
            <w:r>
              <w:rPr>
                <w:rFonts w:ascii="Calibri" w:hAnsi="Calibri"/>
                <w:b w:val="0"/>
                <w:i w:val="0"/>
                <w:color w:val="212121"/>
                <w:sz w:val="19"/>
              </w:rPr>
              <w:t>Surgeons, writers, artisans, IT &amp; precision workers</w:t>
            </w:r>
          </w:p>
        </w:tc>
        <w:tc>
          <w:tcPr>
            <w:tcW w:type="dxa" w:w="4276"/>
            <w:vAlign w:val="top"/>
          </w:tcPr>
          <w:p>
            <w:pPr>
              <w:spacing w:after="60" w:line="259" w:lineRule="auto"/>
            </w:pPr>
            <w:r>
              <w:rPr>
                <w:rFonts w:ascii="Calibri" w:hAnsi="Calibri"/>
                <w:b w:val="0"/>
                <w:i w:val="0"/>
                <w:color w:val="212121"/>
                <w:sz w:val="19"/>
              </w:rPr>
              <w:t>ET is not caused by occupation, but jobs demanding fine, sustained motor precision make even mild tremor markedly disabling, and the associated performance stress further amplifies the tremor.</w:t>
            </w:r>
          </w:p>
          <w:p>
            <w:pPr>
              <w:spacing w:after="40" w:before="60" w:line="259" w:lineRule="auto"/>
            </w:pPr>
            <w:r>
              <w:rPr>
                <w:rFonts w:ascii="Calibri" w:hAnsi="Calibri"/>
                <w:b w:val="0"/>
                <w:i w:val="0"/>
                <w:color w:val="212121"/>
                <w:sz w:val="19"/>
              </w:rPr>
              <w:t>Action tremor worsens with goal-directed movement and emotional arousal, so tasks such as writing, suturing or handling instruments are disproportionately affected.</w:t>
            </w:r>
          </w:p>
          <w:p>
            <w:pPr>
              <w:spacing w:before="60" w:after="40"/>
            </w:pPr>
            <w:r>
              <w:rPr>
                <w:rFonts w:ascii="Calibri" w:hAnsi="Calibri"/>
                <w:b w:val="0"/>
                <w:i w:val="0"/>
                <w:color w:val="5A5A5A"/>
                <w:sz w:val="18"/>
              </w:rPr>
              <w:t>#occupationalimpact  #finemotor  #performancestress  #disability  #writing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Adults self-medicating with alcohol</w:t>
            </w:r>
          </w:p>
        </w:tc>
        <w:tc>
          <w:tcPr>
            <w:tcW w:type="dxa" w:w="4276"/>
            <w:vAlign w:val="top"/>
          </w:tcPr>
          <w:p>
            <w:pPr>
              <w:spacing w:after="60" w:line="259" w:lineRule="auto"/>
            </w:pPr>
            <w:r>
              <w:rPr>
                <w:rFonts w:ascii="Calibri" w:hAnsi="Calibri"/>
                <w:b w:val="0"/>
                <w:i w:val="0"/>
                <w:color w:val="212121"/>
                <w:sz w:val="19"/>
              </w:rPr>
              <w:t>Because ET tremor transiently improves with a small amount of alcohol, some patients self-medicate; this offers only brief relief, is followed by rebound worsening, and predisposes to alcohol dependence.</w:t>
            </w:r>
          </w:p>
          <w:p>
            <w:pPr>
              <w:spacing w:after="40" w:before="60" w:line="259" w:lineRule="auto"/>
            </w:pPr>
            <w:r>
              <w:rPr>
                <w:rFonts w:ascii="Calibri" w:hAnsi="Calibri"/>
                <w:b w:val="0"/>
                <w:i w:val="0"/>
                <w:color w:val="212121"/>
                <w:sz w:val="19"/>
              </w:rPr>
              <w:t>About half of ET patients report tremor relief with alcohol; objective ethanol-challenge studies confirm responsiveness in roughly 46–67% (higher in familial ET).</w:t>
            </w:r>
          </w:p>
          <w:p>
            <w:pPr>
              <w:spacing w:after="40" w:line="252" w:lineRule="auto"/>
            </w:pPr>
            <w:hyperlink r:id="rId14">
              <w:r>
                <w:rPr>
                  <w:rFonts w:ascii="Calibri" w:hAnsi="Calibri" w:cs="Calibri"/>
                  <w:sz w:val="18"/>
                  <w:color w:val="1155CC"/>
                  <w:u w:val="single"/>
                </w:rPr>
                <w:t xml:space="preserve">tremorjournal.org — alcohol responsiveness in ET</w:t>
              </w:r>
            </w:hyperlink>
          </w:p>
          <w:p>
            <w:pPr>
              <w:spacing w:before="60" w:after="40"/>
            </w:pPr>
            <w:r>
              <w:rPr>
                <w:rFonts w:ascii="Calibri" w:hAnsi="Calibri"/>
                <w:b w:val="0"/>
                <w:i w:val="0"/>
                <w:color w:val="5A5A5A"/>
                <w:sz w:val="18"/>
              </w:rPr>
              <w:t>#alcohol  #selfmedication  #rebound  #GABA  #dependencerisk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Stimulant use (caffeine / nicotine)</w:t>
            </w:r>
          </w:p>
        </w:tc>
        <w:tc>
          <w:tcPr>
            <w:tcW w:type="dxa" w:w="2160"/>
            <w:vAlign w:val="top"/>
          </w:tcPr>
          <w:p>
            <w:pPr>
              <w:spacing w:after="40" w:before="0" w:line="259" w:lineRule="auto"/>
            </w:pPr>
            <w:r>
              <w:rPr>
                <w:rFonts w:ascii="Calibri" w:hAnsi="Calibri"/>
                <w:b w:val="0"/>
                <w:i w:val="0"/>
                <w:color w:val="212121"/>
                <w:sz w:val="19"/>
              </w:rPr>
              <w:t>Heavy tea/coffee drinkers and smokers</w:t>
            </w:r>
          </w:p>
        </w:tc>
        <w:tc>
          <w:tcPr>
            <w:tcW w:type="dxa" w:w="4276"/>
            <w:vAlign w:val="top"/>
          </w:tcPr>
          <w:p>
            <w:pPr>
              <w:spacing w:after="60" w:line="259" w:lineRule="auto"/>
            </w:pPr>
            <w:r>
              <w:rPr>
                <w:rFonts w:ascii="Calibri" w:hAnsi="Calibri"/>
                <w:b w:val="0"/>
                <w:i w:val="0"/>
                <w:color w:val="212121"/>
                <w:sz w:val="19"/>
              </w:rPr>
              <w:t>Caffeine and nicotine are adrenergic stimulants that increase tremor amplitude; high habitual intake worsens ET and enhanced physiological tremor and reduces the benefit of treatment.</w:t>
            </w:r>
          </w:p>
          <w:p>
            <w:pPr>
              <w:spacing w:after="40" w:before="60" w:line="259" w:lineRule="auto"/>
            </w:pPr>
            <w:r>
              <w:rPr>
                <w:rFonts w:ascii="Calibri" w:hAnsi="Calibri"/>
                <w:b w:val="0"/>
                <w:i w:val="0"/>
                <w:color w:val="212121"/>
                <w:sz w:val="19"/>
              </w:rPr>
              <w:t>Adrenergic and β-agonist stimulation reliably amplifies action tremor, so reducing caffeine, nicotine and decongestant/bronchodilator drugs is a standard first step.</w:t>
            </w:r>
          </w:p>
          <w:p>
            <w:pPr>
              <w:spacing w:before="60" w:after="40"/>
            </w:pPr>
            <w:r>
              <w:rPr>
                <w:rFonts w:ascii="Calibri" w:hAnsi="Calibri"/>
                <w:b w:val="0"/>
                <w:i w:val="0"/>
                <w:color w:val="5A5A5A"/>
                <w:sz w:val="18"/>
              </w:rPr>
              <w:t>#caffeine  #nicotine  #stimulants  #adrenergic  #amplification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neurotoxin exposure</w:t>
            </w:r>
          </w:p>
        </w:tc>
        <w:tc>
          <w:tcPr>
            <w:tcW w:type="dxa" w:w="2160"/>
            <w:vAlign w:val="top"/>
          </w:tcPr>
          <w:p>
            <w:pPr>
              <w:spacing w:after="40" w:before="0" w:line="259" w:lineRule="auto"/>
            </w:pPr>
            <w:r>
              <w:rPr>
                <w:rFonts w:ascii="Calibri" w:hAnsi="Calibri"/>
                <w:b w:val="0"/>
                <w:i w:val="0"/>
                <w:color w:val="212121"/>
                <w:sz w:val="19"/>
              </w:rPr>
              <w:t>High intake of well-cooked / charred meats</w:t>
            </w:r>
          </w:p>
        </w:tc>
        <w:tc>
          <w:tcPr>
            <w:tcW w:type="dxa" w:w="4276"/>
            <w:vAlign w:val="top"/>
          </w:tcPr>
          <w:p>
            <w:pPr>
              <w:spacing w:after="60" w:line="259" w:lineRule="auto"/>
            </w:pPr>
            <w:r>
              <w:rPr>
                <w:rFonts w:ascii="Calibri" w:hAnsi="Calibri"/>
                <w:b w:val="0"/>
                <w:i w:val="0"/>
                <w:color w:val="212121"/>
                <w:sz w:val="19"/>
              </w:rPr>
              <w:t>β-carboline alkaloids such as harmane, generated in well-cooked or charred meat, are tremorgenic in animal models and have been found at higher blood levels in ET patients, suggesting a dietary gene–environment contribution.</w:t>
            </w:r>
          </w:p>
          <w:p>
            <w:pPr>
              <w:spacing w:after="40" w:before="60" w:line="259" w:lineRule="auto"/>
            </w:pPr>
            <w:r>
              <w:rPr>
                <w:rFonts w:ascii="Calibri" w:hAnsi="Calibri"/>
                <w:b w:val="0"/>
                <w:i w:val="0"/>
                <w:color w:val="212121"/>
                <w:sz w:val="19"/>
              </w:rPr>
              <w:t>Elevated blood harmane concentrations have been associated with ET, supporting a proposed dietary β-carboline exposure risk (association, not proven causation).</w:t>
            </w:r>
          </w:p>
          <w:p>
            <w:pPr>
              <w:spacing w:before="60" w:after="40"/>
            </w:pPr>
            <w:r>
              <w:rPr>
                <w:rFonts w:ascii="Calibri" w:hAnsi="Calibri"/>
                <w:b w:val="0"/>
                <w:i w:val="0"/>
                <w:color w:val="5A5A5A"/>
                <w:sz w:val="18"/>
              </w:rPr>
              <w:t>#harmane  #betacarbolines  #charredmeat  #neurotoxin  #dietrisk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Caffeine-rich diet</w:t>
            </w:r>
          </w:p>
        </w:tc>
        <w:tc>
          <w:tcPr>
            <w:tcW w:type="dxa" w:w="2160"/>
            <w:vAlign w:val="top"/>
          </w:tcPr>
          <w:p>
            <w:pPr>
              <w:spacing w:after="40" w:before="0" w:line="259" w:lineRule="auto"/>
            </w:pPr>
            <w:r>
              <w:rPr>
                <w:rFonts w:ascii="Calibri" w:hAnsi="Calibri"/>
                <w:b w:val="0"/>
                <w:i w:val="0"/>
                <w:color w:val="212121"/>
                <w:sz w:val="19"/>
              </w:rPr>
              <w:t>High daily tea/coffee/energy-drink consumers</w:t>
            </w:r>
          </w:p>
        </w:tc>
        <w:tc>
          <w:tcPr>
            <w:tcW w:type="dxa" w:w="4276"/>
            <w:vAlign w:val="top"/>
          </w:tcPr>
          <w:p>
            <w:pPr>
              <w:spacing w:after="60" w:line="259" w:lineRule="auto"/>
            </w:pPr>
            <w:r>
              <w:rPr>
                <w:rFonts w:ascii="Calibri" w:hAnsi="Calibri"/>
                <w:b w:val="0"/>
                <w:i w:val="0"/>
                <w:color w:val="212121"/>
                <w:sz w:val="19"/>
              </w:rPr>
              <w:t>A caffeine-heavy diet, common across India, raises circulating catecholamine tone and directly enhances tremor amplitude, mimicking or unmasking ET.</w:t>
            </w:r>
          </w:p>
          <w:p>
            <w:pPr>
              <w:spacing w:after="40" w:before="60" w:line="259" w:lineRule="auto"/>
            </w:pPr>
            <w:r>
              <w:rPr>
                <w:rFonts w:ascii="Calibri" w:hAnsi="Calibri"/>
                <w:b w:val="0"/>
                <w:i w:val="0"/>
                <w:color w:val="212121"/>
                <w:sz w:val="19"/>
              </w:rPr>
              <w:t>Caffeine is a recognised amplifier of both physiological and essential tremor; intake above ~400 mg/day is a common aggravating factor.</w:t>
            </w:r>
          </w:p>
          <w:p>
            <w:pPr>
              <w:spacing w:before="60" w:after="40"/>
            </w:pPr>
            <w:r>
              <w:rPr>
                <w:rFonts w:ascii="Calibri" w:hAnsi="Calibri"/>
                <w:b w:val="0"/>
                <w:i w:val="0"/>
                <w:color w:val="5A5A5A"/>
                <w:sz w:val="18"/>
              </w:rPr>
              <w:t>#caffeine  #tea  #coffee  #energydrinks  #tremortrigger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tremor</w:t>
            </w:r>
          </w:p>
        </w:tc>
        <w:tc>
          <w:tcPr>
            <w:tcW w:type="dxa" w:w="4276"/>
            <w:vAlign w:val="top"/>
          </w:tcPr>
          <w:p>
            <w:pPr>
              <w:spacing w:after="60" w:line="259" w:lineRule="auto"/>
            </w:pPr>
            <w:r>
              <w:rPr>
                <w:rFonts w:ascii="Calibri" w:hAnsi="Calibri"/>
                <w:b w:val="0"/>
                <w:i w:val="0"/>
                <w:color w:val="212121"/>
                <w:sz w:val="19"/>
              </w:rPr>
              <w:t>A positive family history is the strongest risk factor; inheritance is largely autosomal-dominant with incomplete penetrance, and familial cases tend to start earlier and respond to alcohol.</w:t>
            </w:r>
          </w:p>
          <w:p>
            <w:pPr>
              <w:spacing w:after="40" w:before="60" w:line="259" w:lineRule="auto"/>
            </w:pPr>
            <w:r>
              <w:rPr>
                <w:rFonts w:ascii="Calibri" w:hAnsi="Calibri"/>
                <w:b w:val="0"/>
                <w:i w:val="0"/>
                <w:color w:val="212121"/>
                <w:sz w:val="19"/>
              </w:rPr>
              <w:t>Essential tremor is familial in an estimated 50–70% of cases, with autosomal-dominant transmission and incomplete penetrance.</w:t>
            </w:r>
          </w:p>
          <w:p>
            <w:pPr>
              <w:spacing w:after="40" w:line="252" w:lineRule="auto"/>
            </w:pPr>
            <w:hyperlink r:id="rId15">
              <w:r>
                <w:rPr>
                  <w:rFonts w:ascii="Calibri" w:hAnsi="Calibri" w:cs="Calibri"/>
                  <w:sz w:val="18"/>
                  <w:color w:val="1155CC"/>
                  <w:u w:val="single"/>
                </w:rPr>
                <w:t xml:space="preserve">emedicine.medscape.com — ET overview</w:t>
              </w:r>
            </w:hyperlink>
          </w:p>
          <w:p>
            <w:pPr>
              <w:spacing w:before="60" w:after="40"/>
            </w:pPr>
            <w:r>
              <w:rPr>
                <w:rFonts w:ascii="Calibri" w:hAnsi="Calibri"/>
                <w:b w:val="0"/>
                <w:i w:val="0"/>
                <w:color w:val="5A5A5A"/>
                <w:sz w:val="18"/>
              </w:rPr>
              <w:t>#familyhistory  #autosomaldominant  #penetrance  #heritable  #firstdegree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Early-onset familial ET</w:t>
            </w:r>
          </w:p>
        </w:tc>
        <w:tc>
          <w:tcPr>
            <w:tcW w:type="dxa" w:w="2160"/>
            <w:vAlign w:val="top"/>
          </w:tcPr>
          <w:p>
            <w:pPr>
              <w:spacing w:after="40" w:before="0" w:line="259" w:lineRule="auto"/>
            </w:pPr>
            <w:r>
              <w:rPr>
                <w:rFonts w:ascii="Calibri" w:hAnsi="Calibri"/>
                <w:b w:val="0"/>
                <w:i w:val="0"/>
                <w:color w:val="212121"/>
                <w:sz w:val="19"/>
              </w:rPr>
              <w:t>Young adults with affected parent</w:t>
            </w:r>
          </w:p>
        </w:tc>
        <w:tc>
          <w:tcPr>
            <w:tcW w:type="dxa" w:w="4276"/>
            <w:vAlign w:val="top"/>
          </w:tcPr>
          <w:p>
            <w:pPr>
              <w:spacing w:after="60" w:line="259" w:lineRule="auto"/>
            </w:pPr>
            <w:r>
              <w:rPr>
                <w:rFonts w:ascii="Calibri" w:hAnsi="Calibri"/>
                <w:b w:val="0"/>
                <w:i w:val="0"/>
                <w:color w:val="212121"/>
                <w:sz w:val="19"/>
              </w:rPr>
              <w:t>Early-onset familial ET carries the highest heritability, tends to be alcohol-responsive and often progresses over decades; a strong pedigree signals lifelong monitoring.</w:t>
            </w:r>
          </w:p>
          <w:p>
            <w:pPr>
              <w:spacing w:after="40" w:before="60" w:line="259" w:lineRule="auto"/>
            </w:pPr>
            <w:r>
              <w:rPr>
                <w:rFonts w:ascii="Calibri" w:hAnsi="Calibri"/>
                <w:b w:val="0"/>
                <w:i w:val="0"/>
                <w:color w:val="212121"/>
                <w:sz w:val="19"/>
              </w:rPr>
              <w:t>Familial ET shows earlier onset and higher objective alcohol responsiveness (≈67%) than sporadic disease.</w:t>
            </w:r>
          </w:p>
          <w:p>
            <w:pPr>
              <w:spacing w:after="40" w:line="252" w:lineRule="auto"/>
            </w:pPr>
            <w:hyperlink r:id="rId14">
              <w:r>
                <w:rPr>
                  <w:rFonts w:ascii="Calibri" w:hAnsi="Calibri" w:cs="Calibri"/>
                  <w:sz w:val="18"/>
                  <w:color w:val="1155CC"/>
                  <w:u w:val="single"/>
                </w:rPr>
                <w:t xml:space="preserve">tremorjournal.org — alcohol responsiveness in familial ET</w:t>
              </w:r>
            </w:hyperlink>
          </w:p>
          <w:p>
            <w:pPr>
              <w:spacing w:before="60" w:after="40"/>
            </w:pPr>
            <w:r>
              <w:rPr>
                <w:rFonts w:ascii="Calibri" w:hAnsi="Calibri"/>
                <w:b w:val="0"/>
                <w:i w:val="0"/>
                <w:color w:val="5A5A5A"/>
                <w:sz w:val="18"/>
              </w:rPr>
              <w:t>#earlyonset  #pedigree  #heritability  #alcoholresponsive  #lifelong</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Parkinson's disease</w:t>
            </w:r>
          </w:p>
        </w:tc>
        <w:tc>
          <w:tcPr>
            <w:tcW w:type="dxa" w:w="2160"/>
            <w:vAlign w:val="top"/>
          </w:tcPr>
          <w:p>
            <w:pPr>
              <w:spacing w:after="40" w:before="0" w:line="259" w:lineRule="auto"/>
            </w:pPr>
            <w:r>
              <w:rPr>
                <w:rFonts w:ascii="Calibri" w:hAnsi="Calibri"/>
                <w:b w:val="0"/>
                <w:i w:val="0"/>
                <w:color w:val="212121"/>
                <w:sz w:val="19"/>
              </w:rPr>
              <w:t>Patients with long-standing / late-onset ET</w:t>
            </w:r>
          </w:p>
        </w:tc>
        <w:tc>
          <w:tcPr>
            <w:tcW w:type="dxa" w:w="4276"/>
            <w:vAlign w:val="top"/>
          </w:tcPr>
          <w:p>
            <w:pPr>
              <w:spacing w:after="60" w:line="259" w:lineRule="auto"/>
            </w:pPr>
            <w:r>
              <w:rPr>
                <w:rFonts w:ascii="Calibri" w:hAnsi="Calibri"/>
                <w:b w:val="0"/>
                <w:i w:val="0"/>
                <w:color w:val="212121"/>
                <w:sz w:val="19"/>
              </w:rPr>
              <w:t>ET and Parkinson's disease share overlapping tremor networks; longstanding ET, especially ET-plus with rest tremor, carries an elevated risk of later developing Parkinson's disease.</w:t>
            </w:r>
          </w:p>
          <w:p>
            <w:pPr>
              <w:spacing w:after="40" w:before="60" w:line="259" w:lineRule="auto"/>
            </w:pPr>
            <w:r>
              <w:rPr>
                <w:rFonts w:ascii="Calibri" w:hAnsi="Calibri"/>
                <w:b w:val="0"/>
                <w:i w:val="0"/>
                <w:color w:val="212121"/>
                <w:sz w:val="19"/>
              </w:rPr>
              <w:t>In one cohort about 3.6% of ET patients converted to Parkinson's disease over a mean 4.1 years — an incidence well above general-population rates.</w:t>
            </w:r>
          </w:p>
          <w:p>
            <w:pPr>
              <w:spacing w:after="40" w:line="252" w:lineRule="auto"/>
            </w:pPr>
            <w:hyperlink r:id="rId16">
              <w:r>
                <w:rPr>
                  <w:rFonts w:ascii="Calibri" w:hAnsi="Calibri" w:cs="Calibri"/>
                  <w:sz w:val="18"/>
                  <w:color w:val="1155CC"/>
                  <w:u w:val="single"/>
                </w:rPr>
                <w:t xml:space="preserve">neurology.org — ET to PD conversion</w:t>
              </w:r>
            </w:hyperlink>
          </w:p>
          <w:p>
            <w:pPr>
              <w:spacing w:before="60" w:after="40"/>
            </w:pPr>
            <w:r>
              <w:rPr>
                <w:rFonts w:ascii="Calibri" w:hAnsi="Calibri"/>
                <w:b w:val="0"/>
                <w:i w:val="0"/>
                <w:color w:val="5A5A5A"/>
                <w:sz w:val="18"/>
              </w:rPr>
              <w:t>#parkinsons  #resttremor  #ETplus  #conversion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Dystonia</w:t>
            </w:r>
          </w:p>
        </w:tc>
        <w:tc>
          <w:tcPr>
            <w:tcW w:type="dxa" w:w="2160"/>
            <w:vAlign w:val="top"/>
          </w:tcPr>
          <w:p>
            <w:pPr>
              <w:spacing w:after="40" w:before="0" w:line="259" w:lineRule="auto"/>
            </w:pPr>
            <w:r>
              <w:rPr>
                <w:rFonts w:ascii="Calibri" w:hAnsi="Calibri"/>
                <w:b w:val="0"/>
                <w:i w:val="0"/>
                <w:color w:val="212121"/>
                <w:sz w:val="19"/>
              </w:rPr>
              <w:t>Patients with dystonic posturing (ET-plus)</w:t>
            </w:r>
          </w:p>
        </w:tc>
        <w:tc>
          <w:tcPr>
            <w:tcW w:type="dxa" w:w="4276"/>
            <w:vAlign w:val="top"/>
          </w:tcPr>
          <w:p>
            <w:pPr>
              <w:spacing w:after="60" w:line="259" w:lineRule="auto"/>
            </w:pPr>
            <w:r>
              <w:rPr>
                <w:rFonts w:ascii="Calibri" w:hAnsi="Calibri"/>
                <w:b w:val="0"/>
                <w:i w:val="0"/>
                <w:color w:val="212121"/>
                <w:sz w:val="19"/>
              </w:rPr>
              <w:t>Questionable dystonic posturing is one of the soft signs defining ET-plus, and dystonic tremor is the main differential; overlap complicates classification and treatment choice.</w:t>
            </w:r>
          </w:p>
          <w:p>
            <w:pPr>
              <w:spacing w:after="40" w:before="60" w:line="259" w:lineRule="auto"/>
            </w:pPr>
            <w:r>
              <w:rPr>
                <w:rFonts w:ascii="Calibri" w:hAnsi="Calibri"/>
                <w:b w:val="0"/>
                <w:i w:val="0"/>
                <w:color w:val="212121"/>
                <w:sz w:val="19"/>
              </w:rPr>
              <w:t>Soft dystonic signs are a defining feature of the ET-plus category in the 2018 MDS classification.</w:t>
            </w:r>
          </w:p>
          <w:p>
            <w:pPr>
              <w:spacing w:after="40" w:line="252" w:lineRule="auto"/>
            </w:pPr>
            <w:hyperlink r:id="rId17">
              <w:r>
                <w:rPr>
                  <w:rFonts w:ascii="Calibri" w:hAnsi="Calibri" w:cs="Calibri"/>
                  <w:sz w:val="18"/>
                  <w:color w:val="1155CC"/>
                  <w:u w:val="single"/>
                </w:rPr>
                <w:t xml:space="preserve">e-jmd.org — diagnosis vs classification of ET</w:t>
              </w:r>
            </w:hyperlink>
          </w:p>
          <w:p>
            <w:pPr>
              <w:spacing w:before="60" w:after="40"/>
            </w:pPr>
            <w:r>
              <w:rPr>
                <w:rFonts w:ascii="Calibri" w:hAnsi="Calibri"/>
                <w:b w:val="0"/>
                <w:i w:val="0"/>
                <w:color w:val="5A5A5A"/>
                <w:sz w:val="18"/>
              </w:rPr>
              <w:t>#dystonia  #ETplus  #dystonictremor  #softsigns  #differential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Adults with mood / anxiety disorders</w:t>
            </w:r>
          </w:p>
        </w:tc>
        <w:tc>
          <w:tcPr>
            <w:tcW w:type="dxa" w:w="4276"/>
            <w:vAlign w:val="top"/>
          </w:tcPr>
          <w:p>
            <w:pPr>
              <w:spacing w:after="60" w:line="259" w:lineRule="auto"/>
            </w:pPr>
            <w:r>
              <w:rPr>
                <w:rFonts w:ascii="Calibri" w:hAnsi="Calibri"/>
                <w:b w:val="0"/>
                <w:i w:val="0"/>
                <w:color w:val="212121"/>
                <w:sz w:val="19"/>
              </w:rPr>
              <w:t>ET has a bidirectional relationship with anxiety and depression: emotional arousal amplifies the tremor, while visible tremor and disability drive social embarrassment, low mood and avoidance.</w:t>
            </w:r>
          </w:p>
          <w:p>
            <w:pPr>
              <w:spacing w:after="40" w:before="60" w:line="259" w:lineRule="auto"/>
            </w:pPr>
            <w:r>
              <w:rPr>
                <w:rFonts w:ascii="Calibri" w:hAnsi="Calibri"/>
                <w:b w:val="0"/>
                <w:i w:val="0"/>
                <w:color w:val="212121"/>
                <w:sz w:val="19"/>
              </w:rPr>
              <w:t>Meta-analysis shows significantly higher depressive and anxiety symptom scores in ET patients (SMD 0.55, 95% CI 0.22–0.87).</w:t>
            </w:r>
          </w:p>
          <w:p>
            <w:pPr>
              <w:spacing w:after="40" w:line="252" w:lineRule="auto"/>
            </w:pPr>
            <w:hyperlink r:id="rId18">
              <w:r>
                <w:rPr>
                  <w:rFonts w:ascii="Calibri" w:hAnsi="Calibri" w:cs="Calibri"/>
                  <w:sz w:val="18"/>
                  <w:color w:val="1155CC"/>
                  <w:u w:val="single"/>
                </w:rPr>
                <w:t xml:space="preserve">frontiersin.org — ET, dementia &amp; affective disorders meta-analysis</w:t>
              </w:r>
            </w:hyperlink>
          </w:p>
          <w:p>
            <w:pPr>
              <w:spacing w:before="60" w:after="40"/>
            </w:pPr>
            <w:r>
              <w:rPr>
                <w:rFonts w:ascii="Calibri" w:hAnsi="Calibri"/>
                <w:b w:val="0"/>
                <w:i w:val="0"/>
                <w:color w:val="5A5A5A"/>
                <w:sz w:val="18"/>
              </w:rPr>
              <w:t>#depression  #anxiety  #bidirectional  #socialembarrassment  #moodburden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Cognitive impairment / dementia</w:t>
            </w:r>
          </w:p>
        </w:tc>
        <w:tc>
          <w:tcPr>
            <w:tcW w:type="dxa" w:w="2160"/>
            <w:vAlign w:val="top"/>
          </w:tcPr>
          <w:p>
            <w:pPr>
              <w:spacing w:after="40" w:before="0" w:line="259" w:lineRule="auto"/>
            </w:pPr>
            <w:r>
              <w:rPr>
                <w:rFonts w:ascii="Calibri" w:hAnsi="Calibri"/>
                <w:b w:val="0"/>
                <w:i w:val="0"/>
                <w:color w:val="212121"/>
                <w:sz w:val="19"/>
              </w:rPr>
              <w:t>Elderly / late-onset ET patients</w:t>
            </w:r>
          </w:p>
        </w:tc>
        <w:tc>
          <w:tcPr>
            <w:tcW w:type="dxa" w:w="4276"/>
            <w:vAlign w:val="top"/>
          </w:tcPr>
          <w:p>
            <w:pPr>
              <w:spacing w:after="60" w:line="259" w:lineRule="auto"/>
            </w:pPr>
            <w:r>
              <w:rPr>
                <w:rFonts w:ascii="Calibri" w:hAnsi="Calibri"/>
                <w:b w:val="0"/>
                <w:i w:val="0"/>
                <w:color w:val="212121"/>
                <w:sz w:val="19"/>
              </w:rPr>
              <w:t>Late-onset ET, particularly ET-plus, is associated with mild cognitive impairment and an increased risk of dementia, likely reflecting shared cerebellar–cortical network degeneration.</w:t>
            </w:r>
          </w:p>
          <w:p>
            <w:pPr>
              <w:spacing w:after="40" w:before="60" w:line="259" w:lineRule="auto"/>
            </w:pPr>
            <w:r>
              <w:rPr>
                <w:rFonts w:ascii="Calibri" w:hAnsi="Calibri"/>
                <w:b w:val="0"/>
                <w:i w:val="0"/>
                <w:color w:val="212121"/>
                <w:sz w:val="19"/>
              </w:rPr>
              <w:t>ET is associated with dementia and affective disorders (pooled OR 2.49, 95% CI 2.17–2.85) and with lower MMSE scores.</w:t>
            </w:r>
          </w:p>
          <w:p>
            <w:pPr>
              <w:spacing w:after="40" w:line="252" w:lineRule="auto"/>
            </w:pPr>
            <w:hyperlink r:id="rId18">
              <w:r>
                <w:rPr>
                  <w:rFonts w:ascii="Calibri" w:hAnsi="Calibri" w:cs="Calibri"/>
                  <w:sz w:val="18"/>
                  <w:color w:val="1155CC"/>
                  <w:u w:val="single"/>
                </w:rPr>
                <w:t xml:space="preserve">frontiersin.org — ET, dementia &amp; affective disorders meta-analysis</w:t>
              </w:r>
            </w:hyperlink>
          </w:p>
          <w:p>
            <w:pPr>
              <w:spacing w:before="60" w:after="40"/>
            </w:pPr>
            <w:r>
              <w:rPr>
                <w:rFonts w:ascii="Calibri" w:hAnsi="Calibri"/>
                <w:b w:val="0"/>
                <w:i w:val="0"/>
                <w:color w:val="5A5A5A"/>
                <w:sz w:val="18"/>
              </w:rPr>
              <w:t>#cognitiveimpairment  #dementia  #MCI  #lateonset  #ETplus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Hearing loss</w:t>
            </w:r>
          </w:p>
        </w:tc>
        <w:tc>
          <w:tcPr>
            <w:tcW w:type="dxa" w:w="2160"/>
            <w:vAlign w:val="top"/>
          </w:tcPr>
          <w:p>
            <w:pPr>
              <w:spacing w:after="40" w:before="0" w:line="259" w:lineRule="auto"/>
            </w:pPr>
            <w:r>
              <w:rPr>
                <w:rFonts w:ascii="Calibri" w:hAnsi="Calibri"/>
                <w:b w:val="0"/>
                <w:i w:val="0"/>
                <w:color w:val="212121"/>
                <w:sz w:val="19"/>
              </w:rPr>
              <w:t>Older ET patients</w:t>
            </w:r>
          </w:p>
        </w:tc>
        <w:tc>
          <w:tcPr>
            <w:tcW w:type="dxa" w:w="4276"/>
            <w:vAlign w:val="top"/>
          </w:tcPr>
          <w:p>
            <w:pPr>
              <w:spacing w:after="60" w:line="259" w:lineRule="auto"/>
            </w:pPr>
            <w:r>
              <w:rPr>
                <w:rFonts w:ascii="Calibri" w:hAnsi="Calibri"/>
                <w:b w:val="0"/>
                <w:i w:val="0"/>
                <w:color w:val="212121"/>
                <w:sz w:val="19"/>
              </w:rPr>
              <w:t>Sensorineural hearing impairment and other auditory deficits occur more often in ET than expected for age, consistent with wider cerebellar and brainstem network involvement.</w:t>
            </w:r>
          </w:p>
          <w:p>
            <w:pPr>
              <w:spacing w:after="40" w:before="60" w:line="259" w:lineRule="auto"/>
            </w:pPr>
            <w:r>
              <w:rPr>
                <w:rFonts w:ascii="Calibri" w:hAnsi="Calibri"/>
                <w:b w:val="0"/>
                <w:i w:val="0"/>
                <w:color w:val="212121"/>
                <w:sz w:val="19"/>
              </w:rPr>
              <w:t>Reviews report auditory (and olfactory) deficits as recognised non-motor associations of essential tremor.</w:t>
            </w:r>
          </w:p>
          <w:p>
            <w:pPr>
              <w:spacing w:after="40" w:line="252" w:lineRule="auto"/>
            </w:pPr>
            <w:hyperlink r:id="rId19">
              <w:r>
                <w:rPr>
                  <w:rFonts w:ascii="Calibri" w:hAnsi="Calibri" w:cs="Calibri"/>
                  <w:sz w:val="18"/>
                  <w:color w:val="1155CC"/>
                  <w:u w:val="single"/>
                </w:rPr>
                <w:t xml:space="preserve">tremorjournal.org — auditory &amp; olfactory deficits in ET</w:t>
              </w:r>
            </w:hyperlink>
          </w:p>
          <w:p>
            <w:pPr>
              <w:spacing w:before="60" w:after="40"/>
            </w:pPr>
            <w:r>
              <w:rPr>
                <w:rFonts w:ascii="Calibri" w:hAnsi="Calibri"/>
                <w:b w:val="0"/>
                <w:i w:val="0"/>
                <w:color w:val="5A5A5A"/>
                <w:sz w:val="18"/>
              </w:rPr>
              <w:t>#hearingloss  #auditory  #nonmotor  #cerebellar  #sensory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does not prevent ET, but deconditioning, fatigue and weak proximal stabilisation worsen functional tremor; task-specific exercise, occupational therapy and the use of weighted/adaptive utensils measurably improve day-to-day performance.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dietary exposure to β-carboline alkaloids (e.g., harmane in well-cooked/charred meat) is tremorgenic in animal models and found at higher blood levels in ET patients; otherwise meal composition has little direct effect except via caffeine and hypoglycaemia.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and fatigue raise adrenergic tone and amplify tremor amplitude; ET is also associated with poorer sleep quality, creating a bidirectional loop between fatigue and tremor.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is an adrenergic stimulant that can transiently increase tremor amplitude, and harmane in tobacco smoke has been proposed as an additional β-carboline exposure.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About half of ET patients report transient tremor relief with alcohol (objective responsiveness ~46–67%, higher in familial ET); this drives self-medication, rebound worsening and a raised risk of alcohol use disorder.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stress and emotional arousal markedly amplify action tremor, and ET is bidirectionally associated with depression and anxiety (higher symptom scores, SMD 0.55), worsening perceived disability.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established direct effect on ET; marked dehydration, fasting or hypoglycaemia can transiently enhance physiological and essential tremor.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and other adrenergic stimulants reliably increase tremor amplitude; reducing high habitual intake (often &gt;400 mg/day) is a standard first-line lifestyle measure.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link to causation, but severe hand tremor impairs grooming, shaving and other self-care activities, indirectly affecting hygiene and independence.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anxiety, caffeine, nicotine, fatigue, hunger/hypoglycaemia, and stimulant or bronchodilator drugs (salbutamol, decongestants, valproate, lithium) provoke or worsen tremor and should be reviewed at every visit.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ET is a postural and kinetic (action) tremor by definition: it appears when a posture is held against gravity (arms outstretched) and during goal-directed movement, and is absent or minimal at complete rest — the key clinical distinction from parkinsonian rest tremor.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with ET, heavy tea/coffee drinkers</w:t>
            </w:r>
          </w:p>
        </w:tc>
        <w:tc>
          <w:tcPr>
            <w:tcW w:type="dxa" w:w="1512"/>
            <w:vAlign w:val="top"/>
          </w:tcPr>
          <w:p>
            <w:pPr>
              <w:spacing w:after="40" w:before="0" w:line="259" w:lineRule="auto"/>
            </w:pPr>
            <w:r>
              <w:rPr>
                <w:rFonts w:ascii="Calibri" w:hAnsi="Calibri"/>
                <w:b w:val="0"/>
                <w:i w:val="0"/>
                <w:color w:val="212121"/>
                <w:sz w:val="19"/>
              </w:rPr>
              <w:t>&lt; 200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Adrenergic stimulation increases tremor amplitude; reduce or eliminate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(standard drinks/week)</w:t>
            </w:r>
          </w:p>
        </w:tc>
        <w:tc>
          <w:tcPr>
            <w:tcW w:type="dxa" w:w="1655"/>
            <w:vAlign w:val="top"/>
          </w:tcPr>
          <w:p>
            <w:pPr>
              <w:spacing w:after="40" w:before="0" w:line="259" w:lineRule="auto"/>
            </w:pPr>
            <w:r>
              <w:rPr>
                <w:rFonts w:ascii="Calibri" w:hAnsi="Calibri"/>
                <w:b w:val="0"/>
                <w:i w:val="0"/>
                <w:color w:val="212121"/>
                <w:sz w:val="19"/>
              </w:rPr>
              <w:t>Adults tempted to self-medicate</w:t>
            </w:r>
          </w:p>
        </w:tc>
        <w:tc>
          <w:tcPr>
            <w:tcW w:type="dxa" w:w="1512"/>
            <w:vAlign w:val="top"/>
          </w:tcPr>
          <w:p>
            <w:pPr>
              <w:spacing w:after="40" w:before="0" w:line="259" w:lineRule="auto"/>
            </w:pPr>
            <w:r>
              <w:rPr>
                <w:rFonts w:ascii="Calibri" w:hAnsi="Calibri"/>
                <w:b w:val="0"/>
                <w:i w:val="0"/>
                <w:color w:val="212121"/>
                <w:sz w:val="19"/>
              </w:rPr>
              <w:t>≤ 7 drinks/week (avoid self-medication)</w:t>
            </w:r>
          </w:p>
        </w:tc>
        <w:tc>
          <w:tcPr>
            <w:tcW w:type="dxa" w:w="1512"/>
            <w:vAlign w:val="top"/>
          </w:tcPr>
          <w:p>
            <w:pPr>
              <w:spacing w:after="40" w:before="0" w:line="259" w:lineRule="auto"/>
            </w:pPr>
            <w:r>
              <w:rPr>
                <w:rFonts w:ascii="Calibri" w:hAnsi="Calibri"/>
                <w:b w:val="0"/>
                <w:i w:val="0"/>
                <w:color w:val="212121"/>
                <w:sz w:val="19"/>
              </w:rPr>
              <w:t>Daily use for tremor control</w:t>
            </w:r>
          </w:p>
        </w:tc>
        <w:tc>
          <w:tcPr>
            <w:tcW w:type="dxa" w:w="1468"/>
            <w:vAlign w:val="top"/>
          </w:tcPr>
          <w:p>
            <w:pPr>
              <w:spacing w:after="60" w:line="259" w:lineRule="auto"/>
            </w:pPr>
            <w:r>
              <w:rPr>
                <w:rFonts w:ascii="Calibri" w:hAnsi="Calibri"/>
                <w:b w:val="0"/>
                <w:i w:val="0"/>
                <w:color w:val="212121"/>
                <w:sz w:val="19"/>
              </w:rPr>
              <w:t>Transient relief followed by rebound; predisposes to dependence</w:t>
            </w:r>
          </w:p>
          <w:p>
            <w:pPr>
              <w:spacing w:after="40" w:line="252" w:lineRule="auto"/>
            </w:pPr>
            <w:hyperlink r:id="rId14">
              <w:r>
                <w:rPr>
                  <w:rFonts w:ascii="Calibri" w:hAnsi="Calibri" w:cs="Calibri"/>
                  <w:sz w:val="18"/>
                  <w:color w:val="1155CC"/>
                  <w:u w:val="single"/>
                </w:rPr>
                <w:t xml:space="preserve">https://tremorjournal.org/articles/10.5334/tohm.923</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fatigued</w:t>
            </w:r>
          </w:p>
        </w:tc>
        <w:tc>
          <w:tcPr>
            <w:tcW w:type="dxa" w:w="1468"/>
            <w:vAlign w:val="top"/>
          </w:tcPr>
          <w:p>
            <w:pPr>
              <w:spacing w:after="40" w:before="0" w:line="259" w:lineRule="auto"/>
            </w:pPr>
            <w:r>
              <w:rPr>
                <w:rFonts w:ascii="Calibri" w:hAnsi="Calibri"/>
                <w:b w:val="0"/>
                <w:i w:val="0"/>
                <w:color w:val="212121"/>
                <w:sz w:val="19"/>
              </w:rPr>
              <w:t>Fatigue and sleep loss amplify tremor amplitude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Nicotine is an adrenergic stimulant that worsens tremor</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Anxiety score (GAD-7)</w:t>
            </w:r>
          </w:p>
        </w:tc>
        <w:tc>
          <w:tcPr>
            <w:tcW w:type="dxa" w:w="1655"/>
            <w:vAlign w:val="top"/>
          </w:tcPr>
          <w:p>
            <w:pPr>
              <w:spacing w:after="40" w:before="0" w:line="259" w:lineRule="auto"/>
            </w:pPr>
            <w:r>
              <w:rPr>
                <w:rFonts w:ascii="Calibri" w:hAnsi="Calibri"/>
                <w:b w:val="0"/>
                <w:i w:val="0"/>
                <w:color w:val="212121"/>
                <w:sz w:val="19"/>
              </w:rPr>
              <w:t>Adults with stress/anxiety</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 10 (moderate–severe anxiety)</w:t>
            </w:r>
          </w:p>
        </w:tc>
        <w:tc>
          <w:tcPr>
            <w:tcW w:type="dxa" w:w="1468"/>
            <w:vAlign w:val="top"/>
          </w:tcPr>
          <w:p>
            <w:pPr>
              <w:spacing w:after="40" w:before="0" w:line="259" w:lineRule="auto"/>
            </w:pPr>
            <w:r>
              <w:rPr>
                <w:rFonts w:ascii="Calibri" w:hAnsi="Calibri"/>
                <w:b w:val="0"/>
                <w:i w:val="0"/>
                <w:color w:val="212121"/>
                <w:sz w:val="19"/>
              </w:rPr>
              <w:t>Emotional arousal is a potent tremor amplifier; screen and treat</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Functional tremor / ADL score (e.g., TETRAS-ADL)</w:t>
            </w:r>
          </w:p>
        </w:tc>
        <w:tc>
          <w:tcPr>
            <w:tcW w:type="dxa" w:w="1655"/>
            <w:vAlign w:val="top"/>
          </w:tcPr>
          <w:p>
            <w:pPr>
              <w:spacing w:after="40" w:before="0" w:line="259" w:lineRule="auto"/>
            </w:pPr>
            <w:r>
              <w:rPr>
                <w:rFonts w:ascii="Calibri" w:hAnsi="Calibri"/>
                <w:b w:val="0"/>
                <w:i w:val="0"/>
                <w:color w:val="212121"/>
                <w:sz w:val="19"/>
              </w:rPr>
              <w:t>Patients with hand tremor</w:t>
            </w:r>
          </w:p>
        </w:tc>
        <w:tc>
          <w:tcPr>
            <w:tcW w:type="dxa" w:w="1512"/>
            <w:vAlign w:val="top"/>
          </w:tcPr>
          <w:p>
            <w:pPr>
              <w:spacing w:after="40" w:before="0" w:line="259" w:lineRule="auto"/>
            </w:pPr>
            <w:r>
              <w:rPr>
                <w:rFonts w:ascii="Calibri" w:hAnsi="Calibri"/>
                <w:b w:val="0"/>
                <w:i w:val="0"/>
                <w:color w:val="212121"/>
                <w:sz w:val="19"/>
              </w:rPr>
              <w:t>Low score / independent in ADLs</w:t>
            </w:r>
          </w:p>
        </w:tc>
        <w:tc>
          <w:tcPr>
            <w:tcW w:type="dxa" w:w="1512"/>
            <w:vAlign w:val="top"/>
          </w:tcPr>
          <w:p>
            <w:pPr>
              <w:spacing w:after="40" w:before="0" w:line="259" w:lineRule="auto"/>
            </w:pPr>
            <w:r>
              <w:rPr>
                <w:rFonts w:ascii="Calibri" w:hAnsi="Calibri"/>
                <w:b w:val="0"/>
                <w:i w:val="0"/>
                <w:color w:val="212121"/>
                <w:sz w:val="19"/>
              </w:rPr>
              <w:t>Rising score, dependence in writing/eating/drinking</w:t>
            </w:r>
          </w:p>
        </w:tc>
        <w:tc>
          <w:tcPr>
            <w:tcW w:type="dxa" w:w="1468"/>
            <w:vAlign w:val="top"/>
          </w:tcPr>
          <w:p>
            <w:pPr>
              <w:spacing w:after="40" w:before="0" w:line="259" w:lineRule="auto"/>
            </w:pPr>
            <w:r>
              <w:rPr>
                <w:rFonts w:ascii="Calibri" w:hAnsi="Calibri"/>
                <w:b w:val="0"/>
                <w:i w:val="0"/>
                <w:color w:val="212121"/>
                <w:sz w:val="19"/>
              </w:rPr>
              <w:t>Tracks disability and response to therapy; guides OT and adaptive aids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Tremor frequency (Hz)</w:t>
            </w:r>
          </w:p>
        </w:tc>
        <w:tc>
          <w:tcPr>
            <w:tcW w:type="dxa" w:w="1655"/>
            <w:vAlign w:val="top"/>
          </w:tcPr>
          <w:p>
            <w:pPr>
              <w:spacing w:after="40" w:before="0" w:line="259" w:lineRule="auto"/>
            </w:pPr>
            <w:r>
              <w:rPr>
                <w:rFonts w:ascii="Calibri" w:hAnsi="Calibri"/>
                <w:b w:val="0"/>
                <w:i w:val="0"/>
                <w:color w:val="212121"/>
                <w:sz w:val="19"/>
              </w:rPr>
              <w:t>Patients on accelerometry/EMG</w:t>
            </w:r>
          </w:p>
        </w:tc>
        <w:tc>
          <w:tcPr>
            <w:tcW w:type="dxa" w:w="1512"/>
            <w:vAlign w:val="top"/>
          </w:tcPr>
          <w:p>
            <w:pPr>
              <w:spacing w:after="40" w:before="0" w:line="259" w:lineRule="auto"/>
            </w:pPr>
            <w:r>
              <w:rPr>
                <w:rFonts w:ascii="Calibri" w:hAnsi="Calibri"/>
                <w:b w:val="0"/>
                <w:i w:val="0"/>
                <w:color w:val="212121"/>
                <w:sz w:val="19"/>
              </w:rPr>
              <w:t>4–12 Hz action tremor, no rest component</w:t>
            </w:r>
          </w:p>
        </w:tc>
        <w:tc>
          <w:tcPr>
            <w:tcW w:type="dxa" w:w="1512"/>
            <w:vAlign w:val="top"/>
          </w:tcPr>
          <w:p>
            <w:pPr>
              <w:spacing w:after="40" w:before="0" w:line="259" w:lineRule="auto"/>
            </w:pPr>
            <w:r>
              <w:rPr>
                <w:rFonts w:ascii="Calibri" w:hAnsi="Calibri"/>
                <w:b w:val="0"/>
                <w:i w:val="0"/>
                <w:color w:val="212121"/>
                <w:sz w:val="19"/>
              </w:rPr>
              <w:t>Rest tremor / &lt; 4 Hz suggests alternative diagnosis</w:t>
            </w:r>
          </w:p>
        </w:tc>
        <w:tc>
          <w:tcPr>
            <w:tcW w:type="dxa" w:w="1468"/>
            <w:vAlign w:val="top"/>
          </w:tcPr>
          <w:p>
            <w:pPr>
              <w:spacing w:after="40" w:before="0" w:line="259" w:lineRule="auto"/>
            </w:pPr>
            <w:r>
              <w:rPr>
                <w:rFonts w:ascii="Calibri" w:hAnsi="Calibri"/>
                <w:b w:val="0"/>
                <w:i w:val="0"/>
                <w:color w:val="212121"/>
                <w:sz w:val="19"/>
              </w:rPr>
              <w:t>Frequency slows with age (8–12 Hz young to 6–8 Hz elderly)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 (thyroid screen)</w:t>
            </w:r>
          </w:p>
        </w:tc>
        <w:tc>
          <w:tcPr>
            <w:tcW w:type="dxa" w:w="1655"/>
            <w:vAlign w:val="top"/>
          </w:tcPr>
          <w:p>
            <w:pPr>
              <w:spacing w:after="40" w:before="0" w:line="259" w:lineRule="auto"/>
            </w:pPr>
            <w:r>
              <w:rPr>
                <w:rFonts w:ascii="Calibri" w:hAnsi="Calibri"/>
                <w:b w:val="0"/>
                <w:i w:val="0"/>
                <w:color w:val="212121"/>
                <w:sz w:val="19"/>
              </w:rPr>
              <w:t>New tremor presentations</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Suppressed TSH (thyrotoxicosis)</w:t>
            </w:r>
          </w:p>
        </w:tc>
        <w:tc>
          <w:tcPr>
            <w:tcW w:type="dxa" w:w="1468"/>
            <w:vAlign w:val="top"/>
          </w:tcPr>
          <w:p>
            <w:pPr>
              <w:spacing w:after="40" w:before="0" w:line="259" w:lineRule="auto"/>
            </w:pPr>
            <w:r>
              <w:rPr>
                <w:rFonts w:ascii="Calibri" w:hAnsi="Calibri"/>
                <w:b w:val="0"/>
                <w:i w:val="0"/>
                <w:color w:val="212121"/>
                <w:sz w:val="19"/>
              </w:rPr>
              <w:t>Excludes thyrotoxic enhanced physiological tremor before diagnosing ET</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free T4)</w:t>
            </w:r>
          </w:p>
        </w:tc>
        <w:tc>
          <w:tcPr>
            <w:tcW w:type="dxa" w:w="892"/>
            <w:vAlign w:val="top"/>
          </w:tcPr>
          <w:p>
            <w:pPr>
              <w:spacing w:after="40" w:before="0" w:line="259" w:lineRule="auto"/>
            </w:pPr>
            <w:r>
              <w:rPr>
                <w:rFonts w:ascii="Calibri" w:hAnsi="Calibri"/>
                <w:b w:val="0"/>
                <w:i w:val="0"/>
                <w:color w:val="212121"/>
                <w:sz w:val="16"/>
              </w:rPr>
              <w:t>Thyroid Profile</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raised free T4</w:t>
            </w:r>
          </w:p>
        </w:tc>
        <w:tc>
          <w:tcPr>
            <w:tcW w:type="dxa" w:w="1036"/>
            <w:vAlign w:val="top"/>
          </w:tcPr>
          <w:p>
            <w:pPr>
              <w:spacing w:after="40" w:before="0" w:line="259" w:lineRule="auto"/>
            </w:pPr>
            <w:r>
              <w:rPr>
                <w:rFonts w:ascii="Calibri" w:hAnsi="Calibri"/>
                <w:b w:val="0"/>
                <w:i w:val="0"/>
                <w:color w:val="212121"/>
                <w:sz w:val="16"/>
              </w:rPr>
              <w:t>Excludes thyrotoxicosis as a cause of enhanced physiological tremor</w:t>
            </w:r>
          </w:p>
        </w:tc>
        <w:tc>
          <w:tcPr>
            <w:tcW w:type="dxa" w:w="1036"/>
            <w:vAlign w:val="top"/>
          </w:tcPr>
          <w:p>
            <w:pPr>
              <w:spacing w:after="40" w:before="0" w:line="259" w:lineRule="auto"/>
            </w:pPr>
            <w:r>
              <w:rPr>
                <w:rFonts w:ascii="Calibri" w:hAnsi="Calibri"/>
                <w:b w:val="0"/>
                <w:i w:val="0"/>
                <w:color w:val="212121"/>
                <w:sz w:val="16"/>
              </w:rPr>
              <w:t>All new tremor presentations, anxious/weight-loss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exclusion</w:t>
            </w:r>
          </w:p>
        </w:tc>
        <w:tc>
          <w:tcPr>
            <w:tcW w:type="dxa" w:w="720"/>
            <w:vAlign w:val="top"/>
          </w:tcPr>
          <w:p>
            <w:pPr>
              <w:spacing w:after="40" w:before="0" w:line="259" w:lineRule="auto"/>
            </w:pPr>
            <w:r>
              <w:rPr>
                <w:rFonts w:ascii="Calibri" w:hAnsi="Calibri"/>
                <w:b w:val="0"/>
                <w:i w:val="0"/>
                <w:color w:val="212121"/>
                <w:sz w:val="16"/>
              </w:rPr>
              <w:t>Mandatory first-line to rule out a treatable mimic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ceruloplasmin &amp; 24-h urinary copper</w:t>
            </w:r>
          </w:p>
        </w:tc>
        <w:tc>
          <w:tcPr>
            <w:tcW w:type="dxa" w:w="892"/>
            <w:vAlign w:val="top"/>
          </w:tcPr>
          <w:p>
            <w:pPr>
              <w:spacing w:after="40" w:before="0" w:line="259" w:lineRule="auto"/>
            </w:pPr>
            <w:r>
              <w:rPr>
                <w:rFonts w:ascii="Calibri" w:hAnsi="Calibri"/>
                <w:b w:val="0"/>
                <w:i w:val="0"/>
                <w:color w:val="212121"/>
                <w:sz w:val="16"/>
              </w:rPr>
              <w:t>Copper Studies</w:t>
            </w:r>
          </w:p>
        </w:tc>
        <w:tc>
          <w:tcPr>
            <w:tcW w:type="dxa" w:w="950"/>
            <w:vAlign w:val="top"/>
          </w:tcPr>
          <w:p>
            <w:pPr>
              <w:spacing w:after="40" w:before="0" w:line="259" w:lineRule="auto"/>
            </w:pPr>
            <w:r>
              <w:rPr>
                <w:rFonts w:ascii="Calibri" w:hAnsi="Calibri"/>
                <w:b w:val="0"/>
                <w:i w:val="0"/>
                <w:color w:val="212121"/>
                <w:sz w:val="16"/>
              </w:rPr>
              <w:t>Ceruloplasmin 20–40 mg/dL</w:t>
            </w:r>
          </w:p>
        </w:tc>
        <w:tc>
          <w:tcPr>
            <w:tcW w:type="dxa" w:w="950"/>
            <w:vAlign w:val="top"/>
          </w:tcPr>
          <w:p>
            <w:pPr>
              <w:spacing w:after="40" w:before="0" w:line="259" w:lineRule="auto"/>
            </w:pPr>
            <w:r>
              <w:rPr>
                <w:rFonts w:ascii="Calibri" w:hAnsi="Calibri"/>
                <w:b w:val="0"/>
                <w:i w:val="0"/>
                <w:color w:val="212121"/>
                <w:sz w:val="16"/>
              </w:rPr>
              <w:t>Low ceruloplasmin, high urinary copper</w:t>
            </w:r>
          </w:p>
        </w:tc>
        <w:tc>
          <w:tcPr>
            <w:tcW w:type="dxa" w:w="1036"/>
            <w:vAlign w:val="top"/>
          </w:tcPr>
          <w:p>
            <w:pPr>
              <w:spacing w:after="40" w:before="0" w:line="259" w:lineRule="auto"/>
            </w:pPr>
            <w:r>
              <w:rPr>
                <w:rFonts w:ascii="Calibri" w:hAnsi="Calibri"/>
                <w:b w:val="0"/>
                <w:i w:val="0"/>
                <w:color w:val="212121"/>
                <w:sz w:val="16"/>
              </w:rPr>
              <w:t>Screens for Wilson disease, essential in tremor onset under age 40</w:t>
            </w:r>
          </w:p>
        </w:tc>
        <w:tc>
          <w:tcPr>
            <w:tcW w:type="dxa" w:w="1036"/>
            <w:vAlign w:val="top"/>
          </w:tcPr>
          <w:p>
            <w:pPr>
              <w:spacing w:after="40" w:before="0" w:line="259" w:lineRule="auto"/>
            </w:pPr>
            <w:r>
              <w:rPr>
                <w:rFonts w:ascii="Calibri" w:hAnsi="Calibri"/>
                <w:b w:val="0"/>
                <w:i w:val="0"/>
                <w:color w:val="212121"/>
                <w:sz w:val="16"/>
              </w:rPr>
              <w:t>Young-onset tremor (&lt;40 y), with dystonia or liver signs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 (young onset)</w:t>
            </w:r>
          </w:p>
        </w:tc>
        <w:tc>
          <w:tcPr>
            <w:tcW w:type="dxa" w:w="720"/>
            <w:vAlign w:val="top"/>
          </w:tcPr>
          <w:p>
            <w:pPr>
              <w:spacing w:after="40" w:before="0" w:line="259" w:lineRule="auto"/>
            </w:pPr>
            <w:r>
              <w:rPr>
                <w:rFonts w:ascii="Calibri" w:hAnsi="Calibri"/>
                <w:b w:val="0"/>
                <w:i w:val="0"/>
                <w:color w:val="212121"/>
                <w:sz w:val="16"/>
              </w:rPr>
              <w:t>Add slit-lamp for Kayser–Fleischer rings if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glucose, renal &amp; liver function</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Hypoglycaemia, electrolyte or hepatic derangement</w:t>
            </w:r>
          </w:p>
        </w:tc>
        <w:tc>
          <w:tcPr>
            <w:tcW w:type="dxa" w:w="1036"/>
            <w:vAlign w:val="top"/>
          </w:tcPr>
          <w:p>
            <w:pPr>
              <w:spacing w:after="40" w:before="0" w:line="259" w:lineRule="auto"/>
            </w:pPr>
            <w:r>
              <w:rPr>
                <w:rFonts w:ascii="Calibri" w:hAnsi="Calibri"/>
                <w:b w:val="0"/>
                <w:i w:val="0"/>
                <w:color w:val="212121"/>
                <w:sz w:val="16"/>
              </w:rPr>
              <w:t>Excludes metabolic/hypoglycaemic tremor and provides a baseline before drug therapy</w:t>
            </w:r>
          </w:p>
        </w:tc>
        <w:tc>
          <w:tcPr>
            <w:tcW w:type="dxa" w:w="1036"/>
            <w:vAlign w:val="top"/>
          </w:tcPr>
          <w:p>
            <w:pPr>
              <w:spacing w:after="40" w:before="0" w:line="259" w:lineRule="auto"/>
            </w:pPr>
            <w:r>
              <w:rPr>
                <w:rFonts w:ascii="Calibri" w:hAnsi="Calibri"/>
                <w:b w:val="0"/>
                <w:i w:val="0"/>
                <w:color w:val="212121"/>
                <w:sz w:val="16"/>
              </w:rPr>
              <w:t>All patients, before starting propranolol/primidone</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Baseline / exclusion</w:t>
            </w:r>
          </w:p>
        </w:tc>
        <w:tc>
          <w:tcPr>
            <w:tcW w:type="dxa" w:w="720"/>
            <w:vAlign w:val="top"/>
          </w:tcPr>
          <w:p>
            <w:pPr>
              <w:spacing w:after="40" w:before="0" w:line="259" w:lineRule="auto"/>
            </w:pPr>
            <w:r>
              <w:rPr>
                <w:rFonts w:ascii="Calibri" w:hAnsi="Calibri"/>
                <w:b w:val="0"/>
                <w:i w:val="0"/>
                <w:color w:val="212121"/>
                <w:sz w:val="16"/>
              </w:rPr>
              <w:t>Also screens for alcohol-related liver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 / drug review</w:t>
            </w:r>
          </w:p>
        </w:tc>
        <w:tc>
          <w:tcPr>
            <w:tcW w:type="dxa" w:w="1036"/>
            <w:vAlign w:val="top"/>
          </w:tcPr>
          <w:p>
            <w:pPr>
              <w:spacing w:after="40" w:before="0" w:line="259" w:lineRule="auto"/>
            </w:pPr>
            <w:r>
              <w:rPr>
                <w:rFonts w:ascii="Calibri" w:hAnsi="Calibri"/>
                <w:b w:val="0"/>
                <w:i w:val="0"/>
                <w:color w:val="212121"/>
                <w:sz w:val="16"/>
              </w:rPr>
              <w:t>Drug &amp; toxin screen (medication reconciliation)</w:t>
            </w:r>
          </w:p>
        </w:tc>
        <w:tc>
          <w:tcPr>
            <w:tcW w:type="dxa" w:w="892"/>
            <w:vAlign w:val="top"/>
          </w:tcPr>
          <w:p>
            <w:pPr>
              <w:spacing w:after="40" w:before="0" w:line="259" w:lineRule="auto"/>
            </w:pPr>
            <w:r>
              <w:rPr>
                <w:rFonts w:ascii="Calibri" w:hAnsi="Calibri"/>
                <w:b w:val="0"/>
                <w:i w:val="0"/>
                <w:color w:val="212121"/>
                <w:sz w:val="16"/>
              </w:rPr>
              <w:t>Drug History</w:t>
            </w:r>
          </w:p>
        </w:tc>
        <w:tc>
          <w:tcPr>
            <w:tcW w:type="dxa" w:w="950"/>
            <w:vAlign w:val="top"/>
          </w:tcPr>
          <w:p>
            <w:pPr>
              <w:spacing w:after="40" w:before="0" w:line="259" w:lineRule="auto"/>
            </w:pPr>
            <w:r>
              <w:rPr>
                <w:rFonts w:ascii="Calibri" w:hAnsi="Calibri"/>
                <w:b w:val="0"/>
                <w:i w:val="0"/>
                <w:color w:val="212121"/>
                <w:sz w:val="16"/>
              </w:rPr>
              <w:t>No tremorgenic agents</w:t>
            </w:r>
          </w:p>
        </w:tc>
        <w:tc>
          <w:tcPr>
            <w:tcW w:type="dxa" w:w="950"/>
            <w:vAlign w:val="top"/>
          </w:tcPr>
          <w:p>
            <w:pPr>
              <w:spacing w:after="40" w:before="0" w:line="259" w:lineRule="auto"/>
            </w:pPr>
            <w:r>
              <w:rPr>
                <w:rFonts w:ascii="Calibri" w:hAnsi="Calibri"/>
                <w:b w:val="0"/>
                <w:i w:val="0"/>
                <w:color w:val="212121"/>
                <w:sz w:val="16"/>
              </w:rPr>
              <w:t>Use of β-agonists, valproate, lithium, SSRIs, stimulants</w:t>
            </w:r>
          </w:p>
        </w:tc>
        <w:tc>
          <w:tcPr>
            <w:tcW w:type="dxa" w:w="1036"/>
            <w:vAlign w:val="top"/>
          </w:tcPr>
          <w:p>
            <w:pPr>
              <w:spacing w:after="40" w:before="0" w:line="259" w:lineRule="auto"/>
            </w:pPr>
            <w:r>
              <w:rPr>
                <w:rFonts w:ascii="Calibri" w:hAnsi="Calibri"/>
                <w:b w:val="0"/>
                <w:i w:val="0"/>
                <w:color w:val="212121"/>
                <w:sz w:val="16"/>
              </w:rPr>
              <w:t>Identifies drug-induced or enhanced tremor that mimics ET</w:t>
            </w:r>
          </w:p>
        </w:tc>
        <w:tc>
          <w:tcPr>
            <w:tcW w:type="dxa" w:w="1036"/>
            <w:vAlign w:val="top"/>
          </w:tcPr>
          <w:p>
            <w:pPr>
              <w:spacing w:after="40" w:before="0" w:line="259" w:lineRule="auto"/>
            </w:pPr>
            <w:r>
              <w:rPr>
                <w:rFonts w:ascii="Calibri" w:hAnsi="Calibri"/>
                <w:b w:val="0"/>
                <w:i w:val="0"/>
                <w:color w:val="212121"/>
                <w:sz w:val="16"/>
              </w:rPr>
              <w:t>Patients on multiple drugs, asthmatics, psychiatric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Reversible with drug adjustment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Dopamine-transporter SPECT (DaTscan)</w:t>
            </w:r>
          </w:p>
        </w:tc>
        <w:tc>
          <w:tcPr>
            <w:tcW w:type="dxa" w:w="892"/>
            <w:vAlign w:val="top"/>
          </w:tcPr>
          <w:p>
            <w:pPr>
              <w:spacing w:after="40" w:before="0" w:line="259" w:lineRule="auto"/>
            </w:pPr>
            <w:r>
              <w:rPr>
                <w:rFonts w:ascii="Calibri" w:hAnsi="Calibri"/>
                <w:b w:val="0"/>
                <w:i w:val="0"/>
                <w:color w:val="212121"/>
                <w:sz w:val="16"/>
              </w:rPr>
              <w:t>Functional Imaging</w:t>
            </w:r>
          </w:p>
        </w:tc>
        <w:tc>
          <w:tcPr>
            <w:tcW w:type="dxa" w:w="950"/>
            <w:vAlign w:val="top"/>
          </w:tcPr>
          <w:p>
            <w:pPr>
              <w:spacing w:after="40" w:before="0" w:line="259" w:lineRule="auto"/>
            </w:pPr>
            <w:r>
              <w:rPr>
                <w:rFonts w:ascii="Calibri" w:hAnsi="Calibri"/>
                <w:b w:val="0"/>
                <w:i w:val="0"/>
                <w:color w:val="212121"/>
                <w:sz w:val="16"/>
              </w:rPr>
              <w:t>Normal striatal uptake in ET</w:t>
            </w:r>
          </w:p>
        </w:tc>
        <w:tc>
          <w:tcPr>
            <w:tcW w:type="dxa" w:w="950"/>
            <w:vAlign w:val="top"/>
          </w:tcPr>
          <w:p>
            <w:pPr>
              <w:spacing w:after="40" w:before="0" w:line="259" w:lineRule="auto"/>
            </w:pPr>
            <w:r>
              <w:rPr>
                <w:rFonts w:ascii="Calibri" w:hAnsi="Calibri"/>
                <w:b w:val="0"/>
                <w:i w:val="0"/>
                <w:color w:val="212121"/>
                <w:sz w:val="16"/>
              </w:rPr>
              <w:t>Reduced uptake suggests Parkinson's disease</w:t>
            </w:r>
          </w:p>
        </w:tc>
        <w:tc>
          <w:tcPr>
            <w:tcW w:type="dxa" w:w="1036"/>
            <w:vAlign w:val="top"/>
          </w:tcPr>
          <w:p>
            <w:pPr>
              <w:spacing w:after="40" w:before="0" w:line="259" w:lineRule="auto"/>
            </w:pPr>
            <w:r>
              <w:rPr>
                <w:rFonts w:ascii="Calibri" w:hAnsi="Calibri"/>
                <w:b w:val="0"/>
                <w:i w:val="0"/>
                <w:color w:val="212121"/>
                <w:sz w:val="16"/>
              </w:rPr>
              <w:t>Differentiates ET from parkinsonian tremor in equivocal cases</w:t>
            </w:r>
          </w:p>
        </w:tc>
        <w:tc>
          <w:tcPr>
            <w:tcW w:type="dxa" w:w="1036"/>
            <w:vAlign w:val="top"/>
          </w:tcPr>
          <w:p>
            <w:pPr>
              <w:spacing w:after="40" w:before="0" w:line="259" w:lineRule="auto"/>
            </w:pPr>
            <w:r>
              <w:rPr>
                <w:rFonts w:ascii="Calibri" w:hAnsi="Calibri"/>
                <w:b w:val="0"/>
                <w:i w:val="0"/>
                <w:color w:val="212121"/>
                <w:sz w:val="16"/>
              </w:rPr>
              <w:t>ET-plus with rest tremor, diagnostic uncertainty vs PD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Differential (selected cases)</w:t>
            </w:r>
          </w:p>
        </w:tc>
        <w:tc>
          <w:tcPr>
            <w:tcW w:type="dxa" w:w="720"/>
            <w:vAlign w:val="top"/>
          </w:tcPr>
          <w:p>
            <w:pPr>
              <w:spacing w:after="40" w:before="0" w:line="259" w:lineRule="auto"/>
            </w:pPr>
            <w:r>
              <w:rPr>
                <w:rFonts w:ascii="Calibri" w:hAnsi="Calibri"/>
                <w:b w:val="0"/>
                <w:i w:val="0"/>
                <w:color w:val="212121"/>
                <w:sz w:val="16"/>
              </w:rPr>
              <w:t>Not routine; reserved for atypical presentations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w:t>
            </w:r>
          </w:p>
        </w:tc>
        <w:tc>
          <w:tcPr>
            <w:tcW w:type="dxa" w:w="892"/>
            <w:vAlign w:val="top"/>
          </w:tcPr>
          <w:p>
            <w:pPr>
              <w:spacing w:after="40" w:before="0" w:line="259" w:lineRule="auto"/>
            </w:pPr>
            <w:r>
              <w:rPr>
                <w:rFonts w:ascii="Calibri" w:hAnsi="Calibri"/>
                <w:b w:val="0"/>
                <w:i w:val="0"/>
                <w:color w:val="212121"/>
                <w:sz w:val="16"/>
              </w:rPr>
              <w:t>Structural Imaging</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Cerebellar, thalamic or structural lesion</w:t>
            </w:r>
          </w:p>
        </w:tc>
        <w:tc>
          <w:tcPr>
            <w:tcW w:type="dxa" w:w="1036"/>
            <w:vAlign w:val="top"/>
          </w:tcPr>
          <w:p>
            <w:pPr>
              <w:spacing w:after="40" w:before="0" w:line="259" w:lineRule="auto"/>
            </w:pPr>
            <w:r>
              <w:rPr>
                <w:rFonts w:ascii="Calibri" w:hAnsi="Calibri"/>
                <w:b w:val="0"/>
                <w:i w:val="0"/>
                <w:color w:val="212121"/>
                <w:sz w:val="16"/>
              </w:rPr>
              <w:t>Excludes secondary/structural causes when features are atypical or unilateral</w:t>
            </w:r>
          </w:p>
        </w:tc>
        <w:tc>
          <w:tcPr>
            <w:tcW w:type="dxa" w:w="1036"/>
            <w:vAlign w:val="top"/>
          </w:tcPr>
          <w:p>
            <w:pPr>
              <w:spacing w:after="40" w:before="0" w:line="259" w:lineRule="auto"/>
            </w:pPr>
            <w:r>
              <w:rPr>
                <w:rFonts w:ascii="Calibri" w:hAnsi="Calibri"/>
                <w:b w:val="0"/>
                <w:i w:val="0"/>
                <w:color w:val="212121"/>
                <w:sz w:val="16"/>
              </w:rPr>
              <w:t>Atypical, asymmetric, or rapidly progressive tremor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 (atypical)</w:t>
            </w:r>
          </w:p>
        </w:tc>
        <w:tc>
          <w:tcPr>
            <w:tcW w:type="dxa" w:w="720"/>
            <w:vAlign w:val="top"/>
          </w:tcPr>
          <w:p>
            <w:pPr>
              <w:spacing w:after="40" w:before="0" w:line="259" w:lineRule="auto"/>
            </w:pPr>
            <w:r>
              <w:rPr>
                <w:rFonts w:ascii="Calibri" w:hAnsi="Calibri"/>
                <w:b w:val="0"/>
                <w:i w:val="0"/>
                <w:color w:val="212121"/>
                <w:sz w:val="16"/>
              </w:rPr>
              <w:t>Normal in classic 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Surface EMG &amp; accelerometry</w:t>
            </w:r>
          </w:p>
        </w:tc>
        <w:tc>
          <w:tcPr>
            <w:tcW w:type="dxa" w:w="892"/>
            <w:vAlign w:val="top"/>
          </w:tcPr>
          <w:p>
            <w:pPr>
              <w:spacing w:after="40" w:before="0" w:line="259" w:lineRule="auto"/>
            </w:pPr>
            <w:r>
              <w:rPr>
                <w:rFonts w:ascii="Calibri" w:hAnsi="Calibri"/>
                <w:b w:val="0"/>
                <w:i w:val="0"/>
                <w:color w:val="212121"/>
                <w:sz w:val="16"/>
              </w:rPr>
              <w:t>Tremor Analysis</w:t>
            </w:r>
          </w:p>
        </w:tc>
        <w:tc>
          <w:tcPr>
            <w:tcW w:type="dxa" w:w="950"/>
            <w:vAlign w:val="top"/>
          </w:tcPr>
          <w:p>
            <w:pPr>
              <w:spacing w:after="40" w:before="0" w:line="259" w:lineRule="auto"/>
            </w:pPr>
            <w:r>
              <w:rPr>
                <w:rFonts w:ascii="Calibri" w:hAnsi="Calibri"/>
                <w:b w:val="0"/>
                <w:i w:val="0"/>
                <w:color w:val="212121"/>
                <w:sz w:val="16"/>
              </w:rPr>
              <w:t>4–12 Hz action tremor, no rest component</w:t>
            </w:r>
          </w:p>
        </w:tc>
        <w:tc>
          <w:tcPr>
            <w:tcW w:type="dxa" w:w="950"/>
            <w:vAlign w:val="top"/>
          </w:tcPr>
          <w:p>
            <w:pPr>
              <w:spacing w:after="40" w:before="0" w:line="259" w:lineRule="auto"/>
            </w:pPr>
            <w:r>
              <w:rPr>
                <w:rFonts w:ascii="Calibri" w:hAnsi="Calibri"/>
                <w:b w:val="0"/>
                <w:i w:val="0"/>
                <w:color w:val="212121"/>
                <w:sz w:val="16"/>
              </w:rPr>
              <w:t>Rest tremor, &lt;4 Hz, or re-emergent pattern</w:t>
            </w:r>
          </w:p>
        </w:tc>
        <w:tc>
          <w:tcPr>
            <w:tcW w:type="dxa" w:w="1036"/>
            <w:vAlign w:val="top"/>
          </w:tcPr>
          <w:p>
            <w:pPr>
              <w:spacing w:after="40" w:before="0" w:line="259" w:lineRule="auto"/>
            </w:pPr>
            <w:r>
              <w:rPr>
                <w:rFonts w:ascii="Calibri" w:hAnsi="Calibri"/>
                <w:b w:val="0"/>
                <w:i w:val="0"/>
                <w:color w:val="212121"/>
                <w:sz w:val="16"/>
              </w:rPr>
              <w:t>Objectively characterises tremor frequency, amplitude and activation for classification</w:t>
            </w:r>
          </w:p>
        </w:tc>
        <w:tc>
          <w:tcPr>
            <w:tcW w:type="dxa" w:w="1036"/>
            <w:vAlign w:val="top"/>
          </w:tcPr>
          <w:p>
            <w:pPr>
              <w:spacing w:after="40" w:before="0" w:line="259" w:lineRule="auto"/>
            </w:pPr>
            <w:r>
              <w:rPr>
                <w:rFonts w:ascii="Calibri" w:hAnsi="Calibri"/>
                <w:b w:val="0"/>
                <w:i w:val="0"/>
                <w:color w:val="212121"/>
                <w:sz w:val="16"/>
              </w:rPr>
              <w:t>Diagnostic uncertainty, research, pre-surgical work-up</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Characterisation</w:t>
            </w:r>
          </w:p>
        </w:tc>
        <w:tc>
          <w:tcPr>
            <w:tcW w:type="dxa" w:w="720"/>
            <w:vAlign w:val="top"/>
          </w:tcPr>
          <w:p>
            <w:pPr>
              <w:spacing w:after="40" w:before="0" w:line="259" w:lineRule="auto"/>
            </w:pPr>
            <w:r>
              <w:rPr>
                <w:rFonts w:ascii="Calibri" w:hAnsi="Calibri"/>
                <w:b w:val="0"/>
                <w:i w:val="0"/>
                <w:color w:val="212121"/>
                <w:sz w:val="16"/>
              </w:rPr>
              <w:t>Helps separate ET from dystonic/parkinsonian tremor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Bilateral action tremor of the hands worse with activity</w:t>
            </w:r>
          </w:p>
        </w:tc>
        <w:tc>
          <w:tcPr>
            <w:tcW w:type="dxa" w:w="950"/>
            <w:vAlign w:val="top"/>
          </w:tcPr>
          <w:p>
            <w:pPr>
              <w:spacing w:after="40" w:before="0" w:line="259" w:lineRule="auto"/>
            </w:pPr>
            <w:r>
              <w:rPr>
                <w:rFonts w:ascii="Calibri" w:hAnsi="Calibri"/>
                <w:b w:val="0"/>
                <w:i w:val="0"/>
                <w:color w:val="212121"/>
                <w:sz w:val="16"/>
              </w:rPr>
              <w:t>No tremor</w:t>
            </w:r>
          </w:p>
        </w:tc>
        <w:tc>
          <w:tcPr>
            <w:tcW w:type="dxa" w:w="950"/>
            <w:vAlign w:val="top"/>
          </w:tcPr>
          <w:p>
            <w:pPr>
              <w:spacing w:after="40" w:before="0" w:line="259" w:lineRule="auto"/>
            </w:pPr>
            <w:r>
              <w:rPr>
                <w:rFonts w:ascii="Calibri" w:hAnsi="Calibri"/>
                <w:b w:val="0"/>
                <w:i w:val="0"/>
                <w:color w:val="212121"/>
                <w:sz w:val="16"/>
              </w:rPr>
              <w:t>Postural/kinetic hand tremor ≥ 3 years</w:t>
            </w:r>
          </w:p>
        </w:tc>
        <w:tc>
          <w:tcPr>
            <w:tcW w:type="dxa" w:w="1036"/>
            <w:vAlign w:val="top"/>
          </w:tcPr>
          <w:p>
            <w:pPr>
              <w:spacing w:after="40" w:before="0" w:line="259" w:lineRule="auto"/>
            </w:pPr>
            <w:r>
              <w:rPr>
                <w:rFonts w:ascii="Calibri" w:hAnsi="Calibri"/>
                <w:b w:val="0"/>
                <w:i w:val="0"/>
                <w:color w:val="212121"/>
                <w:sz w:val="16"/>
              </w:rPr>
              <w:t>Core feature of ET; worsens with writing, eating, drinking and stress</w:t>
            </w:r>
          </w:p>
        </w:tc>
        <w:tc>
          <w:tcPr>
            <w:tcW w:type="dxa" w:w="1036"/>
            <w:vAlign w:val="top"/>
          </w:tcPr>
          <w:p>
            <w:pPr>
              <w:spacing w:after="40" w:before="0" w:line="259" w:lineRule="auto"/>
            </w:pPr>
            <w:r>
              <w:rPr>
                <w:rFonts w:ascii="Calibri" w:hAnsi="Calibri"/>
                <w:b w:val="0"/>
                <w:i w:val="0"/>
                <w:color w:val="212121"/>
                <w:sz w:val="16"/>
              </w:rPr>
              <w:t>Adults with progressive action tremor</w:t>
            </w:r>
          </w:p>
        </w:tc>
        <w:tc>
          <w:tcPr>
            <w:tcW w:type="dxa" w:w="720"/>
            <w:vAlign w:val="top"/>
          </w:tcPr>
          <w:p>
            <w:pPr>
              <w:spacing w:after="40" w:before="0" w:line="259" w:lineRule="auto"/>
            </w:pPr>
            <w:r>
              <w:rPr>
                <w:rFonts w:ascii="Calibri" w:hAnsi="Calibri"/>
                <w:b w:val="0"/>
                <w:i w:val="0"/>
                <w:color w:val="212121"/>
                <w:sz w:val="16"/>
              </w:rPr>
              <w:t>Posture; Mental health</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Duration ≥3 years supports ET over acute causes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tremor</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Supports autosomal-dominant familial ET; predicts earlier, alcohol-responsive disease</w:t>
            </w:r>
          </w:p>
        </w:tc>
        <w:tc>
          <w:tcPr>
            <w:tcW w:type="dxa" w:w="1036"/>
            <w:vAlign w:val="top"/>
          </w:tcPr>
          <w:p>
            <w:pPr>
              <w:spacing w:after="40" w:before="0" w:line="259" w:lineRule="auto"/>
            </w:pPr>
            <w:r>
              <w:rPr>
                <w:rFonts w:ascii="Calibri" w:hAnsi="Calibri"/>
                <w:b w:val="0"/>
                <w:i w:val="0"/>
                <w:color w:val="212121"/>
                <w:sz w:val="16"/>
              </w:rPr>
              <w:t>Familial clusters, young-onset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Familial in ~50–70%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response</w:t>
            </w:r>
          </w:p>
        </w:tc>
        <w:tc>
          <w:tcPr>
            <w:tcW w:type="dxa" w:w="979"/>
            <w:vAlign w:val="top"/>
          </w:tcPr>
          <w:p>
            <w:pPr>
              <w:spacing w:after="40" w:before="0" w:line="259" w:lineRule="auto"/>
            </w:pPr>
            <w:r>
              <w:rPr>
                <w:rFonts w:ascii="Calibri" w:hAnsi="Calibri"/>
                <w:b w:val="0"/>
                <w:i w:val="0"/>
                <w:color w:val="212121"/>
                <w:sz w:val="16"/>
              </w:rPr>
              <w:t>Transient tremor improvement after alcohol</w:t>
            </w:r>
          </w:p>
        </w:tc>
        <w:tc>
          <w:tcPr>
            <w:tcW w:type="dxa" w:w="950"/>
            <w:vAlign w:val="top"/>
          </w:tcPr>
          <w:p>
            <w:pPr>
              <w:spacing w:after="40" w:before="0" w:line="259" w:lineRule="auto"/>
            </w:pPr>
            <w:r>
              <w:rPr>
                <w:rFonts w:ascii="Calibri" w:hAnsi="Calibri"/>
                <w:b w:val="0"/>
                <w:i w:val="0"/>
                <w:color w:val="212121"/>
                <w:sz w:val="16"/>
              </w:rPr>
              <w:t>No response</w:t>
            </w:r>
          </w:p>
        </w:tc>
        <w:tc>
          <w:tcPr>
            <w:tcW w:type="dxa" w:w="950"/>
            <w:vAlign w:val="top"/>
          </w:tcPr>
          <w:p>
            <w:pPr>
              <w:spacing w:after="40" w:before="0" w:line="259" w:lineRule="auto"/>
            </w:pPr>
            <w:r>
              <w:rPr>
                <w:rFonts w:ascii="Calibri" w:hAnsi="Calibri"/>
                <w:b w:val="0"/>
                <w:i w:val="0"/>
                <w:color w:val="212121"/>
                <w:sz w:val="16"/>
              </w:rPr>
              <w:t>Clear transient relief</w:t>
            </w:r>
          </w:p>
        </w:tc>
        <w:tc>
          <w:tcPr>
            <w:tcW w:type="dxa" w:w="1036"/>
            <w:vAlign w:val="top"/>
          </w:tcPr>
          <w:p>
            <w:pPr>
              <w:spacing w:after="40" w:before="0" w:line="259" w:lineRule="auto"/>
            </w:pPr>
            <w:r>
              <w:rPr>
                <w:rFonts w:ascii="Calibri" w:hAnsi="Calibri"/>
                <w:b w:val="0"/>
                <w:i w:val="0"/>
                <w:color w:val="212121"/>
                <w:sz w:val="16"/>
              </w:rPr>
              <w:t>Supports ET and flags risk of self-medication and dependence</w:t>
            </w:r>
          </w:p>
        </w:tc>
        <w:tc>
          <w:tcPr>
            <w:tcW w:type="dxa" w:w="1036"/>
            <w:vAlign w:val="top"/>
          </w:tcPr>
          <w:p>
            <w:pPr>
              <w:spacing w:after="40" w:before="0" w:line="259" w:lineRule="auto"/>
            </w:pPr>
            <w:r>
              <w:rPr>
                <w:rFonts w:ascii="Calibri" w:hAnsi="Calibri"/>
                <w:b w:val="0"/>
                <w:i w:val="0"/>
                <w:color w:val="212121"/>
                <w:sz w:val="16"/>
              </w:rPr>
              <w:t>Adults reporting alcohol relief</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Present in about half of ET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Postural &amp; kinetic tremor testing</w:t>
            </w:r>
          </w:p>
        </w:tc>
        <w:tc>
          <w:tcPr>
            <w:tcW w:type="dxa" w:w="979"/>
            <w:vAlign w:val="top"/>
          </w:tcPr>
          <w:p>
            <w:pPr>
              <w:spacing w:after="40" w:before="0" w:line="259" w:lineRule="auto"/>
            </w:pPr>
            <w:r>
              <w:rPr>
                <w:rFonts w:ascii="Calibri" w:hAnsi="Calibri"/>
                <w:b w:val="0"/>
                <w:i w:val="0"/>
                <w:color w:val="212121"/>
                <w:sz w:val="16"/>
              </w:rPr>
              <w:t>Arms outstretched and finger–nose–finger</w:t>
            </w:r>
          </w:p>
        </w:tc>
        <w:tc>
          <w:tcPr>
            <w:tcW w:type="dxa" w:w="950"/>
            <w:vAlign w:val="top"/>
          </w:tcPr>
          <w:p>
            <w:pPr>
              <w:spacing w:after="40" w:before="0" w:line="259" w:lineRule="auto"/>
            </w:pPr>
            <w:r>
              <w:rPr>
                <w:rFonts w:ascii="Calibri" w:hAnsi="Calibri"/>
                <w:b w:val="0"/>
                <w:i w:val="0"/>
                <w:color w:val="212121"/>
                <w:sz w:val="16"/>
              </w:rPr>
              <w:t>No tremor on posture or movement</w:t>
            </w:r>
          </w:p>
        </w:tc>
        <w:tc>
          <w:tcPr>
            <w:tcW w:type="dxa" w:w="950"/>
            <w:vAlign w:val="top"/>
          </w:tcPr>
          <w:p>
            <w:pPr>
              <w:spacing w:after="40" w:before="0" w:line="259" w:lineRule="auto"/>
            </w:pPr>
            <w:r>
              <w:rPr>
                <w:rFonts w:ascii="Calibri" w:hAnsi="Calibri"/>
                <w:b w:val="0"/>
                <w:i w:val="0"/>
                <w:color w:val="212121"/>
                <w:sz w:val="16"/>
              </w:rPr>
              <w:t>Tremor on holding posture and/or on movement</w:t>
            </w:r>
          </w:p>
        </w:tc>
        <w:tc>
          <w:tcPr>
            <w:tcW w:type="dxa" w:w="1036"/>
            <w:vAlign w:val="top"/>
          </w:tcPr>
          <w:p>
            <w:pPr>
              <w:spacing w:after="40" w:before="0" w:line="259" w:lineRule="auto"/>
            </w:pPr>
            <w:r>
              <w:rPr>
                <w:rFonts w:ascii="Calibri" w:hAnsi="Calibri"/>
                <w:b w:val="0"/>
                <w:i w:val="0"/>
                <w:color w:val="212121"/>
                <w:sz w:val="16"/>
              </w:rPr>
              <w:t>Demonstrates the action (non-rest) character of ET</w:t>
            </w:r>
          </w:p>
        </w:tc>
        <w:tc>
          <w:tcPr>
            <w:tcW w:type="dxa" w:w="1036"/>
            <w:vAlign w:val="top"/>
          </w:tcPr>
          <w:p>
            <w:pPr>
              <w:spacing w:after="40" w:before="0" w:line="259" w:lineRule="auto"/>
            </w:pPr>
            <w:r>
              <w:rPr>
                <w:rFonts w:ascii="Calibri" w:hAnsi="Calibri"/>
                <w:b w:val="0"/>
                <w:i w:val="0"/>
                <w:color w:val="212121"/>
                <w:sz w:val="16"/>
              </w:rPr>
              <w:t>All suspected ET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Rest tremor should be absent or minimal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Archimedes spiral &amp; handwriting</w:t>
            </w:r>
          </w:p>
        </w:tc>
        <w:tc>
          <w:tcPr>
            <w:tcW w:type="dxa" w:w="979"/>
            <w:vAlign w:val="top"/>
          </w:tcPr>
          <w:p>
            <w:pPr>
              <w:spacing w:after="40" w:before="0" w:line="259" w:lineRule="auto"/>
            </w:pPr>
            <w:r>
              <w:rPr>
                <w:rFonts w:ascii="Calibri" w:hAnsi="Calibri"/>
                <w:b w:val="0"/>
                <w:i w:val="0"/>
                <w:color w:val="212121"/>
                <w:sz w:val="16"/>
              </w:rPr>
              <w:t>Spiral drawing and sample of writing</w:t>
            </w:r>
          </w:p>
        </w:tc>
        <w:tc>
          <w:tcPr>
            <w:tcW w:type="dxa" w:w="950"/>
            <w:vAlign w:val="top"/>
          </w:tcPr>
          <w:p>
            <w:pPr>
              <w:spacing w:after="40" w:before="0" w:line="259" w:lineRule="auto"/>
            </w:pPr>
            <w:r>
              <w:rPr>
                <w:rFonts w:ascii="Calibri" w:hAnsi="Calibri"/>
                <w:b w:val="0"/>
                <w:i w:val="0"/>
                <w:color w:val="212121"/>
                <w:sz w:val="16"/>
              </w:rPr>
              <w:t>Smooth spiral, normal script</w:t>
            </w:r>
          </w:p>
        </w:tc>
        <w:tc>
          <w:tcPr>
            <w:tcW w:type="dxa" w:w="950"/>
            <w:vAlign w:val="top"/>
          </w:tcPr>
          <w:p>
            <w:pPr>
              <w:spacing w:after="40" w:before="0" w:line="259" w:lineRule="auto"/>
            </w:pPr>
            <w:r>
              <w:rPr>
                <w:rFonts w:ascii="Calibri" w:hAnsi="Calibri"/>
                <w:b w:val="0"/>
                <w:i w:val="0"/>
                <w:color w:val="212121"/>
                <w:sz w:val="16"/>
              </w:rPr>
              <w:t>Tremulous, enlarged, wavering spiral/writing</w:t>
            </w:r>
          </w:p>
        </w:tc>
        <w:tc>
          <w:tcPr>
            <w:tcW w:type="dxa" w:w="1036"/>
            <w:vAlign w:val="top"/>
          </w:tcPr>
          <w:p>
            <w:pPr>
              <w:spacing w:after="40" w:before="0" w:line="259" w:lineRule="auto"/>
            </w:pPr>
            <w:r>
              <w:rPr>
                <w:rFonts w:ascii="Calibri" w:hAnsi="Calibri"/>
                <w:b w:val="0"/>
                <w:i w:val="0"/>
                <w:color w:val="212121"/>
                <w:sz w:val="16"/>
              </w:rPr>
              <w:t>Simple bedside record of tremor severity and treatment response</w:t>
            </w:r>
          </w:p>
        </w:tc>
        <w:tc>
          <w:tcPr>
            <w:tcW w:type="dxa" w:w="1036"/>
            <w:vAlign w:val="top"/>
          </w:tcPr>
          <w:p>
            <w:pPr>
              <w:spacing w:after="40" w:before="0" w:line="259" w:lineRule="auto"/>
            </w:pPr>
            <w:r>
              <w:rPr>
                <w:rFonts w:ascii="Calibri" w:hAnsi="Calibri"/>
                <w:b w:val="0"/>
                <w:i w:val="0"/>
                <w:color w:val="212121"/>
                <w:sz w:val="16"/>
              </w:rPr>
              <w:t>Patients with hand tremor</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Useful, reproducible and cheap for follow-up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Parkinsonism screen</w:t>
            </w:r>
          </w:p>
        </w:tc>
        <w:tc>
          <w:tcPr>
            <w:tcW w:type="dxa" w:w="979"/>
            <w:vAlign w:val="top"/>
          </w:tcPr>
          <w:p>
            <w:pPr>
              <w:spacing w:after="40" w:before="0" w:line="259" w:lineRule="auto"/>
            </w:pPr>
            <w:r>
              <w:rPr>
                <w:rFonts w:ascii="Calibri" w:hAnsi="Calibri"/>
                <w:b w:val="0"/>
                <w:i w:val="0"/>
                <w:color w:val="212121"/>
                <w:sz w:val="16"/>
              </w:rPr>
              <w:t>Rigidity, bradykinesia, rest tremor</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Their absence supports ET; their presence points to Parkinson's disease or ET-plus</w:t>
            </w:r>
          </w:p>
        </w:tc>
        <w:tc>
          <w:tcPr>
            <w:tcW w:type="dxa" w:w="1036"/>
            <w:vAlign w:val="top"/>
          </w:tcPr>
          <w:p>
            <w:pPr>
              <w:spacing w:after="40" w:before="0" w:line="259" w:lineRule="auto"/>
            </w:pPr>
            <w:r>
              <w:rPr>
                <w:rFonts w:ascii="Calibri" w:hAnsi="Calibri"/>
                <w:b w:val="0"/>
                <w:i w:val="0"/>
                <w:color w:val="212121"/>
                <w:sz w:val="16"/>
              </w:rPr>
              <w:t>Older patients,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Key ET-versus-PD distinction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Tandem-gait &amp; soft-sign assessment</w:t>
            </w:r>
          </w:p>
        </w:tc>
        <w:tc>
          <w:tcPr>
            <w:tcW w:type="dxa" w:w="979"/>
            <w:vAlign w:val="top"/>
          </w:tcPr>
          <w:p>
            <w:pPr>
              <w:spacing w:after="40" w:before="0" w:line="259" w:lineRule="auto"/>
            </w:pPr>
            <w:r>
              <w:rPr>
                <w:rFonts w:ascii="Calibri" w:hAnsi="Calibri"/>
                <w:b w:val="0"/>
                <w:i w:val="0"/>
                <w:color w:val="212121"/>
                <w:sz w:val="16"/>
              </w:rPr>
              <w:t>Tandem gait, dystonic posturing, cognition</w:t>
            </w:r>
          </w:p>
        </w:tc>
        <w:tc>
          <w:tcPr>
            <w:tcW w:type="dxa" w:w="950"/>
            <w:vAlign w:val="top"/>
          </w:tcPr>
          <w:p>
            <w:pPr>
              <w:spacing w:after="40" w:before="0" w:line="259" w:lineRule="auto"/>
            </w:pPr>
            <w:r>
              <w:rPr>
                <w:rFonts w:ascii="Calibri" w:hAnsi="Calibri"/>
                <w:b w:val="0"/>
                <w:i w:val="0"/>
                <w:color w:val="212121"/>
                <w:sz w:val="16"/>
              </w:rPr>
              <w:t>Normal tandem gait, no soft signs</w:t>
            </w:r>
          </w:p>
        </w:tc>
        <w:tc>
          <w:tcPr>
            <w:tcW w:type="dxa" w:w="950"/>
            <w:vAlign w:val="top"/>
          </w:tcPr>
          <w:p>
            <w:pPr>
              <w:spacing w:after="40" w:before="0" w:line="259" w:lineRule="auto"/>
            </w:pPr>
            <w:r>
              <w:rPr>
                <w:rFonts w:ascii="Calibri" w:hAnsi="Calibri"/>
                <w:b w:val="0"/>
                <w:i w:val="0"/>
                <w:color w:val="212121"/>
                <w:sz w:val="16"/>
              </w:rPr>
              <w:t>Impaired tandem gait / questionable dystonia / memory impairment</w:t>
            </w:r>
          </w:p>
        </w:tc>
        <w:tc>
          <w:tcPr>
            <w:tcW w:type="dxa" w:w="1036"/>
            <w:vAlign w:val="top"/>
          </w:tcPr>
          <w:p>
            <w:pPr>
              <w:spacing w:after="40" w:before="0" w:line="259" w:lineRule="auto"/>
            </w:pPr>
            <w:r>
              <w:rPr>
                <w:rFonts w:ascii="Calibri" w:hAnsi="Calibri"/>
                <w:b w:val="0"/>
                <w:i w:val="0"/>
                <w:color w:val="212121"/>
                <w:sz w:val="16"/>
              </w:rPr>
              <w:t>Presence of soft signs re-classifies the patient as ET-plus</w:t>
            </w:r>
          </w:p>
        </w:tc>
        <w:tc>
          <w:tcPr>
            <w:tcW w:type="dxa" w:w="1036"/>
            <w:vAlign w:val="top"/>
          </w:tcPr>
          <w:p>
            <w:pPr>
              <w:spacing w:after="40" w:before="0" w:line="259" w:lineRule="auto"/>
            </w:pPr>
            <w:r>
              <w:rPr>
                <w:rFonts w:ascii="Calibri" w:hAnsi="Calibri"/>
                <w:b w:val="0"/>
                <w:i w:val="0"/>
                <w:color w:val="212121"/>
                <w:sz w:val="16"/>
              </w:rPr>
              <w:t>Elderly, late-onset 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Classification</w:t>
            </w:r>
          </w:p>
        </w:tc>
        <w:tc>
          <w:tcPr>
            <w:tcW w:type="dxa" w:w="720"/>
            <w:vAlign w:val="top"/>
          </w:tcPr>
          <w:p>
            <w:pPr>
              <w:spacing w:after="40" w:before="0" w:line="259" w:lineRule="auto"/>
            </w:pPr>
            <w:r>
              <w:rPr>
                <w:rFonts w:ascii="Calibri" w:hAnsi="Calibri"/>
                <w:b w:val="0"/>
                <w:i w:val="0"/>
                <w:color w:val="212121"/>
                <w:sz w:val="16"/>
              </w:rPr>
              <w:t>Tandem-gait abnormality seen in ~40% of an Indian ET cohort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Head &amp; voice examination</w:t>
            </w:r>
          </w:p>
        </w:tc>
        <w:tc>
          <w:tcPr>
            <w:tcW w:type="dxa" w:w="979"/>
            <w:vAlign w:val="top"/>
          </w:tcPr>
          <w:p>
            <w:pPr>
              <w:spacing w:after="40" w:before="0" w:line="259" w:lineRule="auto"/>
            </w:pPr>
            <w:r>
              <w:rPr>
                <w:rFonts w:ascii="Calibri" w:hAnsi="Calibri"/>
                <w:b w:val="0"/>
                <w:i w:val="0"/>
                <w:color w:val="212121"/>
                <w:sz w:val="16"/>
              </w:rPr>
              <w:t>Titubation and sustained phonation</w:t>
            </w:r>
          </w:p>
        </w:tc>
        <w:tc>
          <w:tcPr>
            <w:tcW w:type="dxa" w:w="950"/>
            <w:vAlign w:val="top"/>
          </w:tcPr>
          <w:p>
            <w:pPr>
              <w:spacing w:after="40" w:before="0" w:line="259" w:lineRule="auto"/>
            </w:pPr>
            <w:r>
              <w:rPr>
                <w:rFonts w:ascii="Calibri" w:hAnsi="Calibri"/>
                <w:b w:val="0"/>
                <w:i w:val="0"/>
                <w:color w:val="212121"/>
                <w:sz w:val="16"/>
              </w:rPr>
              <w:t>No head/voice tremor</w:t>
            </w:r>
          </w:p>
        </w:tc>
        <w:tc>
          <w:tcPr>
            <w:tcW w:type="dxa" w:w="950"/>
            <w:vAlign w:val="top"/>
          </w:tcPr>
          <w:p>
            <w:pPr>
              <w:spacing w:after="40" w:before="0" w:line="259" w:lineRule="auto"/>
            </w:pPr>
            <w:r>
              <w:rPr>
                <w:rFonts w:ascii="Calibri" w:hAnsi="Calibri"/>
                <w:b w:val="0"/>
                <w:i w:val="0"/>
                <w:color w:val="212121"/>
                <w:sz w:val="16"/>
              </w:rPr>
              <w:t>Head titubation or quavering voice</w:t>
            </w:r>
          </w:p>
        </w:tc>
        <w:tc>
          <w:tcPr>
            <w:tcW w:type="dxa" w:w="1036"/>
            <w:vAlign w:val="top"/>
          </w:tcPr>
          <w:p>
            <w:pPr>
              <w:spacing w:after="40" w:before="0" w:line="259" w:lineRule="auto"/>
            </w:pPr>
            <w:r>
              <w:rPr>
                <w:rFonts w:ascii="Calibri" w:hAnsi="Calibri"/>
                <w:b w:val="0"/>
                <w:i w:val="0"/>
                <w:color w:val="212121"/>
                <w:sz w:val="16"/>
              </w:rPr>
              <w:t>Documents axial involvement, more common in women</w:t>
            </w:r>
          </w:p>
        </w:tc>
        <w:tc>
          <w:tcPr>
            <w:tcW w:type="dxa" w:w="1036"/>
            <w:vAlign w:val="top"/>
          </w:tcPr>
          <w:p>
            <w:pPr>
              <w:spacing w:after="40" w:before="0" w:line="259" w:lineRule="auto"/>
            </w:pPr>
            <w:r>
              <w:rPr>
                <w:rFonts w:ascii="Calibri" w:hAnsi="Calibri"/>
                <w:b w:val="0"/>
                <w:i w:val="0"/>
                <w:color w:val="212121"/>
                <w:sz w:val="16"/>
              </w:rPr>
              <w:t>Female patients, axial-predominant ET</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Characterisation</w:t>
            </w:r>
          </w:p>
        </w:tc>
        <w:tc>
          <w:tcPr>
            <w:tcW w:type="dxa" w:w="720"/>
            <w:vAlign w:val="top"/>
          </w:tcPr>
          <w:p>
            <w:pPr>
              <w:spacing w:after="40" w:before="0" w:line="259" w:lineRule="auto"/>
            </w:pPr>
            <w:r>
              <w:rPr>
                <w:rFonts w:ascii="Calibri" w:hAnsi="Calibri"/>
                <w:b w:val="0"/>
                <w:i w:val="0"/>
                <w:color w:val="212121"/>
                <w:sz w:val="16"/>
              </w:rPr>
              <w:t>Head tremor was female-predominant in Indian data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Bilateral action tremor of the hands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Postural and kinetic tremor of both hands/forearms, largely symmetric — the defining symptom.</w:t>
            </w:r>
          </w:p>
        </w:tc>
      </w:tr>
      <w:tr>
        <w:trPr>
          <w:cantSplit/>
        </w:trPr>
        <w:tc>
          <w:tcPr>
            <w:tcW w:type="dxa" w:w="2304"/>
            <w:vAlign w:val="top"/>
          </w:tcPr>
          <w:p>
            <w:pPr>
              <w:spacing w:after="40" w:before="0" w:line="259" w:lineRule="auto"/>
            </w:pPr>
            <w:r>
              <w:rPr>
                <w:rFonts w:ascii="Calibri" w:hAnsi="Calibri"/>
                <w:b/>
                <w:i w:val="0"/>
                <w:color w:val="212121"/>
                <w:sz w:val="19"/>
              </w:rPr>
              <w:t>Tremor worse with activity and fine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during writing, eating, drinking, pouring, buttoning or holding a cup; minimal at rest.</w:t>
            </w:r>
          </w:p>
        </w:tc>
      </w:tr>
      <w:tr>
        <w:trPr>
          <w:cantSplit/>
        </w:trPr>
        <w:tc>
          <w:tcPr>
            <w:tcW w:type="dxa" w:w="2304"/>
            <w:vAlign w:val="top"/>
          </w:tcPr>
          <w:p>
            <w:pPr>
              <w:spacing w:after="40" w:before="0" w:line="259" w:lineRule="auto"/>
            </w:pPr>
            <w:r>
              <w:rPr>
                <w:rFonts w:ascii="Calibri" w:hAnsi="Calibri"/>
                <w:b/>
                <w:i w:val="0"/>
                <w:color w:val="212121"/>
                <w:sz w:val="19"/>
              </w:rPr>
              <w:t>Tremor amplified by stress, anxiety or caffeine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Emotional arousal and stimulants markedly increase amplitude, worsening social situations.</w:t>
            </w:r>
          </w:p>
        </w:tc>
      </w:tr>
      <w:tr>
        <w:trPr>
          <w:cantSplit/>
        </w:trPr>
        <w:tc>
          <w:tcPr>
            <w:tcW w:type="dxa" w:w="2304"/>
            <w:vAlign w:val="top"/>
          </w:tcPr>
          <w:p>
            <w:pPr>
              <w:spacing w:after="40" w:before="0" w:line="259" w:lineRule="auto"/>
            </w:pPr>
            <w:r>
              <w:rPr>
                <w:rFonts w:ascii="Calibri" w:hAnsi="Calibri"/>
                <w:b/>
                <w:i w:val="0"/>
                <w:color w:val="212121"/>
                <w:sz w:val="19"/>
              </w:rPr>
              <w:t>Deteriorating, tremulous handwriting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Shaky, often enlarged script; a common early complaint that impairs work and daily life.</w:t>
            </w:r>
          </w:p>
        </w:tc>
      </w:tr>
      <w:tr>
        <w:trPr>
          <w:cantSplit/>
        </w:trPr>
        <w:tc>
          <w:tcPr>
            <w:tcW w:type="dxa" w:w="2304"/>
            <w:vAlign w:val="top"/>
          </w:tcPr>
          <w:p>
            <w:pPr>
              <w:spacing w:after="40" w:before="0" w:line="259" w:lineRule="auto"/>
            </w:pPr>
            <w:r>
              <w:rPr>
                <w:rFonts w:ascii="Calibri" w:hAnsi="Calibri"/>
                <w:b/>
                <w:i w:val="0"/>
                <w:color w:val="212121"/>
                <w:sz w:val="19"/>
              </w:rPr>
              <w:t>Difficulty with precision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Threading a needle, using tools, applying make-up or handling a phone become difficult.</w:t>
            </w:r>
          </w:p>
        </w:tc>
      </w:tr>
      <w:tr>
        <w:trPr>
          <w:cantSplit/>
        </w:trPr>
        <w:tc>
          <w:tcPr>
            <w:tcW w:type="dxa" w:w="2304"/>
            <w:vAlign w:val="top"/>
          </w:tcPr>
          <w:p>
            <w:pPr>
              <w:spacing w:after="40" w:before="0" w:line="259" w:lineRule="auto"/>
            </w:pPr>
            <w:r>
              <w:rPr>
                <w:rFonts w:ascii="Calibri" w:hAnsi="Calibri"/>
                <w:b/>
                <w:i w:val="0"/>
                <w:color w:val="212121"/>
                <w:sz w:val="19"/>
              </w:rPr>
              <w:t>Transient relief of tremor with alcohol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About half of patients notice brief improvement after a small amount of alcohol, followed by rebound.</w:t>
            </w:r>
          </w:p>
        </w:tc>
      </w:tr>
      <w:tr>
        <w:trPr>
          <w:cantSplit/>
        </w:trPr>
        <w:tc>
          <w:tcPr>
            <w:tcW w:type="dxa" w:w="2304"/>
            <w:vAlign w:val="top"/>
          </w:tcPr>
          <w:p>
            <w:pPr>
              <w:spacing w:after="40" w:before="0" w:line="259" w:lineRule="auto"/>
            </w:pPr>
            <w:r>
              <w:rPr>
                <w:rFonts w:ascii="Calibri" w:hAnsi="Calibri"/>
                <w:b/>
                <w:i w:val="0"/>
                <w:color w:val="212121"/>
                <w:sz w:val="19"/>
              </w:rPr>
              <w:t>Head tremor (titubation)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‘Yes-yes’ or ‘no-no’ nodding of the head; more frequent in women.</w:t>
            </w:r>
          </w:p>
        </w:tc>
      </w:tr>
      <w:tr>
        <w:trPr>
          <w:cantSplit/>
        </w:trPr>
        <w:tc>
          <w:tcPr>
            <w:tcW w:type="dxa" w:w="2304"/>
            <w:vAlign w:val="top"/>
          </w:tcPr>
          <w:p>
            <w:pPr>
              <w:spacing w:after="40" w:before="0" w:line="259" w:lineRule="auto"/>
            </w:pPr>
            <w:r>
              <w:rPr>
                <w:rFonts w:ascii="Calibri" w:hAnsi="Calibri"/>
                <w:b/>
                <w:i w:val="0"/>
                <w:color w:val="212121"/>
                <w:sz w:val="19"/>
              </w:rPr>
              <w:t>Voice tremor (quavering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Shaky, wavering voice on sustained speech; carries a social/communication burden.</w:t>
            </w:r>
          </w:p>
        </w:tc>
      </w:tr>
      <w:tr>
        <w:trPr>
          <w:cantSplit/>
        </w:trPr>
        <w:tc>
          <w:tcPr>
            <w:tcW w:type="dxa" w:w="2304"/>
            <w:vAlign w:val="top"/>
          </w:tcPr>
          <w:p>
            <w:pPr>
              <w:spacing w:after="40" w:before="0" w:line="259" w:lineRule="auto"/>
            </w:pPr>
            <w:r>
              <w:rPr>
                <w:rFonts w:ascii="Calibri" w:hAnsi="Calibri"/>
                <w:b/>
                <w:i w:val="0"/>
                <w:color w:val="212121"/>
                <w:sz w:val="19"/>
              </w:rPr>
              <w:t>Jaw, tongue or lip tremor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Axial cranial involvement, usually with longstanding disease.</w:t>
            </w:r>
          </w:p>
        </w:tc>
      </w:tr>
      <w:tr>
        <w:trPr>
          <w:cantSplit/>
        </w:trPr>
        <w:tc>
          <w:tcPr>
            <w:tcW w:type="dxa" w:w="2304"/>
            <w:vAlign w:val="top"/>
          </w:tcPr>
          <w:p>
            <w:pPr>
              <w:spacing w:after="40" w:before="0" w:line="259" w:lineRule="auto"/>
            </w:pPr>
            <w:r>
              <w:rPr>
                <w:rFonts w:ascii="Calibri" w:hAnsi="Calibri"/>
                <w:b/>
                <w:i w:val="0"/>
                <w:color w:val="212121"/>
                <w:sz w:val="19"/>
              </w:rPr>
              <w:t>Leg tremor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Lower-limb action tremor; in Indian data seen predominantly in men.</w:t>
            </w:r>
          </w:p>
        </w:tc>
      </w:tr>
      <w:tr>
        <w:trPr>
          <w:cantSplit/>
        </w:trPr>
        <w:tc>
          <w:tcPr>
            <w:tcW w:type="dxa" w:w="2304"/>
            <w:vAlign w:val="top"/>
          </w:tcPr>
          <w:p>
            <w:pPr>
              <w:spacing w:after="40" w:before="0" w:line="259" w:lineRule="auto"/>
            </w:pPr>
            <w:r>
              <w:rPr>
                <w:rFonts w:ascii="Calibri" w:hAnsi="Calibri"/>
                <w:b/>
                <w:i w:val="0"/>
                <w:color w:val="212121"/>
                <w:sz w:val="19"/>
              </w:rPr>
              <w:t>Rest tremor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When present suggests ET-plus and warrants closer evaluation for Parkinson's disease.</w:t>
            </w:r>
          </w:p>
        </w:tc>
      </w:tr>
      <w:tr>
        <w:trPr>
          <w:cantSplit/>
        </w:trPr>
        <w:tc>
          <w:tcPr>
            <w:tcW w:type="dxa" w:w="2304"/>
            <w:vAlign w:val="top"/>
          </w:tcPr>
          <w:p>
            <w:pPr>
              <w:spacing w:after="40" w:before="0" w:line="259" w:lineRule="auto"/>
            </w:pPr>
            <w:r>
              <w:rPr>
                <w:rFonts w:ascii="Calibri" w:hAnsi="Calibri"/>
                <w:b/>
                <w:i w:val="0"/>
                <w:color w:val="212121"/>
                <w:sz w:val="19"/>
              </w:rPr>
              <w:t>Balance / tandem-gait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soft sign of ET-plus, more frequent in older, late-onset patients.</w:t>
            </w:r>
          </w:p>
        </w:tc>
      </w:tr>
      <w:tr>
        <w:trPr>
          <w:cantSplit/>
        </w:trPr>
        <w:tc>
          <w:tcPr>
            <w:tcW w:type="dxa" w:w="2304"/>
            <w:vAlign w:val="top"/>
          </w:tcPr>
          <w:p>
            <w:pPr>
              <w:spacing w:after="40" w:before="0" w:line="259" w:lineRule="auto"/>
            </w:pPr>
            <w:r>
              <w:rPr>
                <w:rFonts w:ascii="Calibri" w:hAnsi="Calibri"/>
                <w:b/>
                <w:i w:val="0"/>
                <w:color w:val="212121"/>
                <w:sz w:val="19"/>
              </w:rPr>
              <w:t>Social embarrassment, anxiety and avoidance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tremor in public leads to self-consciousness, anxiety and withdrawal from social eating/writing.</w:t>
            </w:r>
          </w:p>
        </w:tc>
      </w:tr>
      <w:tr>
        <w:trPr>
          <w:cantSplit/>
        </w:trPr>
        <w:tc>
          <w:tcPr>
            <w:tcW w:type="dxa" w:w="2304"/>
            <w:vAlign w:val="top"/>
          </w:tcPr>
          <w:p>
            <w:pPr>
              <w:spacing w:after="40" w:before="0" w:line="259" w:lineRule="auto"/>
            </w:pPr>
            <w:r>
              <w:rPr>
                <w:rFonts w:ascii="Calibri" w:hAnsi="Calibri"/>
                <w:b/>
                <w:i w:val="0"/>
                <w:color w:val="212121"/>
                <w:sz w:val="19"/>
              </w:rPr>
              <w:t>Mild memory or concentration complaints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Subtle cognitive complaints, more likely in late-onset ET-plus.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Postural tremor with arms outstretched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Tremor emerges when a posture is held against gravity — a hallmark of ET.</w:t>
            </w:r>
          </w:p>
        </w:tc>
      </w:tr>
      <w:tr>
        <w:trPr>
          <w:cantSplit/>
        </w:trPr>
        <w:tc>
          <w:tcPr>
            <w:tcW w:type="dxa" w:w="3456"/>
            <w:vAlign w:val="top"/>
          </w:tcPr>
          <w:p>
            <w:pPr>
              <w:spacing w:after="40" w:before="0" w:line="259" w:lineRule="auto"/>
            </w:pPr>
            <w:r>
              <w:rPr>
                <w:rFonts w:ascii="Calibri" w:hAnsi="Calibri"/>
                <w:b/>
                <w:i w:val="0"/>
                <w:color w:val="212121"/>
                <w:sz w:val="19"/>
              </w:rPr>
              <w:t>Kinetic / intention tremor on finger–nose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Tremor during goal-directed movement, sometimes increasing near the target.</w:t>
            </w:r>
          </w:p>
        </w:tc>
      </w:tr>
      <w:tr>
        <w:trPr>
          <w:cantSplit/>
        </w:trPr>
        <w:tc>
          <w:tcPr>
            <w:tcW w:type="dxa" w:w="3456"/>
            <w:vAlign w:val="top"/>
          </w:tcPr>
          <w:p>
            <w:pPr>
              <w:spacing w:after="40" w:before="0" w:line="259" w:lineRule="auto"/>
            </w:pPr>
            <w:r>
              <w:rPr>
                <w:rFonts w:ascii="Calibri" w:hAnsi="Calibri"/>
                <w:b/>
                <w:i w:val="0"/>
                <w:color w:val="212121"/>
                <w:sz w:val="19"/>
              </w:rPr>
              <w:t>Tremulous Archimedes spiral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Wavering, irregular spiral on drawing — a simple, reproducible bedside sign.</w:t>
            </w:r>
          </w:p>
        </w:tc>
      </w:tr>
      <w:tr>
        <w:trPr>
          <w:cantSplit/>
        </w:trPr>
        <w:tc>
          <w:tcPr>
            <w:tcW w:type="dxa" w:w="3456"/>
            <w:vAlign w:val="top"/>
          </w:tcPr>
          <w:p>
            <w:pPr>
              <w:spacing w:after="40" w:before="0" w:line="259" w:lineRule="auto"/>
            </w:pPr>
            <w:r>
              <w:rPr>
                <w:rFonts w:ascii="Calibri" w:hAnsi="Calibri"/>
                <w:b/>
                <w:i w:val="0"/>
                <w:color w:val="212121"/>
                <w:sz w:val="19"/>
              </w:rPr>
              <w:t>Bilateral, largely symmetric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Both hands affected relatively equally, unlike the asymmetric onset typical of Parkinson's disease.</w:t>
            </w:r>
          </w:p>
        </w:tc>
      </w:tr>
      <w:tr>
        <w:trPr>
          <w:cantSplit/>
        </w:trPr>
        <w:tc>
          <w:tcPr>
            <w:tcW w:type="dxa" w:w="3456"/>
            <w:vAlign w:val="top"/>
          </w:tcPr>
          <w:p>
            <w:pPr>
              <w:spacing w:after="40" w:before="0" w:line="259" w:lineRule="auto"/>
            </w:pPr>
            <w:r>
              <w:rPr>
                <w:rFonts w:ascii="Calibri" w:hAnsi="Calibri"/>
                <w:b/>
                <w:i w:val="0"/>
                <w:color w:val="212121"/>
                <w:sz w:val="19"/>
              </w:rPr>
              <w:t>Absence of rigidity and bradykinesia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cogwheel rigidity or slowing of movement — key negative sign separating ET from PD.</w:t>
            </w:r>
          </w:p>
        </w:tc>
      </w:tr>
      <w:tr>
        <w:trPr>
          <w:cantSplit/>
        </w:trPr>
        <w:tc>
          <w:tcPr>
            <w:tcW w:type="dxa" w:w="3456"/>
            <w:vAlign w:val="top"/>
          </w:tcPr>
          <w:p>
            <w:pPr>
              <w:spacing w:after="40" w:before="0" w:line="259" w:lineRule="auto"/>
            </w:pPr>
            <w:r>
              <w:rPr>
                <w:rFonts w:ascii="Calibri" w:hAnsi="Calibri"/>
                <w:b/>
                <w:i w:val="0"/>
                <w:color w:val="212121"/>
                <w:sz w:val="19"/>
              </w:rPr>
              <w:t>Absent or minimal rest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Tremor largely disappears when the limb is fully supported at rest.</w:t>
            </w:r>
          </w:p>
        </w:tc>
      </w:tr>
      <w:tr>
        <w:trPr>
          <w:cantSplit/>
        </w:trPr>
        <w:tc>
          <w:tcPr>
            <w:tcW w:type="dxa" w:w="3456"/>
            <w:vAlign w:val="top"/>
          </w:tcPr>
          <w:p>
            <w:pPr>
              <w:spacing w:after="40" w:before="0" w:line="259" w:lineRule="auto"/>
            </w:pPr>
            <w:r>
              <w:rPr>
                <w:rFonts w:ascii="Calibri" w:hAnsi="Calibri"/>
                <w:b/>
                <w:i w:val="0"/>
                <w:color w:val="212121"/>
                <w:sz w:val="19"/>
              </w:rPr>
              <w:t>Head titubation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rhythmic head oscillation, female-predominant.</w:t>
            </w:r>
          </w:p>
        </w:tc>
      </w:tr>
      <w:tr>
        <w:trPr>
          <w:cantSplit/>
        </w:trPr>
        <w:tc>
          <w:tcPr>
            <w:tcW w:type="dxa" w:w="3456"/>
            <w:vAlign w:val="top"/>
          </w:tcPr>
          <w:p>
            <w:pPr>
              <w:spacing w:after="40" w:before="0" w:line="259" w:lineRule="auto"/>
            </w:pPr>
            <w:r>
              <w:rPr>
                <w:rFonts w:ascii="Calibri" w:hAnsi="Calibri"/>
                <w:b/>
                <w:i w:val="0"/>
                <w:color w:val="212121"/>
                <w:sz w:val="19"/>
              </w:rPr>
              <w:t>Vocal tremor on sustained phonation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Rhythmic voice modulation heard when holding a note (e.g., ‘aaah’).</w:t>
            </w:r>
          </w:p>
        </w:tc>
      </w:tr>
      <w:tr>
        <w:trPr>
          <w:cantSplit/>
        </w:trPr>
        <w:tc>
          <w:tcPr>
            <w:tcW w:type="dxa" w:w="3456"/>
            <w:vAlign w:val="top"/>
          </w:tcPr>
          <w:p>
            <w:pPr>
              <w:spacing w:after="40" w:before="0" w:line="259" w:lineRule="auto"/>
            </w:pPr>
            <w:r>
              <w:rPr>
                <w:rFonts w:ascii="Calibri" w:hAnsi="Calibri"/>
                <w:b/>
                <w:i w:val="0"/>
                <w:color w:val="212121"/>
                <w:sz w:val="19"/>
              </w:rPr>
              <w:t>Impaired tandem gait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Difficulty heel-to-toe walking — a soft sign reclassifying the patient as ET-plus.</w:t>
            </w:r>
          </w:p>
        </w:tc>
      </w:tr>
      <w:tr>
        <w:trPr>
          <w:cantSplit/>
        </w:trPr>
        <w:tc>
          <w:tcPr>
            <w:tcW w:type="dxa" w:w="3456"/>
            <w:vAlign w:val="top"/>
          </w:tcPr>
          <w:p>
            <w:pPr>
              <w:spacing w:after="40" w:before="0" w:line="259" w:lineRule="auto"/>
            </w:pPr>
            <w:r>
              <w:rPr>
                <w:rFonts w:ascii="Calibri" w:hAnsi="Calibri"/>
                <w:b/>
                <w:i w:val="0"/>
                <w:color w:val="212121"/>
                <w:sz w:val="19"/>
              </w:rPr>
              <w:t>Questionable dystonic posturing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Subtle abnormal limb/neck posturing insufficient to diagnose dystonia (ET-plus).</w:t>
            </w:r>
          </w:p>
        </w:tc>
      </w:tr>
      <w:tr>
        <w:trPr>
          <w:cantSplit/>
        </w:trPr>
        <w:tc>
          <w:tcPr>
            <w:tcW w:type="dxa" w:w="3456"/>
            <w:vAlign w:val="top"/>
          </w:tcPr>
          <w:p>
            <w:pPr>
              <w:spacing w:after="40" w:before="0" w:line="259" w:lineRule="auto"/>
            </w:pPr>
            <w:r>
              <w:rPr>
                <w:rFonts w:ascii="Calibri" w:hAnsi="Calibri"/>
                <w:b/>
                <w:i w:val="0"/>
                <w:color w:val="212121"/>
                <w:sz w:val="19"/>
              </w:rPr>
              <w:t>Handwriting macrographia with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Large, shaky script, in contrast to the micrographia of Parkinson's disease.</w:t>
            </w:r>
          </w:p>
        </w:tc>
      </w:tr>
      <w:tr>
        <w:trPr>
          <w:cantSplit/>
        </w:trPr>
        <w:tc>
          <w:tcPr>
            <w:tcW w:type="dxa" w:w="3456"/>
            <w:vAlign w:val="top"/>
          </w:tcPr>
          <w:p>
            <w:pPr>
              <w:spacing w:after="40" w:before="0" w:line="259" w:lineRule="auto"/>
            </w:pPr>
            <w:r>
              <w:rPr>
                <w:rFonts w:ascii="Calibri" w:hAnsi="Calibri"/>
                <w:b/>
                <w:i w:val="0"/>
                <w:color w:val="212121"/>
                <w:sz w:val="19"/>
              </w:rPr>
              <w:t>Normal DaTscan (when performed)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Preserved striatal dopamine-transporter uptake supports ET over parkinsonism.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increase in tremor amplitude over years to decades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impairment of activities of daily living (writing, eating, drinking, dressing)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from hands to head, voice and (less often)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with age and reduced response to first-line drugs</w:t>
            </w:r>
          </w:p>
        </w:tc>
        <w:tc>
          <w:tcPr>
            <w:tcW w:type="dxa" w:w="2980"/>
            <w:vAlign w:val="top"/>
          </w:tcPr>
          <w:p>
            <w:pPr>
              <w:spacing w:after="40" w:before="0" w:line="259" w:lineRule="auto"/>
            </w:pPr>
            <w:r>
              <w:rPr>
                <w:rFonts w:ascii="Calibri" w:hAnsi="Calibri"/>
                <w:b w:val="0"/>
                <w:i w:val="0"/>
                <w:color w:val="212121"/>
                <w:sz w:val="19"/>
              </w:rPr>
              <w:t>Direct consequences of the tremor itself as the disorder slowly progresses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embarrassment,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disability, especially in precision-dependent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Self-medication with alcohol and risk of alcohol 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 adverse effects (bradycardia/fatigue with propranolol; sedation, ataxia with primidone)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reduced mobility in ET-plus with gait involvement</w:t>
            </w:r>
          </w:p>
        </w:tc>
        <w:tc>
          <w:tcPr>
            <w:tcW w:type="dxa" w:w="2980"/>
            <w:vAlign w:val="top"/>
          </w:tcPr>
          <w:p>
            <w:pPr>
              <w:spacing w:after="40" w:before="0" w:line="259" w:lineRule="auto"/>
            </w:pPr>
            <w:r>
              <w:rPr>
                <w:rFonts w:ascii="Calibri" w:hAnsi="Calibri"/>
                <w:b w:val="0"/>
                <w:i w:val="0"/>
                <w:color w:val="212121"/>
                <w:sz w:val="19"/>
              </w:rPr>
              <w:t>Result from the psychosocial impact of visible tremor and from its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disability requiring assistance with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employment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advanced therapy (deep brain stimulation or MRI-guided focused-ultrasound thalamotomy)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decline / dementia in late-onset ET-plus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all-cause mortality reported in some ET cohorts</w:t>
            </w:r>
          </w:p>
        </w:tc>
        <w:tc>
          <w:tcPr>
            <w:tcW w:type="dxa" w:w="2980"/>
            <w:vAlign w:val="top"/>
          </w:tcPr>
          <w:p>
            <w:pPr>
              <w:spacing w:after="40" w:before="0" w:line="259" w:lineRule="auto"/>
            </w:pPr>
            <w:r>
              <w:rPr>
                <w:rFonts w:ascii="Calibri" w:hAnsi="Calibri"/>
                <w:b w:val="0"/>
                <w:i w:val="0"/>
                <w:color w:val="212121"/>
                <w:sz w:val="19"/>
              </w:rPr>
              <w:t>Irreversible, disabling end-stage outcomes of severe, longstanding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Parkinson's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Longstanding and ET-plus disease carries an elevated risk of later Parkinson's disease; the two share overlapping tremor networks and can co-exist, altering treatment.</w:t>
            </w:r>
          </w:p>
          <w:p>
            <w:pPr>
              <w:spacing w:after="40" w:before="0" w:line="259" w:lineRule="auto"/>
            </w:pPr>
            <w:r>
              <w:rPr>
                <w:rFonts w:ascii="Calibri" w:hAnsi="Calibri"/>
                <w:b/>
                <w:i w:val="0"/>
                <w:color w:val="212121"/>
                <w:sz w:val="19"/>
              </w:rPr>
              <w:t>~3.6% conversion over ~4 years</w:t>
            </w:r>
          </w:p>
        </w:tc>
      </w:tr>
      <w:tr>
        <w:trPr>
          <w:cantSplit/>
        </w:trPr>
        <w:tc>
          <w:tcPr>
            <w:tcW w:type="dxa" w:w="2232"/>
            <w:vAlign w:val="top"/>
          </w:tcPr>
          <w:p>
            <w:pPr>
              <w:spacing w:after="40" w:before="0" w:line="259" w:lineRule="auto"/>
            </w:pPr>
            <w:r>
              <w:rPr>
                <w:rFonts w:ascii="Calibri" w:hAnsi="Calibri"/>
                <w:b/>
                <w:i w:val="0"/>
                <w:color w:val="212121"/>
                <w:sz w:val="19"/>
              </w:rPr>
              <w:t>Dystonia (dystonic tremor)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Questionable dystonic posturing defines the ET-plus category and dystonic tremor is the principal differential, influencing diagnosis and drug choice.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Bidirectional: tremor-related disability and embarrassment lower mood, while depression heightens perceived severity; ET patients show higher depressive symptom scores.</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Stress and anxiety are potent tremor amplifiers and are more prevalent in ET, creating a vicious cycle of arousal and worsening tremor.</w:t>
            </w:r>
          </w:p>
        </w:tc>
      </w:tr>
      <w:tr>
        <w:trPr>
          <w:cantSplit/>
        </w:trPr>
        <w:tc>
          <w:tcPr>
            <w:tcW w:type="dxa" w:w="2232"/>
            <w:vAlign w:val="top"/>
          </w:tcPr>
          <w:p>
            <w:pPr>
              <w:spacing w:after="40" w:before="0" w:line="259" w:lineRule="auto"/>
            </w:pPr>
            <w:r>
              <w:rPr>
                <w:rFonts w:ascii="Calibri" w:hAnsi="Calibri"/>
                <w:b/>
                <w:i w:val="0"/>
                <w:color w:val="212121"/>
                <w:sz w:val="19"/>
              </w:rPr>
              <w:t>Mild cognitive impairment / dementia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Late-onset ET, especially ET-plus, is associated with cognitive impairment and increased dementia risk (pooled OR 2.49 for dementia/affective disorders).</w:t>
            </w:r>
          </w:p>
          <w:p>
            <w:pPr>
              <w:spacing w:after="40" w:before="0" w:line="259" w:lineRule="auto"/>
            </w:pPr>
            <w:r>
              <w:rPr>
                <w:rFonts w:ascii="Calibri" w:hAnsi="Calibri"/>
                <w:b/>
                <w:i w:val="0"/>
                <w:color w:val="212121"/>
                <w:sz w:val="19"/>
              </w:rPr>
              <w:t>OR 2.49 (dementia + affective disorders)</w:t>
            </w:r>
          </w:p>
        </w:tc>
      </w:tr>
      <w:tr>
        <w:trPr>
          <w:cantSplit/>
        </w:trPr>
        <w:tc>
          <w:tcPr>
            <w:tcW w:type="dxa" w:w="2232"/>
            <w:vAlign w:val="top"/>
          </w:tcPr>
          <w:p>
            <w:pPr>
              <w:spacing w:after="40" w:before="0" w:line="259" w:lineRule="auto"/>
            </w:pPr>
            <w:r>
              <w:rPr>
                <w:rFonts w:ascii="Calibri" w:hAnsi="Calibri"/>
                <w:b/>
                <w:i w:val="0"/>
                <w:color w:val="212121"/>
                <w:sz w:val="19"/>
              </w:rPr>
              <w:t>Sensorineural hearing loss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Auditory (and olfactory) deficits occur more often than expected for age, consistent with wider cerebellar–brainstem network involvement.</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Because alcohol transiently relieves tremor, some patients self-medicate, predisposing to dependence; alcohol history also affects treatment and DBS outcomes.</w:t>
            </w:r>
          </w:p>
        </w:tc>
      </w:tr>
      <w:tr>
        <w:trPr>
          <w:cantSplit/>
        </w:trPr>
        <w:tc>
          <w:tcPr>
            <w:tcW w:type="dxa" w:w="2232"/>
            <w:vAlign w:val="top"/>
          </w:tcPr>
          <w:p>
            <w:pPr>
              <w:spacing w:after="40" w:before="0" w:line="259" w:lineRule="auto"/>
            </w:pPr>
            <w:r>
              <w:rPr>
                <w:rFonts w:ascii="Calibri" w:hAnsi="Calibri"/>
                <w:b/>
                <w:i w:val="0"/>
                <w:color w:val="212121"/>
                <w:sz w:val="19"/>
              </w:rPr>
              <w:t>Enhanced physiological tremor (thyrotoxic/drug-induced)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Thyrotoxicosis and tremorgenic drugs produce an action tremor that mimics or aggravates ET; identifying them changes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essential tremor is a common, benign-onset action tremor — not simply ‘old age’, weakness or nervousness — and that effective treatment 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log personal triggers (stress, caffeine, nicotine, fatigue, missed meals) and reduce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Bring a list of all medicines to review, as β-agonists, valproate, lithium and stimulants can worsen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simple adaptive strategies: weighted or wide-grip utensils, wrist weights, straws, voice-to-text and stabilising both elbows on a surface.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neurological assessment if tremor interferes with writing, eating, drinking or work, or if a rest tremor, stiffness or slowness appears.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Precision/occupational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first-line drugs (propranolol and primidone) help about half of patients and are titrated slowly to balance benefit and side-effects.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side-effects such as tiredness, slow pulse or dizziness (propranolol) and drowsiness or unsteadiness (primidone) rather than stopping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30–50% of patients get limited relief from tablets and that botulinum toxin, deep brain stimulation or focused-ultrasound thalamotomy are options for disabling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long-term treatment despite its short-lived benefit, because of rebound and dependence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spiral-drawing or handwriting diary to track tremor and treatment response over 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propranolol/primidone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Treatment-refractory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Candidates for DBS/focused ultrasound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self-medicating with alcohol</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general exercise and proximal-limb strengthening to reduce fatigue-related tremor and maintain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occupational therapy on task-specific training and adaptive aids (weighted cutlery, ergonomic pens, stabilising devices).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bracing techniques — anchoring elbows/wrists on a stable surface during fine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and gait training in ET-plus patients with tandem-gait difficulty to reduce fall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hand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ET-plus with gait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Precision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caffeine (tea, coffee, cola, energy drinks) to a minimum, as it directly amplifies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skipping meals; hypoglycaemia and hunger worsen tremor — eat regular, balanced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very well-cooked or charred meats given the proposed link between dietary β-carbolines (harmane) and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hydration and a balanced diet to avoid metabolic triggers of enhanced tremor.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tea/coffee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irregular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new or worsening tremor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nightly, as fatigue and sleep loss amplify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a wind-down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and nicotine in the evening to protect sleep and reduce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anxiety or low mood that disrupt sleep, since these also worsen tremor.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stop smoking; nicotine is an adrenergic stimulant that can transiently worsen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Steer clear of other stimulants (energy drinks, decongestants, unprescribed β-agonists) that amplify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structured cessation support (counselling, nicotine-replacement or pharmacotherapy)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Stimulant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worsening tremor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rely on alcohol to control tremor despite its brief benefit — relief is short-lived and followed by rebound worsening.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within safe limits (≤ 7 standard drinks/week) and never escalate to manage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signs of dependence (needing alcohol before social tasks) and seek help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alcohol use honestly before deep-brain-stimulation assessment, as heavy drinking can affect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tempted to self-medicate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Familial/alcohol-responsive 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DBS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heavy alcohol use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(slow breathing, mindfulness, yoga, progressive relaxation) to blunt arousal-driven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in ET and amplify perceived tremor.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cognitive-behavioural therapy and, where appropriate, anxiolytic or antidepressant treatment coordinated with tremor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Prepare for high-pressure situations (public speaking, exams, meetings) with rehearsal and, if advised, situational propranolol.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 a support group or counselling to reduce social isolation and embarrassment.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Performers/public speakers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isolated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uralneuropractice.com/clinical-characteristics-of-essential-tremor-in-south-india-a-hospital-based-cohort-study/" TargetMode="External"/><Relationship Id="rId10" Type="http://schemas.openxmlformats.org/officeDocument/2006/relationships/hyperlink" Target="https://tremorjournal.org/articles/10.5334/tohm.632" TargetMode="External"/><Relationship Id="rId11" Type="http://schemas.openxmlformats.org/officeDocument/2006/relationships/hyperlink" Target="https://jamanetwork.com/journals/jamaneurology/fullarticle/587976" TargetMode="External"/><Relationship Id="rId12" Type="http://schemas.openxmlformats.org/officeDocument/2006/relationships/hyperlink" Target="https://onlinelibrary.wiley.com/doi/abs/10.1111/j.1468-1331.2009.02589.x" TargetMode="External"/><Relationship Id="rId13" Type="http://schemas.openxmlformats.org/officeDocument/2006/relationships/hyperlink" Target="https://www.mdsabstracts.org/abstract/prevalence-of-essential-tremors-in-rural-gujarat-india/" TargetMode="External"/><Relationship Id="rId14" Type="http://schemas.openxmlformats.org/officeDocument/2006/relationships/hyperlink" Target="https://tremorjournal.org/articles/10.5334/tohm.923" TargetMode="External"/><Relationship Id="rId15" Type="http://schemas.openxmlformats.org/officeDocument/2006/relationships/hyperlink" Target="https://emedicine.medscape.com/article/1150290-overview" TargetMode="External"/><Relationship Id="rId16" Type="http://schemas.openxmlformats.org/officeDocument/2006/relationships/hyperlink" Target="https://www.neurology.org/doi/10.1212/CPJ.0000000000200162" TargetMode="External"/><Relationship Id="rId17" Type="http://schemas.openxmlformats.org/officeDocument/2006/relationships/hyperlink" Target="https://www.e-jmd.org/journal/view.php?number=438" TargetMode="External"/><Relationship Id="rId18" Type="http://schemas.openxmlformats.org/officeDocument/2006/relationships/hyperlink" Target="https://www.frontiersin.org/journals/neurology/articles/10.3389/fneur.2022.842732/full" TargetMode="External"/><Relationship Id="rId19" Type="http://schemas.openxmlformats.org/officeDocument/2006/relationships/hyperlink" Target="https://tremorjournal.org/articles/10.5334/tohm.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