
<file path=[Content_Types].xml><?xml version="1.0" encoding="utf-8"?>
<Types xmlns="http://schemas.openxmlformats.org/package/2006/content-types">
  <Default Extension="jpeg" ContentType="image/jpeg"/>
  <Default Extension="rels" ContentType="application/vnd.openxmlformats-package.relationships+xml"/>
  <Default Extension="xml" ContentType="application/xml"/>
  <Override PartName="/customXml/itemProps1.xml" ContentType="application/vnd.openxmlformats-officedocument.customXmlProperties+xml"/>
  <Override PartName="/docProps/app.xml" ContentType="application/vnd.openxmlformats-officedocument.extended-properties+xml"/>
  <Override PartName="/docProps/core.xml" ContentType="application/vnd.openxmlformats-package.core-properties+xml"/>
  <Override PartName="/word/document.xml" ContentType="application/vnd.openxmlformats-officedocument.wordprocessingml.document.main+xml"/>
  <Override PartName="/word/fontTable.xml" ContentType="application/vnd.openxmlformats-officedocument.wordprocessingml.fontTable+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stylesWithEffects.xml" ContentType="application/vnd.ms-word.stylesWithEffects+xml"/>
  <Override PartName="/word/theme/theme1.xml" ContentType="application/vnd.openxmlformats-officedocument.theme+xml"/>
  <Override PartName="/word/webSettings.xml" ContentType="application/vnd.openxmlformats-officedocument.wordprocessingml.webSettings+xml"/>
</Types>
</file>

<file path=_rels/.rels><?xml version='1.0' encoding='UTF-8' standalone='yes'?>
<Relationships xmlns="http://schemas.openxmlformats.org/package/2006/relationships"><Relationship Id="rId3" Type="http://schemas.openxmlformats.org/package/2006/relationships/metadata/core-properties" Target="docProps/core.xml"/><Relationship Id="rId4" Type="http://schemas.openxmlformats.org/officeDocument/2006/relationships/extended-properties" Target="docProps/app.xml"/><Relationship Id="rId1" Type="http://schemas.openxmlformats.org/officeDocument/2006/relationships/officeDocument" Target="word/document.xml"/><Relationship Id="rId2" Type="http://schemas.openxmlformats.org/package/2006/relationships/metadata/thumbnail" Target="docProps/thumbnail.jpeg"/></Relationships>
</file>

<file path=word/document.xml><?xml version="1.0" encoding="utf-8"?>
<w:document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body>
    <w:p>
      <w:pPr>
        <w:spacing w:before="0" w:after="80"/>
      </w:pPr>
      <w:r>
        <w:rPr>
          <w:rFonts w:ascii="Calibri" w:hAnsi="Calibri"/>
          <w:b/>
          <w:i w:val="0"/>
          <w:color w:val="2B2B33"/>
          <w:sz w:val="44"/>
        </w:rPr>
        <w:t>Neurocysticercosis</w:t>
      </w:r>
    </w:p>
    <w:p>
      <w:pPr>
        <w:spacing w:before="0" w:after="160"/>
      </w:pPr>
      <w:r>
        <w:rPr>
          <w:rFonts w:ascii="Calibri" w:hAnsi="Calibri"/>
          <w:b/>
          <w:i w:val="0"/>
          <w:color w:val="212121"/>
          <w:sz w:val="22"/>
        </w:rPr>
        <w:t xml:space="preserve">AKA </w:t>
      </w:r>
      <w:r>
        <w:rPr>
          <w:rFonts w:ascii="Calibri" w:hAnsi="Calibri"/>
          <w:b w:val="0"/>
          <w:i w:val="0"/>
          <w:color w:val="212121"/>
          <w:sz w:val="22"/>
        </w:rPr>
        <w:t>i.e., NCC, Cysticercosis of the brain, Pork-tapeworm brain infection, Taenia solium neurocysticercosis</w:t>
      </w:r>
    </w:p>
    <w:p>
      <w:pPr>
        <w:spacing w:before="280" w:after="120"/>
      </w:pPr>
      <w:r>
        <w:rPr>
          <w:rFonts w:ascii="Calibri" w:hAnsi="Calibri"/>
          <w:b/>
          <w:i w:val="0"/>
          <w:color w:val="212121"/>
          <w:sz w:val="31"/>
        </w:rPr>
        <w:t>Introduction to MCP</w:t>
      </w:r>
    </w:p>
    <w:p>
      <w:pPr>
        <w:spacing w:before="200" w:after="120"/>
      </w:pPr>
      <w:r>
        <w:rPr>
          <w:rFonts w:ascii="Calibri" w:hAnsi="Calibri"/>
          <w:b/>
          <w:i w:val="0"/>
          <w:color w:val="212121"/>
          <w:sz w:val="25"/>
        </w:rPr>
        <w:t>Definition</w:t>
      </w:r>
    </w:p>
    <w:p>
      <w:pPr>
        <w:spacing w:before="0" w:after="120"/>
      </w:pPr>
      <w:r>
        <w:rPr>
          <w:rFonts w:ascii="Calibri" w:hAnsi="Calibri"/>
          <w:b w:val="0"/>
          <w:i w:val="0"/>
          <w:color w:val="212121"/>
          <w:sz w:val="21"/>
        </w:rPr>
        <w:t>Neurocysticercosis (NCC) is a parasitic infection of the central nervous system caused by the encysted larval stage (cysticercus) of the pork tapeworm Taenia solium. Humans become infected not by eating pork but by ingesting T. solium eggs shed in the faeces of a human tapeworm carrier (via contaminated food, water or hands); the eggs hatch, and larvae migrate through the bloodstream to lodge in brain parenchyma, ventricles, subarachnoid space, spinal cord or eye. The dying cyst provokes an inflammatory reaction and gliosis that most commonly manifests as seizures. NCC is the single most frequent preventable cause of acquired epilepsy worldwide and the leading cause of adult-onset epilepsy in India.</w:t>
      </w:r>
    </w:p>
    <w:p>
      <w:pPr>
        <w:spacing w:before="200" w:after="120"/>
      </w:pPr>
      <w:r>
        <w:rPr>
          <w:rFonts w:ascii="Calibri" w:hAnsi="Calibri"/>
          <w:b/>
          <w:i w:val="0"/>
          <w:color w:val="212121"/>
          <w:sz w:val="25"/>
        </w:rPr>
        <w:t>Prevalence</w:t>
      </w:r>
    </w:p>
    <w:p>
      <w:pPr>
        <w:spacing w:before="0" w:after="120"/>
      </w:pPr>
      <w:r>
        <w:rPr>
          <w:rFonts w:ascii="Calibri" w:hAnsi="Calibri"/>
          <w:b w:val="0"/>
          <w:i w:val="0"/>
          <w:color w:val="212121"/>
          <w:sz w:val="21"/>
        </w:rPr>
        <w:t>NCC is hyperendemic across India. The WHO estimates 2.56–8.30 million people worldwide harbour NCC, and T. solium accounts for about 30% of epilepsy cases in endemic areas, rising to as many as 70% in high-risk communities. In Indian community and hospital studies, roughly 26–54% of active epilepsy is attributable to NCC; a South Indian survey of 50,617 people detected NCC on CT in 28.4% of those with active epilepsy, and in the Assam tea-garden belt NCC accounted for 42.2% of active-epilepsy cases with a Taenia-solium IgG seroprevalence of 27.7%. The solitary cysticercus granuloma — a single small enhancing lesion — is the most common radiological form on the Indian subcontinent (47–60% of cases).</w:t>
      </w:r>
    </w:p>
    <w:p>
      <w:pPr>
        <w:spacing w:before="200" w:after="120"/>
      </w:pPr>
      <w:r>
        <w:rPr>
          <w:rFonts w:ascii="Calibri" w:hAnsi="Calibri"/>
          <w:b/>
          <w:i w:val="0"/>
          <w:color w:val="212121"/>
          <w:sz w:val="25"/>
        </w:rPr>
        <w:t>Diagnosis</w:t>
      </w:r>
    </w:p>
    <w:p>
      <w:pPr>
        <w:spacing w:before="0" w:after="120"/>
      </w:pPr>
      <w:r>
        <w:rPr>
          <w:rFonts w:ascii="Calibri" w:hAnsi="Calibri"/>
          <w:b w:val="0"/>
          <w:i w:val="0"/>
          <w:color w:val="212121"/>
          <w:sz w:val="21"/>
        </w:rPr>
        <w:t>There is no single confirmatory bedside test; diagnosis rests on the 2017 Del Brutto revised criteria, which integrate neuroimaging, serology, clinical features and epidemiological exposure into 'definitive' or 'probable' categories:</w:t>
      </w:r>
    </w:p>
    <w:p>
      <w:pPr>
        <w:spacing w:after="60"/>
        <w:ind w:left="432" w:hanging="259"/>
      </w:pPr>
      <w:r>
        <w:rPr>
          <w:rFonts w:ascii="Calibri" w:hAnsi="Calibri"/>
          <w:b w:val="0"/>
          <w:i w:val="0"/>
          <w:color w:val="212121"/>
          <w:sz w:val="21"/>
        </w:rPr>
        <w:t xml:space="preserve">•  </w:t>
      </w:r>
      <w:r>
        <w:rPr>
          <w:rFonts w:ascii="Calibri" w:hAnsi="Calibri"/>
          <w:b w:val="0"/>
          <w:i w:val="0"/>
          <w:color w:val="212121"/>
          <w:sz w:val="21"/>
        </w:rPr>
        <w:t>Absolute criteria: histological demonstration of the parasite, a cystic lesion showing the scolex on CT/MRI, or direct visualisation of a subretinal cysticercus on fundoscopy;</w:t>
      </w:r>
    </w:p>
    <w:p>
      <w:pPr>
        <w:spacing w:after="60"/>
        <w:ind w:left="432" w:hanging="259"/>
      </w:pPr>
      <w:r>
        <w:rPr>
          <w:rFonts w:ascii="Calibri" w:hAnsi="Calibri"/>
          <w:b w:val="0"/>
          <w:i w:val="0"/>
          <w:color w:val="212121"/>
          <w:sz w:val="21"/>
        </w:rPr>
        <w:t xml:space="preserve">•  </w:t>
      </w:r>
      <w:r>
        <w:rPr>
          <w:rFonts w:ascii="Calibri" w:hAnsi="Calibri"/>
          <w:b w:val="0"/>
          <w:i w:val="0"/>
          <w:color w:val="212121"/>
          <w:sz w:val="21"/>
        </w:rPr>
        <w:t>Major neuroimaging criteria: cystic lesions without a discernible scolex, enhancing (ring/nodular) lesions, multilobulated cystic lesions in the subarachnoid space, or typical parenchymal brain calcifications;</w:t>
      </w:r>
    </w:p>
    <w:p>
      <w:pPr>
        <w:spacing w:after="60"/>
        <w:ind w:left="432" w:hanging="259"/>
      </w:pPr>
      <w:r>
        <w:rPr>
          <w:rFonts w:ascii="Calibri" w:hAnsi="Calibri"/>
          <w:b w:val="0"/>
          <w:i w:val="0"/>
          <w:color w:val="212121"/>
          <w:sz w:val="21"/>
        </w:rPr>
        <w:t xml:space="preserve">•  </w:t>
      </w:r>
      <w:r>
        <w:rPr>
          <w:rFonts w:ascii="Calibri" w:hAnsi="Calibri"/>
          <w:b w:val="0"/>
          <w:i w:val="0"/>
          <w:color w:val="212121"/>
          <w:sz w:val="21"/>
        </w:rPr>
        <w:t>Confirmative neuroimaging criteria: resolution of cysts after antiparasitic therapy, spontaneous resolution of a single small enhancing lesion, or migration of a ventricular cyst on sequential scans;</w:t>
      </w:r>
    </w:p>
    <w:p>
      <w:pPr>
        <w:spacing w:after="60"/>
        <w:ind w:left="432" w:hanging="259"/>
      </w:pPr>
      <w:r>
        <w:rPr>
          <w:rFonts w:ascii="Calibri" w:hAnsi="Calibri"/>
          <w:b w:val="0"/>
          <w:i w:val="0"/>
          <w:color w:val="212121"/>
          <w:sz w:val="21"/>
        </w:rPr>
        <w:t xml:space="preserve">•  </w:t>
      </w:r>
      <w:r>
        <w:rPr>
          <w:rFonts w:ascii="Calibri" w:hAnsi="Calibri"/>
          <w:b w:val="0"/>
          <w:i w:val="0"/>
          <w:color w:val="212121"/>
          <w:sz w:val="21"/>
        </w:rPr>
        <w:t>Minor neuroimaging criteria: obstructive hydrocephalus or abnormal leptomeningeal enhancement;</w:t>
      </w:r>
    </w:p>
    <w:p>
      <w:pPr>
        <w:spacing w:after="60"/>
        <w:ind w:left="432" w:hanging="259"/>
      </w:pPr>
      <w:r>
        <w:rPr>
          <w:rFonts w:ascii="Calibri" w:hAnsi="Calibri"/>
          <w:b w:val="0"/>
          <w:i w:val="0"/>
          <w:color w:val="212121"/>
          <w:sz w:val="21"/>
        </w:rPr>
        <w:t xml:space="preserve">•  </w:t>
      </w:r>
      <w:r>
        <w:rPr>
          <w:rFonts w:ascii="Calibri" w:hAnsi="Calibri"/>
          <w:b w:val="0"/>
          <w:i w:val="0"/>
          <w:color w:val="212121"/>
          <w:sz w:val="21"/>
        </w:rPr>
        <w:t>Clinical/exposure criteria: positive antibody (EITB) or circulating-antigen assay, cysticercosis outside the CNS (e.g. subcutaneous/muscle nodules), household contact with a T. solium carrier, clinical manifestations suggestive of NCC, and residence in/travel to an endemic area;</w:t>
      </w:r>
    </w:p>
    <w:p>
      <w:pPr>
        <w:spacing w:after="60"/>
        <w:ind w:left="432" w:hanging="259"/>
      </w:pPr>
      <w:r>
        <w:rPr>
          <w:rFonts w:ascii="Calibri" w:hAnsi="Calibri"/>
          <w:b w:val="0"/>
          <w:i w:val="0"/>
          <w:color w:val="212121"/>
          <w:sz w:val="21"/>
        </w:rPr>
        <w:t xml:space="preserve">•  </w:t>
      </w:r>
      <w:r>
        <w:rPr>
          <w:rFonts w:ascii="Calibri" w:hAnsi="Calibri"/>
          <w:b w:val="0"/>
          <w:i w:val="0"/>
          <w:color w:val="212121"/>
          <w:sz w:val="21"/>
        </w:rPr>
        <w:t>Definitive diagnosis = one absolute criterion, OR two major neuroimaging plus any clinical/exposure criteria; Probable diagnosis = one major neuroimaging plus any two clinical/exposure criteria (or one minor neuroimaging plus one major clinical/exposure criterion).</w:t>
      </w:r>
    </w:p>
    <w:p>
      <w:pPr>
        <w:spacing w:before="200" w:after="120"/>
      </w:pPr>
      <w:r>
        <w:rPr>
          <w:rFonts w:ascii="Calibri" w:hAnsi="Calibri"/>
          <w:b/>
          <w:i w:val="0"/>
          <w:color w:val="212121"/>
          <w:sz w:val="25"/>
        </w:rPr>
        <w:t>Classification</w:t>
      </w:r>
    </w:p>
    <w:p>
      <w:pPr>
        <w:spacing w:before="0" w:after="120"/>
      </w:pPr>
      <w:r>
        <w:rPr>
          <w:rFonts w:ascii="Calibri" w:hAnsi="Calibri"/>
          <w:b w:val="0"/>
          <w:i w:val="0"/>
          <w:color w:val="212121"/>
          <w:sz w:val="21"/>
        </w:rPr>
        <w:t>NCC is classified by anatomical location and by the evolutionary (Escobar) stage of the cyst, both of which dictate presentation, treatment and prognosis:</w:t>
      </w:r>
    </w:p>
    <w:p>
      <w:pPr>
        <w:spacing w:before="0" w:after="80"/>
      </w:pPr>
      <w:r>
        <w:rPr>
          <w:rFonts w:ascii="Calibri" w:hAnsi="Calibri"/>
          <w:b w:val="0"/>
          <w:i w:val="0"/>
          <w:color w:val="212121"/>
          <w:sz w:val="21"/>
        </w:rPr>
        <w:t>(1) Parenchymal NCC — cysts within brain tissue; the commonest form, dominated by seizures, and generally carrying a good prognosis. In India this most often takes the form of a solitary cysticercus granuloma (a single small ring/disc-enhancing lesion).</w:t>
      </w:r>
    </w:p>
    <w:p>
      <w:pPr>
        <w:spacing w:before="0" w:after="80"/>
      </w:pPr>
      <w:r>
        <w:rPr>
          <w:rFonts w:ascii="Calibri" w:hAnsi="Calibri"/>
          <w:b w:val="0"/>
          <w:i w:val="0"/>
          <w:color w:val="212121"/>
          <w:sz w:val="21"/>
        </w:rPr>
        <w:t>(2) Extraparenchymal NCC — cysts in the ventricles (intraventricular), subarachnoid/basal cisterns (including the aggressive proliferating 'racemose' form), spinal canal or eye; these present with raised intracranial pressure, hydrocephalus, arachnoiditis, vasculitis or visual loss and carry a markedly worse prognosis with higher mortality.</w:t>
      </w:r>
    </w:p>
    <w:p>
      <w:pPr>
        <w:spacing w:before="0" w:after="80"/>
      </w:pPr>
      <w:r>
        <w:rPr>
          <w:rFonts w:ascii="Calibri" w:hAnsi="Calibri"/>
          <w:b w:val="0"/>
          <w:i w:val="0"/>
          <w:color w:val="212121"/>
          <w:sz w:val="21"/>
        </w:rPr>
        <w:t>(3) Evolutionary stages of a parenchymal cyst: vesicular (viable, thin-walled cyst with a live scolex and little surrounding oedema); colloidal-vesicular (larva dying, thick ring enhancement with perilesional oedema — the most symptomatic stage); granular-nodular (involuting, nodular enhancement); and calcified-nodular (dead, calcified scar that can still trigger recurrent seizures).</w:t>
      </w:r>
    </w:p>
    <w:p>
      <w:pPr>
        <w:spacing w:before="0" w:after="80"/>
      </w:pPr>
      <w:r>
        <w:rPr>
          <w:rFonts w:ascii="Calibri" w:hAnsi="Calibri"/>
          <w:b w:val="0"/>
          <w:i w:val="0"/>
          <w:color w:val="212121"/>
          <w:sz w:val="21"/>
        </w:rPr>
        <w:t>(4) Special forms: cysticercotic encephalitis (a heavy cyst burden with diffuse cerebral oedema, seen chiefly in children and young women) and disseminated cysticercosis (numerous cysts across brain, muscle, subcutaneous tissue and eye).</w:t>
      </w:r>
    </w:p>
    <w:p>
      <w:pPr>
        <w:spacing w:before="200" w:after="120"/>
      </w:pPr>
      <w:r>
        <w:rPr>
          <w:rFonts w:ascii="Calibri" w:hAnsi="Calibri"/>
          <w:b/>
          <w:i w:val="0"/>
          <w:color w:val="212121"/>
          <w:sz w:val="25"/>
        </w:rPr>
        <w:t>Etiology</w:t>
      </w:r>
    </w:p>
    <w:p>
      <w:pPr>
        <w:spacing w:after="60"/>
        <w:ind w:left="432" w:hanging="288"/>
      </w:pPr>
      <w:r>
        <w:rPr>
          <w:rFonts w:ascii="Calibri" w:hAnsi="Calibri"/>
          <w:b/>
          <w:i w:val="0"/>
          <w:color w:val="212121"/>
          <w:sz w:val="21"/>
        </w:rPr>
        <w:t xml:space="preserve">1. </w:t>
      </w:r>
      <w:r>
        <w:rPr>
          <w:rFonts w:ascii="Calibri" w:hAnsi="Calibri"/>
          <w:b w:val="0"/>
          <w:i w:val="0"/>
          <w:color w:val="212121"/>
          <w:sz w:val="21"/>
        </w:rPr>
        <w:t>Ingestion of Taenia solium eggs (faecal-oral): The direct cause of NCC. Eggs passed in a human tapeworm carrier's stool contaminate food, water and hands; once swallowed they hatch and the larvae encyst in the CNS. Crucially, this route infects meat-eaters and strict vegetarians alike.</w:t>
      </w:r>
    </w:p>
    <w:p>
      <w:pPr>
        <w:spacing w:after="60"/>
        <w:ind w:left="432" w:hanging="288"/>
      </w:pPr>
      <w:r>
        <w:rPr>
          <w:rFonts w:ascii="Calibri" w:hAnsi="Calibri"/>
          <w:b/>
          <w:i w:val="0"/>
          <w:color w:val="212121"/>
          <w:sz w:val="21"/>
        </w:rPr>
        <w:t xml:space="preserve">2. </w:t>
      </w:r>
      <w:r>
        <w:rPr>
          <w:rFonts w:ascii="Calibri" w:hAnsi="Calibri"/>
          <w:b w:val="0"/>
          <w:i w:val="0"/>
          <w:color w:val="212121"/>
          <w:sz w:val="21"/>
        </w:rPr>
        <w:t>A human tapeworm (taeniasis) carrier: A single carrier of the adult intestinal worm sheds thousands of eggs daily and is the reservoir that seeds infection in themselves, their household and food handled by them.</w:t>
      </w:r>
    </w:p>
    <w:p>
      <w:pPr>
        <w:spacing w:after="60"/>
        <w:ind w:left="432" w:hanging="288"/>
      </w:pPr>
      <w:r>
        <w:rPr>
          <w:rFonts w:ascii="Calibri" w:hAnsi="Calibri"/>
          <w:b/>
          <w:i w:val="0"/>
          <w:color w:val="212121"/>
          <w:sz w:val="21"/>
        </w:rPr>
        <w:t xml:space="preserve">3. </w:t>
      </w:r>
      <w:r>
        <w:rPr>
          <w:rFonts w:ascii="Calibri" w:hAnsi="Calibri"/>
          <w:b w:val="0"/>
          <w:i w:val="0"/>
          <w:color w:val="212121"/>
          <w:sz w:val="21"/>
        </w:rPr>
        <w:t>Poor sanitation and open defecation: Absent or shared latrines let eggs contaminate soil, water sources and vegetable crops, sustaining the transmission cycle in rural and peri-urban India.</w:t>
      </w:r>
    </w:p>
    <w:p>
      <w:pPr>
        <w:spacing w:after="60"/>
        <w:ind w:left="432" w:hanging="288"/>
      </w:pPr>
      <w:r>
        <w:rPr>
          <w:rFonts w:ascii="Calibri" w:hAnsi="Calibri"/>
          <w:b/>
          <w:i w:val="0"/>
          <w:color w:val="212121"/>
          <w:sz w:val="21"/>
        </w:rPr>
        <w:t xml:space="preserve">4. </w:t>
      </w:r>
      <w:r>
        <w:rPr>
          <w:rFonts w:ascii="Calibri" w:hAnsi="Calibri"/>
          <w:b w:val="0"/>
          <w:i w:val="0"/>
          <w:color w:val="212121"/>
          <w:sz w:val="21"/>
        </w:rPr>
        <w:t>Undercooked 'measly' pork and free-range pig rearing: Eating larval cysts in undercooked pork produces the adult tapeworm (taeniasis); pigs that scavenge human faeces amplify the cycle, especially in pig-farming and tea-garden communities.</w:t>
      </w:r>
    </w:p>
    <w:p>
      <w:pPr>
        <w:spacing w:after="60"/>
        <w:ind w:left="432" w:hanging="288"/>
      </w:pPr>
      <w:r>
        <w:rPr>
          <w:rFonts w:ascii="Calibri" w:hAnsi="Calibri"/>
          <w:b/>
          <w:i w:val="0"/>
          <w:color w:val="212121"/>
          <w:sz w:val="21"/>
        </w:rPr>
        <w:t xml:space="preserve">5. </w:t>
      </w:r>
      <w:r>
        <w:rPr>
          <w:rFonts w:ascii="Calibri" w:hAnsi="Calibri"/>
          <w:b w:val="0"/>
          <w:i w:val="0"/>
          <w:color w:val="212121"/>
          <w:sz w:val="21"/>
        </w:rPr>
        <w:t>Poor food and hand hygiene: Unwashed hands of an infected food handler, unwashed raw salads/vegetables and untreated drinking water transfer eggs from stool to mouth.</w:t>
      </w:r>
    </w:p>
    <w:p>
      <w:pPr>
        <w:spacing w:after="60"/>
        <w:ind w:left="432" w:hanging="288"/>
      </w:pPr>
      <w:r>
        <w:rPr>
          <w:rFonts w:ascii="Calibri" w:hAnsi="Calibri"/>
          <w:b/>
          <w:i w:val="0"/>
          <w:color w:val="212121"/>
          <w:sz w:val="21"/>
        </w:rPr>
        <w:t xml:space="preserve">6. </w:t>
      </w:r>
      <w:r>
        <w:rPr>
          <w:rFonts w:ascii="Calibri" w:hAnsi="Calibri"/>
          <w:b w:val="0"/>
          <w:i w:val="0"/>
          <w:color w:val="212121"/>
          <w:sz w:val="21"/>
        </w:rPr>
        <w:t>Autoinfection: A tapeworm carrier can re-infect themselves through faecal-oral contamination or, theoretically, reverse peristalsis, producing a heavy cyst burden.</w:t>
      </w:r>
    </w:p>
    <w:p>
      <w:pPr>
        <w:spacing w:after="60"/>
        <w:ind w:left="432" w:hanging="288"/>
      </w:pPr>
      <w:r>
        <w:rPr>
          <w:rFonts w:ascii="Calibri" w:hAnsi="Calibri"/>
          <w:b/>
          <w:i w:val="0"/>
          <w:color w:val="212121"/>
          <w:sz w:val="21"/>
        </w:rPr>
        <w:t xml:space="preserve">7. </w:t>
      </w:r>
      <w:r>
        <w:rPr>
          <w:rFonts w:ascii="Calibri" w:hAnsi="Calibri"/>
          <w:b w:val="0"/>
          <w:i w:val="0"/>
          <w:color w:val="212121"/>
          <w:sz w:val="21"/>
        </w:rPr>
        <w:t>Host inflammatory response: Seizures arise mainly when the cyst degenerates and provokes perilesional oedema, or later from the gliotic/calcified scar — so symptoms track the immune reaction, not merely the live parasite.</w:t>
      </w:r>
    </w:p>
    <w:p>
      <w:pPr>
        <w:spacing w:before="280" w:after="120"/>
      </w:pPr>
      <w:r>
        <w:rPr>
          <w:rFonts w:ascii="Calibri" w:hAnsi="Calibri"/>
          <w:b/>
          <w:i w:val="0"/>
          <w:color w:val="212121"/>
          <w:sz w:val="31"/>
        </w:rPr>
        <w:t>Research Draft of MCP</w:t>
      </w:r>
    </w:p>
    <w:p>
      <w:pPr>
        <w:spacing w:before="200" w:after="120"/>
      </w:pPr>
      <w:r>
        <w:rPr>
          <w:rFonts w:ascii="Calibri" w:hAnsi="Calibri"/>
          <w:b/>
          <w:i w:val="0"/>
          <w:color w:val="212121"/>
          <w:sz w:val="25"/>
        </w:rPr>
        <w:t>Profiles Prone To</w:t>
      </w:r>
    </w:p>
    <w:tbl>
      <w:tblPr>
        <w:tblW w:type="dxa" w:w="9604"/>
        <w:jc w:val="center"/>
        <w:tblLook w:firstColumn="1" w:firstRow="1" w:lastColumn="0" w:lastRow="0" w:noHBand="0" w:noVBand="1" w:val="04A0"/>
        <w:tblBorders>
          <w:top w:val="single" w:sz="4" w:space="0" w:color="BFBFBF"/>
          <w:left w:val="single" w:sz="4" w:space="0" w:color="BFBFBF"/>
          <w:bottom w:val="single" w:sz="4" w:space="0" w:color="BFBFBF"/>
          <w:right w:val="single" w:sz="4" w:space="0" w:color="BFBFBF"/>
          <w:insideH w:val="single" w:sz="4" w:space="0" w:color="BFBFBF"/>
          <w:insideV w:val="single" w:sz="4" w:space="0" w:color="BFBFBF"/>
        </w:tblBorders>
      </w:tblPr>
      <w:tblGrid>
        <w:gridCol w:w="2401"/>
        <w:gridCol w:w="2401"/>
        <w:gridCol w:w="2401"/>
        <w:gridCol w:w="2401"/>
      </w:tblGrid>
      <w:tr>
        <w:trPr>
          <w:cantSplit/>
        </w:trPr>
        <w:tc>
          <w:tcPr>
            <w:tcW w:type="dxa" w:w="1512"/>
            <w:shd w:val="clear" w:color="auto" w:fill="F2F2F2"/>
            <w:vAlign w:val="center"/>
          </w:tcPr>
          <w:p>
            <w:pPr>
              <w:spacing w:after="40" w:before="0" w:line="259" w:lineRule="auto"/>
            </w:pPr>
            <w:r>
              <w:rPr>
                <w:rFonts w:ascii="Calibri" w:hAnsi="Calibri"/>
                <w:b/>
                <w:i w:val="0"/>
                <w:color w:val="212121"/>
                <w:sz w:val="19"/>
              </w:rPr>
              <w:t>Category</w:t>
            </w:r>
          </w:p>
        </w:tc>
        <w:tc>
          <w:tcPr>
            <w:tcW w:type="dxa" w:w="1655"/>
            <w:shd w:val="clear" w:color="auto" w:fill="F2F2F2"/>
            <w:vAlign w:val="center"/>
          </w:tcPr>
          <w:p>
            <w:pPr>
              <w:spacing w:after="40" w:before="0" w:line="259" w:lineRule="auto"/>
            </w:pPr>
            <w:r>
              <w:rPr>
                <w:rFonts w:ascii="Calibri" w:hAnsi="Calibri"/>
                <w:b/>
                <w:i w:val="0"/>
                <w:color w:val="212121"/>
                <w:sz w:val="19"/>
              </w:rPr>
              <w:t>Disposition</w:t>
            </w:r>
          </w:p>
        </w:tc>
        <w:tc>
          <w:tcPr>
            <w:tcW w:type="dxa" w:w="2160"/>
            <w:shd w:val="clear" w:color="auto" w:fill="F2F2F2"/>
            <w:vAlign w:val="center"/>
          </w:tcPr>
          <w:p>
            <w:pPr>
              <w:spacing w:after="40" w:before="0" w:line="259" w:lineRule="auto"/>
            </w:pPr>
            <w:r>
              <w:rPr>
                <w:rFonts w:ascii="Calibri" w:hAnsi="Calibri"/>
                <w:b/>
                <w:i w:val="0"/>
                <w:color w:val="212121"/>
                <w:sz w:val="19"/>
              </w:rPr>
              <w:t>Profiles</w:t>
            </w:r>
          </w:p>
        </w:tc>
        <w:tc>
          <w:tcPr>
            <w:tcW w:type="dxa" w:w="4276"/>
            <w:shd w:val="clear" w:color="auto" w:fill="F2F2F2"/>
            <w:vAlign w:val="center"/>
          </w:tcPr>
          <w:p>
            <w:pPr>
              <w:spacing w:after="40" w:before="0" w:line="259" w:lineRule="auto"/>
            </w:pPr>
            <w:r>
              <w:rPr>
                <w:rFonts w:ascii="Calibri" w:hAnsi="Calibri"/>
                <w:b/>
                <w:i w:val="0"/>
                <w:color w:val="212121"/>
                <w:sz w:val="19"/>
              </w:rPr>
              <w:t>Explanation</w:t>
            </w:r>
          </w:p>
        </w:tc>
      </w:tr>
      <w:tr>
        <w:trPr>
          <w:cantSplit/>
        </w:trPr>
        <w:tc>
          <w:tcPr>
            <w:tcW w:type="dxa" w:w="1512"/>
            <w:vMerge w:val="restart"/>
            <w:vAlign w:val="center"/>
          </w:tcPr>
          <w:p>
            <w:pPr>
              <w:spacing w:after="40"/>
            </w:pPr>
            <w:r>
              <w:rPr>
                <w:rFonts w:ascii="Calibri" w:hAnsi="Calibri"/>
                <w:b/>
                <w:i w:val="0"/>
                <w:color w:val="212121"/>
                <w:sz w:val="19"/>
              </w:rPr>
              <w:t>Demographic factors</w:t>
            </w:r>
          </w:p>
        </w:tc>
        <w:tc>
          <w:tcPr>
            <w:tcW w:type="dxa" w:w="1655"/>
            <w:vMerge w:val="restart"/>
            <w:vAlign w:val="center"/>
          </w:tcPr>
          <w:p>
            <w:pPr>
              <w:spacing w:after="40"/>
            </w:pPr>
            <w:r>
              <w:rPr>
                <w:rFonts w:ascii="Calibri" w:hAnsi="Calibri"/>
                <w:b w:val="0"/>
                <w:i w:val="0"/>
                <w:color w:val="212121"/>
                <w:sz w:val="19"/>
              </w:rPr>
              <w:t>Age</w:t>
            </w:r>
          </w:p>
        </w:tc>
        <w:tc>
          <w:tcPr>
            <w:tcW w:type="dxa" w:w="2160"/>
            <w:vAlign w:val="top"/>
          </w:tcPr>
          <w:p>
            <w:pPr>
              <w:spacing w:after="40" w:before="0" w:line="259" w:lineRule="auto"/>
            </w:pPr>
            <w:r>
              <w:rPr>
                <w:rFonts w:ascii="Calibri" w:hAnsi="Calibri"/>
                <w:b w:val="0"/>
                <w:i w:val="0"/>
                <w:color w:val="212121"/>
                <w:sz w:val="19"/>
              </w:rPr>
              <w:t>Adults (young to middle-aged)</w:t>
            </w:r>
          </w:p>
        </w:tc>
        <w:tc>
          <w:tcPr>
            <w:tcW w:type="dxa" w:w="4276"/>
            <w:vAlign w:val="top"/>
          </w:tcPr>
          <w:p>
            <w:pPr>
              <w:spacing w:after="60" w:line="259" w:lineRule="auto"/>
            </w:pPr>
            <w:r>
              <w:rPr>
                <w:rFonts w:ascii="Calibri" w:hAnsi="Calibri"/>
                <w:b w:val="0"/>
                <w:i w:val="0"/>
                <w:color w:val="212121"/>
                <w:sz w:val="19"/>
              </w:rPr>
              <w:t>Most symptomatic NCC presents in economically active adults, typically as new-onset focal seizures when a cyst acquired years earlier begins to degenerate and inflame surrounding brain.</w:t>
            </w:r>
          </w:p>
          <w:p>
            <w:pPr>
              <w:spacing w:after="40" w:before="60" w:line="259" w:lineRule="auto"/>
            </w:pPr>
            <w:r>
              <w:rPr>
                <w:rFonts w:ascii="Calibri" w:hAnsi="Calibri"/>
                <w:b w:val="0"/>
                <w:i w:val="0"/>
                <w:color w:val="212121"/>
                <w:sz w:val="19"/>
              </w:rPr>
              <w:t>In endemic settings T. solium causes ~30% of epilepsy cases; in Indian series 26–54% of active epilepsy in adults is attributable to NCC.</w:t>
            </w:r>
          </w:p>
          <w:p>
            <w:pPr>
              <w:spacing w:after="40" w:line="252" w:lineRule="auto"/>
            </w:pPr>
            <w:hyperlink r:id="rId9">
              <w:r>
                <w:rPr>
                  <w:rFonts w:ascii="Calibri" w:hAnsi="Calibri" w:cs="Calibri"/>
                  <w:sz w:val="18"/>
                  <w:color w:val="1155CC"/>
                  <w:u w:val="single"/>
                </w:rPr>
                <w:t xml:space="preserve">who.int — taeniasis/cysticercosis fact sheet</w:t>
              </w:r>
            </w:hyperlink>
          </w:p>
          <w:p>
            <w:pPr>
              <w:spacing w:before="60" w:after="40"/>
            </w:pPr>
            <w:r>
              <w:rPr>
                <w:rFonts w:ascii="Calibri" w:hAnsi="Calibri"/>
                <w:b w:val="0"/>
                <w:i w:val="0"/>
                <w:color w:val="5A5A5A"/>
                <w:sz w:val="18"/>
              </w:rPr>
              <w:t>#neurocysticercosis  #adultonsetepilepsy  #seizures  #taeniasolium  #India</w:t>
            </w:r>
          </w:p>
        </w:tc>
      </w:tr>
      <w:tr>
        <w:trPr>
          <w:cantSplit/>
        </w:trPr>
        <w:tc>
          <w:tcPr>
            <w:tcW w:type="dxa" w:w="1512"/>
            <w:vMerge/>
            <w:vAlign w:val="top"/>
          </w:tcPr>
          <w:p>
            <w:pPr>
              <w:spacing w:after="40" w:before="0" w:line="259" w:lineRule="auto"/>
            </w:pPr>
          </w:p>
        </w:tc>
        <w:tc>
          <w:tcPr>
            <w:tcW w:type="dxa" w:w="1655"/>
            <w:vMerge/>
            <w:vAlign w:val="top"/>
          </w:tcPr>
          <w:p>
            <w:pPr>
              <w:spacing w:after="40" w:before="0" w:line="259" w:lineRule="auto"/>
            </w:pPr>
          </w:p>
        </w:tc>
        <w:tc>
          <w:tcPr>
            <w:tcW w:type="dxa" w:w="2160"/>
            <w:vAlign w:val="top"/>
          </w:tcPr>
          <w:p>
            <w:pPr>
              <w:spacing w:after="40" w:before="0" w:line="259" w:lineRule="auto"/>
            </w:pPr>
            <w:r>
              <w:rPr>
                <w:rFonts w:ascii="Calibri" w:hAnsi="Calibri"/>
                <w:b w:val="0"/>
                <w:i w:val="0"/>
                <w:color w:val="212121"/>
                <w:sz w:val="19"/>
              </w:rPr>
              <w:t>Elderly</w:t>
            </w:r>
          </w:p>
        </w:tc>
        <w:tc>
          <w:tcPr>
            <w:tcW w:type="dxa" w:w="4276"/>
            <w:vAlign w:val="top"/>
          </w:tcPr>
          <w:p>
            <w:pPr>
              <w:spacing w:after="60" w:line="259" w:lineRule="auto"/>
            </w:pPr>
            <w:r>
              <w:rPr>
                <w:rFonts w:ascii="Calibri" w:hAnsi="Calibri"/>
                <w:b w:val="0"/>
                <w:i w:val="0"/>
                <w:color w:val="212121"/>
                <w:sz w:val="19"/>
              </w:rPr>
              <w:t>Older adults more often carry calcified, long-standing lesions; late seizures may reflect perilesional gliosis or intermittent oedema around old calcified cysts rather than a live parasite.</w:t>
            </w:r>
          </w:p>
          <w:p>
            <w:pPr>
              <w:spacing w:after="40" w:before="60" w:line="259" w:lineRule="auto"/>
            </w:pPr>
            <w:r>
              <w:rPr>
                <w:rFonts w:ascii="Calibri" w:hAnsi="Calibri"/>
                <w:b w:val="0"/>
                <w:i w:val="0"/>
                <w:color w:val="212121"/>
                <w:sz w:val="19"/>
              </w:rPr>
              <w:t>Seroprevalence of anti-T. solium IgG rises with age, reaching 38.9% in those aged 40 years and above in the Assam tea-garden community.</w:t>
            </w:r>
          </w:p>
          <w:p>
            <w:pPr>
              <w:spacing w:after="40" w:line="252" w:lineRule="auto"/>
            </w:pPr>
            <w:hyperlink r:id="rId10">
              <w:r>
                <w:rPr>
                  <w:rFonts w:ascii="Calibri" w:hAnsi="Calibri" w:cs="Calibri"/>
                  <w:sz w:val="18"/>
                  <w:color w:val="1155CC"/>
                  <w:u w:val="single"/>
                </w:rPr>
                <w:t xml:space="preserve">nature.com — Assam tea-garden NCC study</w:t>
              </w:r>
            </w:hyperlink>
          </w:p>
          <w:p>
            <w:pPr>
              <w:spacing w:before="60" w:after="40"/>
            </w:pPr>
            <w:r>
              <w:rPr>
                <w:rFonts w:ascii="Calibri" w:hAnsi="Calibri"/>
                <w:b w:val="0"/>
                <w:i w:val="0"/>
                <w:color w:val="5A5A5A"/>
                <w:sz w:val="18"/>
              </w:rPr>
              <w:t>#elderly  #calcifiedNCC  #lateonsetseizures  #gliosis</w:t>
            </w:r>
          </w:p>
        </w:tc>
      </w:tr>
      <w:tr>
        <w:trPr>
          <w:cantSplit/>
        </w:trPr>
        <w:tc>
          <w:tcPr>
            <w:tcW w:type="dxa" w:w="1512"/>
            <w:vMerge/>
            <w:vAlign w:val="top"/>
          </w:tcPr>
          <w:p>
            <w:pPr>
              <w:spacing w:after="40" w:before="0" w:line="259" w:lineRule="auto"/>
            </w:pPr>
          </w:p>
        </w:tc>
        <w:tc>
          <w:tcPr>
            <w:tcW w:type="dxa" w:w="1655"/>
            <w:vMerge/>
            <w:vAlign w:val="top"/>
          </w:tcPr>
          <w:p>
            <w:pPr>
              <w:spacing w:after="40" w:before="0" w:line="259" w:lineRule="auto"/>
            </w:pPr>
          </w:p>
        </w:tc>
        <w:tc>
          <w:tcPr>
            <w:tcW w:type="dxa" w:w="2160"/>
            <w:vAlign w:val="top"/>
          </w:tcPr>
          <w:p>
            <w:pPr>
              <w:spacing w:after="40" w:before="0" w:line="259" w:lineRule="auto"/>
            </w:pPr>
            <w:r>
              <w:rPr>
                <w:rFonts w:ascii="Calibri" w:hAnsi="Calibri"/>
                <w:b w:val="0"/>
                <w:i w:val="0"/>
                <w:color w:val="212121"/>
                <w:sz w:val="19"/>
              </w:rPr>
              <w:t>Children &amp; adolescents</w:t>
            </w:r>
          </w:p>
        </w:tc>
        <w:tc>
          <w:tcPr>
            <w:tcW w:type="dxa" w:w="4276"/>
            <w:vAlign w:val="top"/>
          </w:tcPr>
          <w:p>
            <w:pPr>
              <w:spacing w:after="60" w:line="259" w:lineRule="auto"/>
            </w:pPr>
            <w:r>
              <w:rPr>
                <w:rFonts w:ascii="Calibri" w:hAnsi="Calibri"/>
                <w:b w:val="0"/>
                <w:i w:val="0"/>
                <w:color w:val="212121"/>
                <w:sz w:val="19"/>
              </w:rPr>
              <w:t>Children are frequently infected and may present with single enhancing lesions, and rarely with cysticercotic encephalitis (a heavy cyst load with diffuse oedema) that is more common in the young.</w:t>
            </w:r>
          </w:p>
          <w:p>
            <w:pPr>
              <w:spacing w:after="40" w:before="60" w:line="259" w:lineRule="auto"/>
            </w:pPr>
            <w:r>
              <w:rPr>
                <w:rFonts w:ascii="Calibri" w:hAnsi="Calibri"/>
                <w:b w:val="0"/>
                <w:i w:val="0"/>
                <w:color w:val="212121"/>
                <w:sz w:val="19"/>
              </w:rPr>
              <w:t>NCC was found in 4.5% of children attending tertiary care with a first seizure or acute focal neurological deficit in India.</w:t>
            </w:r>
          </w:p>
          <w:p>
            <w:pPr>
              <w:spacing w:after="40" w:line="252" w:lineRule="auto"/>
            </w:pPr>
            <w:hyperlink r:id="rId11">
              <w:r>
                <w:rPr>
                  <w:rFonts w:ascii="Calibri" w:hAnsi="Calibri" w:cs="Calibri"/>
                  <w:sz w:val="18"/>
                  <w:color w:val="1155CC"/>
                  <w:u w:val="single"/>
                </w:rPr>
                <w:t xml:space="preserve">indianpediatrics.net — paediatric NCC management</w:t>
              </w:r>
            </w:hyperlink>
          </w:p>
          <w:p>
            <w:pPr>
              <w:spacing w:before="60" w:after="40"/>
            </w:pPr>
            <w:r>
              <w:rPr>
                <w:rFonts w:ascii="Calibri" w:hAnsi="Calibri"/>
                <w:b w:val="0"/>
                <w:i w:val="0"/>
                <w:color w:val="5A5A5A"/>
                <w:sz w:val="18"/>
              </w:rPr>
              <w:t>#pediatricNCC  #childhoodepilepsy  #singlelesion  #encephalitis</w:t>
            </w:r>
          </w:p>
        </w:tc>
      </w:tr>
      <w:tr>
        <w:trPr>
          <w:cantSplit/>
        </w:trPr>
        <w:tc>
          <w:tcPr>
            <w:tcW w:type="dxa" w:w="1512"/>
            <w:vMerge/>
            <w:vAlign w:val="top"/>
          </w:tcPr>
          <w:p>
            <w:pPr>
              <w:spacing w:after="40" w:before="0" w:line="259" w:lineRule="auto"/>
            </w:pPr>
          </w:p>
        </w:tc>
        <w:tc>
          <w:tcPr>
            <w:tcW w:type="dxa" w:w="1655"/>
            <w:vAlign w:val="center"/>
          </w:tcPr>
          <w:p>
            <w:pPr>
              <w:spacing w:after="40"/>
            </w:pPr>
            <w:r>
              <w:rPr>
                <w:rFonts w:ascii="Calibri" w:hAnsi="Calibri"/>
                <w:b w:val="0"/>
                <w:i w:val="0"/>
                <w:color w:val="212121"/>
                <w:sz w:val="19"/>
              </w:rPr>
              <w:t>Sex</w:t>
            </w:r>
          </w:p>
        </w:tc>
        <w:tc>
          <w:tcPr>
            <w:tcW w:type="dxa" w:w="2160"/>
            <w:vAlign w:val="top"/>
          </w:tcPr>
          <w:p>
            <w:pPr>
              <w:spacing w:after="40" w:before="0" w:line="259" w:lineRule="auto"/>
            </w:pPr>
            <w:r>
              <w:rPr>
                <w:rFonts w:ascii="Calibri" w:hAnsi="Calibri"/>
                <w:b w:val="0"/>
                <w:i w:val="0"/>
                <w:color w:val="212121"/>
                <w:sz w:val="19"/>
              </w:rPr>
              <w:t>Male</w:t>
            </w:r>
          </w:p>
        </w:tc>
        <w:tc>
          <w:tcPr>
            <w:tcW w:type="dxa" w:w="4276"/>
            <w:vAlign w:val="top"/>
          </w:tcPr>
          <w:p>
            <w:pPr>
              <w:spacing w:after="60" w:line="259" w:lineRule="auto"/>
            </w:pPr>
            <w:r>
              <w:rPr>
                <w:rFonts w:ascii="Calibri" w:hAnsi="Calibri"/>
                <w:b w:val="0"/>
                <w:i w:val="0"/>
                <w:color w:val="212121"/>
                <w:sz w:val="19"/>
              </w:rPr>
              <w:t>Most Indian series show a modest male predominance, attributed to greater occupational exposure (pig rearing, farming, eating out) though heavy-burden cysticercotic encephalitis skews female.</w:t>
            </w:r>
          </w:p>
          <w:p>
            <w:pPr>
              <w:spacing w:after="40" w:before="60" w:line="259" w:lineRule="auto"/>
            </w:pPr>
            <w:r>
              <w:rPr>
                <w:rFonts w:ascii="Calibri" w:hAnsi="Calibri"/>
                <w:b w:val="0"/>
                <w:i w:val="0"/>
                <w:color w:val="212121"/>
                <w:sz w:val="19"/>
              </w:rPr>
              <w:t>NCC among active-epilepsy cases in the Assam tea-garden study showed a male-to-female ratio of 1.38:1.</w:t>
            </w:r>
          </w:p>
          <w:p>
            <w:pPr>
              <w:spacing w:after="40" w:line="252" w:lineRule="auto"/>
            </w:pPr>
            <w:hyperlink r:id="rId10">
              <w:r>
                <w:rPr>
                  <w:rFonts w:ascii="Calibri" w:hAnsi="Calibri" w:cs="Calibri"/>
                  <w:sz w:val="18"/>
                  <w:color w:val="1155CC"/>
                  <w:u w:val="single"/>
                </w:rPr>
                <w:t xml:space="preserve">nature.com — Assam tea-garden NCC study</w:t>
              </w:r>
            </w:hyperlink>
          </w:p>
          <w:p>
            <w:pPr>
              <w:spacing w:before="60" w:after="40"/>
            </w:pPr>
            <w:r>
              <w:rPr>
                <w:rFonts w:ascii="Calibri" w:hAnsi="Calibri"/>
                <w:b w:val="0"/>
                <w:i w:val="0"/>
                <w:color w:val="5A5A5A"/>
                <w:sz w:val="18"/>
              </w:rPr>
              <w:t>#malepredominance  #occupationalexposure  #sexdifference</w:t>
            </w:r>
          </w:p>
        </w:tc>
      </w:tr>
      <w:tr>
        <w:trPr>
          <w:cantSplit/>
        </w:trPr>
        <w:tc>
          <w:tcPr>
            <w:tcW w:type="dxa" w:w="1512"/>
            <w:vMerge/>
            <w:vAlign w:val="top"/>
          </w:tcPr>
          <w:p>
            <w:pPr>
              <w:spacing w:after="40" w:before="0" w:line="259" w:lineRule="auto"/>
            </w:pPr>
          </w:p>
        </w:tc>
        <w:tc>
          <w:tcPr>
            <w:tcW w:type="dxa" w:w="1655"/>
            <w:vAlign w:val="center"/>
          </w:tcPr>
          <w:p>
            <w:pPr>
              <w:spacing w:after="40"/>
            </w:pPr>
            <w:r>
              <w:rPr>
                <w:rFonts w:ascii="Calibri" w:hAnsi="Calibri"/>
                <w:b w:val="0"/>
                <w:i w:val="0"/>
                <w:color w:val="212121"/>
                <w:sz w:val="19"/>
              </w:rPr>
              <w:t>Socioeconomic status</w:t>
            </w:r>
          </w:p>
        </w:tc>
        <w:tc>
          <w:tcPr>
            <w:tcW w:type="dxa" w:w="2160"/>
            <w:vAlign w:val="top"/>
          </w:tcPr>
          <w:p>
            <w:pPr>
              <w:spacing w:after="40" w:before="0" w:line="259" w:lineRule="auto"/>
            </w:pPr>
            <w:r>
              <w:rPr>
                <w:rFonts w:ascii="Calibri" w:hAnsi="Calibri"/>
                <w:b w:val="0"/>
                <w:i w:val="0"/>
                <w:color w:val="212121"/>
                <w:sz w:val="19"/>
              </w:rPr>
              <w:t>Low-income / rural poor</w:t>
            </w:r>
          </w:p>
        </w:tc>
        <w:tc>
          <w:tcPr>
            <w:tcW w:type="dxa" w:w="4276"/>
            <w:vAlign w:val="top"/>
          </w:tcPr>
          <w:p>
            <w:pPr>
              <w:spacing w:after="60" w:line="259" w:lineRule="auto"/>
            </w:pPr>
            <w:r>
              <w:rPr>
                <w:rFonts w:ascii="Calibri" w:hAnsi="Calibri"/>
                <w:b w:val="0"/>
                <w:i w:val="0"/>
                <w:color w:val="212121"/>
                <w:sz w:val="19"/>
              </w:rPr>
              <w:t>Poverty clusters the key risk factors — open defecation, unsafe water, free-range pigs and limited access to diagnosis and antiseizure drugs — so both infection and its untreated epilepsy burden concentrate in the poor.</w:t>
            </w:r>
          </w:p>
          <w:p>
            <w:pPr>
              <w:spacing w:after="40" w:before="60" w:line="259" w:lineRule="auto"/>
            </w:pPr>
            <w:r>
              <w:rPr>
                <w:rFonts w:ascii="Calibri" w:hAnsi="Calibri"/>
                <w:b w:val="0"/>
                <w:i w:val="0"/>
                <w:color w:val="212121"/>
                <w:sz w:val="19"/>
              </w:rPr>
              <w:t>Anti-cysticercus seroprevalence reaches 24% in urban slum populations, and the epilepsy 'treatment gap' in rural India exceeds 90%.</w:t>
            </w:r>
          </w:p>
          <w:p>
            <w:pPr>
              <w:spacing w:after="40" w:line="252" w:lineRule="auto"/>
            </w:pPr>
            <w:hyperlink r:id="rId12">
              <w:r>
                <w:rPr>
                  <w:rFonts w:ascii="Calibri" w:hAnsi="Calibri" w:cs="Calibri"/>
                  <w:sz w:val="18"/>
                  <w:color w:val="1155CC"/>
                  <w:u w:val="single"/>
                </w:rPr>
                <w:t xml:space="preserve">ias.ac.in — human cysticercosis, Indian scenario</w:t>
              </w:r>
            </w:hyperlink>
          </w:p>
          <w:p>
            <w:pPr>
              <w:spacing w:before="60" w:after="40"/>
            </w:pPr>
            <w:r>
              <w:rPr>
                <w:rFonts w:ascii="Calibri" w:hAnsi="Calibri"/>
                <w:b w:val="0"/>
                <w:i w:val="0"/>
                <w:color w:val="5A5A5A"/>
                <w:sz w:val="18"/>
              </w:rPr>
              <w:t>#poverty  #treatmentgap  #slums  #socialdeterminants</w:t>
            </w:r>
          </w:p>
        </w:tc>
      </w:tr>
      <w:tr>
        <w:trPr>
          <w:cantSplit/>
        </w:trPr>
        <w:tc>
          <w:tcPr>
            <w:tcW w:type="dxa" w:w="1512"/>
            <w:vMerge w:val="restart"/>
            <w:vAlign w:val="center"/>
          </w:tcPr>
          <w:p>
            <w:pPr>
              <w:spacing w:after="40"/>
            </w:pPr>
            <w:r>
              <w:rPr>
                <w:rFonts w:ascii="Calibri" w:hAnsi="Calibri"/>
                <w:b/>
                <w:i w:val="0"/>
                <w:color w:val="212121"/>
                <w:sz w:val="19"/>
              </w:rPr>
              <w:t>Geographic factors</w:t>
            </w:r>
          </w:p>
        </w:tc>
        <w:tc>
          <w:tcPr>
            <w:tcW w:type="dxa" w:w="1655"/>
            <w:vAlign w:val="center"/>
          </w:tcPr>
          <w:p>
            <w:pPr>
              <w:spacing w:after="40"/>
            </w:pPr>
            <w:r>
              <w:rPr>
                <w:rFonts w:ascii="Calibri" w:hAnsi="Calibri"/>
                <w:b w:val="0"/>
                <w:i w:val="0"/>
                <w:color w:val="212121"/>
                <w:sz w:val="19"/>
              </w:rPr>
              <w:t>Region / ethnicity</w:t>
            </w:r>
          </w:p>
        </w:tc>
        <w:tc>
          <w:tcPr>
            <w:tcW w:type="dxa" w:w="2160"/>
            <w:vAlign w:val="top"/>
          </w:tcPr>
          <w:p>
            <w:pPr>
              <w:spacing w:after="40" w:before="0" w:line="259" w:lineRule="auto"/>
            </w:pPr>
            <w:r>
              <w:rPr>
                <w:rFonts w:ascii="Calibri" w:hAnsi="Calibri"/>
                <w:b w:val="0"/>
                <w:i w:val="0"/>
                <w:color w:val="212121"/>
                <w:sz w:val="19"/>
              </w:rPr>
              <w:t>North &amp; East Indian states</w:t>
            </w:r>
          </w:p>
        </w:tc>
        <w:tc>
          <w:tcPr>
            <w:tcW w:type="dxa" w:w="4276"/>
            <w:vAlign w:val="top"/>
          </w:tcPr>
          <w:p>
            <w:pPr>
              <w:spacing w:after="60" w:line="259" w:lineRule="auto"/>
            </w:pPr>
            <w:r>
              <w:rPr>
                <w:rFonts w:ascii="Calibri" w:hAnsi="Calibri"/>
                <w:b w:val="0"/>
                <w:i w:val="0"/>
                <w:color w:val="212121"/>
                <w:sz w:val="19"/>
              </w:rPr>
              <w:t>Cysticercosis is more prevalent across the northern and eastern belt where pig rearing, pork consumption and open defecation are common; pork-avoiding communities have conspicuously low rates.</w:t>
            </w:r>
          </w:p>
          <w:p>
            <w:pPr>
              <w:spacing w:after="40" w:before="60" w:line="259" w:lineRule="auto"/>
            </w:pPr>
            <w:r>
              <w:rPr>
                <w:rFonts w:ascii="Calibri" w:hAnsi="Calibri"/>
                <w:b w:val="0"/>
                <w:i w:val="0"/>
                <w:color w:val="212121"/>
                <w:sz w:val="19"/>
              </w:rPr>
              <w:t>Cysticercosis is reported as more prevalent in the northern states (Bihar, Uttar Pradesh, Punjab), with low rates in Kerala and Jammu &amp; Kashmir where pork is largely avoided.</w:t>
            </w:r>
          </w:p>
          <w:p>
            <w:pPr>
              <w:spacing w:after="40" w:line="252" w:lineRule="auto"/>
            </w:pPr>
            <w:hyperlink r:id="rId12">
              <w:r>
                <w:rPr>
                  <w:rFonts w:ascii="Calibri" w:hAnsi="Calibri" w:cs="Calibri"/>
                  <w:sz w:val="18"/>
                  <w:color w:val="1155CC"/>
                  <w:u w:val="single"/>
                </w:rPr>
                <w:t xml:space="preserve">ias.ac.in — human cysticercosis, Indian scenario</w:t>
              </w:r>
            </w:hyperlink>
          </w:p>
          <w:p>
            <w:pPr>
              <w:spacing w:before="60" w:after="40"/>
            </w:pPr>
            <w:r>
              <w:rPr>
                <w:rFonts w:ascii="Calibri" w:hAnsi="Calibri"/>
                <w:b w:val="0"/>
                <w:i w:val="0"/>
                <w:color w:val="5A5A5A"/>
                <w:sz w:val="18"/>
              </w:rPr>
              <w:t>#northIndia  #Bihar  #UttarPradesh  #geographicvariation</w:t>
            </w:r>
          </w:p>
        </w:tc>
      </w:tr>
      <w:tr>
        <w:trPr>
          <w:cantSplit/>
        </w:trPr>
        <w:tc>
          <w:tcPr>
            <w:tcW w:type="dxa" w:w="1512"/>
            <w:vMerge/>
            <w:vAlign w:val="top"/>
          </w:tcPr>
          <w:p>
            <w:pPr>
              <w:spacing w:after="40" w:before="0" w:line="259" w:lineRule="auto"/>
            </w:pPr>
          </w:p>
        </w:tc>
        <w:tc>
          <w:tcPr>
            <w:tcW w:type="dxa" w:w="1655"/>
            <w:vAlign w:val="center"/>
          </w:tcPr>
          <w:p>
            <w:pPr>
              <w:spacing w:after="40"/>
            </w:pPr>
            <w:r>
              <w:rPr>
                <w:rFonts w:ascii="Calibri" w:hAnsi="Calibri"/>
                <w:b w:val="0"/>
                <w:i w:val="0"/>
                <w:color w:val="212121"/>
                <w:sz w:val="19"/>
              </w:rPr>
              <w:t>Rural residence</w:t>
            </w:r>
          </w:p>
        </w:tc>
        <w:tc>
          <w:tcPr>
            <w:tcW w:type="dxa" w:w="2160"/>
            <w:vAlign w:val="top"/>
          </w:tcPr>
          <w:p>
            <w:pPr>
              <w:spacing w:after="40" w:before="0" w:line="259" w:lineRule="auto"/>
            </w:pPr>
            <w:r>
              <w:rPr>
                <w:rFonts w:ascii="Calibri" w:hAnsi="Calibri"/>
                <w:b w:val="0"/>
                <w:i w:val="0"/>
                <w:color w:val="212121"/>
                <w:sz w:val="19"/>
              </w:rPr>
              <w:t>Pig-farming &amp; tea-garden communities</w:t>
            </w:r>
          </w:p>
        </w:tc>
        <w:tc>
          <w:tcPr>
            <w:tcW w:type="dxa" w:w="4276"/>
            <w:vAlign w:val="top"/>
          </w:tcPr>
          <w:p>
            <w:pPr>
              <w:spacing w:after="60" w:line="259" w:lineRule="auto"/>
            </w:pPr>
            <w:r>
              <w:rPr>
                <w:rFonts w:ascii="Calibri" w:hAnsi="Calibri"/>
                <w:b w:val="0"/>
                <w:i w:val="0"/>
                <w:color w:val="212121"/>
                <w:sz w:val="19"/>
              </w:rPr>
              <w:t>Free-ranging pigs with access to human faeces and communal open defecation create intense local transmission, so NE India tea-garden and pig-rearing hamlets are focal hotspots.</w:t>
            </w:r>
          </w:p>
          <w:p>
            <w:pPr>
              <w:spacing w:after="40" w:before="60" w:line="259" w:lineRule="auto"/>
            </w:pPr>
            <w:r>
              <w:rPr>
                <w:rFonts w:ascii="Calibri" w:hAnsi="Calibri"/>
                <w:b w:val="0"/>
                <w:i w:val="0"/>
                <w:color w:val="212121"/>
                <w:sz w:val="19"/>
              </w:rPr>
              <w:t>In the Assam tea-garden community, 57.9% of NCC patients reared pigs (vs 15.4% of non-NCC epilepsy) and taeniasis prevalence in a Lucknow pig-farming community was 18.6%.</w:t>
            </w:r>
          </w:p>
          <w:p>
            <w:pPr>
              <w:spacing w:after="40" w:line="252" w:lineRule="auto"/>
            </w:pPr>
            <w:hyperlink r:id="rId10">
              <w:r>
                <w:rPr>
                  <w:rFonts w:ascii="Calibri" w:hAnsi="Calibri" w:cs="Calibri"/>
                  <w:sz w:val="18"/>
                  <w:color w:val="1155CC"/>
                  <w:u w:val="single"/>
                </w:rPr>
                <w:t xml:space="preserve">nature.com — Assam tea-garden NCC study</w:t>
              </w:r>
            </w:hyperlink>
          </w:p>
          <w:p>
            <w:pPr>
              <w:spacing w:before="60" w:after="40"/>
            </w:pPr>
            <w:r>
              <w:rPr>
                <w:rFonts w:ascii="Calibri" w:hAnsi="Calibri"/>
                <w:b w:val="0"/>
                <w:i w:val="0"/>
                <w:color w:val="5A5A5A"/>
                <w:sz w:val="18"/>
              </w:rPr>
              <w:t>#ruralIndia  #pigfarming  #teagarden  #transmissionhotspot</w:t>
            </w:r>
          </w:p>
        </w:tc>
      </w:tr>
      <w:tr>
        <w:trPr>
          <w:cantSplit/>
        </w:trPr>
        <w:tc>
          <w:tcPr>
            <w:tcW w:type="dxa" w:w="1512"/>
            <w:vMerge w:val="restart"/>
            <w:vAlign w:val="center"/>
          </w:tcPr>
          <w:p>
            <w:pPr>
              <w:spacing w:after="40"/>
            </w:pPr>
            <w:r>
              <w:rPr>
                <w:rFonts w:ascii="Calibri" w:hAnsi="Calibri"/>
                <w:b/>
                <w:i w:val="0"/>
                <w:color w:val="212121"/>
                <w:sz w:val="19"/>
              </w:rPr>
              <w:t>Lifestyle factors</w:t>
            </w:r>
          </w:p>
        </w:tc>
        <w:tc>
          <w:tcPr>
            <w:tcW w:type="dxa" w:w="1655"/>
            <w:vAlign w:val="center"/>
          </w:tcPr>
          <w:p>
            <w:pPr>
              <w:spacing w:after="40"/>
            </w:pPr>
            <w:r>
              <w:rPr>
                <w:rFonts w:ascii="Calibri" w:hAnsi="Calibri"/>
                <w:b w:val="0"/>
                <w:i w:val="0"/>
                <w:color w:val="212121"/>
                <w:sz w:val="19"/>
              </w:rPr>
              <w:t>Sanitation</w:t>
            </w:r>
          </w:p>
        </w:tc>
        <w:tc>
          <w:tcPr>
            <w:tcW w:type="dxa" w:w="2160"/>
            <w:vAlign w:val="top"/>
          </w:tcPr>
          <w:p>
            <w:pPr>
              <w:spacing w:after="40" w:before="0" w:line="259" w:lineRule="auto"/>
            </w:pPr>
            <w:r>
              <w:rPr>
                <w:rFonts w:ascii="Calibri" w:hAnsi="Calibri"/>
                <w:b w:val="0"/>
                <w:i w:val="0"/>
                <w:color w:val="212121"/>
                <w:sz w:val="19"/>
              </w:rPr>
              <w:t>Open defecation / no latrine access</w:t>
            </w:r>
          </w:p>
        </w:tc>
        <w:tc>
          <w:tcPr>
            <w:tcW w:type="dxa" w:w="4276"/>
            <w:vAlign w:val="top"/>
          </w:tcPr>
          <w:p>
            <w:pPr>
              <w:spacing w:after="60" w:line="259" w:lineRule="auto"/>
            </w:pPr>
            <w:r>
              <w:rPr>
                <w:rFonts w:ascii="Calibri" w:hAnsi="Calibri"/>
                <w:b w:val="0"/>
                <w:i w:val="0"/>
                <w:color w:val="212121"/>
                <w:sz w:val="19"/>
              </w:rPr>
              <w:t>Open defecation releases tapeworm eggs into the environment, contaminating water, soil and vegetables and feeding both pig infection and human faecal-oral spread.</w:t>
            </w:r>
          </w:p>
          <w:p>
            <w:pPr>
              <w:spacing w:after="40" w:before="60" w:line="259" w:lineRule="auto"/>
            </w:pPr>
            <w:r>
              <w:rPr>
                <w:rFonts w:ascii="Calibri" w:hAnsi="Calibri"/>
                <w:b w:val="0"/>
                <w:i w:val="0"/>
                <w:color w:val="212121"/>
                <w:sz w:val="19"/>
              </w:rPr>
              <w:t>Open-field defecation was practised by 19.8% of the Assam tea-garden community linked to NCC transmission.</w:t>
            </w:r>
          </w:p>
          <w:p>
            <w:pPr>
              <w:spacing w:after="40" w:line="252" w:lineRule="auto"/>
            </w:pPr>
            <w:hyperlink r:id="rId10">
              <w:r>
                <w:rPr>
                  <w:rFonts w:ascii="Calibri" w:hAnsi="Calibri" w:cs="Calibri"/>
                  <w:sz w:val="18"/>
                  <w:color w:val="1155CC"/>
                  <w:u w:val="single"/>
                </w:rPr>
                <w:t xml:space="preserve">nature.com — Assam tea-garden NCC study</w:t>
              </w:r>
            </w:hyperlink>
          </w:p>
          <w:p>
            <w:pPr>
              <w:spacing w:before="60" w:after="40"/>
            </w:pPr>
            <w:r>
              <w:rPr>
                <w:rFonts w:ascii="Calibri" w:hAnsi="Calibri"/>
                <w:b w:val="0"/>
                <w:i w:val="0"/>
                <w:color w:val="5A5A5A"/>
                <w:sz w:val="18"/>
              </w:rPr>
              <w:t>#opendefecation  #sanitation  #WASH  #fecaloral</w:t>
            </w:r>
          </w:p>
        </w:tc>
      </w:tr>
      <w:tr>
        <w:trPr>
          <w:cantSplit/>
        </w:trPr>
        <w:tc>
          <w:tcPr>
            <w:tcW w:type="dxa" w:w="1512"/>
            <w:vMerge/>
            <w:vAlign w:val="top"/>
          </w:tcPr>
          <w:p>
            <w:pPr>
              <w:spacing w:after="40" w:before="0" w:line="259" w:lineRule="auto"/>
            </w:pPr>
          </w:p>
        </w:tc>
        <w:tc>
          <w:tcPr>
            <w:tcW w:type="dxa" w:w="1655"/>
            <w:vAlign w:val="center"/>
          </w:tcPr>
          <w:p>
            <w:pPr>
              <w:spacing w:after="40"/>
            </w:pPr>
            <w:r>
              <w:rPr>
                <w:rFonts w:ascii="Calibri" w:hAnsi="Calibri"/>
                <w:b w:val="0"/>
                <w:i w:val="0"/>
                <w:color w:val="212121"/>
                <w:sz w:val="19"/>
              </w:rPr>
              <w:t>Occupation</w:t>
            </w:r>
          </w:p>
        </w:tc>
        <w:tc>
          <w:tcPr>
            <w:tcW w:type="dxa" w:w="2160"/>
            <w:vAlign w:val="top"/>
          </w:tcPr>
          <w:p>
            <w:pPr>
              <w:spacing w:after="40" w:before="0" w:line="259" w:lineRule="auto"/>
            </w:pPr>
            <w:r>
              <w:rPr>
                <w:rFonts w:ascii="Calibri" w:hAnsi="Calibri"/>
                <w:b w:val="0"/>
                <w:i w:val="0"/>
                <w:color w:val="212121"/>
                <w:sz w:val="19"/>
              </w:rPr>
              <w:t>Pig handlers, farmers, food handlers</w:t>
            </w:r>
          </w:p>
        </w:tc>
        <w:tc>
          <w:tcPr>
            <w:tcW w:type="dxa" w:w="4276"/>
            <w:vAlign w:val="top"/>
          </w:tcPr>
          <w:p>
            <w:pPr>
              <w:spacing w:after="60" w:line="259" w:lineRule="auto"/>
            </w:pPr>
            <w:r>
              <w:rPr>
                <w:rFonts w:ascii="Calibri" w:hAnsi="Calibri"/>
                <w:b w:val="0"/>
                <w:i w:val="0"/>
                <w:color w:val="212121"/>
                <w:sz w:val="19"/>
              </w:rPr>
              <w:t>Close contact with pigs and human faeces, and handling of food while carrying a tapeworm, place these workers — and the people they cook for — at high risk of egg exposure.</w:t>
            </w:r>
          </w:p>
          <w:p>
            <w:pPr>
              <w:spacing w:after="40" w:before="60" w:line="259" w:lineRule="auto"/>
            </w:pPr>
            <w:r>
              <w:rPr>
                <w:rFonts w:ascii="Calibri" w:hAnsi="Calibri"/>
                <w:b w:val="0"/>
                <w:i w:val="0"/>
                <w:color w:val="212121"/>
                <w:sz w:val="19"/>
              </w:rPr>
              <w:t>78.9% of NCC patients in the Assam study had pigs in their neighbourhood versus 53.8% of non-NCC epilepsy cases.</w:t>
            </w:r>
          </w:p>
          <w:p>
            <w:pPr>
              <w:spacing w:after="40" w:line="252" w:lineRule="auto"/>
            </w:pPr>
            <w:hyperlink r:id="rId10">
              <w:r>
                <w:rPr>
                  <w:rFonts w:ascii="Calibri" w:hAnsi="Calibri" w:cs="Calibri"/>
                  <w:sz w:val="18"/>
                  <w:color w:val="1155CC"/>
                  <w:u w:val="single"/>
                </w:rPr>
                <w:t xml:space="preserve">nature.com — Assam tea-garden NCC study</w:t>
              </w:r>
            </w:hyperlink>
          </w:p>
          <w:p>
            <w:pPr>
              <w:spacing w:before="60" w:after="40"/>
            </w:pPr>
            <w:r>
              <w:rPr>
                <w:rFonts w:ascii="Calibri" w:hAnsi="Calibri"/>
                <w:b w:val="0"/>
                <w:i w:val="0"/>
                <w:color w:val="5A5A5A"/>
                <w:sz w:val="18"/>
              </w:rPr>
              <w:t>#occupation  #pighandlers  #foodhandlers  #exposure</w:t>
            </w:r>
          </w:p>
        </w:tc>
      </w:tr>
      <w:tr>
        <w:trPr>
          <w:cantSplit/>
        </w:trPr>
        <w:tc>
          <w:tcPr>
            <w:tcW w:type="dxa" w:w="1512"/>
            <w:vMerge/>
            <w:vAlign w:val="top"/>
          </w:tcPr>
          <w:p>
            <w:pPr>
              <w:spacing w:after="40" w:before="0" w:line="259" w:lineRule="auto"/>
            </w:pPr>
          </w:p>
        </w:tc>
        <w:tc>
          <w:tcPr>
            <w:tcW w:type="dxa" w:w="1655"/>
            <w:vAlign w:val="center"/>
          </w:tcPr>
          <w:p>
            <w:pPr>
              <w:spacing w:after="40"/>
            </w:pPr>
            <w:r>
              <w:rPr>
                <w:rFonts w:ascii="Calibri" w:hAnsi="Calibri"/>
                <w:b w:val="0"/>
                <w:i w:val="0"/>
                <w:color w:val="212121"/>
                <w:sz w:val="19"/>
              </w:rPr>
              <w:t>Hand &amp; food hygiene</w:t>
            </w:r>
          </w:p>
        </w:tc>
        <w:tc>
          <w:tcPr>
            <w:tcW w:type="dxa" w:w="2160"/>
            <w:vAlign w:val="top"/>
          </w:tcPr>
          <w:p>
            <w:pPr>
              <w:spacing w:after="40" w:before="0" w:line="259" w:lineRule="auto"/>
            </w:pPr>
            <w:r>
              <w:rPr>
                <w:rFonts w:ascii="Calibri" w:hAnsi="Calibri"/>
                <w:b w:val="0"/>
                <w:i w:val="0"/>
                <w:color w:val="212121"/>
                <w:sz w:val="19"/>
              </w:rPr>
              <w:t>Poor hand-washing before meals</w:t>
            </w:r>
          </w:p>
        </w:tc>
        <w:tc>
          <w:tcPr>
            <w:tcW w:type="dxa" w:w="4276"/>
            <w:vAlign w:val="top"/>
          </w:tcPr>
          <w:p>
            <w:pPr>
              <w:spacing w:after="60" w:line="259" w:lineRule="auto"/>
            </w:pPr>
            <w:r>
              <w:rPr>
                <w:rFonts w:ascii="Calibri" w:hAnsi="Calibri"/>
                <w:b w:val="0"/>
                <w:i w:val="0"/>
                <w:color w:val="212121"/>
                <w:sz w:val="19"/>
              </w:rPr>
              <w:t>Failure to wash hands after defecation and before eating or cooking is the final common pathway that carries T. solium eggs from stool to mouth.</w:t>
            </w:r>
          </w:p>
          <w:p>
            <w:pPr>
              <w:spacing w:after="40" w:before="60" w:line="259" w:lineRule="auto"/>
            </w:pPr>
            <w:r>
              <w:rPr>
                <w:rFonts w:ascii="Calibri" w:hAnsi="Calibri"/>
                <w:b w:val="0"/>
                <w:i w:val="0"/>
                <w:color w:val="212121"/>
                <w:sz w:val="19"/>
              </w:rPr>
              <w:t>Undercooked pork preparation (no pressure cooking) in 68.5% and low hand-hygiene practices were identified as key drivers in the Assam tea-garden community.</w:t>
            </w:r>
          </w:p>
          <w:p>
            <w:pPr>
              <w:spacing w:after="40" w:line="252" w:lineRule="auto"/>
            </w:pPr>
            <w:hyperlink r:id="rId10">
              <w:r>
                <w:rPr>
                  <w:rFonts w:ascii="Calibri" w:hAnsi="Calibri" w:cs="Calibri"/>
                  <w:sz w:val="18"/>
                  <w:color w:val="1155CC"/>
                  <w:u w:val="single"/>
                </w:rPr>
                <w:t xml:space="preserve">nature.com — Assam tea-garden NCC study</w:t>
              </w:r>
            </w:hyperlink>
          </w:p>
          <w:p>
            <w:pPr>
              <w:spacing w:before="60" w:after="40"/>
            </w:pPr>
            <w:r>
              <w:rPr>
                <w:rFonts w:ascii="Calibri" w:hAnsi="Calibri"/>
                <w:b w:val="0"/>
                <w:i w:val="0"/>
                <w:color w:val="5A5A5A"/>
                <w:sz w:val="18"/>
              </w:rPr>
              <w:t>#handhygiene  #handwashing  #foodhygiene  #prevention</w:t>
            </w:r>
          </w:p>
        </w:tc>
      </w:tr>
      <w:tr>
        <w:trPr>
          <w:cantSplit/>
        </w:trPr>
        <w:tc>
          <w:tcPr>
            <w:tcW w:type="dxa" w:w="1512"/>
            <w:vMerge w:val="restart"/>
            <w:vAlign w:val="center"/>
          </w:tcPr>
          <w:p>
            <w:pPr>
              <w:spacing w:after="40"/>
            </w:pPr>
            <w:r>
              <w:rPr>
                <w:rFonts w:ascii="Calibri" w:hAnsi="Calibri"/>
                <w:b/>
                <w:i w:val="0"/>
                <w:color w:val="212121"/>
                <w:sz w:val="19"/>
              </w:rPr>
              <w:t>Dietary factors</w:t>
            </w:r>
          </w:p>
        </w:tc>
        <w:tc>
          <w:tcPr>
            <w:tcW w:type="dxa" w:w="1655"/>
            <w:vAlign w:val="center"/>
          </w:tcPr>
          <w:p>
            <w:pPr>
              <w:spacing w:after="40"/>
            </w:pPr>
            <w:r>
              <w:rPr>
                <w:rFonts w:ascii="Calibri" w:hAnsi="Calibri"/>
                <w:b w:val="0"/>
                <w:i w:val="0"/>
                <w:color w:val="212121"/>
                <w:sz w:val="19"/>
              </w:rPr>
              <w:t>Meat consumption</w:t>
            </w:r>
          </w:p>
        </w:tc>
        <w:tc>
          <w:tcPr>
            <w:tcW w:type="dxa" w:w="2160"/>
            <w:vAlign w:val="top"/>
          </w:tcPr>
          <w:p>
            <w:pPr>
              <w:spacing w:after="40" w:before="0" w:line="259" w:lineRule="auto"/>
            </w:pPr>
            <w:r>
              <w:rPr>
                <w:rFonts w:ascii="Calibri" w:hAnsi="Calibri"/>
                <w:b w:val="0"/>
                <w:i w:val="0"/>
                <w:color w:val="212121"/>
                <w:sz w:val="19"/>
              </w:rPr>
              <w:t>Undercooked / 'measly' pork eaters</w:t>
            </w:r>
          </w:p>
        </w:tc>
        <w:tc>
          <w:tcPr>
            <w:tcW w:type="dxa" w:w="4276"/>
            <w:vAlign w:val="top"/>
          </w:tcPr>
          <w:p>
            <w:pPr>
              <w:spacing w:after="60" w:line="259" w:lineRule="auto"/>
            </w:pPr>
            <w:r>
              <w:rPr>
                <w:rFonts w:ascii="Calibri" w:hAnsi="Calibri"/>
                <w:b w:val="0"/>
                <w:i w:val="0"/>
                <w:color w:val="212121"/>
                <w:sz w:val="19"/>
              </w:rPr>
              <w:t>Eating larval cysts in undercooked pork produces the adult intestinal tapeworm (taeniasis) — the carrier state that then sheds eggs and seeds NCC in the carrier and their contacts.</w:t>
            </w:r>
          </w:p>
          <w:p>
            <w:pPr>
              <w:spacing w:after="40" w:before="60" w:line="259" w:lineRule="auto"/>
            </w:pPr>
            <w:r>
              <w:rPr>
                <w:rFonts w:ascii="Calibri" w:hAnsi="Calibri"/>
                <w:b w:val="0"/>
                <w:i w:val="0"/>
                <w:color w:val="212121"/>
                <w:sz w:val="19"/>
              </w:rPr>
              <w:t>64% of the Assam tea-garden community consumed pork and pork products, and 68.5% did not cook it thoroughly (no pressure cooker).</w:t>
            </w:r>
          </w:p>
          <w:p>
            <w:pPr>
              <w:spacing w:after="40" w:line="252" w:lineRule="auto"/>
            </w:pPr>
            <w:hyperlink r:id="rId10">
              <w:r>
                <w:rPr>
                  <w:rFonts w:ascii="Calibri" w:hAnsi="Calibri" w:cs="Calibri"/>
                  <w:sz w:val="18"/>
                  <w:color w:val="1155CC"/>
                  <w:u w:val="single"/>
                </w:rPr>
                <w:t xml:space="preserve">nature.com — Assam tea-garden NCC study</w:t>
              </w:r>
            </w:hyperlink>
          </w:p>
          <w:p>
            <w:pPr>
              <w:spacing w:before="60" w:after="40"/>
            </w:pPr>
            <w:r>
              <w:rPr>
                <w:rFonts w:ascii="Calibri" w:hAnsi="Calibri"/>
                <w:b w:val="0"/>
                <w:i w:val="0"/>
                <w:color w:val="5A5A5A"/>
                <w:sz w:val="18"/>
              </w:rPr>
              <w:t>#undercookedpork  #measlypork  #taeniasis  #porktapeworm</w:t>
            </w:r>
          </w:p>
        </w:tc>
      </w:tr>
      <w:tr>
        <w:trPr>
          <w:cantSplit/>
        </w:trPr>
        <w:tc>
          <w:tcPr>
            <w:tcW w:type="dxa" w:w="1512"/>
            <w:vMerge/>
            <w:vAlign w:val="top"/>
          </w:tcPr>
          <w:p>
            <w:pPr>
              <w:spacing w:after="40" w:before="0" w:line="259" w:lineRule="auto"/>
            </w:pPr>
          </w:p>
        </w:tc>
        <w:tc>
          <w:tcPr>
            <w:tcW w:type="dxa" w:w="1655"/>
            <w:vAlign w:val="center"/>
          </w:tcPr>
          <w:p>
            <w:pPr>
              <w:spacing w:after="40"/>
            </w:pPr>
            <w:r>
              <w:rPr>
                <w:rFonts w:ascii="Calibri" w:hAnsi="Calibri"/>
                <w:b w:val="0"/>
                <w:i w:val="0"/>
                <w:color w:val="212121"/>
                <w:sz w:val="19"/>
              </w:rPr>
              <w:t>Contaminated produce</w:t>
            </w:r>
          </w:p>
        </w:tc>
        <w:tc>
          <w:tcPr>
            <w:tcW w:type="dxa" w:w="2160"/>
            <w:vAlign w:val="top"/>
          </w:tcPr>
          <w:p>
            <w:pPr>
              <w:spacing w:after="40" w:before="0" w:line="259" w:lineRule="auto"/>
            </w:pPr>
            <w:r>
              <w:rPr>
                <w:rFonts w:ascii="Calibri" w:hAnsi="Calibri"/>
                <w:b w:val="0"/>
                <w:i w:val="0"/>
                <w:color w:val="212121"/>
                <w:sz w:val="19"/>
              </w:rPr>
              <w:t>Raw salad / vegetable eaters (incl. vegetarians)</w:t>
            </w:r>
          </w:p>
        </w:tc>
        <w:tc>
          <w:tcPr>
            <w:tcW w:type="dxa" w:w="4276"/>
            <w:vAlign w:val="top"/>
          </w:tcPr>
          <w:p>
            <w:pPr>
              <w:spacing w:after="60" w:line="259" w:lineRule="auto"/>
            </w:pPr>
            <w:r>
              <w:rPr>
                <w:rFonts w:ascii="Calibri" w:hAnsi="Calibri"/>
                <w:b w:val="0"/>
                <w:i w:val="0"/>
                <w:color w:val="212121"/>
                <w:sz w:val="19"/>
              </w:rPr>
              <w:t>NCC comes from swallowing eggs, not pork, so raw vegetables and salads irrigated or washed with faecally contaminated water can infect strict vegetarians who never eat meat.</w:t>
            </w:r>
          </w:p>
          <w:p>
            <w:pPr>
              <w:spacing w:after="40" w:before="60" w:line="259" w:lineRule="auto"/>
            </w:pPr>
            <w:r>
              <w:rPr>
                <w:rFonts w:ascii="Calibri" w:hAnsi="Calibri"/>
                <w:b w:val="0"/>
                <w:i w:val="0"/>
                <w:color w:val="212121"/>
                <w:sz w:val="19"/>
              </w:rPr>
              <w:t>Single-cyst NCC — often traced to egg ingestion via contaminated food — is the commonest form on the Indian subcontinent (47.7–53.4% of cases), and NCC is well documented in lifelong vegetarians.</w:t>
            </w:r>
          </w:p>
          <w:p>
            <w:pPr>
              <w:spacing w:after="40" w:line="252" w:lineRule="auto"/>
            </w:pPr>
            <w:hyperlink r:id="rId12">
              <w:r>
                <w:rPr>
                  <w:rFonts w:ascii="Calibri" w:hAnsi="Calibri" w:cs="Calibri"/>
                  <w:sz w:val="18"/>
                  <w:color w:val="1155CC"/>
                  <w:u w:val="single"/>
                </w:rPr>
                <w:t xml:space="preserve">ias.ac.in — human cysticercosis, Indian scenario</w:t>
              </w:r>
            </w:hyperlink>
          </w:p>
          <w:p>
            <w:pPr>
              <w:spacing w:before="60" w:after="40"/>
            </w:pPr>
            <w:r>
              <w:rPr>
                <w:rFonts w:ascii="Calibri" w:hAnsi="Calibri"/>
                <w:b w:val="0"/>
                <w:i w:val="0"/>
                <w:color w:val="5A5A5A"/>
                <w:sz w:val="18"/>
              </w:rPr>
              <w:t>#vegetarians  #rawvegetables  #fecaloral  #contaminatedfood</w:t>
            </w:r>
          </w:p>
        </w:tc>
      </w:tr>
      <w:tr>
        <w:trPr>
          <w:cantSplit/>
        </w:trPr>
        <w:tc>
          <w:tcPr>
            <w:tcW w:type="dxa" w:w="1512"/>
            <w:vMerge/>
            <w:vAlign w:val="top"/>
          </w:tcPr>
          <w:p>
            <w:pPr>
              <w:spacing w:after="40" w:before="0" w:line="259" w:lineRule="auto"/>
            </w:pPr>
          </w:p>
        </w:tc>
        <w:tc>
          <w:tcPr>
            <w:tcW w:type="dxa" w:w="1655"/>
            <w:vAlign w:val="center"/>
          </w:tcPr>
          <w:p>
            <w:pPr>
              <w:spacing w:after="40"/>
            </w:pPr>
            <w:r>
              <w:rPr>
                <w:rFonts w:ascii="Calibri" w:hAnsi="Calibri"/>
                <w:b w:val="0"/>
                <w:i w:val="0"/>
                <w:color w:val="212121"/>
                <w:sz w:val="19"/>
              </w:rPr>
              <w:t>Water source</w:t>
            </w:r>
          </w:p>
        </w:tc>
        <w:tc>
          <w:tcPr>
            <w:tcW w:type="dxa" w:w="2160"/>
            <w:vAlign w:val="top"/>
          </w:tcPr>
          <w:p>
            <w:pPr>
              <w:spacing w:after="40" w:before="0" w:line="259" w:lineRule="auto"/>
            </w:pPr>
            <w:r>
              <w:rPr>
                <w:rFonts w:ascii="Calibri" w:hAnsi="Calibri"/>
                <w:b w:val="0"/>
                <w:i w:val="0"/>
                <w:color w:val="212121"/>
                <w:sz w:val="19"/>
              </w:rPr>
              <w:t>Untreated / contaminated drinking water</w:t>
            </w:r>
          </w:p>
        </w:tc>
        <w:tc>
          <w:tcPr>
            <w:tcW w:type="dxa" w:w="4276"/>
            <w:vAlign w:val="top"/>
          </w:tcPr>
          <w:p>
            <w:pPr>
              <w:spacing w:after="60" w:line="259" w:lineRule="auto"/>
            </w:pPr>
            <w:r>
              <w:rPr>
                <w:rFonts w:ascii="Calibri" w:hAnsi="Calibri"/>
                <w:b w:val="0"/>
                <w:i w:val="0"/>
                <w:color w:val="212121"/>
                <w:sz w:val="19"/>
              </w:rPr>
              <w:t>Drinking or preparing food with untreated water contaminated by human faeces delivers tapeworm eggs directly, an important route where piped safe water is lacking.</w:t>
            </w:r>
          </w:p>
          <w:p>
            <w:pPr>
              <w:spacing w:after="40" w:before="60" w:line="259" w:lineRule="auto"/>
            </w:pPr>
            <w:r>
              <w:rPr>
                <w:rFonts w:ascii="Calibri" w:hAnsi="Calibri"/>
                <w:b w:val="0"/>
                <w:i w:val="0"/>
                <w:color w:val="212121"/>
                <w:sz w:val="19"/>
              </w:rPr>
              <w:t>WHO identifies contaminated food and water as the principal vehicle for T. solium eggs and recommends safe water plus thorough cooking (&gt;80°C) to interrupt transmission.</w:t>
            </w:r>
          </w:p>
          <w:p>
            <w:pPr>
              <w:spacing w:after="40" w:line="252" w:lineRule="auto"/>
            </w:pPr>
            <w:hyperlink r:id="rId13">
              <w:r>
                <w:rPr>
                  <w:rFonts w:ascii="Calibri" w:hAnsi="Calibri" w:cs="Calibri"/>
                  <w:sz w:val="18"/>
                  <w:color w:val="1155CC"/>
                  <w:u w:val="single"/>
                </w:rPr>
                <w:t xml:space="preserve">who.int — taeniasis and cysticercosis Q&amp;A</w:t>
              </w:r>
            </w:hyperlink>
          </w:p>
          <w:p>
            <w:pPr>
              <w:spacing w:before="60" w:after="40"/>
            </w:pPr>
            <w:r>
              <w:rPr>
                <w:rFonts w:ascii="Calibri" w:hAnsi="Calibri"/>
                <w:b w:val="0"/>
                <w:i w:val="0"/>
                <w:color w:val="5A5A5A"/>
                <w:sz w:val="18"/>
              </w:rPr>
              <w:t>#unsafewater  #watertreatment  #WASH  #eggcontamination</w:t>
            </w:r>
          </w:p>
        </w:tc>
      </w:tr>
      <w:tr>
        <w:trPr>
          <w:cantSplit/>
        </w:trPr>
        <w:tc>
          <w:tcPr>
            <w:tcW w:type="dxa" w:w="1512"/>
            <w:vAlign w:val="center"/>
          </w:tcPr>
          <w:p>
            <w:pPr>
              <w:spacing w:after="40"/>
            </w:pPr>
            <w:r>
              <w:rPr>
                <w:rFonts w:ascii="Calibri" w:hAnsi="Calibri"/>
                <w:b/>
                <w:i w:val="0"/>
                <w:color w:val="212121"/>
                <w:sz w:val="19"/>
              </w:rPr>
              <w:t>Genetic factors</w:t>
            </w:r>
          </w:p>
        </w:tc>
        <w:tc>
          <w:tcPr>
            <w:tcW w:type="dxa" w:w="1655"/>
            <w:vAlign w:val="center"/>
          </w:tcPr>
          <w:p>
            <w:pPr>
              <w:spacing w:after="40"/>
            </w:pPr>
            <w:r>
              <w:rPr>
                <w:rFonts w:ascii="Calibri" w:hAnsi="Calibri"/>
                <w:b w:val="0"/>
                <w:i w:val="0"/>
                <w:color w:val="212121"/>
                <w:sz w:val="19"/>
              </w:rPr>
              <w:t>Household / family clustering</w:t>
            </w:r>
          </w:p>
        </w:tc>
        <w:tc>
          <w:tcPr>
            <w:tcW w:type="dxa" w:w="2160"/>
            <w:vAlign w:val="top"/>
          </w:tcPr>
          <w:p>
            <w:pPr>
              <w:spacing w:after="40" w:before="0" w:line="259" w:lineRule="auto"/>
            </w:pPr>
            <w:r>
              <w:rPr>
                <w:rFonts w:ascii="Calibri" w:hAnsi="Calibri"/>
                <w:b w:val="0"/>
                <w:i w:val="0"/>
                <w:color w:val="212121"/>
                <w:sz w:val="19"/>
              </w:rPr>
              <w:t>Cohabitants of a tapeworm carrier</w:t>
            </w:r>
          </w:p>
        </w:tc>
        <w:tc>
          <w:tcPr>
            <w:tcW w:type="dxa" w:w="4276"/>
            <w:vAlign w:val="top"/>
          </w:tcPr>
          <w:p>
            <w:pPr>
              <w:spacing w:after="60" w:line="259" w:lineRule="auto"/>
            </w:pPr>
            <w:r>
              <w:rPr>
                <w:rFonts w:ascii="Calibri" w:hAnsi="Calibri"/>
                <w:b w:val="0"/>
                <w:i w:val="0"/>
                <w:color w:val="212121"/>
                <w:sz w:val="19"/>
              </w:rPr>
              <w:t>NCC is not inherited, but it clusters in households: living with a T. solium tapeworm carrier (rather than any genetic trait) sharply raises every housemate's risk of egg exposure.</w:t>
            </w:r>
          </w:p>
          <w:p>
            <w:pPr>
              <w:spacing w:after="40" w:before="60" w:line="259" w:lineRule="auto"/>
            </w:pPr>
            <w:r>
              <w:rPr>
                <w:rFonts w:ascii="Calibri" w:hAnsi="Calibri"/>
                <w:b w:val="0"/>
                <w:i w:val="0"/>
                <w:color w:val="212121"/>
                <w:sz w:val="19"/>
              </w:rPr>
              <w:t>Taeniasis was present in 20.0% of NCC patients versus 0.0% of non-NCC epilepsy cases, underscoring household/contact clustering around a carrier.</w:t>
            </w:r>
          </w:p>
          <w:p>
            <w:pPr>
              <w:spacing w:after="40" w:line="252" w:lineRule="auto"/>
            </w:pPr>
            <w:hyperlink r:id="rId10">
              <w:r>
                <w:rPr>
                  <w:rFonts w:ascii="Calibri" w:hAnsi="Calibri" w:cs="Calibri"/>
                  <w:sz w:val="18"/>
                  <w:color w:val="1155CC"/>
                  <w:u w:val="single"/>
                </w:rPr>
                <w:t xml:space="preserve">nature.com — Assam tea-garden NCC study</w:t>
              </w:r>
            </w:hyperlink>
          </w:p>
          <w:p>
            <w:pPr>
              <w:spacing w:before="60" w:after="40"/>
            </w:pPr>
            <w:r>
              <w:rPr>
                <w:rFonts w:ascii="Calibri" w:hAnsi="Calibri"/>
                <w:b w:val="0"/>
                <w:i w:val="0"/>
                <w:color w:val="5A5A5A"/>
                <w:sz w:val="18"/>
              </w:rPr>
              <w:t>#householdclustering  #carriercontact  #familyexposure  #nothereditary</w:t>
            </w:r>
          </w:p>
        </w:tc>
      </w:tr>
      <w:tr>
        <w:trPr>
          <w:cantSplit/>
        </w:trPr>
        <w:tc>
          <w:tcPr>
            <w:tcW w:type="dxa" w:w="1512"/>
            <w:vMerge w:val="restart"/>
            <w:vAlign w:val="center"/>
          </w:tcPr>
          <w:p>
            <w:pPr>
              <w:spacing w:after="40"/>
            </w:pPr>
            <w:r>
              <w:rPr>
                <w:rFonts w:ascii="Calibri" w:hAnsi="Calibri"/>
                <w:b/>
                <w:i w:val="0"/>
                <w:color w:val="212121"/>
                <w:sz w:val="19"/>
              </w:rPr>
              <w:t>Medical conditions profile (mcp)</w:t>
            </w:r>
          </w:p>
        </w:tc>
        <w:tc>
          <w:tcPr>
            <w:tcW w:type="dxa" w:w="1655"/>
            <w:vAlign w:val="center"/>
          </w:tcPr>
          <w:p>
            <w:pPr>
              <w:spacing w:after="40"/>
            </w:pPr>
            <w:r>
              <w:rPr>
                <w:rFonts w:ascii="Calibri" w:hAnsi="Calibri"/>
                <w:b w:val="0"/>
                <w:i w:val="0"/>
                <w:color w:val="212121"/>
                <w:sz w:val="19"/>
              </w:rPr>
              <w:t>Taeniasis</w:t>
            </w:r>
          </w:p>
        </w:tc>
        <w:tc>
          <w:tcPr>
            <w:tcW w:type="dxa" w:w="2160"/>
            <w:vAlign w:val="top"/>
          </w:tcPr>
          <w:p>
            <w:pPr>
              <w:spacing w:after="40" w:before="0" w:line="259" w:lineRule="auto"/>
            </w:pPr>
            <w:r>
              <w:rPr>
                <w:rFonts w:ascii="Calibri" w:hAnsi="Calibri"/>
                <w:b w:val="0"/>
                <w:i w:val="0"/>
                <w:color w:val="212121"/>
                <w:sz w:val="19"/>
              </w:rPr>
              <w:t>T. solium intestinal tapeworm carriers</w:t>
            </w:r>
          </w:p>
        </w:tc>
        <w:tc>
          <w:tcPr>
            <w:tcW w:type="dxa" w:w="4276"/>
            <w:vAlign w:val="top"/>
          </w:tcPr>
          <w:p>
            <w:pPr>
              <w:spacing w:after="60" w:line="259" w:lineRule="auto"/>
            </w:pPr>
            <w:r>
              <w:rPr>
                <w:rFonts w:ascii="Calibri" w:hAnsi="Calibri"/>
                <w:b w:val="0"/>
                <w:i w:val="0"/>
                <w:color w:val="212121"/>
                <w:sz w:val="19"/>
              </w:rPr>
              <w:t>Carrying the adult tapeworm makes a person the source of eggs and the individual most at risk of heavy self-infection (autoinfection), making taeniasis both cause and companion of NCC.</w:t>
            </w:r>
          </w:p>
          <w:p>
            <w:pPr>
              <w:spacing w:after="40" w:before="60" w:line="259" w:lineRule="auto"/>
            </w:pPr>
            <w:r>
              <w:rPr>
                <w:rFonts w:ascii="Calibri" w:hAnsi="Calibri"/>
                <w:b w:val="0"/>
                <w:i w:val="0"/>
                <w:color w:val="212121"/>
                <w:sz w:val="19"/>
              </w:rPr>
              <w:t>Community taeniasis prevalence reached 18.6% in a Lucknow pig-farming population, and carriers are the reservoir for essentially all human NCC.</w:t>
            </w:r>
          </w:p>
          <w:p>
            <w:pPr>
              <w:spacing w:after="40" w:line="252" w:lineRule="auto"/>
            </w:pPr>
            <w:hyperlink r:id="rId12">
              <w:r>
                <w:rPr>
                  <w:rFonts w:ascii="Calibri" w:hAnsi="Calibri" w:cs="Calibri"/>
                  <w:sz w:val="18"/>
                  <w:color w:val="1155CC"/>
                  <w:u w:val="single"/>
                </w:rPr>
                <w:t xml:space="preserve">ias.ac.in — human cysticercosis, Indian scenario</w:t>
              </w:r>
            </w:hyperlink>
          </w:p>
          <w:p>
            <w:pPr>
              <w:spacing w:before="60" w:after="40"/>
            </w:pPr>
            <w:r>
              <w:rPr>
                <w:rFonts w:ascii="Calibri" w:hAnsi="Calibri"/>
                <w:b w:val="0"/>
                <w:i w:val="0"/>
                <w:color w:val="5A5A5A"/>
                <w:sz w:val="18"/>
              </w:rPr>
              <w:t>#taeniasis  #tapewormcarrier  #autoinfection  #reservoir</w:t>
            </w:r>
          </w:p>
        </w:tc>
      </w:tr>
      <w:tr>
        <w:trPr>
          <w:cantSplit/>
        </w:trPr>
        <w:tc>
          <w:tcPr>
            <w:tcW w:type="dxa" w:w="1512"/>
            <w:vMerge/>
            <w:vAlign w:val="top"/>
          </w:tcPr>
          <w:p>
            <w:pPr>
              <w:spacing w:after="40" w:before="0" w:line="259" w:lineRule="auto"/>
            </w:pPr>
          </w:p>
        </w:tc>
        <w:tc>
          <w:tcPr>
            <w:tcW w:type="dxa" w:w="1655"/>
            <w:vAlign w:val="center"/>
          </w:tcPr>
          <w:p>
            <w:pPr>
              <w:spacing w:after="40"/>
            </w:pPr>
            <w:r>
              <w:rPr>
                <w:rFonts w:ascii="Calibri" w:hAnsi="Calibri"/>
                <w:b w:val="0"/>
                <w:i w:val="0"/>
                <w:color w:val="212121"/>
                <w:sz w:val="19"/>
              </w:rPr>
              <w:t>Epilepsy</w:t>
            </w:r>
          </w:p>
        </w:tc>
        <w:tc>
          <w:tcPr>
            <w:tcW w:type="dxa" w:w="2160"/>
            <w:vAlign w:val="top"/>
          </w:tcPr>
          <w:p>
            <w:pPr>
              <w:spacing w:after="40" w:before="0" w:line="259" w:lineRule="auto"/>
            </w:pPr>
            <w:r>
              <w:rPr>
                <w:rFonts w:ascii="Calibri" w:hAnsi="Calibri"/>
                <w:b w:val="0"/>
                <w:i w:val="0"/>
                <w:color w:val="212121"/>
                <w:sz w:val="19"/>
              </w:rPr>
              <w:t>Patients with active/acquired epilepsy</w:t>
            </w:r>
          </w:p>
        </w:tc>
        <w:tc>
          <w:tcPr>
            <w:tcW w:type="dxa" w:w="4276"/>
            <w:vAlign w:val="top"/>
          </w:tcPr>
          <w:p>
            <w:pPr>
              <w:spacing w:after="60" w:line="259" w:lineRule="auto"/>
            </w:pPr>
            <w:r>
              <w:rPr>
                <w:rFonts w:ascii="Calibri" w:hAnsi="Calibri"/>
                <w:b w:val="0"/>
                <w:i w:val="0"/>
                <w:color w:val="212121"/>
                <w:sz w:val="19"/>
              </w:rPr>
              <w:t>NCC and epilepsy are tightly linked: degenerating and calcified cysts are a leading structural cause of acquired seizures, so any patient with new focal epilepsy in India warrants NCC screening.</w:t>
            </w:r>
          </w:p>
          <w:p>
            <w:pPr>
              <w:spacing w:after="40" w:before="60" w:line="259" w:lineRule="auto"/>
            </w:pPr>
            <w:r>
              <w:rPr>
                <w:rFonts w:ascii="Calibri" w:hAnsi="Calibri"/>
                <w:b w:val="0"/>
                <w:i w:val="0"/>
                <w:color w:val="212121"/>
                <w:sz w:val="19"/>
              </w:rPr>
              <w:t>A meta-analysis of 37 studies found cysticercosis roughly tripled the odds of epilepsy (pooled OR 2.7, 95% CI 2.1–3.6).</w:t>
            </w:r>
          </w:p>
          <w:p>
            <w:pPr>
              <w:spacing w:after="40" w:line="252" w:lineRule="auto"/>
            </w:pPr>
            <w:hyperlink r:id="rId14">
              <w:r>
                <w:rPr>
                  <w:rFonts w:ascii="Calibri" w:hAnsi="Calibri" w:cs="Calibri"/>
                  <w:sz w:val="18"/>
                  <w:color w:val="1155CC"/>
                  <w:u w:val="single"/>
                </w:rPr>
                <w:t xml:space="preserve">PLOS NTD — cysticercosis &amp; epilepsy meta-analysis</w:t>
              </w:r>
            </w:hyperlink>
          </w:p>
          <w:p>
            <w:pPr>
              <w:spacing w:before="60" w:after="40"/>
            </w:pPr>
            <w:r>
              <w:rPr>
                <w:rFonts w:ascii="Calibri" w:hAnsi="Calibri"/>
                <w:b w:val="0"/>
                <w:i w:val="0"/>
                <w:color w:val="5A5A5A"/>
                <w:sz w:val="18"/>
              </w:rPr>
              <w:t>#epilepsy  #acquiredepilepsy  #seizures  #structuralcause</w:t>
            </w:r>
          </w:p>
        </w:tc>
      </w:tr>
      <w:tr>
        <w:trPr>
          <w:cantSplit/>
        </w:trPr>
        <w:tc>
          <w:tcPr>
            <w:tcW w:type="dxa" w:w="1512"/>
            <w:vMerge/>
            <w:vAlign w:val="top"/>
          </w:tcPr>
          <w:p>
            <w:pPr>
              <w:spacing w:after="40" w:before="0" w:line="259" w:lineRule="auto"/>
            </w:pPr>
          </w:p>
        </w:tc>
        <w:tc>
          <w:tcPr>
            <w:tcW w:type="dxa" w:w="1655"/>
            <w:vAlign w:val="center"/>
          </w:tcPr>
          <w:p>
            <w:pPr>
              <w:spacing w:after="40"/>
            </w:pPr>
            <w:r>
              <w:rPr>
                <w:rFonts w:ascii="Calibri" w:hAnsi="Calibri"/>
                <w:b w:val="0"/>
                <w:i w:val="0"/>
                <w:color w:val="212121"/>
                <w:sz w:val="19"/>
              </w:rPr>
              <w:t>Immunosuppression</w:t>
            </w:r>
          </w:p>
        </w:tc>
        <w:tc>
          <w:tcPr>
            <w:tcW w:type="dxa" w:w="2160"/>
            <w:vAlign w:val="top"/>
          </w:tcPr>
          <w:p>
            <w:pPr>
              <w:spacing w:after="40" w:before="0" w:line="259" w:lineRule="auto"/>
            </w:pPr>
            <w:r>
              <w:rPr>
                <w:rFonts w:ascii="Calibri" w:hAnsi="Calibri"/>
                <w:b w:val="0"/>
                <w:i w:val="0"/>
                <w:color w:val="212121"/>
                <w:sz w:val="19"/>
              </w:rPr>
              <w:t>HIV / immunocompromised patients</w:t>
            </w:r>
          </w:p>
        </w:tc>
        <w:tc>
          <w:tcPr>
            <w:tcW w:type="dxa" w:w="4276"/>
            <w:vAlign w:val="top"/>
          </w:tcPr>
          <w:p>
            <w:pPr>
              <w:spacing w:after="60" w:line="259" w:lineRule="auto"/>
            </w:pPr>
            <w:r>
              <w:rPr>
                <w:rFonts w:ascii="Calibri" w:hAnsi="Calibri"/>
                <w:b w:val="0"/>
                <w:i w:val="0"/>
                <w:color w:val="212121"/>
                <w:sz w:val="19"/>
              </w:rPr>
              <w:t>Impaired cell-mediated immunity can alter the inflammatory response to cysts, predispose to heavier or disseminated disease and complicate the imaging differential with other CNS lesions.</w:t>
            </w:r>
          </w:p>
          <w:p>
            <w:pPr>
              <w:spacing w:after="40" w:before="60" w:line="259" w:lineRule="auto"/>
            </w:pPr>
            <w:r>
              <w:rPr>
                <w:rFonts w:ascii="Calibri" w:hAnsi="Calibri"/>
                <w:b w:val="0"/>
                <w:i w:val="0"/>
                <w:color w:val="212121"/>
                <w:sz w:val="19"/>
              </w:rPr>
              <w:t>Immunosuppression is recognised to modify NCC severity and management; disseminated cysticercosis with very high cyst burdens is described in such hosts.</w:t>
            </w:r>
          </w:p>
          <w:p>
            <w:pPr>
              <w:spacing w:after="40" w:line="252" w:lineRule="auto"/>
            </w:pPr>
            <w:hyperlink r:id="rId15">
              <w:r>
                <w:rPr>
                  <w:rFonts w:ascii="Calibri" w:hAnsi="Calibri" w:cs="Calibri"/>
                  <w:sz w:val="18"/>
                  <w:color w:val="1155CC"/>
                  <w:u w:val="single"/>
                </w:rPr>
                <w:t xml:space="preserve">PMC — NCC current challenges review</w:t>
              </w:r>
            </w:hyperlink>
          </w:p>
          <w:p>
            <w:pPr>
              <w:spacing w:before="60" w:after="40"/>
            </w:pPr>
            <w:r>
              <w:rPr>
                <w:rFonts w:ascii="Calibri" w:hAnsi="Calibri"/>
                <w:b w:val="0"/>
                <w:i w:val="0"/>
                <w:color w:val="5A5A5A"/>
                <w:sz w:val="18"/>
              </w:rPr>
              <w:t>#HIV  #immunosuppression  #disseminated  #differential</w:t>
            </w:r>
          </w:p>
        </w:tc>
      </w:tr>
      <w:tr>
        <w:trPr>
          <w:cantSplit/>
        </w:trPr>
        <w:tc>
          <w:tcPr>
            <w:tcW w:type="dxa" w:w="1512"/>
            <w:vMerge/>
            <w:vAlign w:val="top"/>
          </w:tcPr>
          <w:p>
            <w:pPr>
              <w:spacing w:after="40" w:before="0" w:line="259" w:lineRule="auto"/>
            </w:pPr>
          </w:p>
        </w:tc>
        <w:tc>
          <w:tcPr>
            <w:tcW w:type="dxa" w:w="1655"/>
            <w:vAlign w:val="center"/>
          </w:tcPr>
          <w:p>
            <w:pPr>
              <w:spacing w:after="40"/>
            </w:pPr>
            <w:r>
              <w:rPr>
                <w:rFonts w:ascii="Calibri" w:hAnsi="Calibri"/>
                <w:b w:val="0"/>
                <w:i w:val="0"/>
                <w:color w:val="212121"/>
                <w:sz w:val="19"/>
              </w:rPr>
              <w:t>Hydrocephalus</w:t>
            </w:r>
          </w:p>
        </w:tc>
        <w:tc>
          <w:tcPr>
            <w:tcW w:type="dxa" w:w="2160"/>
            <w:vAlign w:val="top"/>
          </w:tcPr>
          <w:p>
            <w:pPr>
              <w:spacing w:after="40" w:before="0" w:line="259" w:lineRule="auto"/>
            </w:pPr>
            <w:r>
              <w:rPr>
                <w:rFonts w:ascii="Calibri" w:hAnsi="Calibri"/>
                <w:b w:val="0"/>
                <w:i w:val="0"/>
                <w:color w:val="212121"/>
                <w:sz w:val="19"/>
              </w:rPr>
              <w:t>Extraparenchymal / intraventricular NCC</w:t>
            </w:r>
          </w:p>
        </w:tc>
        <w:tc>
          <w:tcPr>
            <w:tcW w:type="dxa" w:w="4276"/>
            <w:vAlign w:val="top"/>
          </w:tcPr>
          <w:p>
            <w:pPr>
              <w:spacing w:after="60" w:line="259" w:lineRule="auto"/>
            </w:pPr>
            <w:r>
              <w:rPr>
                <w:rFonts w:ascii="Calibri" w:hAnsi="Calibri"/>
                <w:b w:val="0"/>
                <w:i w:val="0"/>
                <w:color w:val="212121"/>
                <w:sz w:val="19"/>
              </w:rPr>
              <w:t>Cysts in the ventricles or basal cisterns and the ependymal inflammation they cause obstruct CSF flow, producing hydrocephalus — the chief driver of NCC morbidity and mortality.</w:t>
            </w:r>
          </w:p>
          <w:p>
            <w:pPr>
              <w:spacing w:after="40" w:before="60" w:line="259" w:lineRule="auto"/>
            </w:pPr>
            <w:r>
              <w:rPr>
                <w:rFonts w:ascii="Calibri" w:hAnsi="Calibri"/>
                <w:b w:val="0"/>
                <w:i w:val="0"/>
                <w:color w:val="212121"/>
                <w:sz w:val="19"/>
              </w:rPr>
              <w:t>Subarachnoid and intraventricular (extraparenchymal) NCC carries substantially higher mortality than parenchymal disease, largely through hydrocephalus and raised intracranial pressure.</w:t>
            </w:r>
          </w:p>
          <w:p>
            <w:pPr>
              <w:spacing w:after="40" w:line="252" w:lineRule="auto"/>
            </w:pPr>
            <w:hyperlink r:id="rId16">
              <w:r>
                <w:rPr>
                  <w:rFonts w:ascii="Calibri" w:hAnsi="Calibri" w:cs="Calibri"/>
                  <w:sz w:val="18"/>
                  <w:color w:val="1155CC"/>
                  <w:u w:val="single"/>
                </w:rPr>
                <w:t xml:space="preserve">PMC — mortality in parenchymal vs subarachnoid NCC</w:t>
              </w:r>
            </w:hyperlink>
          </w:p>
          <w:p>
            <w:pPr>
              <w:spacing w:before="60" w:after="40"/>
            </w:pPr>
            <w:r>
              <w:rPr>
                <w:rFonts w:ascii="Calibri" w:hAnsi="Calibri"/>
                <w:b w:val="0"/>
                <w:i w:val="0"/>
                <w:color w:val="5A5A5A"/>
                <w:sz w:val="18"/>
              </w:rPr>
              <w:t>#hydrocephalus  #extraparenchymal  #raisedICP  #mortality</w:t>
            </w:r>
          </w:p>
        </w:tc>
      </w:tr>
    </w:tbl>
    <w:p>
      <w:pPr>
        <w:spacing w:before="200" w:after="120"/>
      </w:pPr>
      <w:r>
        <w:rPr>
          <w:rFonts w:ascii="Calibri" w:hAnsi="Calibri"/>
          <w:b/>
          <w:i w:val="0"/>
          <w:color w:val="212121"/>
          <w:sz w:val="25"/>
        </w:rPr>
        <w:t>Lifestyle Health Parameters ( LHP )</w:t>
      </w:r>
    </w:p>
    <w:p>
      <w:pPr>
        <w:spacing w:before="160" w:after="120"/>
      </w:pPr>
      <w:r>
        <w:rPr>
          <w:rFonts w:ascii="Calibri" w:hAnsi="Calibri"/>
          <w:b/>
          <w:i w:val="0"/>
          <w:color w:val="212121"/>
          <w:sz w:val="22"/>
        </w:rPr>
        <w:t>Order of Parameter Influence Study</w:t>
      </w:r>
    </w:p>
    <w:tbl>
      <w:tblPr>
        <w:tblW w:type="dxa" w:w="9604"/>
        <w:jc w:val="center"/>
        <w:tblLook w:firstColumn="1" w:firstRow="1" w:lastColumn="0" w:lastRow="0" w:noHBand="0" w:noVBand="1" w:val="04A0"/>
        <w:tblBorders>
          <w:top w:val="single" w:sz="4" w:space="0" w:color="BFBFBF"/>
          <w:left w:val="single" w:sz="4" w:space="0" w:color="BFBFBF"/>
          <w:bottom w:val="single" w:sz="4" w:space="0" w:color="BFBFBF"/>
          <w:right w:val="single" w:sz="4" w:space="0" w:color="BFBFBF"/>
          <w:insideH w:val="single" w:sz="4" w:space="0" w:color="BFBFBF"/>
          <w:insideV w:val="single" w:sz="4" w:space="0" w:color="BFBFBF"/>
        </w:tblBorders>
      </w:tblPr>
      <w:tblGrid>
        <w:gridCol w:w="3202"/>
        <w:gridCol w:w="3202"/>
        <w:gridCol w:w="3202"/>
      </w:tblGrid>
      <w:tr>
        <w:trPr>
          <w:cantSplit/>
        </w:trPr>
        <w:tc>
          <w:tcPr>
            <w:tcW w:type="dxa" w:w="2304"/>
            <w:shd w:val="clear" w:color="auto" w:fill="F2F2F2"/>
            <w:vAlign w:val="center"/>
          </w:tcPr>
          <w:p>
            <w:pPr>
              <w:spacing w:after="40" w:before="0" w:line="259" w:lineRule="auto"/>
            </w:pPr>
            <w:r>
              <w:rPr>
                <w:rFonts w:ascii="Calibri" w:hAnsi="Calibri"/>
                <w:b/>
                <w:i w:val="0"/>
                <w:color w:val="212121"/>
                <w:sz w:val="19"/>
              </w:rPr>
              <w:t>LHP</w:t>
            </w:r>
          </w:p>
        </w:tc>
        <w:tc>
          <w:tcPr>
            <w:tcW w:type="dxa" w:w="1800"/>
            <w:shd w:val="clear" w:color="auto" w:fill="F2F2F2"/>
            <w:vAlign w:val="center"/>
          </w:tcPr>
          <w:p>
            <w:pPr>
              <w:spacing w:after="40" w:before="0" w:line="259" w:lineRule="auto"/>
            </w:pPr>
            <w:r>
              <w:rPr>
                <w:rFonts w:ascii="Calibri" w:hAnsi="Calibri"/>
                <w:b/>
                <w:i w:val="0"/>
                <w:color w:val="212121"/>
                <w:sz w:val="19"/>
              </w:rPr>
              <w:t>Influence Level</w:t>
            </w:r>
          </w:p>
        </w:tc>
        <w:tc>
          <w:tcPr>
            <w:tcW w:type="dxa" w:w="5500"/>
            <w:shd w:val="clear" w:color="auto" w:fill="F2F2F2"/>
            <w:vAlign w:val="center"/>
          </w:tcPr>
          <w:p>
            <w:pPr>
              <w:spacing w:after="40" w:before="0" w:line="259" w:lineRule="auto"/>
            </w:pPr>
            <w:r>
              <w:rPr>
                <w:rFonts w:ascii="Calibri" w:hAnsi="Calibri"/>
                <w:b/>
                <w:i w:val="0"/>
                <w:color w:val="212121"/>
                <w:sz w:val="19"/>
              </w:rPr>
              <w:t>Influence Study</w:t>
            </w:r>
          </w:p>
        </w:tc>
      </w:tr>
      <w:tr>
        <w:trPr>
          <w:cantSplit/>
        </w:trPr>
        <w:tc>
          <w:tcPr>
            <w:tcW w:type="dxa" w:w="2304"/>
            <w:vAlign w:val="top"/>
          </w:tcPr>
          <w:p>
            <w:pPr>
              <w:spacing w:after="40" w:before="0" w:line="259" w:lineRule="auto"/>
            </w:pPr>
            <w:r>
              <w:rPr>
                <w:rFonts w:ascii="Calibri" w:hAnsi="Calibri"/>
                <w:b/>
                <w:i w:val="0"/>
                <w:color w:val="212121"/>
                <w:sz w:val="19"/>
              </w:rPr>
              <w:t>Physical activity</w:t>
            </w:r>
          </w:p>
        </w:tc>
        <w:tc>
          <w:tcPr>
            <w:tcW w:type="dxa" w:w="1800"/>
            <w:vAlign w:val="top"/>
          </w:tcPr>
          <w:p>
            <w:pPr>
              <w:spacing w:after="40" w:before="0" w:line="259" w:lineRule="auto"/>
            </w:pPr>
            <w:r>
              <w:rPr>
                <w:rFonts w:ascii="Calibri" w:hAnsi="Calibri"/>
                <w:b w:val="0"/>
                <w:i w:val="0"/>
                <w:color w:val="212121"/>
                <w:sz w:val="19"/>
              </w:rPr>
              <w:t>Low</w:t>
            </w:r>
          </w:p>
        </w:tc>
        <w:tc>
          <w:tcPr>
            <w:tcW w:type="dxa" w:w="5500"/>
            <w:vAlign w:val="top"/>
          </w:tcPr>
          <w:p>
            <w:pPr>
              <w:spacing w:after="40" w:before="0" w:line="259" w:lineRule="auto"/>
            </w:pPr>
            <w:r>
              <w:rPr>
                <w:rFonts w:ascii="Calibri" w:hAnsi="Calibri"/>
                <w:b w:val="0"/>
                <w:i w:val="0"/>
                <w:color w:val="212121"/>
                <w:sz w:val="19"/>
              </w:rPr>
              <w:t>Physical activity neither causes nor prevents NCC. Its relevance is downstream: once seizures occur, unsupervised swimming, working at heights or operating machinery become hazardous, so activity should continue with seizure-safety precautions.</w:t>
            </w:r>
          </w:p>
        </w:tc>
      </w:tr>
      <w:tr>
        <w:trPr>
          <w:cantSplit/>
        </w:trPr>
        <w:tc>
          <w:tcPr>
            <w:tcW w:type="dxa" w:w="2304"/>
            <w:vAlign w:val="top"/>
          </w:tcPr>
          <w:p>
            <w:pPr>
              <w:spacing w:after="40" w:before="0" w:line="259" w:lineRule="auto"/>
            </w:pPr>
            <w:r>
              <w:rPr>
                <w:rFonts w:ascii="Calibri" w:hAnsi="Calibri"/>
                <w:b/>
                <w:i w:val="0"/>
                <w:color w:val="212121"/>
                <w:sz w:val="19"/>
              </w:rPr>
              <w:t>Food</w:t>
            </w:r>
          </w:p>
        </w:tc>
        <w:tc>
          <w:tcPr>
            <w:tcW w:type="dxa" w:w="1800"/>
            <w:vAlign w:val="top"/>
          </w:tcPr>
          <w:p>
            <w:pPr>
              <w:spacing w:after="40" w:before="0" w:line="259" w:lineRule="auto"/>
            </w:pPr>
            <w:r>
              <w:rPr>
                <w:rFonts w:ascii="Calibri" w:hAnsi="Calibri"/>
                <w:b w:val="0"/>
                <w:i w:val="0"/>
                <w:color w:val="212121"/>
                <w:sz w:val="19"/>
              </w:rPr>
              <w:t>High</w:t>
            </w:r>
          </w:p>
        </w:tc>
        <w:tc>
          <w:tcPr>
            <w:tcW w:type="dxa" w:w="5500"/>
            <w:vAlign w:val="top"/>
          </w:tcPr>
          <w:p>
            <w:pPr>
              <w:spacing w:after="40" w:before="0" w:line="259" w:lineRule="auto"/>
            </w:pPr>
            <w:r>
              <w:rPr>
                <w:rFonts w:ascii="Calibri" w:hAnsi="Calibri"/>
                <w:b w:val="0"/>
                <w:i w:val="0"/>
                <w:color w:val="212121"/>
                <w:sz w:val="19"/>
              </w:rPr>
              <w:t>Food is central. Undercooked pork produces the tapeworm carrier state, while faecally contaminated raw vegetables, salads and food handled by a carrier deliver the eggs that cause NCC — infecting meat-eaters and vegetarians alike. Thorough cooking (&gt;80°C) and produce washing are protective.</w:t>
            </w:r>
          </w:p>
        </w:tc>
      </w:tr>
      <w:tr>
        <w:trPr>
          <w:cantSplit/>
        </w:trPr>
        <w:tc>
          <w:tcPr>
            <w:tcW w:type="dxa" w:w="2304"/>
            <w:vAlign w:val="top"/>
          </w:tcPr>
          <w:p>
            <w:pPr>
              <w:spacing w:after="40" w:before="0" w:line="259" w:lineRule="auto"/>
            </w:pPr>
            <w:r>
              <w:rPr>
                <w:rFonts w:ascii="Calibri" w:hAnsi="Calibri"/>
                <w:b/>
                <w:i w:val="0"/>
                <w:color w:val="212121"/>
                <w:sz w:val="19"/>
              </w:rPr>
              <w:t>Sleep</w:t>
            </w:r>
          </w:p>
        </w:tc>
        <w:tc>
          <w:tcPr>
            <w:tcW w:type="dxa" w:w="1800"/>
            <w:vAlign w:val="top"/>
          </w:tcPr>
          <w:p>
            <w:pPr>
              <w:spacing w:after="40" w:before="0" w:line="259" w:lineRule="auto"/>
            </w:pPr>
            <w:r>
              <w:rPr>
                <w:rFonts w:ascii="Calibri" w:hAnsi="Calibri"/>
                <w:b w:val="0"/>
                <w:i w:val="0"/>
                <w:color w:val="212121"/>
                <w:sz w:val="19"/>
              </w:rPr>
              <w:t>Low</w:t>
            </w:r>
          </w:p>
        </w:tc>
        <w:tc>
          <w:tcPr>
            <w:tcW w:type="dxa" w:w="5500"/>
            <w:vAlign w:val="top"/>
          </w:tcPr>
          <w:p>
            <w:pPr>
              <w:spacing w:after="40" w:before="0" w:line="259" w:lineRule="auto"/>
            </w:pPr>
            <w:r>
              <w:rPr>
                <w:rFonts w:ascii="Calibri" w:hAnsi="Calibri"/>
                <w:b w:val="0"/>
                <w:i w:val="0"/>
                <w:color w:val="212121"/>
                <w:sz w:val="19"/>
              </w:rPr>
              <w:t>Sleep does not influence acquisition of infection, but sleep deprivation lowers the seizure threshold and can precipitate seizures in patients with epileptogenic calcified or degenerating cysts.</w:t>
            </w:r>
          </w:p>
        </w:tc>
      </w:tr>
      <w:tr>
        <w:trPr>
          <w:cantSplit/>
        </w:trPr>
        <w:tc>
          <w:tcPr>
            <w:tcW w:type="dxa" w:w="2304"/>
            <w:vAlign w:val="top"/>
          </w:tcPr>
          <w:p>
            <w:pPr>
              <w:spacing w:after="40" w:before="0" w:line="259" w:lineRule="auto"/>
            </w:pPr>
            <w:r>
              <w:rPr>
                <w:rFonts w:ascii="Calibri" w:hAnsi="Calibri"/>
                <w:b/>
                <w:i w:val="0"/>
                <w:color w:val="212121"/>
                <w:sz w:val="19"/>
              </w:rPr>
              <w:t>Smoking</w:t>
            </w:r>
          </w:p>
        </w:tc>
        <w:tc>
          <w:tcPr>
            <w:tcW w:type="dxa" w:w="1800"/>
            <w:vAlign w:val="top"/>
          </w:tcPr>
          <w:p>
            <w:pPr>
              <w:spacing w:after="40" w:before="0" w:line="259" w:lineRule="auto"/>
            </w:pPr>
            <w:r>
              <w:rPr>
                <w:rFonts w:ascii="Calibri" w:hAnsi="Calibri"/>
                <w:b w:val="0"/>
                <w:i w:val="0"/>
                <w:color w:val="212121"/>
                <w:sz w:val="19"/>
              </w:rPr>
              <w:t>Low</w:t>
            </w:r>
          </w:p>
        </w:tc>
        <w:tc>
          <w:tcPr>
            <w:tcW w:type="dxa" w:w="5500"/>
            <w:vAlign w:val="top"/>
          </w:tcPr>
          <w:p>
            <w:pPr>
              <w:spacing w:after="40" w:before="0" w:line="259" w:lineRule="auto"/>
            </w:pPr>
            <w:r>
              <w:rPr>
                <w:rFonts w:ascii="Calibri" w:hAnsi="Calibri"/>
                <w:b w:val="0"/>
                <w:i w:val="0"/>
                <w:color w:val="212121"/>
                <w:sz w:val="19"/>
              </w:rPr>
              <w:t>No established causal role in NCC acquisition; smoking is a general health harm and may compound seizure and vascular risk but is not a driver of the parasitic infection.</w:t>
            </w:r>
          </w:p>
        </w:tc>
      </w:tr>
      <w:tr>
        <w:trPr>
          <w:cantSplit/>
        </w:trPr>
        <w:tc>
          <w:tcPr>
            <w:tcW w:type="dxa" w:w="2304"/>
            <w:vAlign w:val="top"/>
          </w:tcPr>
          <w:p>
            <w:pPr>
              <w:spacing w:after="40" w:before="0" w:line="259" w:lineRule="auto"/>
            </w:pPr>
            <w:r>
              <w:rPr>
                <w:rFonts w:ascii="Calibri" w:hAnsi="Calibri"/>
                <w:b/>
                <w:i w:val="0"/>
                <w:color w:val="212121"/>
                <w:sz w:val="19"/>
              </w:rPr>
              <w:t>Alcohol</w:t>
            </w:r>
          </w:p>
        </w:tc>
        <w:tc>
          <w:tcPr>
            <w:tcW w:type="dxa" w:w="1800"/>
            <w:vAlign w:val="top"/>
          </w:tcPr>
          <w:p>
            <w:pPr>
              <w:spacing w:after="40" w:before="0" w:line="259" w:lineRule="auto"/>
            </w:pPr>
            <w:r>
              <w:rPr>
                <w:rFonts w:ascii="Calibri" w:hAnsi="Calibri"/>
                <w:b w:val="0"/>
                <w:i w:val="0"/>
                <w:color w:val="212121"/>
                <w:sz w:val="19"/>
              </w:rPr>
              <w:t>Low</w:t>
            </w:r>
          </w:p>
        </w:tc>
        <w:tc>
          <w:tcPr>
            <w:tcW w:type="dxa" w:w="5500"/>
            <w:vAlign w:val="top"/>
          </w:tcPr>
          <w:p>
            <w:pPr>
              <w:spacing w:after="40" w:before="0" w:line="259" w:lineRule="auto"/>
            </w:pPr>
            <w:r>
              <w:rPr>
                <w:rFonts w:ascii="Calibri" w:hAnsi="Calibri"/>
                <w:b w:val="0"/>
                <w:i w:val="0"/>
                <w:color w:val="212121"/>
                <w:sz w:val="19"/>
              </w:rPr>
              <w:t>Alcohol does not transmit NCC, but heavy or binge drinking lowers the seizure threshold, worsens antiseizure-medication adherence and can interact with those drugs, increasing breakthrough seizures.</w:t>
            </w:r>
          </w:p>
        </w:tc>
      </w:tr>
      <w:tr>
        <w:trPr>
          <w:cantSplit/>
        </w:trPr>
        <w:tc>
          <w:tcPr>
            <w:tcW w:type="dxa" w:w="2304"/>
            <w:vAlign w:val="top"/>
          </w:tcPr>
          <w:p>
            <w:pPr>
              <w:spacing w:after="40" w:before="0" w:line="259" w:lineRule="auto"/>
            </w:pPr>
            <w:r>
              <w:rPr>
                <w:rFonts w:ascii="Calibri" w:hAnsi="Calibri"/>
                <w:b/>
                <w:i w:val="0"/>
                <w:color w:val="212121"/>
                <w:sz w:val="19"/>
              </w:rPr>
              <w:t>Mental health</w:t>
            </w:r>
          </w:p>
        </w:tc>
        <w:tc>
          <w:tcPr>
            <w:tcW w:type="dxa" w:w="1800"/>
            <w:vAlign w:val="top"/>
          </w:tcPr>
          <w:p>
            <w:pPr>
              <w:spacing w:after="40" w:before="0" w:line="259" w:lineRule="auto"/>
            </w:pPr>
            <w:r>
              <w:rPr>
                <w:rFonts w:ascii="Calibri" w:hAnsi="Calibri"/>
                <w:b w:val="0"/>
                <w:i w:val="0"/>
                <w:color w:val="212121"/>
                <w:sz w:val="19"/>
              </w:rPr>
              <w:t>Medium</w:t>
            </w:r>
          </w:p>
        </w:tc>
        <w:tc>
          <w:tcPr>
            <w:tcW w:type="dxa" w:w="5500"/>
            <w:vAlign w:val="top"/>
          </w:tcPr>
          <w:p>
            <w:pPr>
              <w:spacing w:after="40" w:before="0" w:line="259" w:lineRule="auto"/>
            </w:pPr>
            <w:r>
              <w:rPr>
                <w:rFonts w:ascii="Calibri" w:hAnsi="Calibri"/>
                <w:b w:val="0"/>
                <w:i w:val="0"/>
                <w:color w:val="212121"/>
                <w:sz w:val="19"/>
              </w:rPr>
              <w:t>Depression, anxiety and psychosis are over-represented in NCC and epilepsy, arising from lesion location, chronic seizures, stigma and treatment burden; a bidirectional relationship worsens quality of life and drug adherence.</w:t>
            </w:r>
          </w:p>
        </w:tc>
      </w:tr>
      <w:tr>
        <w:trPr>
          <w:cantSplit/>
        </w:trPr>
        <w:tc>
          <w:tcPr>
            <w:tcW w:type="dxa" w:w="2304"/>
            <w:vAlign w:val="top"/>
          </w:tcPr>
          <w:p>
            <w:pPr>
              <w:spacing w:after="40" w:before="0" w:line="259" w:lineRule="auto"/>
            </w:pPr>
            <w:r>
              <w:rPr>
                <w:rFonts w:ascii="Calibri" w:hAnsi="Calibri"/>
                <w:b/>
                <w:i w:val="0"/>
                <w:color w:val="212121"/>
                <w:sz w:val="19"/>
              </w:rPr>
              <w:t>Water</w:t>
            </w:r>
          </w:p>
        </w:tc>
        <w:tc>
          <w:tcPr>
            <w:tcW w:type="dxa" w:w="1800"/>
            <w:vAlign w:val="top"/>
          </w:tcPr>
          <w:p>
            <w:pPr>
              <w:spacing w:after="40" w:before="0" w:line="259" w:lineRule="auto"/>
            </w:pPr>
            <w:r>
              <w:rPr>
                <w:rFonts w:ascii="Calibri" w:hAnsi="Calibri"/>
                <w:b w:val="0"/>
                <w:i w:val="0"/>
                <w:color w:val="212121"/>
                <w:sz w:val="19"/>
              </w:rPr>
              <w:t>High</w:t>
            </w:r>
          </w:p>
        </w:tc>
        <w:tc>
          <w:tcPr>
            <w:tcW w:type="dxa" w:w="5500"/>
            <w:vAlign w:val="top"/>
          </w:tcPr>
          <w:p>
            <w:pPr>
              <w:spacing w:after="40" w:before="0" w:line="259" w:lineRule="auto"/>
            </w:pPr>
            <w:r>
              <w:rPr>
                <w:rFonts w:ascii="Calibri" w:hAnsi="Calibri"/>
                <w:b w:val="0"/>
                <w:i w:val="0"/>
                <w:color w:val="212121"/>
                <w:sz w:val="19"/>
              </w:rPr>
              <w:t>Untreated water contaminated with human faeces is a major vehicle for T. solium eggs. Safe, treated or boiled drinking water and hand-washing with clean water directly interrupt the faecal-oral transmission of NCC.</w:t>
            </w:r>
          </w:p>
        </w:tc>
      </w:tr>
      <w:tr>
        <w:trPr>
          <w:cantSplit/>
        </w:trPr>
        <w:tc>
          <w:tcPr>
            <w:tcW w:type="dxa" w:w="2304"/>
            <w:vAlign w:val="top"/>
          </w:tcPr>
          <w:p>
            <w:pPr>
              <w:spacing w:after="40" w:before="0" w:line="259" w:lineRule="auto"/>
            </w:pPr>
            <w:r>
              <w:rPr>
                <w:rFonts w:ascii="Calibri" w:hAnsi="Calibri"/>
                <w:b/>
                <w:i w:val="0"/>
                <w:color w:val="212121"/>
                <w:sz w:val="19"/>
              </w:rPr>
              <w:t>Caffeine</w:t>
            </w:r>
          </w:p>
        </w:tc>
        <w:tc>
          <w:tcPr>
            <w:tcW w:type="dxa" w:w="1800"/>
            <w:vAlign w:val="top"/>
          </w:tcPr>
          <w:p>
            <w:pPr>
              <w:spacing w:after="40" w:before="0" w:line="259" w:lineRule="auto"/>
            </w:pPr>
            <w:r>
              <w:rPr>
                <w:rFonts w:ascii="Calibri" w:hAnsi="Calibri"/>
                <w:b w:val="0"/>
                <w:i w:val="0"/>
                <w:color w:val="212121"/>
                <w:sz w:val="19"/>
              </w:rPr>
              <w:t>NA</w:t>
            </w:r>
          </w:p>
        </w:tc>
        <w:tc>
          <w:tcPr>
            <w:tcW w:type="dxa" w:w="5500"/>
            <w:vAlign w:val="top"/>
          </w:tcPr>
          <w:p>
            <w:pPr>
              <w:spacing w:after="40" w:before="0" w:line="259" w:lineRule="auto"/>
            </w:pPr>
            <w:r>
              <w:rPr>
                <w:rFonts w:ascii="Calibri" w:hAnsi="Calibri"/>
                <w:b w:val="0"/>
                <w:i w:val="0"/>
                <w:color w:val="212121"/>
                <w:sz w:val="19"/>
              </w:rPr>
              <w:t>NA — caffeine has no established role in the transmission, prevention or clinical course of neurocysticercosis.</w:t>
            </w:r>
          </w:p>
        </w:tc>
      </w:tr>
      <w:tr>
        <w:trPr>
          <w:cantSplit/>
        </w:trPr>
        <w:tc>
          <w:tcPr>
            <w:tcW w:type="dxa" w:w="2304"/>
            <w:vAlign w:val="top"/>
          </w:tcPr>
          <w:p>
            <w:pPr>
              <w:spacing w:after="40" w:before="0" w:line="259" w:lineRule="auto"/>
            </w:pPr>
            <w:r>
              <w:rPr>
                <w:rFonts w:ascii="Calibri" w:hAnsi="Calibri"/>
                <w:b/>
                <w:i w:val="0"/>
                <w:color w:val="212121"/>
                <w:sz w:val="19"/>
              </w:rPr>
              <w:t>Hygiene</w:t>
            </w:r>
          </w:p>
        </w:tc>
        <w:tc>
          <w:tcPr>
            <w:tcW w:type="dxa" w:w="1800"/>
            <w:vAlign w:val="top"/>
          </w:tcPr>
          <w:p>
            <w:pPr>
              <w:spacing w:after="40" w:before="0" w:line="259" w:lineRule="auto"/>
            </w:pPr>
            <w:r>
              <w:rPr>
                <w:rFonts w:ascii="Calibri" w:hAnsi="Calibri"/>
                <w:b w:val="0"/>
                <w:i w:val="0"/>
                <w:color w:val="212121"/>
                <w:sz w:val="19"/>
              </w:rPr>
              <w:t>High</w:t>
            </w:r>
          </w:p>
        </w:tc>
        <w:tc>
          <w:tcPr>
            <w:tcW w:type="dxa" w:w="5500"/>
            <w:vAlign w:val="top"/>
          </w:tcPr>
          <w:p>
            <w:pPr>
              <w:spacing w:after="40" w:before="0" w:line="259" w:lineRule="auto"/>
            </w:pPr>
            <w:r>
              <w:rPr>
                <w:rFonts w:ascii="Calibri" w:hAnsi="Calibri"/>
                <w:b w:val="0"/>
                <w:i w:val="0"/>
                <w:color w:val="212121"/>
                <w:sz w:val="19"/>
              </w:rPr>
              <w:t>Hygiene is the dominant modifiable factor. Hand-washing after defecation and before eating/cooking, improved sanitation and elimination of open defecation break the faecal-oral cycle; poor hygiene of a tapeworm carrier is the principal source of infection.</w:t>
            </w:r>
          </w:p>
        </w:tc>
      </w:tr>
      <w:tr>
        <w:trPr>
          <w:cantSplit/>
        </w:trPr>
        <w:tc>
          <w:tcPr>
            <w:tcW w:type="dxa" w:w="2304"/>
            <w:vAlign w:val="top"/>
          </w:tcPr>
          <w:p>
            <w:pPr>
              <w:spacing w:after="40" w:before="0" w:line="259" w:lineRule="auto"/>
            </w:pPr>
            <w:r>
              <w:rPr>
                <w:rFonts w:ascii="Calibri" w:hAnsi="Calibri"/>
                <w:b/>
                <w:i w:val="0"/>
                <w:color w:val="212121"/>
                <w:sz w:val="19"/>
              </w:rPr>
              <w:t>Provoking factors</w:t>
            </w:r>
          </w:p>
        </w:tc>
        <w:tc>
          <w:tcPr>
            <w:tcW w:type="dxa" w:w="1800"/>
            <w:vAlign w:val="top"/>
          </w:tcPr>
          <w:p>
            <w:pPr>
              <w:spacing w:after="40" w:before="0" w:line="259" w:lineRule="auto"/>
            </w:pPr>
            <w:r>
              <w:rPr>
                <w:rFonts w:ascii="Calibri" w:hAnsi="Calibri"/>
                <w:b w:val="0"/>
                <w:i w:val="0"/>
                <w:color w:val="212121"/>
                <w:sz w:val="19"/>
              </w:rPr>
              <w:t>Medium</w:t>
            </w:r>
          </w:p>
        </w:tc>
        <w:tc>
          <w:tcPr>
            <w:tcW w:type="dxa" w:w="5500"/>
            <w:vAlign w:val="top"/>
          </w:tcPr>
          <w:p>
            <w:pPr>
              <w:spacing w:after="40" w:before="0" w:line="259" w:lineRule="auto"/>
            </w:pPr>
            <w:r>
              <w:rPr>
                <w:rFonts w:ascii="Calibri" w:hAnsi="Calibri"/>
                <w:b w:val="0"/>
                <w:i w:val="0"/>
                <w:color w:val="212121"/>
                <w:sz w:val="19"/>
              </w:rPr>
              <w:t>Key provoking exposures are cohabiting with or being fed by a T. solium tapeworm carrier and consuming faecally contaminated food/water; for seizures, cyst degeneration, missed antiseizure medication, fever, sleep loss and alcohol act as triggers.</w:t>
            </w:r>
          </w:p>
        </w:tc>
      </w:tr>
      <w:tr>
        <w:trPr>
          <w:cantSplit/>
        </w:trPr>
        <w:tc>
          <w:tcPr>
            <w:tcW w:type="dxa" w:w="2304"/>
            <w:vAlign w:val="top"/>
          </w:tcPr>
          <w:p>
            <w:pPr>
              <w:spacing w:after="40" w:before="0" w:line="259" w:lineRule="auto"/>
            </w:pPr>
            <w:r>
              <w:rPr>
                <w:rFonts w:ascii="Calibri" w:hAnsi="Calibri"/>
                <w:b/>
                <w:i w:val="0"/>
                <w:color w:val="212121"/>
                <w:sz w:val="19"/>
              </w:rPr>
              <w:t>Posture</w:t>
            </w:r>
          </w:p>
        </w:tc>
        <w:tc>
          <w:tcPr>
            <w:tcW w:type="dxa" w:w="1800"/>
            <w:vAlign w:val="top"/>
          </w:tcPr>
          <w:p>
            <w:pPr>
              <w:spacing w:after="40" w:before="0" w:line="259" w:lineRule="auto"/>
            </w:pPr>
            <w:r>
              <w:rPr>
                <w:rFonts w:ascii="Calibri" w:hAnsi="Calibri"/>
                <w:b w:val="0"/>
                <w:i w:val="0"/>
                <w:color w:val="212121"/>
                <w:sz w:val="19"/>
              </w:rPr>
              <w:t>NA</w:t>
            </w:r>
          </w:p>
        </w:tc>
        <w:tc>
          <w:tcPr>
            <w:tcW w:type="dxa" w:w="5500"/>
            <w:vAlign w:val="top"/>
          </w:tcPr>
          <w:p>
            <w:pPr>
              <w:spacing w:after="40" w:before="0" w:line="259" w:lineRule="auto"/>
            </w:pPr>
            <w:r>
              <w:rPr>
                <w:rFonts w:ascii="Calibri" w:hAnsi="Calibri"/>
                <w:b w:val="0"/>
                <w:i w:val="0"/>
                <w:color w:val="212121"/>
                <w:sz w:val="19"/>
              </w:rPr>
              <w:t>NA — posture does not influence neurocysticercosis (rare positional headache can occur with a mobile intraventricular cyst, but this is not a general factor).</w:t>
            </w:r>
          </w:p>
        </w:tc>
      </w:tr>
    </w:tbl>
    <w:p>
      <w:pPr>
        <w:spacing w:before="160" w:after="120"/>
      </w:pPr>
      <w:r>
        <w:rPr>
          <w:rFonts w:ascii="Calibri" w:hAnsi="Calibri"/>
          <w:b/>
          <w:i w:val="0"/>
          <w:color w:val="212121"/>
          <w:sz w:val="22"/>
        </w:rPr>
        <w:t>LHP Metric Triggers &amp; Specifications</w:t>
      </w:r>
    </w:p>
    <w:tbl>
      <w:tblPr>
        <w:tblW w:type="dxa" w:w="9604"/>
        <w:jc w:val="center"/>
        <w:tblLook w:firstColumn="1" w:firstRow="1" w:lastColumn="0" w:lastRow="0" w:noHBand="0" w:noVBand="1" w:val="04A0"/>
        <w:tblBorders>
          <w:top w:val="single" w:sz="4" w:space="0" w:color="BFBFBF"/>
          <w:left w:val="single" w:sz="4" w:space="0" w:color="BFBFBF"/>
          <w:bottom w:val="single" w:sz="4" w:space="0" w:color="BFBFBF"/>
          <w:right w:val="single" w:sz="4" w:space="0" w:color="BFBFBF"/>
          <w:insideH w:val="single" w:sz="4" w:space="0" w:color="BFBFBF"/>
          <w:insideV w:val="single" w:sz="4" w:space="0" w:color="BFBFBF"/>
        </w:tblBorders>
      </w:tblPr>
      <w:tblGrid>
        <w:gridCol w:w="1601"/>
        <w:gridCol w:w="1601"/>
        <w:gridCol w:w="1601"/>
        <w:gridCol w:w="1601"/>
        <w:gridCol w:w="1601"/>
        <w:gridCol w:w="1601"/>
      </w:tblGrid>
      <w:tr>
        <w:trPr>
          <w:cantSplit/>
        </w:trPr>
        <w:tc>
          <w:tcPr>
            <w:tcW w:type="dxa" w:w="1512"/>
            <w:shd w:val="clear" w:color="auto" w:fill="F2F2F2"/>
            <w:vAlign w:val="center"/>
          </w:tcPr>
          <w:p>
            <w:pPr>
              <w:spacing w:after="40" w:before="0" w:line="259" w:lineRule="auto"/>
            </w:pPr>
            <w:r>
              <w:rPr>
                <w:rFonts w:ascii="Calibri" w:hAnsi="Calibri"/>
                <w:b/>
                <w:i w:val="0"/>
                <w:color w:val="212121"/>
                <w:sz w:val="19"/>
              </w:rPr>
              <w:t>LHP</w:t>
            </w:r>
          </w:p>
        </w:tc>
        <w:tc>
          <w:tcPr>
            <w:tcW w:type="dxa" w:w="1944"/>
            <w:shd w:val="clear" w:color="auto" w:fill="F2F2F2"/>
            <w:vAlign w:val="center"/>
          </w:tcPr>
          <w:p>
            <w:pPr>
              <w:spacing w:after="40" w:before="0" w:line="259" w:lineRule="auto"/>
            </w:pPr>
            <w:r>
              <w:rPr>
                <w:rFonts w:ascii="Calibri" w:hAnsi="Calibri"/>
                <w:b/>
                <w:i w:val="0"/>
                <w:color w:val="212121"/>
                <w:sz w:val="19"/>
              </w:rPr>
              <w:t>Metric</w:t>
            </w:r>
          </w:p>
        </w:tc>
        <w:tc>
          <w:tcPr>
            <w:tcW w:type="dxa" w:w="1655"/>
            <w:shd w:val="clear" w:color="auto" w:fill="F2F2F2"/>
            <w:vAlign w:val="center"/>
          </w:tcPr>
          <w:p>
            <w:pPr>
              <w:spacing w:after="40" w:before="0" w:line="259" w:lineRule="auto"/>
            </w:pPr>
            <w:r>
              <w:rPr>
                <w:rFonts w:ascii="Calibri" w:hAnsi="Calibri"/>
                <w:b/>
                <w:i w:val="0"/>
                <w:color w:val="212121"/>
                <w:sz w:val="19"/>
              </w:rPr>
              <w:t>Profile</w:t>
            </w:r>
          </w:p>
        </w:tc>
        <w:tc>
          <w:tcPr>
            <w:tcW w:type="dxa" w:w="1512"/>
            <w:shd w:val="clear" w:color="auto" w:fill="F2F2F2"/>
            <w:vAlign w:val="center"/>
          </w:tcPr>
          <w:p>
            <w:pPr>
              <w:spacing w:after="40" w:before="0" w:line="259" w:lineRule="auto"/>
            </w:pPr>
            <w:r>
              <w:rPr>
                <w:rFonts w:ascii="Calibri" w:hAnsi="Calibri"/>
                <w:b/>
                <w:i w:val="0"/>
                <w:color w:val="212121"/>
                <w:sz w:val="19"/>
              </w:rPr>
              <w:t>Ideal Values</w:t>
            </w:r>
          </w:p>
        </w:tc>
        <w:tc>
          <w:tcPr>
            <w:tcW w:type="dxa" w:w="1512"/>
            <w:shd w:val="clear" w:color="auto" w:fill="F2F2F2"/>
            <w:vAlign w:val="center"/>
          </w:tcPr>
          <w:p>
            <w:pPr>
              <w:spacing w:after="40" w:before="0" w:line="259" w:lineRule="auto"/>
            </w:pPr>
            <w:r>
              <w:rPr>
                <w:rFonts w:ascii="Calibri" w:hAnsi="Calibri"/>
                <w:b/>
                <w:i w:val="0"/>
                <w:color w:val="212121"/>
                <w:sz w:val="19"/>
              </w:rPr>
              <w:t>Trigger Values</w:t>
            </w:r>
          </w:p>
        </w:tc>
        <w:tc>
          <w:tcPr>
            <w:tcW w:type="dxa" w:w="1468"/>
            <w:shd w:val="clear" w:color="auto" w:fill="F2F2F2"/>
            <w:vAlign w:val="center"/>
          </w:tcPr>
          <w:p>
            <w:pPr>
              <w:spacing w:after="40" w:before="0" w:line="259" w:lineRule="auto"/>
            </w:pPr>
            <w:r>
              <w:rPr>
                <w:rFonts w:ascii="Calibri" w:hAnsi="Calibri"/>
                <w:b/>
                <w:i w:val="0"/>
                <w:color w:val="212121"/>
                <w:sz w:val="19"/>
              </w:rPr>
              <w:t>Note</w:t>
            </w:r>
          </w:p>
        </w:tc>
      </w:tr>
      <w:tr>
        <w:trPr>
          <w:cantSplit/>
        </w:trPr>
        <w:tc>
          <w:tcPr>
            <w:tcW w:type="dxa" w:w="1512"/>
            <w:vMerge w:val="restart"/>
            <w:vAlign w:val="center"/>
          </w:tcPr>
          <w:p>
            <w:pPr>
              <w:spacing w:after="40"/>
            </w:pPr>
            <w:r>
              <w:rPr>
                <w:rFonts w:ascii="Calibri" w:hAnsi="Calibri"/>
                <w:b w:val="0"/>
                <w:i w:val="0"/>
                <w:color w:val="212121"/>
                <w:sz w:val="19"/>
              </w:rPr>
              <w:t>Hygiene</w:t>
            </w:r>
          </w:p>
        </w:tc>
        <w:tc>
          <w:tcPr>
            <w:tcW w:type="dxa" w:w="1944"/>
            <w:vAlign w:val="top"/>
          </w:tcPr>
          <w:p>
            <w:pPr>
              <w:spacing w:after="40" w:before="0" w:line="259" w:lineRule="auto"/>
            </w:pPr>
            <w:r>
              <w:rPr>
                <w:rFonts w:ascii="Calibri" w:hAnsi="Calibri"/>
                <w:b w:val="0"/>
                <w:i w:val="0"/>
                <w:color w:val="212121"/>
                <w:sz w:val="19"/>
              </w:rPr>
              <w:t>Hand-washing with soap (after toilet, before eating/cooking)</w:t>
            </w:r>
          </w:p>
        </w:tc>
        <w:tc>
          <w:tcPr>
            <w:tcW w:type="dxa" w:w="1655"/>
            <w:vAlign w:val="top"/>
          </w:tcPr>
          <w:p>
            <w:pPr>
              <w:spacing w:after="40" w:before="0" w:line="259" w:lineRule="auto"/>
            </w:pPr>
            <w:r>
              <w:rPr>
                <w:rFonts w:ascii="Calibri" w:hAnsi="Calibri"/>
                <w:b w:val="0"/>
                <w:i w:val="0"/>
                <w:color w:val="212121"/>
                <w:sz w:val="19"/>
              </w:rPr>
              <w:t>All household members, food handlers</w:t>
            </w:r>
          </w:p>
        </w:tc>
        <w:tc>
          <w:tcPr>
            <w:tcW w:type="dxa" w:w="1512"/>
            <w:vAlign w:val="top"/>
          </w:tcPr>
          <w:p>
            <w:pPr>
              <w:spacing w:after="40" w:before="0" w:line="259" w:lineRule="auto"/>
            </w:pPr>
            <w:r>
              <w:rPr>
                <w:rFonts w:ascii="Calibri" w:hAnsi="Calibri"/>
                <w:b w:val="0"/>
                <w:i w:val="0"/>
                <w:color w:val="212121"/>
                <w:sz w:val="19"/>
              </w:rPr>
              <w:t>Every time (soap + safe water)</w:t>
            </w:r>
          </w:p>
        </w:tc>
        <w:tc>
          <w:tcPr>
            <w:tcW w:type="dxa" w:w="1512"/>
            <w:vAlign w:val="top"/>
          </w:tcPr>
          <w:p>
            <w:pPr>
              <w:spacing w:after="40" w:before="0" w:line="259" w:lineRule="auto"/>
            </w:pPr>
            <w:r>
              <w:rPr>
                <w:rFonts w:ascii="Calibri" w:hAnsi="Calibri"/>
                <w:b w:val="0"/>
                <w:i w:val="0"/>
                <w:color w:val="212121"/>
                <w:sz w:val="19"/>
              </w:rPr>
              <w:t>Inconsistent or absent hand-washing</w:t>
            </w:r>
          </w:p>
        </w:tc>
        <w:tc>
          <w:tcPr>
            <w:tcW w:type="dxa" w:w="1468"/>
            <w:vAlign w:val="top"/>
          </w:tcPr>
          <w:p>
            <w:pPr>
              <w:spacing w:after="60" w:line="259" w:lineRule="auto"/>
            </w:pPr>
            <w:r>
              <w:rPr>
                <w:rFonts w:ascii="Calibri" w:hAnsi="Calibri"/>
                <w:b w:val="0"/>
                <w:i w:val="0"/>
                <w:color w:val="212121"/>
                <w:sz w:val="19"/>
              </w:rPr>
              <w:t>Primary interruption of faecal-oral egg transmission</w:t>
            </w:r>
          </w:p>
          <w:p>
            <w:pPr>
              <w:spacing w:after="40" w:line="252" w:lineRule="auto"/>
            </w:pPr>
            <w:hyperlink r:id="rId13">
              <w:r>
                <w:rPr>
                  <w:rFonts w:ascii="Calibri" w:hAnsi="Calibri" w:cs="Calibri"/>
                  <w:sz w:val="18"/>
                  <w:color w:val="1155CC"/>
                  <w:u w:val="single"/>
                </w:rPr>
                <w:t xml:space="preserve">https://www.who.int/news-room/questions-and-answers/item/taeniasis-and-cysticercosis</w:t>
              </w:r>
            </w:hyperlink>
          </w:p>
        </w:tc>
      </w:tr>
      <w:tr>
        <w:trPr>
          <w:cantSplit/>
        </w:trPr>
        <w:tc>
          <w:tcPr>
            <w:tcW w:type="dxa" w:w="1512"/>
            <w:vMerge/>
            <w:vAlign w:val="top"/>
          </w:tcPr>
          <w:p>
            <w:pPr>
              <w:spacing w:after="40" w:before="0" w:line="259" w:lineRule="auto"/>
            </w:pPr>
          </w:p>
        </w:tc>
        <w:tc>
          <w:tcPr>
            <w:tcW w:type="dxa" w:w="1944"/>
            <w:vAlign w:val="top"/>
          </w:tcPr>
          <w:p>
            <w:pPr>
              <w:spacing w:after="40" w:before="0" w:line="259" w:lineRule="auto"/>
            </w:pPr>
            <w:r>
              <w:rPr>
                <w:rFonts w:ascii="Calibri" w:hAnsi="Calibri"/>
                <w:b w:val="0"/>
                <w:i w:val="0"/>
                <w:color w:val="212121"/>
                <w:sz w:val="19"/>
              </w:rPr>
              <w:t>Access to &amp; use of an improved toilet (no open defecation)</w:t>
            </w:r>
          </w:p>
        </w:tc>
        <w:tc>
          <w:tcPr>
            <w:tcW w:type="dxa" w:w="1655"/>
            <w:vAlign w:val="top"/>
          </w:tcPr>
          <w:p>
            <w:pPr>
              <w:spacing w:after="40" w:before="0" w:line="259" w:lineRule="auto"/>
            </w:pPr>
            <w:r>
              <w:rPr>
                <w:rFonts w:ascii="Calibri" w:hAnsi="Calibri"/>
                <w:b w:val="0"/>
                <w:i w:val="0"/>
                <w:color w:val="212121"/>
                <w:sz w:val="19"/>
              </w:rPr>
              <w:t>Rural &amp; peri-urban families</w:t>
            </w:r>
          </w:p>
        </w:tc>
        <w:tc>
          <w:tcPr>
            <w:tcW w:type="dxa" w:w="1512"/>
            <w:vAlign w:val="top"/>
          </w:tcPr>
          <w:p>
            <w:pPr>
              <w:spacing w:after="40" w:before="0" w:line="259" w:lineRule="auto"/>
            </w:pPr>
            <w:r>
              <w:rPr>
                <w:rFonts w:ascii="Calibri" w:hAnsi="Calibri"/>
                <w:b w:val="0"/>
                <w:i w:val="0"/>
                <w:color w:val="212121"/>
                <w:sz w:val="19"/>
              </w:rPr>
              <w:t>Improved latrine used by all</w:t>
            </w:r>
          </w:p>
        </w:tc>
        <w:tc>
          <w:tcPr>
            <w:tcW w:type="dxa" w:w="1512"/>
            <w:vAlign w:val="top"/>
          </w:tcPr>
          <w:p>
            <w:pPr>
              <w:spacing w:after="40" w:before="0" w:line="259" w:lineRule="auto"/>
            </w:pPr>
            <w:r>
              <w:rPr>
                <w:rFonts w:ascii="Calibri" w:hAnsi="Calibri"/>
                <w:b w:val="0"/>
                <w:i w:val="0"/>
                <w:color w:val="212121"/>
                <w:sz w:val="19"/>
              </w:rPr>
              <w:t>Open-field defecation</w:t>
            </w:r>
          </w:p>
        </w:tc>
        <w:tc>
          <w:tcPr>
            <w:tcW w:type="dxa" w:w="1468"/>
            <w:vAlign w:val="top"/>
          </w:tcPr>
          <w:p>
            <w:pPr>
              <w:spacing w:after="60" w:line="259" w:lineRule="auto"/>
            </w:pPr>
            <w:r>
              <w:rPr>
                <w:rFonts w:ascii="Calibri" w:hAnsi="Calibri"/>
                <w:b w:val="0"/>
                <w:i w:val="0"/>
                <w:color w:val="212121"/>
                <w:sz w:val="19"/>
              </w:rPr>
              <w:t>Open defecation contaminates soil, water and crops with eggs</w:t>
            </w:r>
          </w:p>
          <w:p>
            <w:pPr>
              <w:spacing w:after="40" w:line="252" w:lineRule="auto"/>
            </w:pPr>
            <w:hyperlink r:id="rId10">
              <w:r>
                <w:rPr>
                  <w:rFonts w:ascii="Calibri" w:hAnsi="Calibri" w:cs="Calibri"/>
                  <w:sz w:val="18"/>
                  <w:color w:val="1155CC"/>
                  <w:u w:val="single"/>
                </w:rPr>
                <w:t xml:space="preserve">https://www.nature.com/articles/s41598-021-86823-w</w:t>
              </w:r>
            </w:hyperlink>
          </w:p>
        </w:tc>
      </w:tr>
      <w:tr>
        <w:trPr>
          <w:cantSplit/>
        </w:trPr>
        <w:tc>
          <w:tcPr>
            <w:tcW w:type="dxa" w:w="1512"/>
            <w:vAlign w:val="center"/>
          </w:tcPr>
          <w:p>
            <w:pPr>
              <w:spacing w:after="40"/>
            </w:pPr>
            <w:r>
              <w:rPr>
                <w:rFonts w:ascii="Calibri" w:hAnsi="Calibri"/>
                <w:b w:val="0"/>
                <w:i w:val="0"/>
                <w:color w:val="212121"/>
                <w:sz w:val="19"/>
              </w:rPr>
              <w:t>Water</w:t>
            </w:r>
          </w:p>
        </w:tc>
        <w:tc>
          <w:tcPr>
            <w:tcW w:type="dxa" w:w="1944"/>
            <w:vAlign w:val="top"/>
          </w:tcPr>
          <w:p>
            <w:pPr>
              <w:spacing w:after="40" w:before="0" w:line="259" w:lineRule="auto"/>
            </w:pPr>
            <w:r>
              <w:rPr>
                <w:rFonts w:ascii="Calibri" w:hAnsi="Calibri"/>
                <w:b w:val="0"/>
                <w:i w:val="0"/>
                <w:color w:val="212121"/>
                <w:sz w:val="19"/>
              </w:rPr>
              <w:t>Safe drinking water (boiled / filtered / treated)</w:t>
            </w:r>
          </w:p>
        </w:tc>
        <w:tc>
          <w:tcPr>
            <w:tcW w:type="dxa" w:w="1655"/>
            <w:vAlign w:val="top"/>
          </w:tcPr>
          <w:p>
            <w:pPr>
              <w:spacing w:after="40" w:before="0" w:line="259" w:lineRule="auto"/>
            </w:pPr>
            <w:r>
              <w:rPr>
                <w:rFonts w:ascii="Calibri" w:hAnsi="Calibri"/>
                <w:b w:val="0"/>
                <w:i w:val="0"/>
                <w:color w:val="212121"/>
                <w:sz w:val="19"/>
              </w:rPr>
              <w:t>Endemic-area residents</w:t>
            </w:r>
          </w:p>
        </w:tc>
        <w:tc>
          <w:tcPr>
            <w:tcW w:type="dxa" w:w="1512"/>
            <w:vAlign w:val="top"/>
          </w:tcPr>
          <w:p>
            <w:pPr>
              <w:spacing w:after="40" w:before="0" w:line="259" w:lineRule="auto"/>
            </w:pPr>
            <w:r>
              <w:rPr>
                <w:rFonts w:ascii="Calibri" w:hAnsi="Calibri"/>
                <w:b w:val="0"/>
                <w:i w:val="0"/>
                <w:color w:val="212121"/>
                <w:sz w:val="19"/>
              </w:rPr>
              <w:t>Treated/boiled water for drinking &amp; food prep</w:t>
            </w:r>
          </w:p>
        </w:tc>
        <w:tc>
          <w:tcPr>
            <w:tcW w:type="dxa" w:w="1512"/>
            <w:vAlign w:val="top"/>
          </w:tcPr>
          <w:p>
            <w:pPr>
              <w:spacing w:after="40" w:before="0" w:line="259" w:lineRule="auto"/>
            </w:pPr>
            <w:r>
              <w:rPr>
                <w:rFonts w:ascii="Calibri" w:hAnsi="Calibri"/>
                <w:b w:val="0"/>
                <w:i w:val="0"/>
                <w:color w:val="212121"/>
                <w:sz w:val="19"/>
              </w:rPr>
              <w:t>Untreated surface/well water</w:t>
            </w:r>
          </w:p>
        </w:tc>
        <w:tc>
          <w:tcPr>
            <w:tcW w:type="dxa" w:w="1468"/>
            <w:vAlign w:val="top"/>
          </w:tcPr>
          <w:p>
            <w:pPr>
              <w:spacing w:after="60" w:line="259" w:lineRule="auto"/>
            </w:pPr>
            <w:r>
              <w:rPr>
                <w:rFonts w:ascii="Calibri" w:hAnsi="Calibri"/>
                <w:b w:val="0"/>
                <w:i w:val="0"/>
                <w:color w:val="212121"/>
                <w:sz w:val="19"/>
              </w:rPr>
              <w:t>Contaminated water is a principal vehicle for T. solium eggs</w:t>
            </w:r>
          </w:p>
          <w:p>
            <w:pPr>
              <w:spacing w:after="40" w:line="252" w:lineRule="auto"/>
            </w:pPr>
            <w:hyperlink r:id="rId13">
              <w:r>
                <w:rPr>
                  <w:rFonts w:ascii="Calibri" w:hAnsi="Calibri" w:cs="Calibri"/>
                  <w:sz w:val="18"/>
                  <w:color w:val="1155CC"/>
                  <w:u w:val="single"/>
                </w:rPr>
                <w:t xml:space="preserve">https://www.who.int/news-room/questions-and-answers/item/taeniasis-and-cysticercosis</w:t>
              </w:r>
            </w:hyperlink>
          </w:p>
        </w:tc>
      </w:tr>
      <w:tr>
        <w:trPr>
          <w:cantSplit/>
        </w:trPr>
        <w:tc>
          <w:tcPr>
            <w:tcW w:type="dxa" w:w="1512"/>
            <w:vMerge w:val="restart"/>
            <w:vAlign w:val="center"/>
          </w:tcPr>
          <w:p>
            <w:pPr>
              <w:spacing w:after="40"/>
            </w:pPr>
            <w:r>
              <w:rPr>
                <w:rFonts w:ascii="Calibri" w:hAnsi="Calibri"/>
                <w:b w:val="0"/>
                <w:i w:val="0"/>
                <w:color w:val="212121"/>
                <w:sz w:val="19"/>
              </w:rPr>
              <w:t>Food</w:t>
            </w:r>
          </w:p>
        </w:tc>
        <w:tc>
          <w:tcPr>
            <w:tcW w:type="dxa" w:w="1944"/>
            <w:vAlign w:val="top"/>
          </w:tcPr>
          <w:p>
            <w:pPr>
              <w:spacing w:after="40" w:before="0" w:line="259" w:lineRule="auto"/>
            </w:pPr>
            <w:r>
              <w:rPr>
                <w:rFonts w:ascii="Calibri" w:hAnsi="Calibri"/>
                <w:b w:val="0"/>
                <w:i w:val="0"/>
                <w:color w:val="212121"/>
                <w:sz w:val="19"/>
              </w:rPr>
              <w:t>Pork cooking adequacy (core temperature)</w:t>
            </w:r>
          </w:p>
        </w:tc>
        <w:tc>
          <w:tcPr>
            <w:tcW w:type="dxa" w:w="1655"/>
            <w:vAlign w:val="top"/>
          </w:tcPr>
          <w:p>
            <w:pPr>
              <w:spacing w:after="40" w:before="0" w:line="259" w:lineRule="auto"/>
            </w:pPr>
            <w:r>
              <w:rPr>
                <w:rFonts w:ascii="Calibri" w:hAnsi="Calibri"/>
                <w:b w:val="0"/>
                <w:i w:val="0"/>
                <w:color w:val="212121"/>
                <w:sz w:val="19"/>
              </w:rPr>
              <w:t>Pork consumers</w:t>
            </w:r>
          </w:p>
        </w:tc>
        <w:tc>
          <w:tcPr>
            <w:tcW w:type="dxa" w:w="1512"/>
            <w:vAlign w:val="top"/>
          </w:tcPr>
          <w:p>
            <w:pPr>
              <w:spacing w:after="40" w:before="0" w:line="259" w:lineRule="auto"/>
            </w:pPr>
            <w:r>
              <w:rPr>
                <w:rFonts w:ascii="Calibri" w:hAnsi="Calibri"/>
                <w:b w:val="0"/>
                <w:i w:val="0"/>
                <w:color w:val="212121"/>
                <w:sz w:val="19"/>
              </w:rPr>
              <w:t>Thoroughly cooked (&gt;80°C throughout)</w:t>
            </w:r>
          </w:p>
        </w:tc>
        <w:tc>
          <w:tcPr>
            <w:tcW w:type="dxa" w:w="1512"/>
            <w:vAlign w:val="top"/>
          </w:tcPr>
          <w:p>
            <w:pPr>
              <w:spacing w:after="40" w:before="0" w:line="259" w:lineRule="auto"/>
            </w:pPr>
            <w:r>
              <w:rPr>
                <w:rFonts w:ascii="Calibri" w:hAnsi="Calibri"/>
                <w:b w:val="0"/>
                <w:i w:val="0"/>
                <w:color w:val="212121"/>
                <w:sz w:val="19"/>
              </w:rPr>
              <w:t>Raw/undercooked 'measly' pork</w:t>
            </w:r>
          </w:p>
        </w:tc>
        <w:tc>
          <w:tcPr>
            <w:tcW w:type="dxa" w:w="1468"/>
            <w:vAlign w:val="top"/>
          </w:tcPr>
          <w:p>
            <w:pPr>
              <w:spacing w:after="60" w:line="259" w:lineRule="auto"/>
            </w:pPr>
            <w:r>
              <w:rPr>
                <w:rFonts w:ascii="Calibri" w:hAnsi="Calibri"/>
                <w:b w:val="0"/>
                <w:i w:val="0"/>
                <w:color w:val="212121"/>
                <w:sz w:val="19"/>
              </w:rPr>
              <w:t>Kills cysticerci and prevents the tapeworm-carrier state</w:t>
            </w:r>
          </w:p>
          <w:p>
            <w:pPr>
              <w:spacing w:after="40" w:line="252" w:lineRule="auto"/>
            </w:pPr>
            <w:hyperlink r:id="rId13">
              <w:r>
                <w:rPr>
                  <w:rFonts w:ascii="Calibri" w:hAnsi="Calibri" w:cs="Calibri"/>
                  <w:sz w:val="18"/>
                  <w:color w:val="1155CC"/>
                  <w:u w:val="single"/>
                </w:rPr>
                <w:t xml:space="preserve">https://www.who.int/news-room/questions-and-answers/item/taeniasis-and-cysticercosis</w:t>
              </w:r>
            </w:hyperlink>
          </w:p>
        </w:tc>
      </w:tr>
      <w:tr>
        <w:trPr>
          <w:cantSplit/>
        </w:trPr>
        <w:tc>
          <w:tcPr>
            <w:tcW w:type="dxa" w:w="1512"/>
            <w:vMerge/>
            <w:vAlign w:val="top"/>
          </w:tcPr>
          <w:p>
            <w:pPr>
              <w:spacing w:after="40" w:before="0" w:line="259" w:lineRule="auto"/>
            </w:pPr>
          </w:p>
        </w:tc>
        <w:tc>
          <w:tcPr>
            <w:tcW w:type="dxa" w:w="1944"/>
            <w:vAlign w:val="top"/>
          </w:tcPr>
          <w:p>
            <w:pPr>
              <w:spacing w:after="40" w:before="0" w:line="259" w:lineRule="auto"/>
            </w:pPr>
            <w:r>
              <w:rPr>
                <w:rFonts w:ascii="Calibri" w:hAnsi="Calibri"/>
                <w:b w:val="0"/>
                <w:i w:val="0"/>
                <w:color w:val="212121"/>
                <w:sz w:val="19"/>
              </w:rPr>
              <w:t>Washing of raw vegetables/salads with safe water</w:t>
            </w:r>
          </w:p>
        </w:tc>
        <w:tc>
          <w:tcPr>
            <w:tcW w:type="dxa" w:w="1655"/>
            <w:vAlign w:val="top"/>
          </w:tcPr>
          <w:p>
            <w:pPr>
              <w:spacing w:after="40" w:before="0" w:line="259" w:lineRule="auto"/>
            </w:pPr>
            <w:r>
              <w:rPr>
                <w:rFonts w:ascii="Calibri" w:hAnsi="Calibri"/>
                <w:b w:val="0"/>
                <w:i w:val="0"/>
                <w:color w:val="212121"/>
                <w:sz w:val="19"/>
              </w:rPr>
              <w:t>All, especially vegetarians</w:t>
            </w:r>
          </w:p>
        </w:tc>
        <w:tc>
          <w:tcPr>
            <w:tcW w:type="dxa" w:w="1512"/>
            <w:vAlign w:val="top"/>
          </w:tcPr>
          <w:p>
            <w:pPr>
              <w:spacing w:after="40" w:before="0" w:line="259" w:lineRule="auto"/>
            </w:pPr>
            <w:r>
              <w:rPr>
                <w:rFonts w:ascii="Calibri" w:hAnsi="Calibri"/>
                <w:b w:val="0"/>
                <w:i w:val="0"/>
                <w:color w:val="212121"/>
                <w:sz w:val="19"/>
              </w:rPr>
              <w:t>Always washed in clean water / peeled</w:t>
            </w:r>
          </w:p>
        </w:tc>
        <w:tc>
          <w:tcPr>
            <w:tcW w:type="dxa" w:w="1512"/>
            <w:vAlign w:val="top"/>
          </w:tcPr>
          <w:p>
            <w:pPr>
              <w:spacing w:after="40" w:before="0" w:line="259" w:lineRule="auto"/>
            </w:pPr>
            <w:r>
              <w:rPr>
                <w:rFonts w:ascii="Calibri" w:hAnsi="Calibri"/>
                <w:b w:val="0"/>
                <w:i w:val="0"/>
                <w:color w:val="212121"/>
                <w:sz w:val="19"/>
              </w:rPr>
              <w:t>Unwashed raw produce</w:t>
            </w:r>
          </w:p>
        </w:tc>
        <w:tc>
          <w:tcPr>
            <w:tcW w:type="dxa" w:w="1468"/>
            <w:vAlign w:val="top"/>
          </w:tcPr>
          <w:p>
            <w:pPr>
              <w:spacing w:after="60" w:line="259" w:lineRule="auto"/>
            </w:pPr>
            <w:r>
              <w:rPr>
                <w:rFonts w:ascii="Calibri" w:hAnsi="Calibri"/>
                <w:b w:val="0"/>
                <w:i w:val="0"/>
                <w:color w:val="212121"/>
                <w:sz w:val="19"/>
              </w:rPr>
              <w:t>Removes surface eggs; explains NCC in strict vegetarians</w:t>
            </w:r>
          </w:p>
          <w:p>
            <w:pPr>
              <w:spacing w:after="40" w:line="252" w:lineRule="auto"/>
            </w:pPr>
            <w:hyperlink r:id="rId12">
              <w:r>
                <w:rPr>
                  <w:rFonts w:ascii="Calibri" w:hAnsi="Calibri" w:cs="Calibri"/>
                  <w:sz w:val="18"/>
                  <w:color w:val="1155CC"/>
                  <w:u w:val="single"/>
                </w:rPr>
                <w:t xml:space="preserve">https://www.ias.ac.in/article/fulltext/jbsc/033/04/0571-0582</w:t>
              </w:r>
            </w:hyperlink>
          </w:p>
        </w:tc>
      </w:tr>
      <w:tr>
        <w:trPr>
          <w:cantSplit/>
        </w:trPr>
        <w:tc>
          <w:tcPr>
            <w:tcW w:type="dxa" w:w="1512"/>
            <w:vAlign w:val="center"/>
          </w:tcPr>
          <w:p>
            <w:pPr>
              <w:spacing w:after="40"/>
            </w:pPr>
            <w:r>
              <w:rPr>
                <w:rFonts w:ascii="Calibri" w:hAnsi="Calibri"/>
                <w:b w:val="0"/>
                <w:i w:val="0"/>
                <w:color w:val="212121"/>
                <w:sz w:val="19"/>
              </w:rPr>
              <w:t>Provoking factors</w:t>
            </w:r>
          </w:p>
        </w:tc>
        <w:tc>
          <w:tcPr>
            <w:tcW w:type="dxa" w:w="1944"/>
            <w:vAlign w:val="top"/>
          </w:tcPr>
          <w:p>
            <w:pPr>
              <w:spacing w:after="40" w:before="0" w:line="259" w:lineRule="auto"/>
            </w:pPr>
            <w:r>
              <w:rPr>
                <w:rFonts w:ascii="Calibri" w:hAnsi="Calibri"/>
                <w:b w:val="0"/>
                <w:i w:val="0"/>
                <w:color w:val="212121"/>
                <w:sz w:val="19"/>
              </w:rPr>
              <w:t>Stool screening of household carriers / food handlers</w:t>
            </w:r>
          </w:p>
        </w:tc>
        <w:tc>
          <w:tcPr>
            <w:tcW w:type="dxa" w:w="1655"/>
            <w:vAlign w:val="top"/>
          </w:tcPr>
          <w:p>
            <w:pPr>
              <w:spacing w:after="40" w:before="0" w:line="259" w:lineRule="auto"/>
            </w:pPr>
            <w:r>
              <w:rPr>
                <w:rFonts w:ascii="Calibri" w:hAnsi="Calibri"/>
                <w:b w:val="0"/>
                <w:i w:val="0"/>
                <w:color w:val="212121"/>
                <w:sz w:val="19"/>
              </w:rPr>
              <w:t>Contacts of NCC cases</w:t>
            </w:r>
          </w:p>
        </w:tc>
        <w:tc>
          <w:tcPr>
            <w:tcW w:type="dxa" w:w="1512"/>
            <w:vAlign w:val="top"/>
          </w:tcPr>
          <w:p>
            <w:pPr>
              <w:spacing w:after="40" w:before="0" w:line="259" w:lineRule="auto"/>
            </w:pPr>
            <w:r>
              <w:rPr>
                <w:rFonts w:ascii="Calibri" w:hAnsi="Calibri"/>
                <w:b w:val="0"/>
                <w:i w:val="0"/>
                <w:color w:val="212121"/>
                <w:sz w:val="19"/>
              </w:rPr>
              <w:t>Carriers identified &amp; dewormed</w:t>
            </w:r>
          </w:p>
        </w:tc>
        <w:tc>
          <w:tcPr>
            <w:tcW w:type="dxa" w:w="1512"/>
            <w:vAlign w:val="top"/>
          </w:tcPr>
          <w:p>
            <w:pPr>
              <w:spacing w:after="40" w:before="0" w:line="259" w:lineRule="auto"/>
            </w:pPr>
            <w:r>
              <w:rPr>
                <w:rFonts w:ascii="Calibri" w:hAnsi="Calibri"/>
                <w:b w:val="0"/>
                <w:i w:val="0"/>
                <w:color w:val="212121"/>
                <w:sz w:val="19"/>
              </w:rPr>
              <w:t>Untested symptomatic contacts</w:t>
            </w:r>
          </w:p>
        </w:tc>
        <w:tc>
          <w:tcPr>
            <w:tcW w:type="dxa" w:w="1468"/>
            <w:vAlign w:val="top"/>
          </w:tcPr>
          <w:p>
            <w:pPr>
              <w:spacing w:after="60" w:line="259" w:lineRule="auto"/>
            </w:pPr>
            <w:r>
              <w:rPr>
                <w:rFonts w:ascii="Calibri" w:hAnsi="Calibri"/>
                <w:b w:val="0"/>
                <w:i w:val="0"/>
                <w:color w:val="212121"/>
                <w:sz w:val="19"/>
              </w:rPr>
              <w:t>Treating the carrier removes the egg reservoir (autoinfection risk)</w:t>
            </w:r>
          </w:p>
          <w:p>
            <w:pPr>
              <w:spacing w:after="40" w:line="252" w:lineRule="auto"/>
            </w:pPr>
            <w:hyperlink r:id="rId12">
              <w:r>
                <w:rPr>
                  <w:rFonts w:ascii="Calibri" w:hAnsi="Calibri" w:cs="Calibri"/>
                  <w:sz w:val="18"/>
                  <w:color w:val="1155CC"/>
                  <w:u w:val="single"/>
                </w:rPr>
                <w:t xml:space="preserve">https://www.ias.ac.in/article/fulltext/jbsc/033/04/0571-0582</w:t>
              </w:r>
            </w:hyperlink>
          </w:p>
        </w:tc>
      </w:tr>
      <w:tr>
        <w:trPr>
          <w:cantSplit/>
        </w:trPr>
        <w:tc>
          <w:tcPr>
            <w:tcW w:type="dxa" w:w="1512"/>
            <w:vAlign w:val="center"/>
          </w:tcPr>
          <w:p>
            <w:pPr>
              <w:spacing w:after="40"/>
            </w:pPr>
            <w:r>
              <w:rPr>
                <w:rFonts w:ascii="Calibri" w:hAnsi="Calibri"/>
                <w:b w:val="0"/>
                <w:i w:val="0"/>
                <w:color w:val="212121"/>
                <w:sz w:val="19"/>
              </w:rPr>
              <w:t>Mental health</w:t>
            </w:r>
          </w:p>
        </w:tc>
        <w:tc>
          <w:tcPr>
            <w:tcW w:type="dxa" w:w="1944"/>
            <w:vAlign w:val="top"/>
          </w:tcPr>
          <w:p>
            <w:pPr>
              <w:spacing w:after="40" w:before="0" w:line="259" w:lineRule="auto"/>
            </w:pPr>
            <w:r>
              <w:rPr>
                <w:rFonts w:ascii="Calibri" w:hAnsi="Calibri"/>
                <w:b w:val="0"/>
                <w:i w:val="0"/>
                <w:color w:val="212121"/>
                <w:sz w:val="19"/>
              </w:rPr>
              <w:t>Depression screen (e.g. PHQ-9) in epilepsy</w:t>
            </w:r>
          </w:p>
        </w:tc>
        <w:tc>
          <w:tcPr>
            <w:tcW w:type="dxa" w:w="1655"/>
            <w:vAlign w:val="top"/>
          </w:tcPr>
          <w:p>
            <w:pPr>
              <w:spacing w:after="40" w:before="0" w:line="259" w:lineRule="auto"/>
            </w:pPr>
            <w:r>
              <w:rPr>
                <w:rFonts w:ascii="Calibri" w:hAnsi="Calibri"/>
                <w:b w:val="0"/>
                <w:i w:val="0"/>
                <w:color w:val="212121"/>
                <w:sz w:val="19"/>
              </w:rPr>
              <w:t>Patients with NCC-related epilepsy</w:t>
            </w:r>
          </w:p>
        </w:tc>
        <w:tc>
          <w:tcPr>
            <w:tcW w:type="dxa" w:w="1512"/>
            <w:vAlign w:val="top"/>
          </w:tcPr>
          <w:p>
            <w:pPr>
              <w:spacing w:after="40" w:before="0" w:line="259" w:lineRule="auto"/>
            </w:pPr>
            <w:r>
              <w:rPr>
                <w:rFonts w:ascii="Calibri" w:hAnsi="Calibri"/>
                <w:b w:val="0"/>
                <w:i w:val="0"/>
                <w:color w:val="212121"/>
                <w:sz w:val="19"/>
              </w:rPr>
              <w:t>Screened; PHQ-9 &lt; 5</w:t>
            </w:r>
          </w:p>
        </w:tc>
        <w:tc>
          <w:tcPr>
            <w:tcW w:type="dxa" w:w="1512"/>
            <w:vAlign w:val="top"/>
          </w:tcPr>
          <w:p>
            <w:pPr>
              <w:spacing w:after="40" w:before="0" w:line="259" w:lineRule="auto"/>
            </w:pPr>
            <w:r>
              <w:rPr>
                <w:rFonts w:ascii="Calibri" w:hAnsi="Calibri"/>
                <w:b w:val="0"/>
                <w:i w:val="0"/>
                <w:color w:val="212121"/>
                <w:sz w:val="19"/>
              </w:rPr>
              <w:t>Unscreened or PHQ-9 ≥ 10</w:t>
            </w:r>
          </w:p>
        </w:tc>
        <w:tc>
          <w:tcPr>
            <w:tcW w:type="dxa" w:w="1468"/>
            <w:vAlign w:val="top"/>
          </w:tcPr>
          <w:p>
            <w:pPr>
              <w:spacing w:after="60" w:line="259" w:lineRule="auto"/>
            </w:pPr>
            <w:r>
              <w:rPr>
                <w:rFonts w:ascii="Calibri" w:hAnsi="Calibri"/>
                <w:b w:val="0"/>
                <w:i w:val="0"/>
                <w:color w:val="212121"/>
                <w:sz w:val="19"/>
              </w:rPr>
              <w:t>Depression/anxiety are common and undertreated in NCC epilepsy</w:t>
            </w:r>
          </w:p>
          <w:p>
            <w:pPr>
              <w:spacing w:after="40" w:line="252" w:lineRule="auto"/>
            </w:pPr>
            <w:hyperlink r:id="rId17">
              <w:r>
                <w:rPr>
                  <w:rFonts w:ascii="Calibri" w:hAnsi="Calibri" w:cs="Calibri"/>
                  <w:sz w:val="18"/>
                  <w:color w:val="1155CC"/>
                  <w:u w:val="single"/>
                </w:rPr>
                <w:t xml:space="preserve">https://pmc.ncbi.nlm.nih.gov/articles/PMC8164720/</w:t>
              </w:r>
            </w:hyperlink>
          </w:p>
        </w:tc>
      </w:tr>
      <w:tr>
        <w:trPr>
          <w:cantSplit/>
        </w:trPr>
        <w:tc>
          <w:tcPr>
            <w:tcW w:type="dxa" w:w="1512"/>
            <w:vAlign w:val="center"/>
          </w:tcPr>
          <w:p>
            <w:pPr>
              <w:spacing w:after="40"/>
            </w:pPr>
            <w:r>
              <w:rPr>
                <w:rFonts w:ascii="Calibri" w:hAnsi="Calibri"/>
                <w:b w:val="0"/>
                <w:i w:val="0"/>
                <w:color w:val="212121"/>
                <w:sz w:val="19"/>
              </w:rPr>
              <w:t>Physical activity</w:t>
            </w:r>
          </w:p>
        </w:tc>
        <w:tc>
          <w:tcPr>
            <w:tcW w:type="dxa" w:w="1944"/>
            <w:vAlign w:val="top"/>
          </w:tcPr>
          <w:p>
            <w:pPr>
              <w:spacing w:after="40" w:before="0" w:line="259" w:lineRule="auto"/>
            </w:pPr>
            <w:r>
              <w:rPr>
                <w:rFonts w:ascii="Calibri" w:hAnsi="Calibri"/>
                <w:b w:val="0"/>
                <w:i w:val="0"/>
                <w:color w:val="212121"/>
                <w:sz w:val="19"/>
              </w:rPr>
              <w:t>Seizure-safety precautions during activity</w:t>
            </w:r>
          </w:p>
        </w:tc>
        <w:tc>
          <w:tcPr>
            <w:tcW w:type="dxa" w:w="1655"/>
            <w:vAlign w:val="top"/>
          </w:tcPr>
          <w:p>
            <w:pPr>
              <w:spacing w:after="40" w:before="0" w:line="259" w:lineRule="auto"/>
            </w:pPr>
            <w:r>
              <w:rPr>
                <w:rFonts w:ascii="Calibri" w:hAnsi="Calibri"/>
                <w:b w:val="0"/>
                <w:i w:val="0"/>
                <w:color w:val="212121"/>
                <w:sz w:val="19"/>
              </w:rPr>
              <w:t>Patients with active seizures</w:t>
            </w:r>
          </w:p>
        </w:tc>
        <w:tc>
          <w:tcPr>
            <w:tcW w:type="dxa" w:w="1512"/>
            <w:vAlign w:val="top"/>
          </w:tcPr>
          <w:p>
            <w:pPr>
              <w:spacing w:after="40" w:before="0" w:line="259" w:lineRule="auto"/>
            </w:pPr>
            <w:r>
              <w:rPr>
                <w:rFonts w:ascii="Calibri" w:hAnsi="Calibri"/>
                <w:b w:val="0"/>
                <w:i w:val="0"/>
                <w:color w:val="212121"/>
                <w:sz w:val="19"/>
              </w:rPr>
              <w:t>Stay active with supervision; avoid solo swimming/heights</w:t>
            </w:r>
          </w:p>
        </w:tc>
        <w:tc>
          <w:tcPr>
            <w:tcW w:type="dxa" w:w="1512"/>
            <w:vAlign w:val="top"/>
          </w:tcPr>
          <w:p>
            <w:pPr>
              <w:spacing w:after="40" w:before="0" w:line="259" w:lineRule="auto"/>
            </w:pPr>
            <w:r>
              <w:rPr>
                <w:rFonts w:ascii="Calibri" w:hAnsi="Calibri"/>
                <w:b w:val="0"/>
                <w:i w:val="0"/>
                <w:color w:val="212121"/>
                <w:sz w:val="19"/>
              </w:rPr>
              <w:t>Unsupervised high-risk activity while seizures uncontrolled</w:t>
            </w:r>
          </w:p>
        </w:tc>
        <w:tc>
          <w:tcPr>
            <w:tcW w:type="dxa" w:w="1468"/>
            <w:vAlign w:val="top"/>
          </w:tcPr>
          <w:p>
            <w:pPr>
              <w:spacing w:after="60" w:line="259" w:lineRule="auto"/>
            </w:pPr>
            <w:r>
              <w:rPr>
                <w:rFonts w:ascii="Calibri" w:hAnsi="Calibri"/>
                <w:b w:val="0"/>
                <w:i w:val="0"/>
                <w:color w:val="212121"/>
                <w:sz w:val="19"/>
              </w:rPr>
              <w:t>Prevents injury/drowning until seizures are controlled</w:t>
            </w:r>
          </w:p>
          <w:p>
            <w:pPr>
              <w:spacing w:after="40" w:line="252" w:lineRule="auto"/>
            </w:pPr>
            <w:hyperlink r:id="rId18">
              <w:r>
                <w:rPr>
                  <w:rFonts w:ascii="Calibri" w:hAnsi="Calibri" w:cs="Calibri"/>
                  <w:sz w:val="18"/>
                  <w:color w:val="1155CC"/>
                  <w:u w:val="single"/>
                </w:rPr>
                <w:t xml:space="preserve">https://www.ncbi.nlm.nih.gov/books/NBK573855/</w:t>
              </w:r>
            </w:hyperlink>
          </w:p>
        </w:tc>
      </w:tr>
    </w:tbl>
    <w:p>
      <w:pPr>
        <w:spacing w:before="200" w:after="120"/>
      </w:pPr>
      <w:r>
        <w:rPr>
          <w:rFonts w:ascii="Calibri" w:hAnsi="Calibri"/>
          <w:b/>
          <w:i w:val="0"/>
          <w:color w:val="212121"/>
          <w:sz w:val="25"/>
        </w:rPr>
        <w:t>Traditional Health Parameters ( THP )</w:t>
      </w:r>
    </w:p>
    <w:p>
      <w:pPr>
        <w:spacing w:before="160" w:after="120"/>
      </w:pPr>
      <w:r>
        <w:rPr>
          <w:rFonts w:ascii="Calibri" w:hAnsi="Calibri"/>
          <w:b/>
          <w:i w:val="0"/>
          <w:color w:val="212121"/>
          <w:sz w:val="22"/>
        </w:rPr>
        <w:t>Quantitative THP</w:t>
      </w:r>
    </w:p>
    <w:tbl>
      <w:tblPr>
        <w:tblW w:type="dxa" w:w="9792"/>
        <w:jc w:val="center"/>
        <w:tblLook w:firstColumn="1" w:firstRow="1" w:lastColumn="0" w:lastRow="0" w:noHBand="0" w:noVBand="1" w:val="04A0"/>
        <w:tblBorders>
          <w:top w:val="single" w:sz="4" w:space="0" w:color="BFBFBF"/>
          <w:left w:val="single" w:sz="4" w:space="0" w:color="BFBFBF"/>
          <w:bottom w:val="single" w:sz="4" w:space="0" w:color="BFBFBF"/>
          <w:right w:val="single" w:sz="4" w:space="0" w:color="BFBFBF"/>
          <w:insideH w:val="single" w:sz="4" w:space="0" w:color="BFBFBF"/>
          <w:insideV w:val="single" w:sz="4" w:space="0" w:color="BFBFBF"/>
        </w:tblBorders>
      </w:tblPr>
      <w:tblGrid>
        <w:gridCol w:w="873"/>
        <w:gridCol w:w="873"/>
        <w:gridCol w:w="873"/>
        <w:gridCol w:w="873"/>
        <w:gridCol w:w="873"/>
        <w:gridCol w:w="873"/>
        <w:gridCol w:w="873"/>
        <w:gridCol w:w="873"/>
        <w:gridCol w:w="873"/>
        <w:gridCol w:w="873"/>
        <w:gridCol w:w="873"/>
      </w:tblGrid>
      <w:tr>
        <w:trPr>
          <w:cantSplit/>
        </w:trPr>
        <w:tc>
          <w:tcPr>
            <w:tcW w:type="dxa" w:w="892"/>
            <w:shd w:val="clear" w:color="auto" w:fill="F2F2F2"/>
            <w:vAlign w:val="center"/>
          </w:tcPr>
          <w:p>
            <w:pPr>
              <w:spacing w:after="40" w:before="0" w:line="259" w:lineRule="auto"/>
            </w:pPr>
            <w:r>
              <w:rPr>
                <w:rFonts w:ascii="Calibri" w:hAnsi="Calibri"/>
                <w:b/>
                <w:i w:val="0"/>
                <w:color w:val="212121"/>
                <w:sz w:val="16"/>
              </w:rPr>
              <w:t>Diagnostic workup</w:t>
            </w:r>
          </w:p>
        </w:tc>
        <w:tc>
          <w:tcPr>
            <w:tcW w:type="dxa" w:w="835"/>
            <w:shd w:val="clear" w:color="auto" w:fill="F2F2F2"/>
            <w:vAlign w:val="center"/>
          </w:tcPr>
          <w:p>
            <w:pPr>
              <w:spacing w:after="40" w:before="0" w:line="259" w:lineRule="auto"/>
            </w:pPr>
            <w:r>
              <w:rPr>
                <w:rFonts w:ascii="Calibri" w:hAnsi="Calibri"/>
                <w:b/>
                <w:i w:val="0"/>
                <w:color w:val="212121"/>
                <w:sz w:val="16"/>
              </w:rPr>
              <w:t>Tests</w:t>
            </w:r>
          </w:p>
        </w:tc>
        <w:tc>
          <w:tcPr>
            <w:tcW w:type="dxa" w:w="1036"/>
            <w:shd w:val="clear" w:color="auto" w:fill="F2F2F2"/>
            <w:vAlign w:val="center"/>
          </w:tcPr>
          <w:p>
            <w:pPr>
              <w:spacing w:after="40" w:before="0" w:line="259" w:lineRule="auto"/>
            </w:pPr>
            <w:r>
              <w:rPr>
                <w:rFonts w:ascii="Calibri" w:hAnsi="Calibri"/>
                <w:b/>
                <w:i w:val="0"/>
                <w:color w:val="212121"/>
                <w:sz w:val="16"/>
              </w:rPr>
              <w:t>Parameter</w:t>
            </w:r>
          </w:p>
        </w:tc>
        <w:tc>
          <w:tcPr>
            <w:tcW w:type="dxa" w:w="892"/>
            <w:shd w:val="clear" w:color="auto" w:fill="F2F2F2"/>
            <w:vAlign w:val="center"/>
          </w:tcPr>
          <w:p>
            <w:pPr>
              <w:spacing w:after="40" w:before="0" w:line="259" w:lineRule="auto"/>
            </w:pPr>
            <w:r>
              <w:rPr>
                <w:rFonts w:ascii="Calibri" w:hAnsi="Calibri"/>
                <w:b/>
                <w:i w:val="0"/>
                <w:color w:val="212121"/>
                <w:sz w:val="16"/>
              </w:rPr>
              <w:t>THP</w:t>
            </w:r>
          </w:p>
        </w:tc>
        <w:tc>
          <w:tcPr>
            <w:tcW w:type="dxa" w:w="950"/>
            <w:shd w:val="clear" w:color="auto" w:fill="F2F2F2"/>
            <w:vAlign w:val="center"/>
          </w:tcPr>
          <w:p>
            <w:pPr>
              <w:spacing w:after="40" w:before="0" w:line="259" w:lineRule="auto"/>
            </w:pPr>
            <w:r>
              <w:rPr>
                <w:rFonts w:ascii="Calibri" w:hAnsi="Calibri"/>
                <w:b/>
                <w:i w:val="0"/>
                <w:color w:val="212121"/>
                <w:sz w:val="16"/>
              </w:rPr>
              <w:t>Normal values</w:t>
            </w:r>
          </w:p>
        </w:tc>
        <w:tc>
          <w:tcPr>
            <w:tcW w:type="dxa" w:w="950"/>
            <w:shd w:val="clear" w:color="auto" w:fill="F2F2F2"/>
            <w:vAlign w:val="center"/>
          </w:tcPr>
          <w:p>
            <w:pPr>
              <w:spacing w:after="40" w:before="0" w:line="259" w:lineRule="auto"/>
            </w:pPr>
            <w:r>
              <w:rPr>
                <w:rFonts w:ascii="Calibri" w:hAnsi="Calibri"/>
                <w:b/>
                <w:i w:val="0"/>
                <w:color w:val="212121"/>
                <w:sz w:val="16"/>
              </w:rPr>
              <w:t>Abnormal values</w:t>
            </w:r>
          </w:p>
        </w:tc>
        <w:tc>
          <w:tcPr>
            <w:tcW w:type="dxa" w:w="1036"/>
            <w:shd w:val="clear" w:color="auto" w:fill="F2F2F2"/>
            <w:vAlign w:val="center"/>
          </w:tcPr>
          <w:p>
            <w:pPr>
              <w:spacing w:after="40" w:before="0" w:line="259" w:lineRule="auto"/>
            </w:pPr>
            <w:r>
              <w:rPr>
                <w:rFonts w:ascii="Calibri" w:hAnsi="Calibri"/>
                <w:b/>
                <w:i w:val="0"/>
                <w:color w:val="212121"/>
                <w:sz w:val="16"/>
              </w:rPr>
              <w:t>Interpretation</w:t>
            </w:r>
          </w:p>
        </w:tc>
        <w:tc>
          <w:tcPr>
            <w:tcW w:type="dxa" w:w="1036"/>
            <w:shd w:val="clear" w:color="auto" w:fill="F2F2F2"/>
            <w:vAlign w:val="center"/>
          </w:tcPr>
          <w:p>
            <w:pPr>
              <w:spacing w:after="40" w:before="0" w:line="259" w:lineRule="auto"/>
            </w:pPr>
            <w:r>
              <w:rPr>
                <w:rFonts w:ascii="Calibri" w:hAnsi="Calibri"/>
                <w:b/>
                <w:i w:val="0"/>
                <w:color w:val="212121"/>
                <w:sz w:val="16"/>
              </w:rPr>
              <w:t>Profiles</w:t>
            </w:r>
          </w:p>
        </w:tc>
        <w:tc>
          <w:tcPr>
            <w:tcW w:type="dxa" w:w="720"/>
            <w:shd w:val="clear" w:color="auto" w:fill="F2F2F2"/>
            <w:vAlign w:val="center"/>
          </w:tcPr>
          <w:p>
            <w:pPr>
              <w:spacing w:after="40" w:before="0" w:line="259" w:lineRule="auto"/>
            </w:pPr>
            <w:r>
              <w:rPr>
                <w:rFonts w:ascii="Calibri" w:hAnsi="Calibri"/>
                <w:b/>
                <w:i w:val="0"/>
                <w:color w:val="212121"/>
                <w:sz w:val="16"/>
              </w:rPr>
              <w:t>LHP</w:t>
            </w:r>
          </w:p>
        </w:tc>
        <w:tc>
          <w:tcPr>
            <w:tcW w:type="dxa" w:w="720"/>
            <w:shd w:val="clear" w:color="auto" w:fill="F2F2F2"/>
            <w:vAlign w:val="center"/>
          </w:tcPr>
          <w:p>
            <w:pPr>
              <w:spacing w:after="40" w:before="0" w:line="259" w:lineRule="auto"/>
            </w:pPr>
            <w:r>
              <w:rPr>
                <w:rFonts w:ascii="Calibri" w:hAnsi="Calibri"/>
                <w:b/>
                <w:i w:val="0"/>
                <w:color w:val="212121"/>
                <w:sz w:val="16"/>
              </w:rPr>
              <w:t>Importance</w:t>
            </w:r>
          </w:p>
        </w:tc>
        <w:tc>
          <w:tcPr>
            <w:tcW w:type="dxa" w:w="720"/>
            <w:shd w:val="clear" w:color="auto" w:fill="F2F2F2"/>
            <w:vAlign w:val="center"/>
          </w:tcPr>
          <w:p>
            <w:pPr>
              <w:spacing w:after="40" w:before="0" w:line="259" w:lineRule="auto"/>
            </w:pPr>
            <w:r>
              <w:rPr>
                <w:rFonts w:ascii="Calibri" w:hAnsi="Calibri"/>
                <w:b/>
                <w:i w:val="0"/>
                <w:color w:val="212121"/>
                <w:sz w:val="16"/>
              </w:rPr>
              <w:t>Note</w:t>
            </w:r>
          </w:p>
        </w:tc>
      </w:tr>
      <w:tr>
        <w:trPr>
          <w:cantSplit/>
        </w:trPr>
        <w:tc>
          <w:tcPr>
            <w:tcW w:type="dxa" w:w="892"/>
            <w:vAlign w:val="top"/>
          </w:tcPr>
          <w:p>
            <w:pPr>
              <w:spacing w:after="40" w:before="0" w:line="259" w:lineRule="auto"/>
            </w:pPr>
            <w:r>
              <w:rPr>
                <w:rFonts w:ascii="Calibri" w:hAnsi="Calibri"/>
                <w:b w:val="0"/>
                <w:i w:val="0"/>
                <w:color w:val="212121"/>
                <w:sz w:val="16"/>
              </w:rPr>
              <w:t>Investigation</w:t>
            </w:r>
          </w:p>
        </w:tc>
        <w:tc>
          <w:tcPr>
            <w:tcW w:type="dxa" w:w="835"/>
            <w:vAlign w:val="top"/>
          </w:tcPr>
          <w:p>
            <w:pPr>
              <w:spacing w:after="40" w:before="0" w:line="259" w:lineRule="auto"/>
            </w:pPr>
            <w:r>
              <w:rPr>
                <w:rFonts w:ascii="Calibri" w:hAnsi="Calibri"/>
                <w:b w:val="0"/>
                <w:i w:val="0"/>
                <w:color w:val="212121"/>
                <w:sz w:val="16"/>
              </w:rPr>
              <w:t>Neuroimaging</w:t>
            </w:r>
          </w:p>
        </w:tc>
        <w:tc>
          <w:tcPr>
            <w:tcW w:type="dxa" w:w="1036"/>
            <w:vAlign w:val="top"/>
          </w:tcPr>
          <w:p>
            <w:pPr>
              <w:spacing w:after="40" w:before="0" w:line="259" w:lineRule="auto"/>
            </w:pPr>
            <w:r>
              <w:rPr>
                <w:rFonts w:ascii="Calibri" w:hAnsi="Calibri"/>
                <w:b w:val="0"/>
                <w:i w:val="0"/>
                <w:color w:val="212121"/>
                <w:sz w:val="16"/>
              </w:rPr>
              <w:t>MRI brain (± contrast)</w:t>
            </w:r>
          </w:p>
        </w:tc>
        <w:tc>
          <w:tcPr>
            <w:tcW w:type="dxa" w:w="892"/>
            <w:vAlign w:val="top"/>
          </w:tcPr>
          <w:p>
            <w:pPr>
              <w:spacing w:after="40" w:before="0" w:line="259" w:lineRule="auto"/>
            </w:pPr>
            <w:r>
              <w:rPr>
                <w:rFonts w:ascii="Calibri" w:hAnsi="Calibri"/>
                <w:b w:val="0"/>
                <w:i w:val="0"/>
                <w:color w:val="212121"/>
                <w:sz w:val="16"/>
              </w:rPr>
              <w:t>Magnetic Resonance Imaging</w:t>
            </w:r>
          </w:p>
        </w:tc>
        <w:tc>
          <w:tcPr>
            <w:tcW w:type="dxa" w:w="950"/>
            <w:vAlign w:val="top"/>
          </w:tcPr>
          <w:p>
            <w:pPr>
              <w:spacing w:after="40" w:before="0" w:line="259" w:lineRule="auto"/>
            </w:pPr>
            <w:r>
              <w:rPr>
                <w:rFonts w:ascii="Calibri" w:hAnsi="Calibri"/>
                <w:b w:val="0"/>
                <w:i w:val="0"/>
                <w:color w:val="212121"/>
                <w:sz w:val="16"/>
              </w:rPr>
              <w:t>No cystic/enhancing lesion</w:t>
            </w:r>
          </w:p>
        </w:tc>
        <w:tc>
          <w:tcPr>
            <w:tcW w:type="dxa" w:w="950"/>
            <w:vAlign w:val="top"/>
          </w:tcPr>
          <w:p>
            <w:pPr>
              <w:spacing w:after="40" w:before="0" w:line="259" w:lineRule="auto"/>
            </w:pPr>
            <w:r>
              <w:rPr>
                <w:rFonts w:ascii="Calibri" w:hAnsi="Calibri"/>
                <w:b w:val="0"/>
                <w:i w:val="0"/>
                <w:color w:val="212121"/>
                <w:sz w:val="16"/>
              </w:rPr>
              <w:t>Cyst with scolex, ring/nodular-enhancing lesion, perilesional oedema, or extraparenchymal cyst</w:t>
            </w:r>
          </w:p>
        </w:tc>
        <w:tc>
          <w:tcPr>
            <w:tcW w:type="dxa" w:w="1036"/>
            <w:vAlign w:val="top"/>
          </w:tcPr>
          <w:p>
            <w:pPr>
              <w:spacing w:after="40" w:before="0" w:line="259" w:lineRule="auto"/>
            </w:pPr>
            <w:r>
              <w:rPr>
                <w:rFonts w:ascii="Calibri" w:hAnsi="Calibri"/>
                <w:b w:val="0"/>
                <w:i w:val="0"/>
                <w:color w:val="212121"/>
                <w:sz w:val="16"/>
              </w:rPr>
              <w:t>Most sensitive test; best for viable cysts, scolex, oedema and extraparenchymal (ventricular/subarachnoid/spinal) disease</w:t>
            </w:r>
          </w:p>
        </w:tc>
        <w:tc>
          <w:tcPr>
            <w:tcW w:type="dxa" w:w="1036"/>
            <w:vAlign w:val="top"/>
          </w:tcPr>
          <w:p>
            <w:pPr>
              <w:spacing w:after="40" w:before="0" w:line="259" w:lineRule="auto"/>
            </w:pPr>
            <w:r>
              <w:rPr>
                <w:rFonts w:ascii="Calibri" w:hAnsi="Calibri"/>
                <w:b w:val="0"/>
                <w:i w:val="0"/>
                <w:color w:val="212121"/>
                <w:sz w:val="16"/>
              </w:rPr>
              <w:t>New-onset focal seizure, suspected extraparenchymal NCC, children</w:t>
            </w:r>
          </w:p>
        </w:tc>
        <w:tc>
          <w:tcPr>
            <w:tcW w:type="dxa" w:w="720"/>
            <w:vAlign w:val="top"/>
          </w:tcPr>
          <w:p>
            <w:pPr>
              <w:spacing w:after="40" w:before="0" w:line="259" w:lineRule="auto"/>
            </w:pPr>
            <w:r>
              <w:rPr>
                <w:rFonts w:ascii="Calibri" w:hAnsi="Calibri"/>
                <w:b w:val="0"/>
                <w:i w:val="0"/>
                <w:color w:val="212121"/>
                <w:sz w:val="16"/>
              </w:rPr>
              <w:t>Provoking factors; Hygiene</w:t>
            </w:r>
          </w:p>
        </w:tc>
        <w:tc>
          <w:tcPr>
            <w:tcW w:type="dxa" w:w="720"/>
            <w:vAlign w:val="top"/>
          </w:tcPr>
          <w:p>
            <w:pPr>
              <w:spacing w:after="40" w:before="0" w:line="259" w:lineRule="auto"/>
            </w:pPr>
            <w:r>
              <w:rPr>
                <w:rFonts w:ascii="Calibri" w:hAnsi="Calibri"/>
                <w:b w:val="0"/>
                <w:i w:val="0"/>
                <w:color w:val="212121"/>
                <w:sz w:val="16"/>
              </w:rPr>
              <w:t>Gold standard</w:t>
            </w:r>
          </w:p>
        </w:tc>
        <w:tc>
          <w:tcPr>
            <w:tcW w:type="dxa" w:w="720"/>
            <w:vAlign w:val="top"/>
          </w:tcPr>
          <w:p>
            <w:pPr>
              <w:spacing w:after="40" w:before="0" w:line="259" w:lineRule="auto"/>
            </w:pPr>
            <w:r>
              <w:rPr>
                <w:rFonts w:ascii="Calibri" w:hAnsi="Calibri"/>
                <w:b w:val="0"/>
                <w:i w:val="0"/>
                <w:color w:val="212121"/>
                <w:sz w:val="16"/>
              </w:rPr>
              <w:t>FIESTA/CISS sequences detect ventricular &amp; cisternal cysts missed by CT</w:t>
            </w:r>
          </w:p>
        </w:tc>
      </w:tr>
      <w:tr>
        <w:trPr>
          <w:cantSplit/>
        </w:trPr>
        <w:tc>
          <w:tcPr>
            <w:tcW w:type="dxa" w:w="892"/>
            <w:vAlign w:val="top"/>
          </w:tcPr>
          <w:p>
            <w:pPr>
              <w:spacing w:after="40" w:before="0" w:line="259" w:lineRule="auto"/>
            </w:pPr>
            <w:r>
              <w:rPr>
                <w:rFonts w:ascii="Calibri" w:hAnsi="Calibri"/>
                <w:b w:val="0"/>
                <w:i w:val="0"/>
                <w:color w:val="212121"/>
                <w:sz w:val="16"/>
              </w:rPr>
              <w:t>Investigation</w:t>
            </w:r>
          </w:p>
        </w:tc>
        <w:tc>
          <w:tcPr>
            <w:tcW w:type="dxa" w:w="835"/>
            <w:vAlign w:val="top"/>
          </w:tcPr>
          <w:p>
            <w:pPr>
              <w:spacing w:after="40" w:before="0" w:line="259" w:lineRule="auto"/>
            </w:pPr>
            <w:r>
              <w:rPr>
                <w:rFonts w:ascii="Calibri" w:hAnsi="Calibri"/>
                <w:b w:val="0"/>
                <w:i w:val="0"/>
                <w:color w:val="212121"/>
                <w:sz w:val="16"/>
              </w:rPr>
              <w:t>Neuroimaging</w:t>
            </w:r>
          </w:p>
        </w:tc>
        <w:tc>
          <w:tcPr>
            <w:tcW w:type="dxa" w:w="1036"/>
            <w:vAlign w:val="top"/>
          </w:tcPr>
          <w:p>
            <w:pPr>
              <w:spacing w:after="40" w:before="0" w:line="259" w:lineRule="auto"/>
            </w:pPr>
            <w:r>
              <w:rPr>
                <w:rFonts w:ascii="Calibri" w:hAnsi="Calibri"/>
                <w:b w:val="0"/>
                <w:i w:val="0"/>
                <w:color w:val="212121"/>
                <w:sz w:val="16"/>
              </w:rPr>
              <w:t>CECT brain</w:t>
            </w:r>
          </w:p>
        </w:tc>
        <w:tc>
          <w:tcPr>
            <w:tcW w:type="dxa" w:w="892"/>
            <w:vAlign w:val="top"/>
          </w:tcPr>
          <w:p>
            <w:pPr>
              <w:spacing w:after="40" w:before="0" w:line="259" w:lineRule="auto"/>
            </w:pPr>
            <w:r>
              <w:rPr>
                <w:rFonts w:ascii="Calibri" w:hAnsi="Calibri"/>
                <w:b w:val="0"/>
                <w:i w:val="0"/>
                <w:color w:val="212121"/>
                <w:sz w:val="16"/>
              </w:rPr>
              <w:t>Contrast-enhanced CT</w:t>
            </w:r>
          </w:p>
        </w:tc>
        <w:tc>
          <w:tcPr>
            <w:tcW w:type="dxa" w:w="950"/>
            <w:vAlign w:val="top"/>
          </w:tcPr>
          <w:p>
            <w:pPr>
              <w:spacing w:after="40" w:before="0" w:line="259" w:lineRule="auto"/>
            </w:pPr>
            <w:r>
              <w:rPr>
                <w:rFonts w:ascii="Calibri" w:hAnsi="Calibri"/>
                <w:b w:val="0"/>
                <w:i w:val="0"/>
                <w:color w:val="212121"/>
                <w:sz w:val="16"/>
              </w:rPr>
              <w:t>No lesion / no calcification</w:t>
            </w:r>
          </w:p>
        </w:tc>
        <w:tc>
          <w:tcPr>
            <w:tcW w:type="dxa" w:w="950"/>
            <w:vAlign w:val="top"/>
          </w:tcPr>
          <w:p>
            <w:pPr>
              <w:spacing w:after="40" w:before="0" w:line="259" w:lineRule="auto"/>
            </w:pPr>
            <w:r>
              <w:rPr>
                <w:rFonts w:ascii="Calibri" w:hAnsi="Calibri"/>
                <w:b w:val="0"/>
                <w:i w:val="0"/>
                <w:color w:val="212121"/>
                <w:sz w:val="16"/>
              </w:rPr>
              <w:t>Single or multiple ring-enhancing lesions; punctate calcification</w:t>
            </w:r>
          </w:p>
        </w:tc>
        <w:tc>
          <w:tcPr>
            <w:tcW w:type="dxa" w:w="1036"/>
            <w:vAlign w:val="top"/>
          </w:tcPr>
          <w:p>
            <w:pPr>
              <w:spacing w:after="40" w:before="0" w:line="259" w:lineRule="auto"/>
            </w:pPr>
            <w:r>
              <w:rPr>
                <w:rFonts w:ascii="Calibri" w:hAnsi="Calibri"/>
                <w:b w:val="0"/>
                <w:i w:val="0"/>
                <w:color w:val="212121"/>
                <w:sz w:val="16"/>
              </w:rPr>
              <w:t>Superior to MRI for detecting calcified lesions; a well-performed thin-slice CECT is adequate for a solitary granuloma</w:t>
            </w:r>
          </w:p>
        </w:tc>
        <w:tc>
          <w:tcPr>
            <w:tcW w:type="dxa" w:w="1036"/>
            <w:vAlign w:val="top"/>
          </w:tcPr>
          <w:p>
            <w:pPr>
              <w:spacing w:after="40" w:before="0" w:line="259" w:lineRule="auto"/>
            </w:pPr>
            <w:r>
              <w:rPr>
                <w:rFonts w:ascii="Calibri" w:hAnsi="Calibri"/>
                <w:b w:val="0"/>
                <w:i w:val="0"/>
                <w:color w:val="212121"/>
                <w:sz w:val="16"/>
              </w:rPr>
              <w:t>Solitary cysticercus granuloma, calcified NCC, resource-limited settings</w:t>
            </w:r>
          </w:p>
        </w:tc>
        <w:tc>
          <w:tcPr>
            <w:tcW w:type="dxa" w:w="720"/>
            <w:vAlign w:val="top"/>
          </w:tcPr>
          <w:p>
            <w:pPr>
              <w:spacing w:after="40" w:before="0" w:line="259" w:lineRule="auto"/>
            </w:pPr>
            <w:r>
              <w:rPr>
                <w:rFonts w:ascii="Calibri" w:hAnsi="Calibri"/>
                <w:b w:val="0"/>
                <w:i w:val="0"/>
                <w:color w:val="212121"/>
                <w:sz w:val="16"/>
              </w:rPr>
              <w:t>Provoking factors</w:t>
            </w:r>
          </w:p>
        </w:tc>
        <w:tc>
          <w:tcPr>
            <w:tcW w:type="dxa" w:w="720"/>
            <w:vAlign w:val="top"/>
          </w:tcPr>
          <w:p>
            <w:pPr>
              <w:spacing w:after="40" w:before="0" w:line="259" w:lineRule="auto"/>
            </w:pPr>
            <w:r>
              <w:rPr>
                <w:rFonts w:ascii="Calibri" w:hAnsi="Calibri"/>
                <w:b w:val="0"/>
                <w:i w:val="0"/>
                <w:color w:val="212121"/>
                <w:sz w:val="16"/>
              </w:rPr>
              <w:t>Confirmatory</w:t>
            </w:r>
          </w:p>
        </w:tc>
        <w:tc>
          <w:tcPr>
            <w:tcW w:type="dxa" w:w="720"/>
            <w:vAlign w:val="top"/>
          </w:tcPr>
          <w:p>
            <w:pPr>
              <w:spacing w:after="40" w:before="0" w:line="259" w:lineRule="auto"/>
            </w:pPr>
            <w:r>
              <w:rPr>
                <w:rFonts w:ascii="Calibri" w:hAnsi="Calibri"/>
                <w:b w:val="0"/>
                <w:i w:val="0"/>
                <w:color w:val="212121"/>
                <w:sz w:val="16"/>
              </w:rPr>
              <w:t>Calcification is the hallmark of the dead, chronic lesion</w:t>
            </w:r>
          </w:p>
        </w:tc>
      </w:tr>
      <w:tr>
        <w:trPr>
          <w:cantSplit/>
        </w:trPr>
        <w:tc>
          <w:tcPr>
            <w:tcW w:type="dxa" w:w="892"/>
            <w:vAlign w:val="top"/>
          </w:tcPr>
          <w:p>
            <w:pPr>
              <w:spacing w:after="40" w:before="0" w:line="259" w:lineRule="auto"/>
            </w:pPr>
            <w:r>
              <w:rPr>
                <w:rFonts w:ascii="Calibri" w:hAnsi="Calibri"/>
                <w:b w:val="0"/>
                <w:i w:val="0"/>
                <w:color w:val="212121"/>
                <w:sz w:val="16"/>
              </w:rPr>
              <w:t>Investigation</w:t>
            </w:r>
          </w:p>
        </w:tc>
        <w:tc>
          <w:tcPr>
            <w:tcW w:type="dxa" w:w="835"/>
            <w:vAlign w:val="top"/>
          </w:tcPr>
          <w:p>
            <w:pPr>
              <w:spacing w:after="40" w:before="0" w:line="259" w:lineRule="auto"/>
            </w:pPr>
            <w:r>
              <w:rPr>
                <w:rFonts w:ascii="Calibri" w:hAnsi="Calibri"/>
                <w:b w:val="0"/>
                <w:i w:val="0"/>
                <w:color w:val="212121"/>
                <w:sz w:val="16"/>
              </w:rPr>
              <w:t>Serology</w:t>
            </w:r>
          </w:p>
        </w:tc>
        <w:tc>
          <w:tcPr>
            <w:tcW w:type="dxa" w:w="1036"/>
            <w:vAlign w:val="top"/>
          </w:tcPr>
          <w:p>
            <w:pPr>
              <w:spacing w:after="40" w:before="0" w:line="259" w:lineRule="auto"/>
            </w:pPr>
            <w:r>
              <w:rPr>
                <w:rFonts w:ascii="Calibri" w:hAnsi="Calibri"/>
                <w:b w:val="0"/>
                <w:i w:val="0"/>
                <w:color w:val="212121"/>
                <w:sz w:val="16"/>
              </w:rPr>
              <w:t>Anti-cysticercal antibody (EITB/LLGP)</w:t>
            </w:r>
          </w:p>
        </w:tc>
        <w:tc>
          <w:tcPr>
            <w:tcW w:type="dxa" w:w="892"/>
            <w:vAlign w:val="top"/>
          </w:tcPr>
          <w:p>
            <w:pPr>
              <w:spacing w:after="40" w:before="0" w:line="259" w:lineRule="auto"/>
            </w:pPr>
            <w:r>
              <w:rPr>
                <w:rFonts w:ascii="Calibri" w:hAnsi="Calibri"/>
                <w:b w:val="0"/>
                <w:i w:val="0"/>
                <w:color w:val="212121"/>
                <w:sz w:val="16"/>
              </w:rPr>
              <w:t>Enzyme-linked immunoelectrotransfer blot</w:t>
            </w:r>
          </w:p>
        </w:tc>
        <w:tc>
          <w:tcPr>
            <w:tcW w:type="dxa" w:w="950"/>
            <w:vAlign w:val="top"/>
          </w:tcPr>
          <w:p>
            <w:pPr>
              <w:spacing w:after="40" w:before="0" w:line="259" w:lineRule="auto"/>
            </w:pPr>
            <w:r>
              <w:rPr>
                <w:rFonts w:ascii="Calibri" w:hAnsi="Calibri"/>
                <w:b w:val="0"/>
                <w:i w:val="0"/>
                <w:color w:val="212121"/>
                <w:sz w:val="16"/>
              </w:rPr>
              <w:t>Negative</w:t>
            </w:r>
          </w:p>
        </w:tc>
        <w:tc>
          <w:tcPr>
            <w:tcW w:type="dxa" w:w="950"/>
            <w:vAlign w:val="top"/>
          </w:tcPr>
          <w:p>
            <w:pPr>
              <w:spacing w:after="40" w:before="0" w:line="259" w:lineRule="auto"/>
            </w:pPr>
            <w:r>
              <w:rPr>
                <w:rFonts w:ascii="Calibri" w:hAnsi="Calibri"/>
                <w:b w:val="0"/>
                <w:i w:val="0"/>
                <w:color w:val="212121"/>
                <w:sz w:val="16"/>
              </w:rPr>
              <w:t>Positive (≥1 diagnostic glycoprotein band)</w:t>
            </w:r>
          </w:p>
        </w:tc>
        <w:tc>
          <w:tcPr>
            <w:tcW w:type="dxa" w:w="1036"/>
            <w:vAlign w:val="top"/>
          </w:tcPr>
          <w:p>
            <w:pPr>
              <w:spacing w:after="40" w:before="0" w:line="259" w:lineRule="auto"/>
            </w:pPr>
            <w:r>
              <w:rPr>
                <w:rFonts w:ascii="Calibri" w:hAnsi="Calibri"/>
                <w:b w:val="0"/>
                <w:i w:val="0"/>
                <w:color w:val="212121"/>
                <w:sz w:val="16"/>
              </w:rPr>
              <w:t>Highly specific; sensitivity ~98% with multiple viable cysts but falls to ~60% for a single lesion or calcified-only disease</w:t>
            </w:r>
          </w:p>
        </w:tc>
        <w:tc>
          <w:tcPr>
            <w:tcW w:type="dxa" w:w="1036"/>
            <w:vAlign w:val="top"/>
          </w:tcPr>
          <w:p>
            <w:pPr>
              <w:spacing w:after="40" w:before="0" w:line="259" w:lineRule="auto"/>
            </w:pPr>
            <w:r>
              <w:rPr>
                <w:rFonts w:ascii="Calibri" w:hAnsi="Calibri"/>
                <w:b w:val="0"/>
                <w:i w:val="0"/>
                <w:color w:val="212121"/>
                <w:sz w:val="16"/>
              </w:rPr>
              <w:t>Multiple-lesion NCC, extraparenchymal NCC</w:t>
            </w:r>
          </w:p>
        </w:tc>
        <w:tc>
          <w:tcPr>
            <w:tcW w:type="dxa" w:w="720"/>
            <w:vAlign w:val="top"/>
          </w:tcPr>
          <w:p>
            <w:pPr>
              <w:spacing w:after="40" w:before="0" w:line="259" w:lineRule="auto"/>
            </w:pPr>
            <w:r>
              <w:rPr>
                <w:rFonts w:ascii="Calibri" w:hAnsi="Calibri"/>
                <w:b w:val="0"/>
                <w:i w:val="0"/>
                <w:color w:val="212121"/>
                <w:sz w:val="16"/>
              </w:rPr>
              <w:t>Provoking factors</w:t>
            </w:r>
          </w:p>
        </w:tc>
        <w:tc>
          <w:tcPr>
            <w:tcW w:type="dxa" w:w="720"/>
            <w:vAlign w:val="top"/>
          </w:tcPr>
          <w:p>
            <w:pPr>
              <w:spacing w:after="40" w:before="0" w:line="259" w:lineRule="auto"/>
            </w:pPr>
            <w:r>
              <w:rPr>
                <w:rFonts w:ascii="Calibri" w:hAnsi="Calibri"/>
                <w:b w:val="0"/>
                <w:i w:val="0"/>
                <w:color w:val="212121"/>
                <w:sz w:val="16"/>
              </w:rPr>
              <w:t>Supportive</w:t>
            </w:r>
          </w:p>
        </w:tc>
        <w:tc>
          <w:tcPr>
            <w:tcW w:type="dxa" w:w="720"/>
            <w:vAlign w:val="top"/>
          </w:tcPr>
          <w:p>
            <w:pPr>
              <w:spacing w:after="40" w:before="0" w:line="259" w:lineRule="auto"/>
            </w:pPr>
            <w:r>
              <w:rPr>
                <w:rFonts w:ascii="Calibri" w:hAnsi="Calibri"/>
                <w:b w:val="0"/>
                <w:i w:val="0"/>
                <w:color w:val="212121"/>
                <w:sz w:val="16"/>
              </w:rPr>
              <w:t>A negative result does not exclude single-lesion NCC</w:t>
            </w:r>
          </w:p>
        </w:tc>
      </w:tr>
      <w:tr>
        <w:trPr>
          <w:cantSplit/>
        </w:trPr>
        <w:tc>
          <w:tcPr>
            <w:tcW w:type="dxa" w:w="892"/>
            <w:vAlign w:val="top"/>
          </w:tcPr>
          <w:p>
            <w:pPr>
              <w:spacing w:after="40" w:before="0" w:line="259" w:lineRule="auto"/>
            </w:pPr>
            <w:r>
              <w:rPr>
                <w:rFonts w:ascii="Calibri" w:hAnsi="Calibri"/>
                <w:b w:val="0"/>
                <w:i w:val="0"/>
                <w:color w:val="212121"/>
                <w:sz w:val="16"/>
              </w:rPr>
              <w:t>Investigation</w:t>
            </w:r>
          </w:p>
        </w:tc>
        <w:tc>
          <w:tcPr>
            <w:tcW w:type="dxa" w:w="835"/>
            <w:vAlign w:val="top"/>
          </w:tcPr>
          <w:p>
            <w:pPr>
              <w:spacing w:after="40" w:before="0" w:line="259" w:lineRule="auto"/>
            </w:pPr>
            <w:r>
              <w:rPr>
                <w:rFonts w:ascii="Calibri" w:hAnsi="Calibri"/>
                <w:b w:val="0"/>
                <w:i w:val="0"/>
                <w:color w:val="212121"/>
                <w:sz w:val="16"/>
              </w:rPr>
              <w:t>Serology</w:t>
            </w:r>
          </w:p>
        </w:tc>
        <w:tc>
          <w:tcPr>
            <w:tcW w:type="dxa" w:w="1036"/>
            <w:vAlign w:val="top"/>
          </w:tcPr>
          <w:p>
            <w:pPr>
              <w:spacing w:after="40" w:before="0" w:line="259" w:lineRule="auto"/>
            </w:pPr>
            <w:r>
              <w:rPr>
                <w:rFonts w:ascii="Calibri" w:hAnsi="Calibri"/>
                <w:b w:val="0"/>
                <w:i w:val="0"/>
                <w:color w:val="212121"/>
                <w:sz w:val="16"/>
              </w:rPr>
              <w:t>Circulating cysticercal antigen</w:t>
            </w:r>
          </w:p>
        </w:tc>
        <w:tc>
          <w:tcPr>
            <w:tcW w:type="dxa" w:w="892"/>
            <w:vAlign w:val="top"/>
          </w:tcPr>
          <w:p>
            <w:pPr>
              <w:spacing w:after="40" w:before="0" w:line="259" w:lineRule="auto"/>
            </w:pPr>
            <w:r>
              <w:rPr>
                <w:rFonts w:ascii="Calibri" w:hAnsi="Calibri"/>
                <w:b w:val="0"/>
                <w:i w:val="0"/>
                <w:color w:val="212121"/>
                <w:sz w:val="16"/>
              </w:rPr>
              <w:t>Antigen-detection ELISA</w:t>
            </w:r>
          </w:p>
        </w:tc>
        <w:tc>
          <w:tcPr>
            <w:tcW w:type="dxa" w:w="950"/>
            <w:vAlign w:val="top"/>
          </w:tcPr>
          <w:p>
            <w:pPr>
              <w:spacing w:after="40" w:before="0" w:line="259" w:lineRule="auto"/>
            </w:pPr>
            <w:r>
              <w:rPr>
                <w:rFonts w:ascii="Calibri" w:hAnsi="Calibri"/>
                <w:b w:val="0"/>
                <w:i w:val="0"/>
                <w:color w:val="212121"/>
                <w:sz w:val="16"/>
              </w:rPr>
              <w:t>Negative / below cut-off</w:t>
            </w:r>
          </w:p>
        </w:tc>
        <w:tc>
          <w:tcPr>
            <w:tcW w:type="dxa" w:w="950"/>
            <w:vAlign w:val="top"/>
          </w:tcPr>
          <w:p>
            <w:pPr>
              <w:spacing w:after="40" w:before="0" w:line="259" w:lineRule="auto"/>
            </w:pPr>
            <w:r>
              <w:rPr>
                <w:rFonts w:ascii="Calibri" w:hAnsi="Calibri"/>
                <w:b w:val="0"/>
                <w:i w:val="0"/>
                <w:color w:val="212121"/>
                <w:sz w:val="16"/>
              </w:rPr>
              <w:t>Positive (antigenaemia)</w:t>
            </w:r>
          </w:p>
        </w:tc>
        <w:tc>
          <w:tcPr>
            <w:tcW w:type="dxa" w:w="1036"/>
            <w:vAlign w:val="top"/>
          </w:tcPr>
          <w:p>
            <w:pPr>
              <w:spacing w:after="40" w:before="0" w:line="259" w:lineRule="auto"/>
            </w:pPr>
            <w:r>
              <w:rPr>
                <w:rFonts w:ascii="Calibri" w:hAnsi="Calibri"/>
                <w:b w:val="0"/>
                <w:i w:val="0"/>
                <w:color w:val="212121"/>
                <w:sz w:val="16"/>
              </w:rPr>
              <w:t>Detects live (viable) parasites; useful to gauge burden and monitor response to therapy</w:t>
            </w:r>
          </w:p>
        </w:tc>
        <w:tc>
          <w:tcPr>
            <w:tcW w:type="dxa" w:w="1036"/>
            <w:vAlign w:val="top"/>
          </w:tcPr>
          <w:p>
            <w:pPr>
              <w:spacing w:after="40" w:before="0" w:line="259" w:lineRule="auto"/>
            </w:pPr>
            <w:r>
              <w:rPr>
                <w:rFonts w:ascii="Calibri" w:hAnsi="Calibri"/>
                <w:b w:val="0"/>
                <w:i w:val="0"/>
                <w:color w:val="212121"/>
                <w:sz w:val="16"/>
              </w:rPr>
              <w:t>Subarachnoid/racemose NCC, treatment monitoring</w:t>
            </w:r>
          </w:p>
        </w:tc>
        <w:tc>
          <w:tcPr>
            <w:tcW w:type="dxa" w:w="720"/>
            <w:vAlign w:val="top"/>
          </w:tcPr>
          <w:p>
            <w:pPr>
              <w:spacing w:after="40" w:before="0" w:line="259" w:lineRule="auto"/>
            </w:pPr>
            <w:r>
              <w:rPr>
                <w:rFonts w:ascii="Calibri" w:hAnsi="Calibri"/>
                <w:b w:val="0"/>
                <w:i w:val="0"/>
                <w:color w:val="212121"/>
                <w:sz w:val="16"/>
              </w:rPr>
              <w:t>Provoking factors</w:t>
            </w:r>
          </w:p>
        </w:tc>
        <w:tc>
          <w:tcPr>
            <w:tcW w:type="dxa" w:w="720"/>
            <w:vAlign w:val="top"/>
          </w:tcPr>
          <w:p>
            <w:pPr>
              <w:spacing w:after="40" w:before="0" w:line="259" w:lineRule="auto"/>
            </w:pPr>
            <w:r>
              <w:rPr>
                <w:rFonts w:ascii="Calibri" w:hAnsi="Calibri"/>
                <w:b w:val="0"/>
                <w:i w:val="0"/>
                <w:color w:val="212121"/>
                <w:sz w:val="16"/>
              </w:rPr>
              <w:t>Supportive</w:t>
            </w:r>
          </w:p>
        </w:tc>
        <w:tc>
          <w:tcPr>
            <w:tcW w:type="dxa" w:w="720"/>
            <w:vAlign w:val="top"/>
          </w:tcPr>
          <w:p>
            <w:pPr>
              <w:spacing w:after="40" w:before="0" w:line="259" w:lineRule="auto"/>
            </w:pPr>
            <w:r>
              <w:rPr>
                <w:rFonts w:ascii="Calibri" w:hAnsi="Calibri"/>
                <w:b w:val="0"/>
                <w:i w:val="0"/>
                <w:color w:val="212121"/>
                <w:sz w:val="16"/>
              </w:rPr>
              <w:t>Correlates with viable cyst load; falls after successful treatment</w:t>
            </w:r>
          </w:p>
        </w:tc>
      </w:tr>
      <w:tr>
        <w:trPr>
          <w:cantSplit/>
        </w:trPr>
        <w:tc>
          <w:tcPr>
            <w:tcW w:type="dxa" w:w="892"/>
            <w:vAlign w:val="top"/>
          </w:tcPr>
          <w:p>
            <w:pPr>
              <w:spacing w:after="40" w:before="0" w:line="259" w:lineRule="auto"/>
            </w:pPr>
            <w:r>
              <w:rPr>
                <w:rFonts w:ascii="Calibri" w:hAnsi="Calibri"/>
                <w:b w:val="0"/>
                <w:i w:val="0"/>
                <w:color w:val="212121"/>
                <w:sz w:val="16"/>
              </w:rPr>
              <w:t>Investigation</w:t>
            </w:r>
          </w:p>
        </w:tc>
        <w:tc>
          <w:tcPr>
            <w:tcW w:type="dxa" w:w="835"/>
            <w:vAlign w:val="top"/>
          </w:tcPr>
          <w:p>
            <w:pPr>
              <w:spacing w:after="40" w:before="0" w:line="259" w:lineRule="auto"/>
            </w:pPr>
            <w:r>
              <w:rPr>
                <w:rFonts w:ascii="Calibri" w:hAnsi="Calibri"/>
                <w:b w:val="0"/>
                <w:i w:val="0"/>
                <w:color w:val="212121"/>
                <w:sz w:val="16"/>
              </w:rPr>
              <w:t>CSF analysis</w:t>
            </w:r>
          </w:p>
        </w:tc>
        <w:tc>
          <w:tcPr>
            <w:tcW w:type="dxa" w:w="1036"/>
            <w:vAlign w:val="top"/>
          </w:tcPr>
          <w:p>
            <w:pPr>
              <w:spacing w:after="40" w:before="0" w:line="259" w:lineRule="auto"/>
            </w:pPr>
            <w:r>
              <w:rPr>
                <w:rFonts w:ascii="Calibri" w:hAnsi="Calibri"/>
                <w:b w:val="0"/>
                <w:i w:val="0"/>
                <w:color w:val="212121"/>
                <w:sz w:val="16"/>
              </w:rPr>
              <w:t>Lumbar puncture (cell count, glucose, protein)</w:t>
            </w:r>
          </w:p>
        </w:tc>
        <w:tc>
          <w:tcPr>
            <w:tcW w:type="dxa" w:w="892"/>
            <w:vAlign w:val="top"/>
          </w:tcPr>
          <w:p>
            <w:pPr>
              <w:spacing w:after="40" w:before="0" w:line="259" w:lineRule="auto"/>
            </w:pPr>
            <w:r>
              <w:rPr>
                <w:rFonts w:ascii="Calibri" w:hAnsi="Calibri"/>
                <w:b w:val="0"/>
                <w:i w:val="0"/>
                <w:color w:val="212121"/>
                <w:sz w:val="16"/>
              </w:rPr>
              <w:t>Cerebrospinal fluid study</w:t>
            </w:r>
          </w:p>
        </w:tc>
        <w:tc>
          <w:tcPr>
            <w:tcW w:type="dxa" w:w="950"/>
            <w:vAlign w:val="top"/>
          </w:tcPr>
          <w:p>
            <w:pPr>
              <w:spacing w:after="40" w:before="0" w:line="259" w:lineRule="auto"/>
            </w:pPr>
            <w:r>
              <w:rPr>
                <w:rFonts w:ascii="Calibri" w:hAnsi="Calibri"/>
                <w:b w:val="0"/>
                <w:i w:val="0"/>
                <w:color w:val="212121"/>
                <w:sz w:val="16"/>
              </w:rPr>
              <w:t>Normal cells, glucose, protein</w:t>
            </w:r>
          </w:p>
        </w:tc>
        <w:tc>
          <w:tcPr>
            <w:tcW w:type="dxa" w:w="950"/>
            <w:vAlign w:val="top"/>
          </w:tcPr>
          <w:p>
            <w:pPr>
              <w:spacing w:after="40" w:before="0" w:line="259" w:lineRule="auto"/>
            </w:pPr>
            <w:r>
              <w:rPr>
                <w:rFonts w:ascii="Calibri" w:hAnsi="Calibri"/>
                <w:b w:val="0"/>
                <w:i w:val="0"/>
                <w:color w:val="212121"/>
                <w:sz w:val="16"/>
              </w:rPr>
              <w:t>Lymphocytic/eosinophilic pleocytosis, low glucose, raised protein</w:t>
            </w:r>
          </w:p>
        </w:tc>
        <w:tc>
          <w:tcPr>
            <w:tcW w:type="dxa" w:w="1036"/>
            <w:vAlign w:val="top"/>
          </w:tcPr>
          <w:p>
            <w:pPr>
              <w:spacing w:after="40" w:before="0" w:line="259" w:lineRule="auto"/>
            </w:pPr>
            <w:r>
              <w:rPr>
                <w:rFonts w:ascii="Calibri" w:hAnsi="Calibri"/>
                <w:b w:val="0"/>
                <w:i w:val="0"/>
                <w:color w:val="212121"/>
                <w:sz w:val="16"/>
              </w:rPr>
              <w:t>Supports subarachnoid/meningitic NCC and helps exclude TB meningitis; CSF antibody/antigen can be tested</w:t>
            </w:r>
          </w:p>
        </w:tc>
        <w:tc>
          <w:tcPr>
            <w:tcW w:type="dxa" w:w="1036"/>
            <w:vAlign w:val="top"/>
          </w:tcPr>
          <w:p>
            <w:pPr>
              <w:spacing w:after="40" w:before="0" w:line="259" w:lineRule="auto"/>
            </w:pPr>
            <w:r>
              <w:rPr>
                <w:rFonts w:ascii="Calibri" w:hAnsi="Calibri"/>
                <w:b w:val="0"/>
                <w:i w:val="0"/>
                <w:color w:val="212121"/>
                <w:sz w:val="16"/>
              </w:rPr>
              <w:t>Suspected subarachnoid NCC, meningitic presentation</w:t>
            </w:r>
          </w:p>
        </w:tc>
        <w:tc>
          <w:tcPr>
            <w:tcW w:type="dxa" w:w="720"/>
            <w:vAlign w:val="top"/>
          </w:tcPr>
          <w:p>
            <w:pPr>
              <w:spacing w:after="40" w:before="0" w:line="259" w:lineRule="auto"/>
            </w:pPr>
            <w:r>
              <w:rPr>
                <w:rFonts w:ascii="Calibri" w:hAnsi="Calibri"/>
                <w:b w:val="0"/>
                <w:i w:val="0"/>
                <w:color w:val="212121"/>
                <w:sz w:val="16"/>
              </w:rPr>
              <w:t>Provoking factors</w:t>
            </w:r>
          </w:p>
        </w:tc>
        <w:tc>
          <w:tcPr>
            <w:tcW w:type="dxa" w:w="720"/>
            <w:vAlign w:val="top"/>
          </w:tcPr>
          <w:p>
            <w:pPr>
              <w:spacing w:after="40" w:before="0" w:line="259" w:lineRule="auto"/>
            </w:pPr>
            <w:r>
              <w:rPr>
                <w:rFonts w:ascii="Calibri" w:hAnsi="Calibri"/>
                <w:b w:val="0"/>
                <w:i w:val="0"/>
                <w:color w:val="212121"/>
                <w:sz w:val="16"/>
              </w:rPr>
              <w:t>Supportive</w:t>
            </w:r>
          </w:p>
        </w:tc>
        <w:tc>
          <w:tcPr>
            <w:tcW w:type="dxa" w:w="720"/>
            <w:vAlign w:val="top"/>
          </w:tcPr>
          <w:p>
            <w:pPr>
              <w:spacing w:after="40" w:before="0" w:line="259" w:lineRule="auto"/>
            </w:pPr>
            <w:r>
              <w:rPr>
                <w:rFonts w:ascii="Calibri" w:hAnsi="Calibri"/>
                <w:b w:val="0"/>
                <w:i w:val="0"/>
                <w:color w:val="212121"/>
                <w:sz w:val="16"/>
              </w:rPr>
              <w:t>Avoid LP if significant mass effect/raised ICP without imaging clearance</w:t>
            </w:r>
          </w:p>
        </w:tc>
      </w:tr>
      <w:tr>
        <w:trPr>
          <w:cantSplit/>
        </w:trPr>
        <w:tc>
          <w:tcPr>
            <w:tcW w:type="dxa" w:w="892"/>
            <w:vAlign w:val="top"/>
          </w:tcPr>
          <w:p>
            <w:pPr>
              <w:spacing w:after="40" w:before="0" w:line="259" w:lineRule="auto"/>
            </w:pPr>
            <w:r>
              <w:rPr>
                <w:rFonts w:ascii="Calibri" w:hAnsi="Calibri"/>
                <w:b w:val="0"/>
                <w:i w:val="0"/>
                <w:color w:val="212121"/>
                <w:sz w:val="16"/>
              </w:rPr>
              <w:t>Investigation</w:t>
            </w:r>
          </w:p>
        </w:tc>
        <w:tc>
          <w:tcPr>
            <w:tcW w:type="dxa" w:w="835"/>
            <w:vAlign w:val="top"/>
          </w:tcPr>
          <w:p>
            <w:pPr>
              <w:spacing w:after="40" w:before="0" w:line="259" w:lineRule="auto"/>
            </w:pPr>
            <w:r>
              <w:rPr>
                <w:rFonts w:ascii="Calibri" w:hAnsi="Calibri"/>
                <w:b w:val="0"/>
                <w:i w:val="0"/>
                <w:color w:val="212121"/>
                <w:sz w:val="16"/>
              </w:rPr>
              <w:t>Parasitology</w:t>
            </w:r>
          </w:p>
        </w:tc>
        <w:tc>
          <w:tcPr>
            <w:tcW w:type="dxa" w:w="1036"/>
            <w:vAlign w:val="top"/>
          </w:tcPr>
          <w:p>
            <w:pPr>
              <w:spacing w:after="40" w:before="0" w:line="259" w:lineRule="auto"/>
            </w:pPr>
            <w:r>
              <w:rPr>
                <w:rFonts w:ascii="Calibri" w:hAnsi="Calibri"/>
                <w:b w:val="0"/>
                <w:i w:val="0"/>
                <w:color w:val="212121"/>
                <w:sz w:val="16"/>
              </w:rPr>
              <w:t>Stool microscopy / coproantigen for Taenia</w:t>
            </w:r>
          </w:p>
        </w:tc>
        <w:tc>
          <w:tcPr>
            <w:tcW w:type="dxa" w:w="892"/>
            <w:vAlign w:val="top"/>
          </w:tcPr>
          <w:p>
            <w:pPr>
              <w:spacing w:after="40" w:before="0" w:line="259" w:lineRule="auto"/>
            </w:pPr>
            <w:r>
              <w:rPr>
                <w:rFonts w:ascii="Calibri" w:hAnsi="Calibri"/>
                <w:b w:val="0"/>
                <w:i w:val="0"/>
                <w:color w:val="212121"/>
                <w:sz w:val="16"/>
              </w:rPr>
              <w:t>Stool examination</w:t>
            </w:r>
          </w:p>
        </w:tc>
        <w:tc>
          <w:tcPr>
            <w:tcW w:type="dxa" w:w="950"/>
            <w:vAlign w:val="top"/>
          </w:tcPr>
          <w:p>
            <w:pPr>
              <w:spacing w:after="40" w:before="0" w:line="259" w:lineRule="auto"/>
            </w:pPr>
            <w:r>
              <w:rPr>
                <w:rFonts w:ascii="Calibri" w:hAnsi="Calibri"/>
                <w:b w:val="0"/>
                <w:i w:val="0"/>
                <w:color w:val="212121"/>
                <w:sz w:val="16"/>
              </w:rPr>
              <w:t>No eggs/proglottids/antigen</w:t>
            </w:r>
          </w:p>
        </w:tc>
        <w:tc>
          <w:tcPr>
            <w:tcW w:type="dxa" w:w="950"/>
            <w:vAlign w:val="top"/>
          </w:tcPr>
          <w:p>
            <w:pPr>
              <w:spacing w:after="40" w:before="0" w:line="259" w:lineRule="auto"/>
            </w:pPr>
            <w:r>
              <w:rPr>
                <w:rFonts w:ascii="Calibri" w:hAnsi="Calibri"/>
                <w:b w:val="0"/>
                <w:i w:val="0"/>
                <w:color w:val="212121"/>
                <w:sz w:val="16"/>
              </w:rPr>
              <w:t>Taenia eggs, proglottids or positive coproantigen</w:t>
            </w:r>
          </w:p>
        </w:tc>
        <w:tc>
          <w:tcPr>
            <w:tcW w:type="dxa" w:w="1036"/>
            <w:vAlign w:val="top"/>
          </w:tcPr>
          <w:p>
            <w:pPr>
              <w:spacing w:after="40" w:before="0" w:line="259" w:lineRule="auto"/>
            </w:pPr>
            <w:r>
              <w:rPr>
                <w:rFonts w:ascii="Calibri" w:hAnsi="Calibri"/>
                <w:b w:val="0"/>
                <w:i w:val="0"/>
                <w:color w:val="212121"/>
                <w:sz w:val="16"/>
              </w:rPr>
              <w:t>Identifies the intestinal tapeworm carrier (self or household) — the egg reservoir to be treated</w:t>
            </w:r>
          </w:p>
        </w:tc>
        <w:tc>
          <w:tcPr>
            <w:tcW w:type="dxa" w:w="1036"/>
            <w:vAlign w:val="top"/>
          </w:tcPr>
          <w:p>
            <w:pPr>
              <w:spacing w:after="40" w:before="0" w:line="259" w:lineRule="auto"/>
            </w:pPr>
            <w:r>
              <w:rPr>
                <w:rFonts w:ascii="Calibri" w:hAnsi="Calibri"/>
                <w:b w:val="0"/>
                <w:i w:val="0"/>
                <w:color w:val="212121"/>
                <w:sz w:val="16"/>
              </w:rPr>
              <w:t>Index case &amp; household contacts, food handlers</w:t>
            </w:r>
          </w:p>
        </w:tc>
        <w:tc>
          <w:tcPr>
            <w:tcW w:type="dxa" w:w="720"/>
            <w:vAlign w:val="top"/>
          </w:tcPr>
          <w:p>
            <w:pPr>
              <w:spacing w:after="40" w:before="0" w:line="259" w:lineRule="auto"/>
            </w:pPr>
            <w:r>
              <w:rPr>
                <w:rFonts w:ascii="Calibri" w:hAnsi="Calibri"/>
                <w:b w:val="0"/>
                <w:i w:val="0"/>
                <w:color w:val="212121"/>
                <w:sz w:val="16"/>
              </w:rPr>
              <w:t>Hygiene; Food</w:t>
            </w:r>
          </w:p>
        </w:tc>
        <w:tc>
          <w:tcPr>
            <w:tcW w:type="dxa" w:w="720"/>
            <w:vAlign w:val="top"/>
          </w:tcPr>
          <w:p>
            <w:pPr>
              <w:spacing w:after="40" w:before="0" w:line="259" w:lineRule="auto"/>
            </w:pPr>
            <w:r>
              <w:rPr>
                <w:rFonts w:ascii="Calibri" w:hAnsi="Calibri"/>
                <w:b w:val="0"/>
                <w:i w:val="0"/>
                <w:color w:val="212121"/>
                <w:sz w:val="16"/>
              </w:rPr>
              <w:t>Screening</w:t>
            </w:r>
          </w:p>
        </w:tc>
        <w:tc>
          <w:tcPr>
            <w:tcW w:type="dxa" w:w="720"/>
            <w:vAlign w:val="top"/>
          </w:tcPr>
          <w:p>
            <w:pPr>
              <w:spacing w:after="40" w:before="0" w:line="259" w:lineRule="auto"/>
            </w:pPr>
            <w:r>
              <w:rPr>
                <w:rFonts w:ascii="Calibri" w:hAnsi="Calibri"/>
                <w:b w:val="0"/>
                <w:i w:val="0"/>
                <w:color w:val="212121"/>
                <w:sz w:val="16"/>
              </w:rPr>
              <w:t>Treating the carrier interrupts transmission and autoinfection</w:t>
            </w:r>
          </w:p>
        </w:tc>
      </w:tr>
      <w:tr>
        <w:trPr>
          <w:cantSplit/>
        </w:trPr>
        <w:tc>
          <w:tcPr>
            <w:tcW w:type="dxa" w:w="892"/>
            <w:vAlign w:val="top"/>
          </w:tcPr>
          <w:p>
            <w:pPr>
              <w:spacing w:after="40" w:before="0" w:line="259" w:lineRule="auto"/>
            </w:pPr>
            <w:r>
              <w:rPr>
                <w:rFonts w:ascii="Calibri" w:hAnsi="Calibri"/>
                <w:b w:val="0"/>
                <w:i w:val="0"/>
                <w:color w:val="212121"/>
                <w:sz w:val="16"/>
              </w:rPr>
              <w:t>Investigation</w:t>
            </w:r>
          </w:p>
        </w:tc>
        <w:tc>
          <w:tcPr>
            <w:tcW w:type="dxa" w:w="835"/>
            <w:vAlign w:val="top"/>
          </w:tcPr>
          <w:p>
            <w:pPr>
              <w:spacing w:after="40" w:before="0" w:line="259" w:lineRule="auto"/>
            </w:pPr>
            <w:r>
              <w:rPr>
                <w:rFonts w:ascii="Calibri" w:hAnsi="Calibri"/>
                <w:b w:val="0"/>
                <w:i w:val="0"/>
                <w:color w:val="212121"/>
                <w:sz w:val="16"/>
              </w:rPr>
              <w:t>Ophthalmology</w:t>
            </w:r>
          </w:p>
        </w:tc>
        <w:tc>
          <w:tcPr>
            <w:tcW w:type="dxa" w:w="1036"/>
            <w:vAlign w:val="top"/>
          </w:tcPr>
          <w:p>
            <w:pPr>
              <w:spacing w:after="40" w:before="0" w:line="259" w:lineRule="auto"/>
            </w:pPr>
            <w:r>
              <w:rPr>
                <w:rFonts w:ascii="Calibri" w:hAnsi="Calibri"/>
                <w:b w:val="0"/>
                <w:i w:val="0"/>
                <w:color w:val="212121"/>
                <w:sz w:val="16"/>
              </w:rPr>
              <w:t>Dilated fundus examination</w:t>
            </w:r>
          </w:p>
        </w:tc>
        <w:tc>
          <w:tcPr>
            <w:tcW w:type="dxa" w:w="892"/>
            <w:vAlign w:val="top"/>
          </w:tcPr>
          <w:p>
            <w:pPr>
              <w:spacing w:after="40" w:before="0" w:line="259" w:lineRule="auto"/>
            </w:pPr>
            <w:r>
              <w:rPr>
                <w:rFonts w:ascii="Calibri" w:hAnsi="Calibri"/>
                <w:b w:val="0"/>
                <w:i w:val="0"/>
                <w:color w:val="212121"/>
                <w:sz w:val="16"/>
              </w:rPr>
              <w:t>Fundoscopy</w:t>
            </w:r>
          </w:p>
        </w:tc>
        <w:tc>
          <w:tcPr>
            <w:tcW w:type="dxa" w:w="950"/>
            <w:vAlign w:val="top"/>
          </w:tcPr>
          <w:p>
            <w:pPr>
              <w:spacing w:after="40" w:before="0" w:line="259" w:lineRule="auto"/>
            </w:pPr>
            <w:r>
              <w:rPr>
                <w:rFonts w:ascii="Calibri" w:hAnsi="Calibri"/>
                <w:b w:val="0"/>
                <w:i w:val="0"/>
                <w:color w:val="212121"/>
                <w:sz w:val="16"/>
              </w:rPr>
              <w:t>No intraocular cyst</w:t>
            </w:r>
          </w:p>
        </w:tc>
        <w:tc>
          <w:tcPr>
            <w:tcW w:type="dxa" w:w="950"/>
            <w:vAlign w:val="top"/>
          </w:tcPr>
          <w:p>
            <w:pPr>
              <w:spacing w:after="40" w:before="0" w:line="259" w:lineRule="auto"/>
            </w:pPr>
            <w:r>
              <w:rPr>
                <w:rFonts w:ascii="Calibri" w:hAnsi="Calibri"/>
                <w:b w:val="0"/>
                <w:i w:val="0"/>
                <w:color w:val="212121"/>
                <w:sz w:val="16"/>
              </w:rPr>
              <w:t>Subretinal/vitreous cysticercus</w:t>
            </w:r>
          </w:p>
        </w:tc>
        <w:tc>
          <w:tcPr>
            <w:tcW w:type="dxa" w:w="1036"/>
            <w:vAlign w:val="top"/>
          </w:tcPr>
          <w:p>
            <w:pPr>
              <w:spacing w:after="40" w:before="0" w:line="259" w:lineRule="auto"/>
            </w:pPr>
            <w:r>
              <w:rPr>
                <w:rFonts w:ascii="Calibri" w:hAnsi="Calibri"/>
                <w:b w:val="0"/>
                <w:i w:val="0"/>
                <w:color w:val="212121"/>
                <w:sz w:val="16"/>
              </w:rPr>
              <w:t>Mandatory before starting antiparasitic therapy — killing an intraocular cyst can cause severe inflammation and blindness</w:t>
            </w:r>
          </w:p>
        </w:tc>
        <w:tc>
          <w:tcPr>
            <w:tcW w:type="dxa" w:w="1036"/>
            <w:vAlign w:val="top"/>
          </w:tcPr>
          <w:p>
            <w:pPr>
              <w:spacing w:after="40" w:before="0" w:line="259" w:lineRule="auto"/>
            </w:pPr>
            <w:r>
              <w:rPr>
                <w:rFonts w:ascii="Calibri" w:hAnsi="Calibri"/>
                <w:b w:val="0"/>
                <w:i w:val="0"/>
                <w:color w:val="212121"/>
                <w:sz w:val="16"/>
              </w:rPr>
              <w:t>All before cysticidal therapy, visual symptoms</w:t>
            </w:r>
          </w:p>
        </w:tc>
        <w:tc>
          <w:tcPr>
            <w:tcW w:type="dxa" w:w="720"/>
            <w:vAlign w:val="top"/>
          </w:tcPr>
          <w:p>
            <w:pPr>
              <w:spacing w:after="40" w:before="0" w:line="259" w:lineRule="auto"/>
            </w:pPr>
            <w:r>
              <w:rPr>
                <w:rFonts w:ascii="Calibri" w:hAnsi="Calibri"/>
                <w:b w:val="0"/>
                <w:i w:val="0"/>
                <w:color w:val="212121"/>
                <w:sz w:val="16"/>
              </w:rPr>
              <w:t>Provoking factors</w:t>
            </w:r>
          </w:p>
        </w:tc>
        <w:tc>
          <w:tcPr>
            <w:tcW w:type="dxa" w:w="720"/>
            <w:vAlign w:val="top"/>
          </w:tcPr>
          <w:p>
            <w:pPr>
              <w:spacing w:after="40" w:before="0" w:line="259" w:lineRule="auto"/>
            </w:pPr>
            <w:r>
              <w:rPr>
                <w:rFonts w:ascii="Calibri" w:hAnsi="Calibri"/>
                <w:b w:val="0"/>
                <w:i w:val="0"/>
                <w:color w:val="212121"/>
                <w:sz w:val="16"/>
              </w:rPr>
              <w:t>Screening</w:t>
            </w:r>
          </w:p>
        </w:tc>
        <w:tc>
          <w:tcPr>
            <w:tcW w:type="dxa" w:w="720"/>
            <w:vAlign w:val="top"/>
          </w:tcPr>
          <w:p>
            <w:pPr>
              <w:spacing w:after="40" w:before="0" w:line="259" w:lineRule="auto"/>
            </w:pPr>
            <w:r>
              <w:rPr>
                <w:rFonts w:ascii="Calibri" w:hAnsi="Calibri"/>
                <w:b w:val="0"/>
                <w:i w:val="0"/>
                <w:color w:val="212121"/>
                <w:sz w:val="16"/>
              </w:rPr>
              <w:t>Ocular cysts are managed surgically, not with cysticidal drugs</w:t>
            </w:r>
          </w:p>
        </w:tc>
      </w:tr>
      <w:tr>
        <w:trPr>
          <w:cantSplit/>
        </w:trPr>
        <w:tc>
          <w:tcPr>
            <w:tcW w:type="dxa" w:w="892"/>
            <w:vAlign w:val="top"/>
          </w:tcPr>
          <w:p>
            <w:pPr>
              <w:spacing w:after="40" w:before="0" w:line="259" w:lineRule="auto"/>
            </w:pPr>
            <w:r>
              <w:rPr>
                <w:rFonts w:ascii="Calibri" w:hAnsi="Calibri"/>
                <w:b w:val="0"/>
                <w:i w:val="0"/>
                <w:color w:val="212121"/>
                <w:sz w:val="16"/>
              </w:rPr>
              <w:t>Investigation</w:t>
            </w:r>
          </w:p>
        </w:tc>
        <w:tc>
          <w:tcPr>
            <w:tcW w:type="dxa" w:w="835"/>
            <w:vAlign w:val="top"/>
          </w:tcPr>
          <w:p>
            <w:pPr>
              <w:spacing w:after="40" w:before="0" w:line="259" w:lineRule="auto"/>
            </w:pPr>
            <w:r>
              <w:rPr>
                <w:rFonts w:ascii="Calibri" w:hAnsi="Calibri"/>
                <w:b w:val="0"/>
                <w:i w:val="0"/>
                <w:color w:val="212121"/>
                <w:sz w:val="16"/>
              </w:rPr>
              <w:t>Haematology</w:t>
            </w:r>
          </w:p>
        </w:tc>
        <w:tc>
          <w:tcPr>
            <w:tcW w:type="dxa" w:w="1036"/>
            <w:vAlign w:val="top"/>
          </w:tcPr>
          <w:p>
            <w:pPr>
              <w:spacing w:after="40" w:before="0" w:line="259" w:lineRule="auto"/>
            </w:pPr>
            <w:r>
              <w:rPr>
                <w:rFonts w:ascii="Calibri" w:hAnsi="Calibri"/>
                <w:b w:val="0"/>
                <w:i w:val="0"/>
                <w:color w:val="212121"/>
                <w:sz w:val="16"/>
              </w:rPr>
              <w:t>Peripheral eosinophil count</w:t>
            </w:r>
          </w:p>
        </w:tc>
        <w:tc>
          <w:tcPr>
            <w:tcW w:type="dxa" w:w="892"/>
            <w:vAlign w:val="top"/>
          </w:tcPr>
          <w:p>
            <w:pPr>
              <w:spacing w:after="40" w:before="0" w:line="259" w:lineRule="auto"/>
            </w:pPr>
            <w:r>
              <w:rPr>
                <w:rFonts w:ascii="Calibri" w:hAnsi="Calibri"/>
                <w:b w:val="0"/>
                <w:i w:val="0"/>
                <w:color w:val="212121"/>
                <w:sz w:val="16"/>
              </w:rPr>
              <w:t>Complete blood count with differential</w:t>
            </w:r>
          </w:p>
        </w:tc>
        <w:tc>
          <w:tcPr>
            <w:tcW w:type="dxa" w:w="950"/>
            <w:vAlign w:val="top"/>
          </w:tcPr>
          <w:p>
            <w:pPr>
              <w:spacing w:after="40" w:before="0" w:line="259" w:lineRule="auto"/>
            </w:pPr>
            <w:r>
              <w:rPr>
                <w:rFonts w:ascii="Calibri" w:hAnsi="Calibri"/>
                <w:b w:val="0"/>
                <w:i w:val="0"/>
                <w:color w:val="212121"/>
                <w:sz w:val="16"/>
              </w:rPr>
              <w:t>Eosinophils within reference range</w:t>
            </w:r>
          </w:p>
        </w:tc>
        <w:tc>
          <w:tcPr>
            <w:tcW w:type="dxa" w:w="950"/>
            <w:vAlign w:val="top"/>
          </w:tcPr>
          <w:p>
            <w:pPr>
              <w:spacing w:after="40" w:before="0" w:line="259" w:lineRule="auto"/>
            </w:pPr>
            <w:r>
              <w:rPr>
                <w:rFonts w:ascii="Calibri" w:hAnsi="Calibri"/>
                <w:b w:val="0"/>
                <w:i w:val="0"/>
                <w:color w:val="212121"/>
                <w:sz w:val="16"/>
              </w:rPr>
              <w:t>Peripheral eosinophilia (variable)</w:t>
            </w:r>
          </w:p>
        </w:tc>
        <w:tc>
          <w:tcPr>
            <w:tcW w:type="dxa" w:w="1036"/>
            <w:vAlign w:val="top"/>
          </w:tcPr>
          <w:p>
            <w:pPr>
              <w:spacing w:after="40" w:before="0" w:line="259" w:lineRule="auto"/>
            </w:pPr>
            <w:r>
              <w:rPr>
                <w:rFonts w:ascii="Calibri" w:hAnsi="Calibri"/>
                <w:b w:val="0"/>
                <w:i w:val="0"/>
                <w:color w:val="212121"/>
                <w:sz w:val="16"/>
              </w:rPr>
              <w:t>Non-specific and often normal in isolated NCC; more suggestive with disseminated/systemic cysticercosis</w:t>
            </w:r>
          </w:p>
        </w:tc>
        <w:tc>
          <w:tcPr>
            <w:tcW w:type="dxa" w:w="1036"/>
            <w:vAlign w:val="top"/>
          </w:tcPr>
          <w:p>
            <w:pPr>
              <w:spacing w:after="40" w:before="0" w:line="259" w:lineRule="auto"/>
            </w:pPr>
            <w:r>
              <w:rPr>
                <w:rFonts w:ascii="Calibri" w:hAnsi="Calibri"/>
                <w:b w:val="0"/>
                <w:i w:val="0"/>
                <w:color w:val="212121"/>
                <w:sz w:val="16"/>
              </w:rPr>
              <w:t>Disseminated cysticercosis, systemic symptoms</w:t>
            </w:r>
          </w:p>
        </w:tc>
        <w:tc>
          <w:tcPr>
            <w:tcW w:type="dxa" w:w="720"/>
            <w:vAlign w:val="top"/>
          </w:tcPr>
          <w:p>
            <w:pPr>
              <w:spacing w:after="40" w:before="0" w:line="259" w:lineRule="auto"/>
            </w:pPr>
            <w:r>
              <w:rPr>
                <w:rFonts w:ascii="Calibri" w:hAnsi="Calibri"/>
                <w:b w:val="0"/>
                <w:i w:val="0"/>
                <w:color w:val="212121"/>
                <w:sz w:val="16"/>
              </w:rPr>
              <w:t>Provoking factors</w:t>
            </w:r>
          </w:p>
        </w:tc>
        <w:tc>
          <w:tcPr>
            <w:tcW w:type="dxa" w:w="720"/>
            <w:vAlign w:val="top"/>
          </w:tcPr>
          <w:p>
            <w:pPr>
              <w:spacing w:after="40" w:before="0" w:line="259" w:lineRule="auto"/>
            </w:pPr>
            <w:r>
              <w:rPr>
                <w:rFonts w:ascii="Calibri" w:hAnsi="Calibri"/>
                <w:b w:val="0"/>
                <w:i w:val="0"/>
                <w:color w:val="212121"/>
                <w:sz w:val="16"/>
              </w:rPr>
              <w:t>Supportive</w:t>
            </w:r>
          </w:p>
        </w:tc>
        <w:tc>
          <w:tcPr>
            <w:tcW w:type="dxa" w:w="720"/>
            <w:vAlign w:val="top"/>
          </w:tcPr>
          <w:p>
            <w:pPr>
              <w:spacing w:after="40" w:before="0" w:line="259" w:lineRule="auto"/>
            </w:pPr>
            <w:r>
              <w:rPr>
                <w:rFonts w:ascii="Calibri" w:hAnsi="Calibri"/>
                <w:b w:val="0"/>
                <w:i w:val="0"/>
                <w:color w:val="212121"/>
                <w:sz w:val="16"/>
              </w:rPr>
              <w:t>Normal count does not exclude NCC</w:t>
            </w:r>
          </w:p>
        </w:tc>
      </w:tr>
    </w:tbl>
    <w:p>
      <w:pPr>
        <w:spacing w:before="160" w:after="120"/>
      </w:pPr>
      <w:r>
        <w:rPr>
          <w:rFonts w:ascii="Calibri" w:hAnsi="Calibri"/>
          <w:b/>
          <w:i w:val="0"/>
          <w:color w:val="212121"/>
          <w:sz w:val="22"/>
        </w:rPr>
        <w:t>Qualitative THP</w:t>
      </w:r>
    </w:p>
    <w:tbl>
      <w:tblPr>
        <w:tblW w:type="dxa" w:w="9792"/>
        <w:jc w:val="center"/>
        <w:tblLook w:firstColumn="1" w:firstRow="1" w:lastColumn="0" w:lastRow="0" w:noHBand="0" w:noVBand="1" w:val="04A0"/>
        <w:tblBorders>
          <w:top w:val="single" w:sz="4" w:space="0" w:color="BFBFBF"/>
          <w:left w:val="single" w:sz="4" w:space="0" w:color="BFBFBF"/>
          <w:bottom w:val="single" w:sz="4" w:space="0" w:color="BFBFBF"/>
          <w:right w:val="single" w:sz="4" w:space="0" w:color="BFBFBF"/>
          <w:insideH w:val="single" w:sz="4" w:space="0" w:color="BFBFBF"/>
          <w:insideV w:val="single" w:sz="4" w:space="0" w:color="BFBFBF"/>
        </w:tblBorders>
      </w:tblPr>
      <w:tblGrid>
        <w:gridCol w:w="873"/>
        <w:gridCol w:w="873"/>
        <w:gridCol w:w="873"/>
        <w:gridCol w:w="873"/>
        <w:gridCol w:w="873"/>
        <w:gridCol w:w="873"/>
        <w:gridCol w:w="873"/>
        <w:gridCol w:w="873"/>
        <w:gridCol w:w="873"/>
        <w:gridCol w:w="873"/>
        <w:gridCol w:w="873"/>
      </w:tblGrid>
      <w:tr>
        <w:trPr>
          <w:cantSplit/>
        </w:trPr>
        <w:tc>
          <w:tcPr>
            <w:tcW w:type="dxa" w:w="892"/>
            <w:shd w:val="clear" w:color="auto" w:fill="F2F2F2"/>
            <w:vAlign w:val="center"/>
          </w:tcPr>
          <w:p>
            <w:pPr>
              <w:spacing w:after="40" w:before="0" w:line="259" w:lineRule="auto"/>
            </w:pPr>
            <w:r>
              <w:rPr>
                <w:rFonts w:ascii="Calibri" w:hAnsi="Calibri"/>
                <w:b/>
                <w:i w:val="0"/>
                <w:color w:val="212121"/>
                <w:sz w:val="16"/>
              </w:rPr>
              <w:t>Diagnostic Workup</w:t>
            </w:r>
          </w:p>
        </w:tc>
        <w:tc>
          <w:tcPr>
            <w:tcW w:type="dxa" w:w="835"/>
            <w:shd w:val="clear" w:color="auto" w:fill="F2F2F2"/>
            <w:vAlign w:val="center"/>
          </w:tcPr>
          <w:p>
            <w:pPr>
              <w:spacing w:after="40" w:before="0" w:line="259" w:lineRule="auto"/>
            </w:pPr>
            <w:r>
              <w:rPr>
                <w:rFonts w:ascii="Calibri" w:hAnsi="Calibri"/>
                <w:b/>
                <w:i w:val="0"/>
                <w:color w:val="212121"/>
                <w:sz w:val="16"/>
              </w:rPr>
              <w:t>Tests</w:t>
            </w:r>
          </w:p>
        </w:tc>
        <w:tc>
          <w:tcPr>
            <w:tcW w:type="dxa" w:w="950"/>
            <w:shd w:val="clear" w:color="auto" w:fill="F2F2F2"/>
            <w:vAlign w:val="center"/>
          </w:tcPr>
          <w:p>
            <w:pPr>
              <w:spacing w:after="40" w:before="0" w:line="259" w:lineRule="auto"/>
            </w:pPr>
            <w:r>
              <w:rPr>
                <w:rFonts w:ascii="Calibri" w:hAnsi="Calibri"/>
                <w:b/>
                <w:i w:val="0"/>
                <w:color w:val="212121"/>
                <w:sz w:val="16"/>
              </w:rPr>
              <w:t>THP</w:t>
            </w:r>
          </w:p>
        </w:tc>
        <w:tc>
          <w:tcPr>
            <w:tcW w:type="dxa" w:w="979"/>
            <w:shd w:val="clear" w:color="auto" w:fill="F2F2F2"/>
            <w:vAlign w:val="center"/>
          </w:tcPr>
          <w:p>
            <w:pPr>
              <w:spacing w:after="40" w:before="0" w:line="259" w:lineRule="auto"/>
            </w:pPr>
            <w:r>
              <w:rPr>
                <w:rFonts w:ascii="Calibri" w:hAnsi="Calibri"/>
                <w:b/>
                <w:i w:val="0"/>
                <w:color w:val="212121"/>
                <w:sz w:val="16"/>
              </w:rPr>
              <w:t>Parameter</w:t>
            </w:r>
          </w:p>
        </w:tc>
        <w:tc>
          <w:tcPr>
            <w:tcW w:type="dxa" w:w="950"/>
            <w:shd w:val="clear" w:color="auto" w:fill="F2F2F2"/>
            <w:vAlign w:val="center"/>
          </w:tcPr>
          <w:p>
            <w:pPr>
              <w:spacing w:after="40" w:before="0" w:line="259" w:lineRule="auto"/>
            </w:pPr>
            <w:r>
              <w:rPr>
                <w:rFonts w:ascii="Calibri" w:hAnsi="Calibri"/>
                <w:b/>
                <w:i w:val="0"/>
                <w:color w:val="212121"/>
                <w:sz w:val="16"/>
              </w:rPr>
              <w:t>Normal findings</w:t>
            </w:r>
          </w:p>
        </w:tc>
        <w:tc>
          <w:tcPr>
            <w:tcW w:type="dxa" w:w="950"/>
            <w:shd w:val="clear" w:color="auto" w:fill="F2F2F2"/>
            <w:vAlign w:val="center"/>
          </w:tcPr>
          <w:p>
            <w:pPr>
              <w:spacing w:after="40" w:before="0" w:line="259" w:lineRule="auto"/>
            </w:pPr>
            <w:r>
              <w:rPr>
                <w:rFonts w:ascii="Calibri" w:hAnsi="Calibri"/>
                <w:b/>
                <w:i w:val="0"/>
                <w:color w:val="212121"/>
                <w:sz w:val="16"/>
              </w:rPr>
              <w:t>Abnormal findings</w:t>
            </w:r>
          </w:p>
        </w:tc>
        <w:tc>
          <w:tcPr>
            <w:tcW w:type="dxa" w:w="1036"/>
            <w:shd w:val="clear" w:color="auto" w:fill="F2F2F2"/>
            <w:vAlign w:val="center"/>
          </w:tcPr>
          <w:p>
            <w:pPr>
              <w:spacing w:after="40" w:before="0" w:line="259" w:lineRule="auto"/>
            </w:pPr>
            <w:r>
              <w:rPr>
                <w:rFonts w:ascii="Calibri" w:hAnsi="Calibri"/>
                <w:b/>
                <w:i w:val="0"/>
                <w:color w:val="212121"/>
                <w:sz w:val="16"/>
              </w:rPr>
              <w:t>Interpretation</w:t>
            </w:r>
          </w:p>
        </w:tc>
        <w:tc>
          <w:tcPr>
            <w:tcW w:type="dxa" w:w="1036"/>
            <w:shd w:val="clear" w:color="auto" w:fill="F2F2F2"/>
            <w:vAlign w:val="center"/>
          </w:tcPr>
          <w:p>
            <w:pPr>
              <w:spacing w:after="40" w:before="0" w:line="259" w:lineRule="auto"/>
            </w:pPr>
            <w:r>
              <w:rPr>
                <w:rFonts w:ascii="Calibri" w:hAnsi="Calibri"/>
                <w:b/>
                <w:i w:val="0"/>
                <w:color w:val="212121"/>
                <w:sz w:val="16"/>
              </w:rPr>
              <w:t>Profiles</w:t>
            </w:r>
          </w:p>
        </w:tc>
        <w:tc>
          <w:tcPr>
            <w:tcW w:type="dxa" w:w="720"/>
            <w:shd w:val="clear" w:color="auto" w:fill="F2F2F2"/>
            <w:vAlign w:val="center"/>
          </w:tcPr>
          <w:p>
            <w:pPr>
              <w:spacing w:after="40" w:before="0" w:line="259" w:lineRule="auto"/>
            </w:pPr>
            <w:r>
              <w:rPr>
                <w:rFonts w:ascii="Calibri" w:hAnsi="Calibri"/>
                <w:b/>
                <w:i w:val="0"/>
                <w:color w:val="212121"/>
                <w:sz w:val="16"/>
              </w:rPr>
              <w:t>LHP</w:t>
            </w:r>
          </w:p>
        </w:tc>
        <w:tc>
          <w:tcPr>
            <w:tcW w:type="dxa" w:w="720"/>
            <w:shd w:val="clear" w:color="auto" w:fill="F2F2F2"/>
            <w:vAlign w:val="center"/>
          </w:tcPr>
          <w:p>
            <w:pPr>
              <w:spacing w:after="40" w:before="0" w:line="259" w:lineRule="auto"/>
            </w:pPr>
            <w:r>
              <w:rPr>
                <w:rFonts w:ascii="Calibri" w:hAnsi="Calibri"/>
                <w:b/>
                <w:i w:val="0"/>
                <w:color w:val="212121"/>
                <w:sz w:val="16"/>
              </w:rPr>
              <w:t>Importance</w:t>
            </w:r>
          </w:p>
        </w:tc>
        <w:tc>
          <w:tcPr>
            <w:tcW w:type="dxa" w:w="720"/>
            <w:shd w:val="clear" w:color="auto" w:fill="F2F2F2"/>
            <w:vAlign w:val="center"/>
          </w:tcPr>
          <w:p>
            <w:pPr>
              <w:spacing w:after="40" w:before="0" w:line="259" w:lineRule="auto"/>
            </w:pPr>
            <w:r>
              <w:rPr>
                <w:rFonts w:ascii="Calibri" w:hAnsi="Calibri"/>
                <w:b/>
                <w:i w:val="0"/>
                <w:color w:val="212121"/>
                <w:sz w:val="16"/>
              </w:rPr>
              <w:t>Note</w:t>
            </w:r>
          </w:p>
        </w:tc>
      </w:tr>
      <w:tr>
        <w:trPr>
          <w:cantSplit/>
        </w:trPr>
        <w:tc>
          <w:tcPr>
            <w:tcW w:type="dxa" w:w="892"/>
            <w:vAlign w:val="top"/>
          </w:tcPr>
          <w:p>
            <w:pPr>
              <w:spacing w:after="40" w:before="0" w:line="259" w:lineRule="auto"/>
            </w:pPr>
            <w:r>
              <w:rPr>
                <w:rFonts w:ascii="Calibri" w:hAnsi="Calibri"/>
                <w:b w:val="0"/>
                <w:i w:val="0"/>
                <w:color w:val="212121"/>
                <w:sz w:val="16"/>
              </w:rPr>
              <w:t>Clinical Examination</w:t>
            </w:r>
          </w:p>
        </w:tc>
        <w:tc>
          <w:tcPr>
            <w:tcW w:type="dxa" w:w="835"/>
            <w:vAlign w:val="top"/>
          </w:tcPr>
          <w:p>
            <w:pPr>
              <w:spacing w:after="40" w:before="0" w:line="259" w:lineRule="auto"/>
            </w:pPr>
            <w:r>
              <w:rPr>
                <w:rFonts w:ascii="Calibri" w:hAnsi="Calibri"/>
                <w:b w:val="0"/>
                <w:i w:val="0"/>
                <w:color w:val="212121"/>
                <w:sz w:val="16"/>
              </w:rPr>
              <w:t>History</w:t>
            </w:r>
          </w:p>
        </w:tc>
        <w:tc>
          <w:tcPr>
            <w:tcW w:type="dxa" w:w="950"/>
            <w:vAlign w:val="top"/>
          </w:tcPr>
          <w:p>
            <w:pPr>
              <w:spacing w:after="40" w:before="0" w:line="259" w:lineRule="auto"/>
            </w:pPr>
            <w:r>
              <w:rPr>
                <w:rFonts w:ascii="Calibri" w:hAnsi="Calibri"/>
                <w:b w:val="0"/>
                <w:i w:val="0"/>
                <w:color w:val="212121"/>
                <w:sz w:val="16"/>
              </w:rPr>
              <w:t>Chief complaint</w:t>
            </w:r>
          </w:p>
        </w:tc>
        <w:tc>
          <w:tcPr>
            <w:tcW w:type="dxa" w:w="979"/>
            <w:vAlign w:val="top"/>
          </w:tcPr>
          <w:p>
            <w:pPr>
              <w:spacing w:after="40" w:before="0" w:line="259" w:lineRule="auto"/>
            </w:pPr>
            <w:r>
              <w:rPr>
                <w:rFonts w:ascii="Calibri" w:hAnsi="Calibri"/>
                <w:b w:val="0"/>
                <w:i w:val="0"/>
                <w:color w:val="212121"/>
                <w:sz w:val="16"/>
              </w:rPr>
              <w:t>New-onset seizure (focal ± secondary generalisation)</w:t>
            </w:r>
          </w:p>
        </w:tc>
        <w:tc>
          <w:tcPr>
            <w:tcW w:type="dxa" w:w="950"/>
            <w:vAlign w:val="top"/>
          </w:tcPr>
          <w:p>
            <w:pPr>
              <w:spacing w:after="40" w:before="0" w:line="259" w:lineRule="auto"/>
            </w:pPr>
            <w:r>
              <w:rPr>
                <w:rFonts w:ascii="Calibri" w:hAnsi="Calibri"/>
                <w:b w:val="0"/>
                <w:i w:val="0"/>
                <w:color w:val="212121"/>
                <w:sz w:val="16"/>
              </w:rPr>
              <w:t>No seizures</w:t>
            </w:r>
          </w:p>
        </w:tc>
        <w:tc>
          <w:tcPr>
            <w:tcW w:type="dxa" w:w="950"/>
            <w:vAlign w:val="top"/>
          </w:tcPr>
          <w:p>
            <w:pPr>
              <w:spacing w:after="40" w:before="0" w:line="259" w:lineRule="auto"/>
            </w:pPr>
            <w:r>
              <w:rPr>
                <w:rFonts w:ascii="Calibri" w:hAnsi="Calibri"/>
                <w:b w:val="0"/>
                <w:i w:val="0"/>
                <w:color w:val="212121"/>
                <w:sz w:val="16"/>
              </w:rPr>
              <w:t>First or recurrent focal seizure</w:t>
            </w:r>
          </w:p>
        </w:tc>
        <w:tc>
          <w:tcPr>
            <w:tcW w:type="dxa" w:w="1036"/>
            <w:vAlign w:val="top"/>
          </w:tcPr>
          <w:p>
            <w:pPr>
              <w:spacing w:after="40" w:before="0" w:line="259" w:lineRule="auto"/>
            </w:pPr>
            <w:r>
              <w:rPr>
                <w:rFonts w:ascii="Calibri" w:hAnsi="Calibri"/>
                <w:b w:val="0"/>
                <w:i w:val="0"/>
                <w:color w:val="212121"/>
                <w:sz w:val="16"/>
              </w:rPr>
              <w:t>Commonest presentation of parenchymal NCC; a new focal seizure in an endemic-area adult mandates NCC work-up</w:t>
            </w:r>
          </w:p>
        </w:tc>
        <w:tc>
          <w:tcPr>
            <w:tcW w:type="dxa" w:w="1036"/>
            <w:vAlign w:val="top"/>
          </w:tcPr>
          <w:p>
            <w:pPr>
              <w:spacing w:after="40" w:before="0" w:line="259" w:lineRule="auto"/>
            </w:pPr>
            <w:r>
              <w:rPr>
                <w:rFonts w:ascii="Calibri" w:hAnsi="Calibri"/>
                <w:b w:val="0"/>
                <w:i w:val="0"/>
                <w:color w:val="212121"/>
                <w:sz w:val="16"/>
              </w:rPr>
              <w:t>Adults &amp; children with new seizures</w:t>
            </w:r>
          </w:p>
        </w:tc>
        <w:tc>
          <w:tcPr>
            <w:tcW w:type="dxa" w:w="720"/>
            <w:vAlign w:val="top"/>
          </w:tcPr>
          <w:p>
            <w:pPr>
              <w:spacing w:after="40" w:before="0" w:line="259" w:lineRule="auto"/>
            </w:pPr>
            <w:r>
              <w:rPr>
                <w:rFonts w:ascii="Calibri" w:hAnsi="Calibri"/>
                <w:b w:val="0"/>
                <w:i w:val="0"/>
                <w:color w:val="212121"/>
                <w:sz w:val="16"/>
              </w:rPr>
              <w:t>Provoking factors</w:t>
            </w:r>
          </w:p>
        </w:tc>
        <w:tc>
          <w:tcPr>
            <w:tcW w:type="dxa" w:w="720"/>
            <w:vAlign w:val="top"/>
          </w:tcPr>
          <w:p>
            <w:pPr>
              <w:spacing w:after="40" w:before="0" w:line="259" w:lineRule="auto"/>
            </w:pPr>
            <w:r>
              <w:rPr>
                <w:rFonts w:ascii="Calibri" w:hAnsi="Calibri"/>
                <w:b w:val="0"/>
                <w:i w:val="0"/>
                <w:color w:val="212121"/>
                <w:sz w:val="16"/>
              </w:rPr>
              <w:t>Screening</w:t>
            </w:r>
          </w:p>
        </w:tc>
        <w:tc>
          <w:tcPr>
            <w:tcW w:type="dxa" w:w="720"/>
            <w:vAlign w:val="top"/>
          </w:tcPr>
          <w:p>
            <w:pPr>
              <w:spacing w:after="40" w:before="0" w:line="259" w:lineRule="auto"/>
            </w:pPr>
            <w:r>
              <w:rPr>
                <w:rFonts w:ascii="Calibri" w:hAnsi="Calibri"/>
                <w:b w:val="0"/>
                <w:i w:val="0"/>
                <w:color w:val="212121"/>
                <w:sz w:val="16"/>
              </w:rPr>
              <w:t>Document seizure semiology to localise the lesion</w:t>
            </w:r>
          </w:p>
        </w:tc>
      </w:tr>
      <w:tr>
        <w:trPr>
          <w:cantSplit/>
        </w:trPr>
        <w:tc>
          <w:tcPr>
            <w:tcW w:type="dxa" w:w="892"/>
            <w:vAlign w:val="top"/>
          </w:tcPr>
          <w:p>
            <w:pPr>
              <w:spacing w:after="40" w:before="0" w:line="259" w:lineRule="auto"/>
            </w:pPr>
            <w:r>
              <w:rPr>
                <w:rFonts w:ascii="Calibri" w:hAnsi="Calibri"/>
                <w:b w:val="0"/>
                <w:i w:val="0"/>
                <w:color w:val="212121"/>
                <w:sz w:val="16"/>
              </w:rPr>
              <w:t>Clinical Examination</w:t>
            </w:r>
          </w:p>
        </w:tc>
        <w:tc>
          <w:tcPr>
            <w:tcW w:type="dxa" w:w="835"/>
            <w:vAlign w:val="top"/>
          </w:tcPr>
          <w:p>
            <w:pPr>
              <w:spacing w:after="40" w:before="0" w:line="259" w:lineRule="auto"/>
            </w:pPr>
            <w:r>
              <w:rPr>
                <w:rFonts w:ascii="Calibri" w:hAnsi="Calibri"/>
                <w:b w:val="0"/>
                <w:i w:val="0"/>
                <w:color w:val="212121"/>
                <w:sz w:val="16"/>
              </w:rPr>
              <w:t>History</w:t>
            </w:r>
          </w:p>
        </w:tc>
        <w:tc>
          <w:tcPr>
            <w:tcW w:type="dxa" w:w="950"/>
            <w:vAlign w:val="top"/>
          </w:tcPr>
          <w:p>
            <w:pPr>
              <w:spacing w:after="40" w:before="0" w:line="259" w:lineRule="auto"/>
            </w:pPr>
            <w:r>
              <w:rPr>
                <w:rFonts w:ascii="Calibri" w:hAnsi="Calibri"/>
                <w:b w:val="0"/>
                <w:i w:val="0"/>
                <w:color w:val="212121"/>
                <w:sz w:val="16"/>
              </w:rPr>
              <w:t>Exposure history</w:t>
            </w:r>
          </w:p>
        </w:tc>
        <w:tc>
          <w:tcPr>
            <w:tcW w:type="dxa" w:w="979"/>
            <w:vAlign w:val="top"/>
          </w:tcPr>
          <w:p>
            <w:pPr>
              <w:spacing w:after="40" w:before="0" w:line="259" w:lineRule="auto"/>
            </w:pPr>
            <w:r>
              <w:rPr>
                <w:rFonts w:ascii="Calibri" w:hAnsi="Calibri"/>
                <w:b w:val="0"/>
                <w:i w:val="0"/>
                <w:color w:val="212121"/>
                <w:sz w:val="16"/>
              </w:rPr>
              <w:t>Pork intake, endemic residence, tapeworm-carrier contact</w:t>
            </w:r>
          </w:p>
        </w:tc>
        <w:tc>
          <w:tcPr>
            <w:tcW w:type="dxa" w:w="950"/>
            <w:vAlign w:val="top"/>
          </w:tcPr>
          <w:p>
            <w:pPr>
              <w:spacing w:after="40" w:before="0" w:line="259" w:lineRule="auto"/>
            </w:pPr>
            <w:r>
              <w:rPr>
                <w:rFonts w:ascii="Calibri" w:hAnsi="Calibri"/>
                <w:b w:val="0"/>
                <w:i w:val="0"/>
                <w:color w:val="212121"/>
                <w:sz w:val="16"/>
              </w:rPr>
              <w:t>No identifiable exposure</w:t>
            </w:r>
          </w:p>
        </w:tc>
        <w:tc>
          <w:tcPr>
            <w:tcW w:type="dxa" w:w="950"/>
            <w:vAlign w:val="top"/>
          </w:tcPr>
          <w:p>
            <w:pPr>
              <w:spacing w:after="40" w:before="0" w:line="259" w:lineRule="auto"/>
            </w:pPr>
            <w:r>
              <w:rPr>
                <w:rFonts w:ascii="Calibri" w:hAnsi="Calibri"/>
                <w:b w:val="0"/>
                <w:i w:val="0"/>
                <w:color w:val="212121"/>
                <w:sz w:val="16"/>
              </w:rPr>
              <w:t>Endemic residence, pig rearing, or household/food-handler carrier</w:t>
            </w:r>
          </w:p>
        </w:tc>
        <w:tc>
          <w:tcPr>
            <w:tcW w:type="dxa" w:w="1036"/>
            <w:vAlign w:val="top"/>
          </w:tcPr>
          <w:p>
            <w:pPr>
              <w:spacing w:after="40" w:before="0" w:line="259" w:lineRule="auto"/>
            </w:pPr>
            <w:r>
              <w:rPr>
                <w:rFonts w:ascii="Calibri" w:hAnsi="Calibri"/>
                <w:b w:val="0"/>
                <w:i w:val="0"/>
                <w:color w:val="212121"/>
                <w:sz w:val="16"/>
              </w:rPr>
              <w:t>Provides the epidemiological criterion in the Del Brutto framework and guides contact screening</w:t>
            </w:r>
          </w:p>
        </w:tc>
        <w:tc>
          <w:tcPr>
            <w:tcW w:type="dxa" w:w="1036"/>
            <w:vAlign w:val="top"/>
          </w:tcPr>
          <w:p>
            <w:pPr>
              <w:spacing w:after="40" w:before="0" w:line="259" w:lineRule="auto"/>
            </w:pPr>
            <w:r>
              <w:rPr>
                <w:rFonts w:ascii="Calibri" w:hAnsi="Calibri"/>
                <w:b w:val="0"/>
                <w:i w:val="0"/>
                <w:color w:val="212121"/>
                <w:sz w:val="16"/>
              </w:rPr>
              <w:t>Rural/pig-farming residents, contacts of carriers</w:t>
            </w:r>
          </w:p>
        </w:tc>
        <w:tc>
          <w:tcPr>
            <w:tcW w:type="dxa" w:w="720"/>
            <w:vAlign w:val="top"/>
          </w:tcPr>
          <w:p>
            <w:pPr>
              <w:spacing w:after="40" w:before="0" w:line="259" w:lineRule="auto"/>
            </w:pPr>
            <w:r>
              <w:rPr>
                <w:rFonts w:ascii="Calibri" w:hAnsi="Calibri"/>
                <w:b w:val="0"/>
                <w:i w:val="0"/>
                <w:color w:val="212121"/>
                <w:sz w:val="16"/>
              </w:rPr>
              <w:t>Food; Hygiene</w:t>
            </w:r>
          </w:p>
        </w:tc>
        <w:tc>
          <w:tcPr>
            <w:tcW w:type="dxa" w:w="720"/>
            <w:vAlign w:val="top"/>
          </w:tcPr>
          <w:p>
            <w:pPr>
              <w:spacing w:after="40" w:before="0" w:line="259" w:lineRule="auto"/>
            </w:pPr>
            <w:r>
              <w:rPr>
                <w:rFonts w:ascii="Calibri" w:hAnsi="Calibri"/>
                <w:b w:val="0"/>
                <w:i w:val="0"/>
                <w:color w:val="212121"/>
                <w:sz w:val="16"/>
              </w:rPr>
              <w:t>Screening</w:t>
            </w:r>
          </w:p>
        </w:tc>
        <w:tc>
          <w:tcPr>
            <w:tcW w:type="dxa" w:w="720"/>
            <w:vAlign w:val="top"/>
          </w:tcPr>
          <w:p>
            <w:pPr>
              <w:spacing w:after="40" w:before="0" w:line="259" w:lineRule="auto"/>
            </w:pPr>
            <w:r>
              <w:rPr>
                <w:rFonts w:ascii="Calibri" w:hAnsi="Calibri"/>
                <w:b w:val="0"/>
                <w:i w:val="0"/>
                <w:color w:val="212121"/>
                <w:sz w:val="16"/>
              </w:rPr>
              <w:t>Ask specifically about a household member with 'worm segments' in stool</w:t>
            </w:r>
          </w:p>
        </w:tc>
      </w:tr>
      <w:tr>
        <w:trPr>
          <w:cantSplit/>
        </w:trPr>
        <w:tc>
          <w:tcPr>
            <w:tcW w:type="dxa" w:w="892"/>
            <w:vAlign w:val="top"/>
          </w:tcPr>
          <w:p>
            <w:pPr>
              <w:spacing w:after="40" w:before="0" w:line="259" w:lineRule="auto"/>
            </w:pPr>
            <w:r>
              <w:rPr>
                <w:rFonts w:ascii="Calibri" w:hAnsi="Calibri"/>
                <w:b w:val="0"/>
                <w:i w:val="0"/>
                <w:color w:val="212121"/>
                <w:sz w:val="16"/>
              </w:rPr>
              <w:t>Clinical Examination</w:t>
            </w:r>
          </w:p>
        </w:tc>
        <w:tc>
          <w:tcPr>
            <w:tcW w:type="dxa" w:w="835"/>
            <w:vAlign w:val="top"/>
          </w:tcPr>
          <w:p>
            <w:pPr>
              <w:spacing w:after="40" w:before="0" w:line="259" w:lineRule="auto"/>
            </w:pPr>
            <w:r>
              <w:rPr>
                <w:rFonts w:ascii="Calibri" w:hAnsi="Calibri"/>
                <w:b w:val="0"/>
                <w:i w:val="0"/>
                <w:color w:val="212121"/>
                <w:sz w:val="16"/>
              </w:rPr>
              <w:t>History</w:t>
            </w:r>
          </w:p>
        </w:tc>
        <w:tc>
          <w:tcPr>
            <w:tcW w:type="dxa" w:w="950"/>
            <w:vAlign w:val="top"/>
          </w:tcPr>
          <w:p>
            <w:pPr>
              <w:spacing w:after="40" w:before="0" w:line="259" w:lineRule="auto"/>
            </w:pPr>
            <w:r>
              <w:rPr>
                <w:rFonts w:ascii="Calibri" w:hAnsi="Calibri"/>
                <w:b w:val="0"/>
                <w:i w:val="0"/>
                <w:color w:val="212121"/>
                <w:sz w:val="16"/>
              </w:rPr>
              <w:t>Raised-ICP symptoms</w:t>
            </w:r>
          </w:p>
        </w:tc>
        <w:tc>
          <w:tcPr>
            <w:tcW w:type="dxa" w:w="979"/>
            <w:vAlign w:val="top"/>
          </w:tcPr>
          <w:p>
            <w:pPr>
              <w:spacing w:after="40" w:before="0" w:line="259" w:lineRule="auto"/>
            </w:pPr>
            <w:r>
              <w:rPr>
                <w:rFonts w:ascii="Calibri" w:hAnsi="Calibri"/>
                <w:b w:val="0"/>
                <w:i w:val="0"/>
                <w:color w:val="212121"/>
                <w:sz w:val="16"/>
              </w:rPr>
              <w:t>Progressive headache, vomiting, visual obscuration</w:t>
            </w:r>
          </w:p>
        </w:tc>
        <w:tc>
          <w:tcPr>
            <w:tcW w:type="dxa" w:w="950"/>
            <w:vAlign w:val="top"/>
          </w:tcPr>
          <w:p>
            <w:pPr>
              <w:spacing w:after="40" w:before="0" w:line="259" w:lineRule="auto"/>
            </w:pPr>
            <w:r>
              <w:rPr>
                <w:rFonts w:ascii="Calibri" w:hAnsi="Calibri"/>
                <w:b w:val="0"/>
                <w:i w:val="0"/>
                <w:color w:val="212121"/>
                <w:sz w:val="16"/>
              </w:rPr>
              <w:t>Absent</w:t>
            </w:r>
          </w:p>
        </w:tc>
        <w:tc>
          <w:tcPr>
            <w:tcW w:type="dxa" w:w="950"/>
            <w:vAlign w:val="top"/>
          </w:tcPr>
          <w:p>
            <w:pPr>
              <w:spacing w:after="40" w:before="0" w:line="259" w:lineRule="auto"/>
            </w:pPr>
            <w:r>
              <w:rPr>
                <w:rFonts w:ascii="Calibri" w:hAnsi="Calibri"/>
                <w:b w:val="0"/>
                <w:i w:val="0"/>
                <w:color w:val="212121"/>
                <w:sz w:val="16"/>
              </w:rPr>
              <w:t>Present (suggests hydrocephalus/extraparenchymal NCC)</w:t>
            </w:r>
          </w:p>
        </w:tc>
        <w:tc>
          <w:tcPr>
            <w:tcW w:type="dxa" w:w="1036"/>
            <w:vAlign w:val="top"/>
          </w:tcPr>
          <w:p>
            <w:pPr>
              <w:spacing w:after="40" w:before="0" w:line="259" w:lineRule="auto"/>
            </w:pPr>
            <w:r>
              <w:rPr>
                <w:rFonts w:ascii="Calibri" w:hAnsi="Calibri"/>
                <w:b w:val="0"/>
                <w:i w:val="0"/>
                <w:color w:val="212121"/>
                <w:sz w:val="16"/>
              </w:rPr>
              <w:t>Flags the high-risk extraparenchymal/ventricular forms needing urgent imaging and possible surgery</w:t>
            </w:r>
          </w:p>
        </w:tc>
        <w:tc>
          <w:tcPr>
            <w:tcW w:type="dxa" w:w="1036"/>
            <w:vAlign w:val="top"/>
          </w:tcPr>
          <w:p>
            <w:pPr>
              <w:spacing w:after="40" w:before="0" w:line="259" w:lineRule="auto"/>
            </w:pPr>
            <w:r>
              <w:rPr>
                <w:rFonts w:ascii="Calibri" w:hAnsi="Calibri"/>
                <w:b w:val="0"/>
                <w:i w:val="0"/>
                <w:color w:val="212121"/>
                <w:sz w:val="16"/>
              </w:rPr>
              <w:t>Intraventricular/subarachnoid NCC</w:t>
            </w:r>
          </w:p>
        </w:tc>
        <w:tc>
          <w:tcPr>
            <w:tcW w:type="dxa" w:w="720"/>
            <w:vAlign w:val="top"/>
          </w:tcPr>
          <w:p>
            <w:pPr>
              <w:spacing w:after="40" w:before="0" w:line="259" w:lineRule="auto"/>
            </w:pPr>
            <w:r>
              <w:rPr>
                <w:rFonts w:ascii="Calibri" w:hAnsi="Calibri"/>
                <w:b w:val="0"/>
                <w:i w:val="0"/>
                <w:color w:val="212121"/>
                <w:sz w:val="16"/>
              </w:rPr>
              <w:t>Provoking factors</w:t>
            </w:r>
          </w:p>
        </w:tc>
        <w:tc>
          <w:tcPr>
            <w:tcW w:type="dxa" w:w="720"/>
            <w:vAlign w:val="top"/>
          </w:tcPr>
          <w:p>
            <w:pPr>
              <w:spacing w:after="40" w:before="0" w:line="259" w:lineRule="auto"/>
            </w:pPr>
            <w:r>
              <w:rPr>
                <w:rFonts w:ascii="Calibri" w:hAnsi="Calibri"/>
                <w:b w:val="0"/>
                <w:i w:val="0"/>
                <w:color w:val="212121"/>
                <w:sz w:val="16"/>
              </w:rPr>
              <w:t>Prognostic</w:t>
            </w:r>
          </w:p>
        </w:tc>
        <w:tc>
          <w:tcPr>
            <w:tcW w:type="dxa" w:w="720"/>
            <w:vAlign w:val="top"/>
          </w:tcPr>
          <w:p>
            <w:pPr>
              <w:spacing w:after="40" w:before="0" w:line="259" w:lineRule="auto"/>
            </w:pPr>
            <w:r>
              <w:rPr>
                <w:rFonts w:ascii="Calibri" w:hAnsi="Calibri"/>
                <w:b w:val="0"/>
                <w:i w:val="0"/>
                <w:color w:val="212121"/>
                <w:sz w:val="16"/>
              </w:rPr>
              <w:t>A red-flag pattern; do not delay neuroimaging</w:t>
            </w:r>
          </w:p>
        </w:tc>
      </w:tr>
      <w:tr>
        <w:trPr>
          <w:cantSplit/>
        </w:trPr>
        <w:tc>
          <w:tcPr>
            <w:tcW w:type="dxa" w:w="892"/>
            <w:vAlign w:val="top"/>
          </w:tcPr>
          <w:p>
            <w:pPr>
              <w:spacing w:after="40" w:before="0" w:line="259" w:lineRule="auto"/>
            </w:pPr>
            <w:r>
              <w:rPr>
                <w:rFonts w:ascii="Calibri" w:hAnsi="Calibri"/>
                <w:b w:val="0"/>
                <w:i w:val="0"/>
                <w:color w:val="212121"/>
                <w:sz w:val="16"/>
              </w:rPr>
              <w:t>Clinical Examination</w:t>
            </w:r>
          </w:p>
        </w:tc>
        <w:tc>
          <w:tcPr>
            <w:tcW w:type="dxa" w:w="835"/>
            <w:vAlign w:val="top"/>
          </w:tcPr>
          <w:p>
            <w:pPr>
              <w:spacing w:after="40" w:before="0" w:line="259" w:lineRule="auto"/>
            </w:pPr>
            <w:r>
              <w:rPr>
                <w:rFonts w:ascii="Calibri" w:hAnsi="Calibri"/>
                <w:b w:val="0"/>
                <w:i w:val="0"/>
                <w:color w:val="212121"/>
                <w:sz w:val="16"/>
              </w:rPr>
              <w:t>Neurological examination</w:t>
            </w:r>
          </w:p>
        </w:tc>
        <w:tc>
          <w:tcPr>
            <w:tcW w:type="dxa" w:w="950"/>
            <w:vAlign w:val="top"/>
          </w:tcPr>
          <w:p>
            <w:pPr>
              <w:spacing w:after="40" w:before="0" w:line="259" w:lineRule="auto"/>
            </w:pPr>
            <w:r>
              <w:rPr>
                <w:rFonts w:ascii="Calibri" w:hAnsi="Calibri"/>
                <w:b w:val="0"/>
                <w:i w:val="0"/>
                <w:color w:val="212121"/>
                <w:sz w:val="16"/>
              </w:rPr>
              <w:t>Focal deficit assessment</w:t>
            </w:r>
          </w:p>
        </w:tc>
        <w:tc>
          <w:tcPr>
            <w:tcW w:type="dxa" w:w="979"/>
            <w:vAlign w:val="top"/>
          </w:tcPr>
          <w:p>
            <w:pPr>
              <w:spacing w:after="40" w:before="0" w:line="259" w:lineRule="auto"/>
            </w:pPr>
            <w:r>
              <w:rPr>
                <w:rFonts w:ascii="Calibri" w:hAnsi="Calibri"/>
                <w:b w:val="0"/>
                <w:i w:val="0"/>
                <w:color w:val="212121"/>
                <w:sz w:val="16"/>
              </w:rPr>
              <w:t>Motor/sensory/cerebellar/cranial-nerve signs</w:t>
            </w:r>
          </w:p>
        </w:tc>
        <w:tc>
          <w:tcPr>
            <w:tcW w:type="dxa" w:w="950"/>
            <w:vAlign w:val="top"/>
          </w:tcPr>
          <w:p>
            <w:pPr>
              <w:spacing w:after="40" w:before="0" w:line="259" w:lineRule="auto"/>
            </w:pPr>
            <w:r>
              <w:rPr>
                <w:rFonts w:ascii="Calibri" w:hAnsi="Calibri"/>
                <w:b w:val="0"/>
                <w:i w:val="0"/>
                <w:color w:val="212121"/>
                <w:sz w:val="16"/>
              </w:rPr>
              <w:t>No focal deficit</w:t>
            </w:r>
          </w:p>
        </w:tc>
        <w:tc>
          <w:tcPr>
            <w:tcW w:type="dxa" w:w="950"/>
            <w:vAlign w:val="top"/>
          </w:tcPr>
          <w:p>
            <w:pPr>
              <w:spacing w:after="40" w:before="0" w:line="259" w:lineRule="auto"/>
            </w:pPr>
            <w:r>
              <w:rPr>
                <w:rFonts w:ascii="Calibri" w:hAnsi="Calibri"/>
                <w:b w:val="0"/>
                <w:i w:val="0"/>
                <w:color w:val="212121"/>
                <w:sz w:val="16"/>
              </w:rPr>
              <w:t>Hemiparesis, sensory loss, ataxia or cranial-nerve palsy</w:t>
            </w:r>
          </w:p>
        </w:tc>
        <w:tc>
          <w:tcPr>
            <w:tcW w:type="dxa" w:w="1036"/>
            <w:vAlign w:val="top"/>
          </w:tcPr>
          <w:p>
            <w:pPr>
              <w:spacing w:after="40" w:before="0" w:line="259" w:lineRule="auto"/>
            </w:pPr>
            <w:r>
              <w:rPr>
                <w:rFonts w:ascii="Calibri" w:hAnsi="Calibri"/>
                <w:b w:val="0"/>
                <w:i w:val="0"/>
                <w:color w:val="212121"/>
                <w:sz w:val="16"/>
              </w:rPr>
              <w:t>Localises the lesion and detects basal/cisternal or posterior-fossa involvement</w:t>
            </w:r>
          </w:p>
        </w:tc>
        <w:tc>
          <w:tcPr>
            <w:tcW w:type="dxa" w:w="1036"/>
            <w:vAlign w:val="top"/>
          </w:tcPr>
          <w:p>
            <w:pPr>
              <w:spacing w:after="40" w:before="0" w:line="259" w:lineRule="auto"/>
            </w:pPr>
            <w:r>
              <w:rPr>
                <w:rFonts w:ascii="Calibri" w:hAnsi="Calibri"/>
                <w:b w:val="0"/>
                <w:i w:val="0"/>
                <w:color w:val="212121"/>
                <w:sz w:val="16"/>
              </w:rPr>
              <w:t>Focal or extraparenchymal NCC</w:t>
            </w:r>
          </w:p>
        </w:tc>
        <w:tc>
          <w:tcPr>
            <w:tcW w:type="dxa" w:w="720"/>
            <w:vAlign w:val="top"/>
          </w:tcPr>
          <w:p>
            <w:pPr>
              <w:spacing w:after="40" w:before="0" w:line="259" w:lineRule="auto"/>
            </w:pPr>
            <w:r>
              <w:rPr>
                <w:rFonts w:ascii="Calibri" w:hAnsi="Calibri"/>
                <w:b w:val="0"/>
                <w:i w:val="0"/>
                <w:color w:val="212121"/>
                <w:sz w:val="16"/>
              </w:rPr>
              <w:t>Provoking factors</w:t>
            </w:r>
          </w:p>
        </w:tc>
        <w:tc>
          <w:tcPr>
            <w:tcW w:type="dxa" w:w="720"/>
            <w:vAlign w:val="top"/>
          </w:tcPr>
          <w:p>
            <w:pPr>
              <w:spacing w:after="40" w:before="0" w:line="259" w:lineRule="auto"/>
            </w:pPr>
            <w:r>
              <w:rPr>
                <w:rFonts w:ascii="Calibri" w:hAnsi="Calibri"/>
                <w:b w:val="0"/>
                <w:i w:val="0"/>
                <w:color w:val="212121"/>
                <w:sz w:val="16"/>
              </w:rPr>
              <w:t>Diagnostic</w:t>
            </w:r>
          </w:p>
        </w:tc>
        <w:tc>
          <w:tcPr>
            <w:tcW w:type="dxa" w:w="720"/>
            <w:vAlign w:val="top"/>
          </w:tcPr>
          <w:p>
            <w:pPr>
              <w:spacing w:after="40" w:before="0" w:line="259" w:lineRule="auto"/>
            </w:pPr>
            <w:r>
              <w:rPr>
                <w:rFonts w:ascii="Calibri" w:hAnsi="Calibri"/>
                <w:b w:val="0"/>
                <w:i w:val="0"/>
                <w:color w:val="212121"/>
                <w:sz w:val="16"/>
              </w:rPr>
              <w:t>Cranial-nerve palsies suggest basal subarachnoid disease</w:t>
            </w:r>
          </w:p>
        </w:tc>
      </w:tr>
      <w:tr>
        <w:trPr>
          <w:cantSplit/>
        </w:trPr>
        <w:tc>
          <w:tcPr>
            <w:tcW w:type="dxa" w:w="892"/>
            <w:vAlign w:val="top"/>
          </w:tcPr>
          <w:p>
            <w:pPr>
              <w:spacing w:after="40" w:before="0" w:line="259" w:lineRule="auto"/>
            </w:pPr>
            <w:r>
              <w:rPr>
                <w:rFonts w:ascii="Calibri" w:hAnsi="Calibri"/>
                <w:b w:val="0"/>
                <w:i w:val="0"/>
                <w:color w:val="212121"/>
                <w:sz w:val="16"/>
              </w:rPr>
              <w:t>Clinical Examination</w:t>
            </w:r>
          </w:p>
        </w:tc>
        <w:tc>
          <w:tcPr>
            <w:tcW w:type="dxa" w:w="835"/>
            <w:vAlign w:val="top"/>
          </w:tcPr>
          <w:p>
            <w:pPr>
              <w:spacing w:after="40" w:before="0" w:line="259" w:lineRule="auto"/>
            </w:pPr>
            <w:r>
              <w:rPr>
                <w:rFonts w:ascii="Calibri" w:hAnsi="Calibri"/>
                <w:b w:val="0"/>
                <w:i w:val="0"/>
                <w:color w:val="212121"/>
                <w:sz w:val="16"/>
              </w:rPr>
              <w:t>Fundoscopy</w:t>
            </w:r>
          </w:p>
        </w:tc>
        <w:tc>
          <w:tcPr>
            <w:tcW w:type="dxa" w:w="950"/>
            <w:vAlign w:val="top"/>
          </w:tcPr>
          <w:p>
            <w:pPr>
              <w:spacing w:after="40" w:before="0" w:line="259" w:lineRule="auto"/>
            </w:pPr>
            <w:r>
              <w:rPr>
                <w:rFonts w:ascii="Calibri" w:hAnsi="Calibri"/>
                <w:b w:val="0"/>
                <w:i w:val="0"/>
                <w:color w:val="212121"/>
                <w:sz w:val="16"/>
              </w:rPr>
              <w:t>Optic-disc examination</w:t>
            </w:r>
          </w:p>
        </w:tc>
        <w:tc>
          <w:tcPr>
            <w:tcW w:type="dxa" w:w="979"/>
            <w:vAlign w:val="top"/>
          </w:tcPr>
          <w:p>
            <w:pPr>
              <w:spacing w:after="40" w:before="0" w:line="259" w:lineRule="auto"/>
            </w:pPr>
            <w:r>
              <w:rPr>
                <w:rFonts w:ascii="Calibri" w:hAnsi="Calibri"/>
                <w:b w:val="0"/>
                <w:i w:val="0"/>
                <w:color w:val="212121"/>
                <w:sz w:val="16"/>
              </w:rPr>
              <w:t>Papilloedema</w:t>
            </w:r>
          </w:p>
        </w:tc>
        <w:tc>
          <w:tcPr>
            <w:tcW w:type="dxa" w:w="950"/>
            <w:vAlign w:val="top"/>
          </w:tcPr>
          <w:p>
            <w:pPr>
              <w:spacing w:after="40" w:before="0" w:line="259" w:lineRule="auto"/>
            </w:pPr>
            <w:r>
              <w:rPr>
                <w:rFonts w:ascii="Calibri" w:hAnsi="Calibri"/>
                <w:b w:val="0"/>
                <w:i w:val="0"/>
                <w:color w:val="212121"/>
                <w:sz w:val="16"/>
              </w:rPr>
              <w:t>Sharp disc margins</w:t>
            </w:r>
          </w:p>
        </w:tc>
        <w:tc>
          <w:tcPr>
            <w:tcW w:type="dxa" w:w="950"/>
            <w:vAlign w:val="top"/>
          </w:tcPr>
          <w:p>
            <w:pPr>
              <w:spacing w:after="40" w:before="0" w:line="259" w:lineRule="auto"/>
            </w:pPr>
            <w:r>
              <w:rPr>
                <w:rFonts w:ascii="Calibri" w:hAnsi="Calibri"/>
                <w:b w:val="0"/>
                <w:i w:val="0"/>
                <w:color w:val="212121"/>
                <w:sz w:val="16"/>
              </w:rPr>
              <w:t>Papilloedema (raised ICP)</w:t>
            </w:r>
          </w:p>
        </w:tc>
        <w:tc>
          <w:tcPr>
            <w:tcW w:type="dxa" w:w="1036"/>
            <w:vAlign w:val="top"/>
          </w:tcPr>
          <w:p>
            <w:pPr>
              <w:spacing w:after="40" w:before="0" w:line="259" w:lineRule="auto"/>
            </w:pPr>
            <w:r>
              <w:rPr>
                <w:rFonts w:ascii="Calibri" w:hAnsi="Calibri"/>
                <w:b w:val="0"/>
                <w:i w:val="0"/>
                <w:color w:val="212121"/>
                <w:sz w:val="16"/>
              </w:rPr>
              <w:t>Indicates raised intracranial pressure from hydrocephalus/mass effect and also screens for intraocular cysts</w:t>
            </w:r>
          </w:p>
        </w:tc>
        <w:tc>
          <w:tcPr>
            <w:tcW w:type="dxa" w:w="1036"/>
            <w:vAlign w:val="top"/>
          </w:tcPr>
          <w:p>
            <w:pPr>
              <w:spacing w:after="40" w:before="0" w:line="259" w:lineRule="auto"/>
            </w:pPr>
            <w:r>
              <w:rPr>
                <w:rFonts w:ascii="Calibri" w:hAnsi="Calibri"/>
                <w:b w:val="0"/>
                <w:i w:val="0"/>
                <w:color w:val="212121"/>
                <w:sz w:val="16"/>
              </w:rPr>
              <w:t>Hydrocephalic/extraparenchymal NCC</w:t>
            </w:r>
          </w:p>
        </w:tc>
        <w:tc>
          <w:tcPr>
            <w:tcW w:type="dxa" w:w="720"/>
            <w:vAlign w:val="top"/>
          </w:tcPr>
          <w:p>
            <w:pPr>
              <w:spacing w:after="40" w:before="0" w:line="259" w:lineRule="auto"/>
            </w:pPr>
            <w:r>
              <w:rPr>
                <w:rFonts w:ascii="Calibri" w:hAnsi="Calibri"/>
                <w:b w:val="0"/>
                <w:i w:val="0"/>
                <w:color w:val="212121"/>
                <w:sz w:val="16"/>
              </w:rPr>
              <w:t>Provoking factors</w:t>
            </w:r>
          </w:p>
        </w:tc>
        <w:tc>
          <w:tcPr>
            <w:tcW w:type="dxa" w:w="720"/>
            <w:vAlign w:val="top"/>
          </w:tcPr>
          <w:p>
            <w:pPr>
              <w:spacing w:after="40" w:before="0" w:line="259" w:lineRule="auto"/>
            </w:pPr>
            <w:r>
              <w:rPr>
                <w:rFonts w:ascii="Calibri" w:hAnsi="Calibri"/>
                <w:b w:val="0"/>
                <w:i w:val="0"/>
                <w:color w:val="212121"/>
                <w:sz w:val="16"/>
              </w:rPr>
              <w:t>Screening</w:t>
            </w:r>
          </w:p>
        </w:tc>
        <w:tc>
          <w:tcPr>
            <w:tcW w:type="dxa" w:w="720"/>
            <w:vAlign w:val="top"/>
          </w:tcPr>
          <w:p>
            <w:pPr>
              <w:spacing w:after="40" w:before="0" w:line="259" w:lineRule="auto"/>
            </w:pPr>
            <w:r>
              <w:rPr>
                <w:rFonts w:ascii="Calibri" w:hAnsi="Calibri"/>
                <w:b w:val="0"/>
                <w:i w:val="0"/>
                <w:color w:val="212121"/>
                <w:sz w:val="16"/>
              </w:rPr>
              <w:t>Also inspect for a subretinal cyst before cysticidal therapy</w:t>
            </w:r>
          </w:p>
        </w:tc>
      </w:tr>
      <w:tr>
        <w:trPr>
          <w:cantSplit/>
        </w:trPr>
        <w:tc>
          <w:tcPr>
            <w:tcW w:type="dxa" w:w="892"/>
            <w:vAlign w:val="top"/>
          </w:tcPr>
          <w:p>
            <w:pPr>
              <w:spacing w:after="40" w:before="0" w:line="259" w:lineRule="auto"/>
            </w:pPr>
            <w:r>
              <w:rPr>
                <w:rFonts w:ascii="Calibri" w:hAnsi="Calibri"/>
                <w:b w:val="0"/>
                <w:i w:val="0"/>
                <w:color w:val="212121"/>
                <w:sz w:val="16"/>
              </w:rPr>
              <w:t>Clinical Examination</w:t>
            </w:r>
          </w:p>
        </w:tc>
        <w:tc>
          <w:tcPr>
            <w:tcW w:type="dxa" w:w="835"/>
            <w:vAlign w:val="top"/>
          </w:tcPr>
          <w:p>
            <w:pPr>
              <w:spacing w:after="40" w:before="0" w:line="259" w:lineRule="auto"/>
            </w:pPr>
            <w:r>
              <w:rPr>
                <w:rFonts w:ascii="Calibri" w:hAnsi="Calibri"/>
                <w:b w:val="0"/>
                <w:i w:val="0"/>
                <w:color w:val="212121"/>
                <w:sz w:val="16"/>
              </w:rPr>
              <w:t>General examination</w:t>
            </w:r>
          </w:p>
        </w:tc>
        <w:tc>
          <w:tcPr>
            <w:tcW w:type="dxa" w:w="950"/>
            <w:vAlign w:val="top"/>
          </w:tcPr>
          <w:p>
            <w:pPr>
              <w:spacing w:after="40" w:before="0" w:line="259" w:lineRule="auto"/>
            </w:pPr>
            <w:r>
              <w:rPr>
                <w:rFonts w:ascii="Calibri" w:hAnsi="Calibri"/>
                <w:b w:val="0"/>
                <w:i w:val="0"/>
                <w:color w:val="212121"/>
                <w:sz w:val="16"/>
              </w:rPr>
              <w:t>Skin &amp; soft-tissue survey</w:t>
            </w:r>
          </w:p>
        </w:tc>
        <w:tc>
          <w:tcPr>
            <w:tcW w:type="dxa" w:w="979"/>
            <w:vAlign w:val="top"/>
          </w:tcPr>
          <w:p>
            <w:pPr>
              <w:spacing w:after="40" w:before="0" w:line="259" w:lineRule="auto"/>
            </w:pPr>
            <w:r>
              <w:rPr>
                <w:rFonts w:ascii="Calibri" w:hAnsi="Calibri"/>
                <w:b w:val="0"/>
                <w:i w:val="0"/>
                <w:color w:val="212121"/>
                <w:sz w:val="16"/>
              </w:rPr>
              <w:t>Subcutaneous / muscle nodules</w:t>
            </w:r>
          </w:p>
        </w:tc>
        <w:tc>
          <w:tcPr>
            <w:tcW w:type="dxa" w:w="950"/>
            <w:vAlign w:val="top"/>
          </w:tcPr>
          <w:p>
            <w:pPr>
              <w:spacing w:after="40" w:before="0" w:line="259" w:lineRule="auto"/>
            </w:pPr>
            <w:r>
              <w:rPr>
                <w:rFonts w:ascii="Calibri" w:hAnsi="Calibri"/>
                <w:b w:val="0"/>
                <w:i w:val="0"/>
                <w:color w:val="212121"/>
                <w:sz w:val="16"/>
              </w:rPr>
              <w:t>No nodules</w:t>
            </w:r>
          </w:p>
        </w:tc>
        <w:tc>
          <w:tcPr>
            <w:tcW w:type="dxa" w:w="950"/>
            <w:vAlign w:val="top"/>
          </w:tcPr>
          <w:p>
            <w:pPr>
              <w:spacing w:after="40" w:before="0" w:line="259" w:lineRule="auto"/>
            </w:pPr>
            <w:r>
              <w:rPr>
                <w:rFonts w:ascii="Calibri" w:hAnsi="Calibri"/>
                <w:b w:val="0"/>
                <w:i w:val="0"/>
                <w:color w:val="212121"/>
                <w:sz w:val="16"/>
              </w:rPr>
              <w:t>Firm subcutaneous or intramuscular nodules</w:t>
            </w:r>
          </w:p>
        </w:tc>
        <w:tc>
          <w:tcPr>
            <w:tcW w:type="dxa" w:w="1036"/>
            <w:vAlign w:val="top"/>
          </w:tcPr>
          <w:p>
            <w:pPr>
              <w:spacing w:after="40" w:before="0" w:line="259" w:lineRule="auto"/>
            </w:pPr>
            <w:r>
              <w:rPr>
                <w:rFonts w:ascii="Calibri" w:hAnsi="Calibri"/>
                <w:b w:val="0"/>
                <w:i w:val="0"/>
                <w:color w:val="212121"/>
                <w:sz w:val="16"/>
              </w:rPr>
              <w:t>Extra-CNS cysticercosis supports the diagnosis (a minor exposure criterion) and suggests disseminated disease</w:t>
            </w:r>
          </w:p>
        </w:tc>
        <w:tc>
          <w:tcPr>
            <w:tcW w:type="dxa" w:w="1036"/>
            <w:vAlign w:val="top"/>
          </w:tcPr>
          <w:p>
            <w:pPr>
              <w:spacing w:after="40" w:before="0" w:line="259" w:lineRule="auto"/>
            </w:pPr>
            <w:r>
              <w:rPr>
                <w:rFonts w:ascii="Calibri" w:hAnsi="Calibri"/>
                <w:b w:val="0"/>
                <w:i w:val="0"/>
                <w:color w:val="212121"/>
                <w:sz w:val="16"/>
              </w:rPr>
              <w:t>Disseminated cysticercosis</w:t>
            </w:r>
          </w:p>
        </w:tc>
        <w:tc>
          <w:tcPr>
            <w:tcW w:type="dxa" w:w="720"/>
            <w:vAlign w:val="top"/>
          </w:tcPr>
          <w:p>
            <w:pPr>
              <w:spacing w:after="40" w:before="0" w:line="259" w:lineRule="auto"/>
            </w:pPr>
            <w:r>
              <w:rPr>
                <w:rFonts w:ascii="Calibri" w:hAnsi="Calibri"/>
                <w:b w:val="0"/>
                <w:i w:val="0"/>
                <w:color w:val="212121"/>
                <w:sz w:val="16"/>
              </w:rPr>
              <w:t>Provoking factors</w:t>
            </w:r>
          </w:p>
        </w:tc>
        <w:tc>
          <w:tcPr>
            <w:tcW w:type="dxa" w:w="720"/>
            <w:vAlign w:val="top"/>
          </w:tcPr>
          <w:p>
            <w:pPr>
              <w:spacing w:after="40" w:before="0" w:line="259" w:lineRule="auto"/>
            </w:pPr>
            <w:r>
              <w:rPr>
                <w:rFonts w:ascii="Calibri" w:hAnsi="Calibri"/>
                <w:b w:val="0"/>
                <w:i w:val="0"/>
                <w:color w:val="212121"/>
                <w:sz w:val="16"/>
              </w:rPr>
              <w:t>Supportive</w:t>
            </w:r>
          </w:p>
        </w:tc>
        <w:tc>
          <w:tcPr>
            <w:tcW w:type="dxa" w:w="720"/>
            <w:vAlign w:val="top"/>
          </w:tcPr>
          <w:p>
            <w:pPr>
              <w:spacing w:after="40" w:before="0" w:line="259" w:lineRule="auto"/>
            </w:pPr>
            <w:r>
              <w:rPr>
                <w:rFonts w:ascii="Calibri" w:hAnsi="Calibri"/>
                <w:b w:val="0"/>
                <w:i w:val="0"/>
                <w:color w:val="212121"/>
                <w:sz w:val="16"/>
              </w:rPr>
              <w:t>Nodule biopsy can give an absolute (histological) diagnosis</w:t>
            </w:r>
          </w:p>
        </w:tc>
      </w:tr>
      <w:tr>
        <w:trPr>
          <w:cantSplit/>
        </w:trPr>
        <w:tc>
          <w:tcPr>
            <w:tcW w:type="dxa" w:w="892"/>
            <w:vAlign w:val="top"/>
          </w:tcPr>
          <w:p>
            <w:pPr>
              <w:spacing w:after="40" w:before="0" w:line="259" w:lineRule="auto"/>
            </w:pPr>
            <w:r>
              <w:rPr>
                <w:rFonts w:ascii="Calibri" w:hAnsi="Calibri"/>
                <w:b w:val="0"/>
                <w:i w:val="0"/>
                <w:color w:val="212121"/>
                <w:sz w:val="16"/>
              </w:rPr>
              <w:t>Clinical Examination</w:t>
            </w:r>
          </w:p>
        </w:tc>
        <w:tc>
          <w:tcPr>
            <w:tcW w:type="dxa" w:w="835"/>
            <w:vAlign w:val="top"/>
          </w:tcPr>
          <w:p>
            <w:pPr>
              <w:spacing w:after="40" w:before="0" w:line="259" w:lineRule="auto"/>
            </w:pPr>
            <w:r>
              <w:rPr>
                <w:rFonts w:ascii="Calibri" w:hAnsi="Calibri"/>
                <w:b w:val="0"/>
                <w:i w:val="0"/>
                <w:color w:val="212121"/>
                <w:sz w:val="16"/>
              </w:rPr>
              <w:t>Mental state</w:t>
            </w:r>
          </w:p>
        </w:tc>
        <w:tc>
          <w:tcPr>
            <w:tcW w:type="dxa" w:w="950"/>
            <w:vAlign w:val="top"/>
          </w:tcPr>
          <w:p>
            <w:pPr>
              <w:spacing w:after="40" w:before="0" w:line="259" w:lineRule="auto"/>
            </w:pPr>
            <w:r>
              <w:rPr>
                <w:rFonts w:ascii="Calibri" w:hAnsi="Calibri"/>
                <w:b w:val="0"/>
                <w:i w:val="0"/>
                <w:color w:val="212121"/>
                <w:sz w:val="16"/>
              </w:rPr>
              <w:t>Cognitive &amp; psychiatric screen</w:t>
            </w:r>
          </w:p>
        </w:tc>
        <w:tc>
          <w:tcPr>
            <w:tcW w:type="dxa" w:w="979"/>
            <w:vAlign w:val="top"/>
          </w:tcPr>
          <w:p>
            <w:pPr>
              <w:spacing w:after="40" w:before="0" w:line="259" w:lineRule="auto"/>
            </w:pPr>
            <w:r>
              <w:rPr>
                <w:rFonts w:ascii="Calibri" w:hAnsi="Calibri"/>
                <w:b w:val="0"/>
                <w:i w:val="0"/>
                <w:color w:val="212121"/>
                <w:sz w:val="16"/>
              </w:rPr>
              <w:t>Memory, mood, psychosis screen</w:t>
            </w:r>
          </w:p>
        </w:tc>
        <w:tc>
          <w:tcPr>
            <w:tcW w:type="dxa" w:w="950"/>
            <w:vAlign w:val="top"/>
          </w:tcPr>
          <w:p>
            <w:pPr>
              <w:spacing w:after="40" w:before="0" w:line="259" w:lineRule="auto"/>
            </w:pPr>
            <w:r>
              <w:rPr>
                <w:rFonts w:ascii="Calibri" w:hAnsi="Calibri"/>
                <w:b w:val="0"/>
                <w:i w:val="0"/>
                <w:color w:val="212121"/>
                <w:sz w:val="16"/>
              </w:rPr>
              <w:t>Normal cognition &amp; mood</w:t>
            </w:r>
          </w:p>
        </w:tc>
        <w:tc>
          <w:tcPr>
            <w:tcW w:type="dxa" w:w="950"/>
            <w:vAlign w:val="top"/>
          </w:tcPr>
          <w:p>
            <w:pPr>
              <w:spacing w:after="40" w:before="0" w:line="259" w:lineRule="auto"/>
            </w:pPr>
            <w:r>
              <w:rPr>
                <w:rFonts w:ascii="Calibri" w:hAnsi="Calibri"/>
                <w:b w:val="0"/>
                <w:i w:val="0"/>
                <w:color w:val="212121"/>
                <w:sz w:val="16"/>
              </w:rPr>
              <w:t>Cognitive impairment, depression, anxiety or psychosis</w:t>
            </w:r>
          </w:p>
        </w:tc>
        <w:tc>
          <w:tcPr>
            <w:tcW w:type="dxa" w:w="1036"/>
            <w:vAlign w:val="top"/>
          </w:tcPr>
          <w:p>
            <w:pPr>
              <w:spacing w:after="40" w:before="0" w:line="259" w:lineRule="auto"/>
            </w:pPr>
            <w:r>
              <w:rPr>
                <w:rFonts w:ascii="Calibri" w:hAnsi="Calibri"/>
                <w:b w:val="0"/>
                <w:i w:val="0"/>
                <w:color w:val="212121"/>
                <w:sz w:val="16"/>
              </w:rPr>
              <w:t>Psychiatric and cognitive morbidity are common in NCC and epilepsy and are frequently missed</w:t>
            </w:r>
          </w:p>
        </w:tc>
        <w:tc>
          <w:tcPr>
            <w:tcW w:type="dxa" w:w="1036"/>
            <w:vAlign w:val="top"/>
          </w:tcPr>
          <w:p>
            <w:pPr>
              <w:spacing w:after="40" w:before="0" w:line="259" w:lineRule="auto"/>
            </w:pPr>
            <w:r>
              <w:rPr>
                <w:rFonts w:ascii="Calibri" w:hAnsi="Calibri"/>
                <w:b w:val="0"/>
                <w:i w:val="0"/>
                <w:color w:val="212121"/>
                <w:sz w:val="16"/>
              </w:rPr>
              <w:t>Chronic/multiple-lesion NCC, epilepsy patients</w:t>
            </w:r>
          </w:p>
        </w:tc>
        <w:tc>
          <w:tcPr>
            <w:tcW w:type="dxa" w:w="720"/>
            <w:vAlign w:val="top"/>
          </w:tcPr>
          <w:p>
            <w:pPr>
              <w:spacing w:after="40" w:before="0" w:line="259" w:lineRule="auto"/>
            </w:pPr>
            <w:r>
              <w:rPr>
                <w:rFonts w:ascii="Calibri" w:hAnsi="Calibri"/>
                <w:b w:val="0"/>
                <w:i w:val="0"/>
                <w:color w:val="212121"/>
                <w:sz w:val="16"/>
              </w:rPr>
              <w:t>Mental health</w:t>
            </w:r>
          </w:p>
        </w:tc>
        <w:tc>
          <w:tcPr>
            <w:tcW w:type="dxa" w:w="720"/>
            <w:vAlign w:val="top"/>
          </w:tcPr>
          <w:p>
            <w:pPr>
              <w:spacing w:after="40" w:before="0" w:line="259" w:lineRule="auto"/>
            </w:pPr>
            <w:r>
              <w:rPr>
                <w:rFonts w:ascii="Calibri" w:hAnsi="Calibri"/>
                <w:b w:val="0"/>
                <w:i w:val="0"/>
                <w:color w:val="212121"/>
                <w:sz w:val="16"/>
              </w:rPr>
              <w:t>Prognostic</w:t>
            </w:r>
          </w:p>
        </w:tc>
        <w:tc>
          <w:tcPr>
            <w:tcW w:type="dxa" w:w="720"/>
            <w:vAlign w:val="top"/>
          </w:tcPr>
          <w:p>
            <w:pPr>
              <w:spacing w:after="40" w:before="0" w:line="259" w:lineRule="auto"/>
            </w:pPr>
            <w:r>
              <w:rPr>
                <w:rFonts w:ascii="Calibri" w:hAnsi="Calibri"/>
                <w:b w:val="0"/>
                <w:i w:val="0"/>
                <w:color w:val="212121"/>
                <w:sz w:val="16"/>
              </w:rPr>
              <w:t>Screen routinely; affects adherence and quality of life</w:t>
            </w:r>
          </w:p>
        </w:tc>
      </w:tr>
      <w:tr>
        <w:trPr>
          <w:cantSplit/>
        </w:trPr>
        <w:tc>
          <w:tcPr>
            <w:tcW w:type="dxa" w:w="892"/>
            <w:vAlign w:val="top"/>
          </w:tcPr>
          <w:p>
            <w:pPr>
              <w:spacing w:after="40" w:before="0" w:line="259" w:lineRule="auto"/>
            </w:pPr>
            <w:r>
              <w:rPr>
                <w:rFonts w:ascii="Calibri" w:hAnsi="Calibri"/>
                <w:b w:val="0"/>
                <w:i w:val="0"/>
                <w:color w:val="212121"/>
                <w:sz w:val="16"/>
              </w:rPr>
              <w:t>Clinical Examination</w:t>
            </w:r>
          </w:p>
        </w:tc>
        <w:tc>
          <w:tcPr>
            <w:tcW w:type="dxa" w:w="835"/>
            <w:vAlign w:val="top"/>
          </w:tcPr>
          <w:p>
            <w:pPr>
              <w:spacing w:after="40" w:before="0" w:line="259" w:lineRule="auto"/>
            </w:pPr>
            <w:r>
              <w:rPr>
                <w:rFonts w:ascii="Calibri" w:hAnsi="Calibri"/>
                <w:b w:val="0"/>
                <w:i w:val="0"/>
                <w:color w:val="212121"/>
                <w:sz w:val="16"/>
              </w:rPr>
              <w:t>Paediatric assessment</w:t>
            </w:r>
          </w:p>
        </w:tc>
        <w:tc>
          <w:tcPr>
            <w:tcW w:type="dxa" w:w="950"/>
            <w:vAlign w:val="top"/>
          </w:tcPr>
          <w:p>
            <w:pPr>
              <w:spacing w:after="40" w:before="0" w:line="259" w:lineRule="auto"/>
            </w:pPr>
            <w:r>
              <w:rPr>
                <w:rFonts w:ascii="Calibri" w:hAnsi="Calibri"/>
                <w:b w:val="0"/>
                <w:i w:val="0"/>
                <w:color w:val="212121"/>
                <w:sz w:val="16"/>
              </w:rPr>
              <w:t>Development &amp; head circumference</w:t>
            </w:r>
          </w:p>
        </w:tc>
        <w:tc>
          <w:tcPr>
            <w:tcW w:type="dxa" w:w="979"/>
            <w:vAlign w:val="top"/>
          </w:tcPr>
          <w:p>
            <w:pPr>
              <w:spacing w:after="40" w:before="0" w:line="259" w:lineRule="auto"/>
            </w:pPr>
            <w:r>
              <w:rPr>
                <w:rFonts w:ascii="Calibri" w:hAnsi="Calibri"/>
                <w:b w:val="0"/>
                <w:i w:val="0"/>
                <w:color w:val="212121"/>
                <w:sz w:val="16"/>
              </w:rPr>
              <w:t>Milestones, head size, conscious level</w:t>
            </w:r>
          </w:p>
        </w:tc>
        <w:tc>
          <w:tcPr>
            <w:tcW w:type="dxa" w:w="950"/>
            <w:vAlign w:val="top"/>
          </w:tcPr>
          <w:p>
            <w:pPr>
              <w:spacing w:after="40" w:before="0" w:line="259" w:lineRule="auto"/>
            </w:pPr>
            <w:r>
              <w:rPr>
                <w:rFonts w:ascii="Calibri" w:hAnsi="Calibri"/>
                <w:b w:val="0"/>
                <w:i w:val="0"/>
                <w:color w:val="212121"/>
                <w:sz w:val="16"/>
              </w:rPr>
              <w:t>Age-appropriate development</w:t>
            </w:r>
          </w:p>
        </w:tc>
        <w:tc>
          <w:tcPr>
            <w:tcW w:type="dxa" w:w="950"/>
            <w:vAlign w:val="top"/>
          </w:tcPr>
          <w:p>
            <w:pPr>
              <w:spacing w:after="40" w:before="0" w:line="259" w:lineRule="auto"/>
            </w:pPr>
            <w:r>
              <w:rPr>
                <w:rFonts w:ascii="Calibri" w:hAnsi="Calibri"/>
                <w:b w:val="0"/>
                <w:i w:val="0"/>
                <w:color w:val="212121"/>
                <w:sz w:val="16"/>
              </w:rPr>
              <w:t>Regression, macrocephaly (hydrocephalus) or encephalopathy</w:t>
            </w:r>
          </w:p>
        </w:tc>
        <w:tc>
          <w:tcPr>
            <w:tcW w:type="dxa" w:w="1036"/>
            <w:vAlign w:val="top"/>
          </w:tcPr>
          <w:p>
            <w:pPr>
              <w:spacing w:after="40" w:before="0" w:line="259" w:lineRule="auto"/>
            </w:pPr>
            <w:r>
              <w:rPr>
                <w:rFonts w:ascii="Calibri" w:hAnsi="Calibri"/>
                <w:b w:val="0"/>
                <w:i w:val="0"/>
                <w:color w:val="212121"/>
                <w:sz w:val="16"/>
              </w:rPr>
              <w:t>Detects hydrocephalus and cysticercotic encephalitis, which are more frequent/severe in children</w:t>
            </w:r>
          </w:p>
        </w:tc>
        <w:tc>
          <w:tcPr>
            <w:tcW w:type="dxa" w:w="1036"/>
            <w:vAlign w:val="top"/>
          </w:tcPr>
          <w:p>
            <w:pPr>
              <w:spacing w:after="40" w:before="0" w:line="259" w:lineRule="auto"/>
            </w:pPr>
            <w:r>
              <w:rPr>
                <w:rFonts w:ascii="Calibri" w:hAnsi="Calibri"/>
                <w:b w:val="0"/>
                <w:i w:val="0"/>
                <w:color w:val="212121"/>
                <w:sz w:val="16"/>
              </w:rPr>
              <w:t>Children with NCC</w:t>
            </w:r>
          </w:p>
        </w:tc>
        <w:tc>
          <w:tcPr>
            <w:tcW w:type="dxa" w:w="720"/>
            <w:vAlign w:val="top"/>
          </w:tcPr>
          <w:p>
            <w:pPr>
              <w:spacing w:after="40" w:before="0" w:line="259" w:lineRule="auto"/>
            </w:pPr>
            <w:r>
              <w:rPr>
                <w:rFonts w:ascii="Calibri" w:hAnsi="Calibri"/>
                <w:b w:val="0"/>
                <w:i w:val="0"/>
                <w:color w:val="212121"/>
                <w:sz w:val="16"/>
              </w:rPr>
              <w:t>Provoking factors</w:t>
            </w:r>
          </w:p>
        </w:tc>
        <w:tc>
          <w:tcPr>
            <w:tcW w:type="dxa" w:w="720"/>
            <w:vAlign w:val="top"/>
          </w:tcPr>
          <w:p>
            <w:pPr>
              <w:spacing w:after="40" w:before="0" w:line="259" w:lineRule="auto"/>
            </w:pPr>
            <w:r>
              <w:rPr>
                <w:rFonts w:ascii="Calibri" w:hAnsi="Calibri"/>
                <w:b w:val="0"/>
                <w:i w:val="0"/>
                <w:color w:val="212121"/>
                <w:sz w:val="16"/>
              </w:rPr>
              <w:t>Prognostic</w:t>
            </w:r>
          </w:p>
        </w:tc>
        <w:tc>
          <w:tcPr>
            <w:tcW w:type="dxa" w:w="720"/>
            <w:vAlign w:val="top"/>
          </w:tcPr>
          <w:p>
            <w:pPr>
              <w:spacing w:after="40" w:before="0" w:line="259" w:lineRule="auto"/>
            </w:pPr>
            <w:r>
              <w:rPr>
                <w:rFonts w:ascii="Calibri" w:hAnsi="Calibri"/>
                <w:b w:val="0"/>
                <w:i w:val="0"/>
                <w:color w:val="212121"/>
                <w:sz w:val="16"/>
              </w:rPr>
              <w:t>Cysticercotic encephalitis is a paediatric emergency</w:t>
            </w:r>
          </w:p>
        </w:tc>
      </w:tr>
    </w:tbl>
    <w:p>
      <w:pPr>
        <w:spacing w:before="200" w:after="120"/>
      </w:pPr>
      <w:r>
        <w:rPr>
          <w:rFonts w:ascii="Calibri" w:hAnsi="Calibri"/>
          <w:b/>
          <w:i w:val="0"/>
          <w:color w:val="212121"/>
          <w:sz w:val="25"/>
        </w:rPr>
        <w:t>Clinical features</w:t>
      </w:r>
    </w:p>
    <w:p>
      <w:pPr>
        <w:spacing w:before="160" w:after="120"/>
      </w:pPr>
      <w:r>
        <w:rPr>
          <w:rFonts w:ascii="Calibri" w:hAnsi="Calibri"/>
          <w:b/>
          <w:i w:val="0"/>
          <w:color w:val="212121"/>
          <w:sz w:val="22"/>
        </w:rPr>
        <w:t>Symptoms</w:t>
      </w:r>
    </w:p>
    <w:tbl>
      <w:tblPr>
        <w:tblW w:type="dxa" w:w="9604"/>
        <w:jc w:val="center"/>
        <w:tblLook w:firstColumn="1" w:firstRow="1" w:lastColumn="0" w:lastRow="0" w:noHBand="0" w:noVBand="1" w:val="04A0"/>
        <w:tblBorders>
          <w:top w:val="single" w:sz="4" w:space="0" w:color="BFBFBF"/>
          <w:left w:val="single" w:sz="4" w:space="0" w:color="BFBFBF"/>
          <w:bottom w:val="single" w:sz="4" w:space="0" w:color="BFBFBF"/>
          <w:right w:val="single" w:sz="4" w:space="0" w:color="BFBFBF"/>
          <w:insideH w:val="single" w:sz="4" w:space="0" w:color="BFBFBF"/>
          <w:insideV w:val="single" w:sz="4" w:space="0" w:color="BFBFBF"/>
        </w:tblBorders>
      </w:tblPr>
      <w:tblGrid>
        <w:gridCol w:w="3202"/>
        <w:gridCol w:w="3202"/>
        <w:gridCol w:w="3202"/>
      </w:tblGrid>
      <w:tr>
        <w:trPr>
          <w:cantSplit/>
        </w:trPr>
        <w:tc>
          <w:tcPr>
            <w:tcW w:type="dxa" w:w="2304"/>
            <w:shd w:val="clear" w:color="auto" w:fill="F2F2F2"/>
            <w:vAlign w:val="center"/>
          </w:tcPr>
          <w:p>
            <w:pPr>
              <w:spacing w:after="40" w:before="0" w:line="259" w:lineRule="auto"/>
            </w:pPr>
            <w:r>
              <w:rPr>
                <w:rFonts w:ascii="Calibri" w:hAnsi="Calibri"/>
                <w:b/>
                <w:i w:val="0"/>
                <w:color w:val="212121"/>
                <w:sz w:val="19"/>
              </w:rPr>
              <w:t>Symptom</w:t>
            </w:r>
          </w:p>
        </w:tc>
        <w:tc>
          <w:tcPr>
            <w:tcW w:type="dxa" w:w="1584"/>
            <w:shd w:val="clear" w:color="auto" w:fill="F2F2F2"/>
            <w:vAlign w:val="center"/>
          </w:tcPr>
          <w:p>
            <w:pPr>
              <w:spacing w:after="40" w:before="0" w:line="259" w:lineRule="auto"/>
            </w:pPr>
            <w:r>
              <w:rPr>
                <w:rFonts w:ascii="Calibri" w:hAnsi="Calibri"/>
                <w:b/>
                <w:i w:val="0"/>
                <w:color w:val="212121"/>
                <w:sz w:val="19"/>
              </w:rPr>
              <w:t>Type</w:t>
            </w:r>
          </w:p>
        </w:tc>
        <w:tc>
          <w:tcPr>
            <w:tcW w:type="dxa" w:w="5716"/>
            <w:shd w:val="clear" w:color="auto" w:fill="F2F2F2"/>
            <w:vAlign w:val="center"/>
          </w:tcPr>
          <w:p>
            <w:pPr>
              <w:spacing w:after="40" w:before="0" w:line="259" w:lineRule="auto"/>
            </w:pPr>
            <w:r>
              <w:rPr>
                <w:rFonts w:ascii="Calibri" w:hAnsi="Calibri"/>
                <w:b/>
                <w:i w:val="0"/>
                <w:color w:val="212121"/>
                <w:sz w:val="19"/>
              </w:rPr>
              <w:t>Note</w:t>
            </w:r>
          </w:p>
        </w:tc>
      </w:tr>
      <w:tr>
        <w:trPr>
          <w:cantSplit/>
        </w:trPr>
        <w:tc>
          <w:tcPr>
            <w:tcW w:type="dxa" w:w="2304"/>
            <w:vAlign w:val="top"/>
          </w:tcPr>
          <w:p>
            <w:pPr>
              <w:spacing w:after="40" w:before="0" w:line="259" w:lineRule="auto"/>
            </w:pPr>
            <w:r>
              <w:rPr>
                <w:rFonts w:ascii="Calibri" w:hAnsi="Calibri"/>
                <w:b/>
                <w:i w:val="0"/>
                <w:color w:val="212121"/>
                <w:sz w:val="19"/>
              </w:rPr>
              <w:t>Seizures (focal, often secondarily generalised)</w:t>
            </w:r>
          </w:p>
        </w:tc>
        <w:tc>
          <w:tcPr>
            <w:tcW w:type="dxa" w:w="1584"/>
            <w:vAlign w:val="top"/>
          </w:tcPr>
          <w:p>
            <w:pPr>
              <w:spacing w:after="40" w:before="0" w:line="259" w:lineRule="auto"/>
            </w:pPr>
            <w:r>
              <w:rPr>
                <w:rFonts w:ascii="Calibri" w:hAnsi="Calibri"/>
                <w:b w:val="0"/>
                <w:i w:val="0"/>
                <w:color w:val="212121"/>
                <w:sz w:val="19"/>
              </w:rPr>
              <w:t>Common</w:t>
            </w:r>
          </w:p>
        </w:tc>
        <w:tc>
          <w:tcPr>
            <w:tcW w:type="dxa" w:w="5716"/>
            <w:vAlign w:val="top"/>
          </w:tcPr>
          <w:p>
            <w:pPr>
              <w:spacing w:after="40" w:before="0" w:line="259" w:lineRule="auto"/>
            </w:pPr>
            <w:r>
              <w:rPr>
                <w:rFonts w:ascii="Calibri" w:hAnsi="Calibri"/>
                <w:b w:val="0"/>
                <w:i w:val="0"/>
                <w:color w:val="212121"/>
                <w:sz w:val="19"/>
              </w:rPr>
              <w:t>The dominant and often sole symptom; typically arises when a cyst degenerates or from a calcified scar.</w:t>
            </w:r>
          </w:p>
        </w:tc>
      </w:tr>
      <w:tr>
        <w:trPr>
          <w:cantSplit/>
        </w:trPr>
        <w:tc>
          <w:tcPr>
            <w:tcW w:type="dxa" w:w="2304"/>
            <w:vAlign w:val="top"/>
          </w:tcPr>
          <w:p>
            <w:pPr>
              <w:spacing w:after="40" w:before="0" w:line="259" w:lineRule="auto"/>
            </w:pPr>
            <w:r>
              <w:rPr>
                <w:rFonts w:ascii="Calibri" w:hAnsi="Calibri"/>
                <w:b/>
                <w:i w:val="0"/>
                <w:color w:val="212121"/>
                <w:sz w:val="19"/>
              </w:rPr>
              <w:t>Headache</w:t>
            </w:r>
          </w:p>
        </w:tc>
        <w:tc>
          <w:tcPr>
            <w:tcW w:type="dxa" w:w="1584"/>
            <w:vAlign w:val="top"/>
          </w:tcPr>
          <w:p>
            <w:pPr>
              <w:spacing w:after="40" w:before="0" w:line="259" w:lineRule="auto"/>
            </w:pPr>
            <w:r>
              <w:rPr>
                <w:rFonts w:ascii="Calibri" w:hAnsi="Calibri"/>
                <w:b w:val="0"/>
                <w:i w:val="0"/>
                <w:color w:val="212121"/>
                <w:sz w:val="19"/>
              </w:rPr>
              <w:t>Common</w:t>
            </w:r>
          </w:p>
        </w:tc>
        <w:tc>
          <w:tcPr>
            <w:tcW w:type="dxa" w:w="5716"/>
            <w:vAlign w:val="top"/>
          </w:tcPr>
          <w:p>
            <w:pPr>
              <w:spacing w:after="40" w:before="0" w:line="259" w:lineRule="auto"/>
            </w:pPr>
            <w:r>
              <w:rPr>
                <w:rFonts w:ascii="Calibri" w:hAnsi="Calibri"/>
                <w:b w:val="0"/>
                <w:i w:val="0"/>
                <w:color w:val="212121"/>
                <w:sz w:val="19"/>
              </w:rPr>
              <w:t>May be seizure-related, from perilesional oedema, or a red flag for raised intracranial pressure in extraparenchymal disease.</w:t>
            </w:r>
          </w:p>
        </w:tc>
      </w:tr>
      <w:tr>
        <w:trPr>
          <w:cantSplit/>
        </w:trPr>
        <w:tc>
          <w:tcPr>
            <w:tcW w:type="dxa" w:w="2304"/>
            <w:vAlign w:val="top"/>
          </w:tcPr>
          <w:p>
            <w:pPr>
              <w:spacing w:after="40" w:before="0" w:line="259" w:lineRule="auto"/>
            </w:pPr>
            <w:r>
              <w:rPr>
                <w:rFonts w:ascii="Calibri" w:hAnsi="Calibri"/>
                <w:b/>
                <w:i w:val="0"/>
                <w:color w:val="212121"/>
                <w:sz w:val="19"/>
              </w:rPr>
              <w:t>Focal neurological deficit (weakness/sensory loss)</w:t>
            </w:r>
          </w:p>
        </w:tc>
        <w:tc>
          <w:tcPr>
            <w:tcW w:type="dxa" w:w="1584"/>
            <w:vAlign w:val="top"/>
          </w:tcPr>
          <w:p>
            <w:pPr>
              <w:spacing w:after="40" w:before="0" w:line="259" w:lineRule="auto"/>
            </w:pPr>
            <w:r>
              <w:rPr>
                <w:rFonts w:ascii="Calibri" w:hAnsi="Calibri"/>
                <w:b w:val="0"/>
                <w:i w:val="0"/>
                <w:color w:val="212121"/>
                <w:sz w:val="19"/>
              </w:rPr>
              <w:t>Common</w:t>
            </w:r>
          </w:p>
        </w:tc>
        <w:tc>
          <w:tcPr>
            <w:tcW w:type="dxa" w:w="5716"/>
            <w:vAlign w:val="top"/>
          </w:tcPr>
          <w:p>
            <w:pPr>
              <w:spacing w:after="40" w:before="0" w:line="259" w:lineRule="auto"/>
            </w:pPr>
            <w:r>
              <w:rPr>
                <w:rFonts w:ascii="Calibri" w:hAnsi="Calibri"/>
                <w:b w:val="0"/>
                <w:i w:val="0"/>
                <w:color w:val="212121"/>
                <w:sz w:val="19"/>
              </w:rPr>
              <w:t>Reflects lesion location and surrounding oedema; usually transient with parenchymal granulomas.</w:t>
            </w:r>
          </w:p>
        </w:tc>
      </w:tr>
      <w:tr>
        <w:trPr>
          <w:cantSplit/>
        </w:trPr>
        <w:tc>
          <w:tcPr>
            <w:tcW w:type="dxa" w:w="2304"/>
            <w:vAlign w:val="top"/>
          </w:tcPr>
          <w:p>
            <w:pPr>
              <w:spacing w:after="40" w:before="0" w:line="259" w:lineRule="auto"/>
            </w:pPr>
            <w:r>
              <w:rPr>
                <w:rFonts w:ascii="Calibri" w:hAnsi="Calibri"/>
                <w:b/>
                <w:i w:val="0"/>
                <w:color w:val="212121"/>
                <w:sz w:val="19"/>
              </w:rPr>
              <w:t>Nausea and vomiting</w:t>
            </w:r>
          </w:p>
        </w:tc>
        <w:tc>
          <w:tcPr>
            <w:tcW w:type="dxa" w:w="1584"/>
            <w:vAlign w:val="top"/>
          </w:tcPr>
          <w:p>
            <w:pPr>
              <w:spacing w:after="40" w:before="0" w:line="259" w:lineRule="auto"/>
            </w:pPr>
            <w:r>
              <w:rPr>
                <w:rFonts w:ascii="Calibri" w:hAnsi="Calibri"/>
                <w:b w:val="0"/>
                <w:i w:val="0"/>
                <w:color w:val="212121"/>
                <w:sz w:val="19"/>
              </w:rPr>
              <w:t>Less common</w:t>
            </w:r>
          </w:p>
        </w:tc>
        <w:tc>
          <w:tcPr>
            <w:tcW w:type="dxa" w:w="5716"/>
            <w:vAlign w:val="top"/>
          </w:tcPr>
          <w:p>
            <w:pPr>
              <w:spacing w:after="40" w:before="0" w:line="259" w:lineRule="auto"/>
            </w:pPr>
            <w:r>
              <w:rPr>
                <w:rFonts w:ascii="Calibri" w:hAnsi="Calibri"/>
                <w:b w:val="0"/>
                <w:i w:val="0"/>
                <w:color w:val="212121"/>
                <w:sz w:val="19"/>
              </w:rPr>
              <w:t>Suggests raised intracranial pressure from hydrocephalus or a large cyst.</w:t>
            </w:r>
          </w:p>
        </w:tc>
      </w:tr>
      <w:tr>
        <w:trPr>
          <w:cantSplit/>
        </w:trPr>
        <w:tc>
          <w:tcPr>
            <w:tcW w:type="dxa" w:w="2304"/>
            <w:vAlign w:val="top"/>
          </w:tcPr>
          <w:p>
            <w:pPr>
              <w:spacing w:after="40" w:before="0" w:line="259" w:lineRule="auto"/>
            </w:pPr>
            <w:r>
              <w:rPr>
                <w:rFonts w:ascii="Calibri" w:hAnsi="Calibri"/>
                <w:b/>
                <w:i w:val="0"/>
                <w:color w:val="212121"/>
                <w:sz w:val="19"/>
              </w:rPr>
              <w:t>Visual disturbance / diplopia</w:t>
            </w:r>
          </w:p>
        </w:tc>
        <w:tc>
          <w:tcPr>
            <w:tcW w:type="dxa" w:w="1584"/>
            <w:vAlign w:val="top"/>
          </w:tcPr>
          <w:p>
            <w:pPr>
              <w:spacing w:after="40" w:before="0" w:line="259" w:lineRule="auto"/>
            </w:pPr>
            <w:r>
              <w:rPr>
                <w:rFonts w:ascii="Calibri" w:hAnsi="Calibri"/>
                <w:b w:val="0"/>
                <w:i w:val="0"/>
                <w:color w:val="212121"/>
                <w:sz w:val="19"/>
              </w:rPr>
              <w:t>Less common</w:t>
            </w:r>
          </w:p>
        </w:tc>
        <w:tc>
          <w:tcPr>
            <w:tcW w:type="dxa" w:w="5716"/>
            <w:vAlign w:val="top"/>
          </w:tcPr>
          <w:p>
            <w:pPr>
              <w:spacing w:after="40" w:before="0" w:line="259" w:lineRule="auto"/>
            </w:pPr>
            <w:r>
              <w:rPr>
                <w:rFonts w:ascii="Calibri" w:hAnsi="Calibri"/>
                <w:b w:val="0"/>
                <w:i w:val="0"/>
                <w:color w:val="212121"/>
                <w:sz w:val="19"/>
              </w:rPr>
              <w:t>From raised ICP, basal cisternal disease affecting cranial nerves, or an intraocular cyst.</w:t>
            </w:r>
          </w:p>
        </w:tc>
      </w:tr>
      <w:tr>
        <w:trPr>
          <w:cantSplit/>
        </w:trPr>
        <w:tc>
          <w:tcPr>
            <w:tcW w:type="dxa" w:w="2304"/>
            <w:vAlign w:val="top"/>
          </w:tcPr>
          <w:p>
            <w:pPr>
              <w:spacing w:after="40" w:before="0" w:line="259" w:lineRule="auto"/>
            </w:pPr>
            <w:r>
              <w:rPr>
                <w:rFonts w:ascii="Calibri" w:hAnsi="Calibri"/>
                <w:b/>
                <w:i w:val="0"/>
                <w:color w:val="212121"/>
                <w:sz w:val="19"/>
              </w:rPr>
              <w:t>Cognitive decline / memory impairment</w:t>
            </w:r>
          </w:p>
        </w:tc>
        <w:tc>
          <w:tcPr>
            <w:tcW w:type="dxa" w:w="1584"/>
            <w:vAlign w:val="top"/>
          </w:tcPr>
          <w:p>
            <w:pPr>
              <w:spacing w:after="40" w:before="0" w:line="259" w:lineRule="auto"/>
            </w:pPr>
            <w:r>
              <w:rPr>
                <w:rFonts w:ascii="Calibri" w:hAnsi="Calibri"/>
                <w:b w:val="0"/>
                <w:i w:val="0"/>
                <w:color w:val="212121"/>
                <w:sz w:val="19"/>
              </w:rPr>
              <w:t>Less common</w:t>
            </w:r>
          </w:p>
        </w:tc>
        <w:tc>
          <w:tcPr>
            <w:tcW w:type="dxa" w:w="5716"/>
            <w:vAlign w:val="top"/>
          </w:tcPr>
          <w:p>
            <w:pPr>
              <w:spacing w:after="40" w:before="0" w:line="259" w:lineRule="auto"/>
            </w:pPr>
            <w:r>
              <w:rPr>
                <w:rFonts w:ascii="Calibri" w:hAnsi="Calibri"/>
                <w:b w:val="0"/>
                <w:i w:val="0"/>
                <w:color w:val="212121"/>
                <w:sz w:val="19"/>
              </w:rPr>
              <w:t>Associated with multiple lesions, chronic disease and hippocampal involvement.</w:t>
            </w:r>
          </w:p>
        </w:tc>
      </w:tr>
      <w:tr>
        <w:trPr>
          <w:cantSplit/>
        </w:trPr>
        <w:tc>
          <w:tcPr>
            <w:tcW w:type="dxa" w:w="2304"/>
            <w:vAlign w:val="top"/>
          </w:tcPr>
          <w:p>
            <w:pPr>
              <w:spacing w:after="40" w:before="0" w:line="259" w:lineRule="auto"/>
            </w:pPr>
            <w:r>
              <w:rPr>
                <w:rFonts w:ascii="Calibri" w:hAnsi="Calibri"/>
                <w:b/>
                <w:i w:val="0"/>
                <w:color w:val="212121"/>
                <w:sz w:val="19"/>
              </w:rPr>
              <w:t>Behavioural or psychiatric change (depression, anxiety, psychosis)</w:t>
            </w:r>
          </w:p>
        </w:tc>
        <w:tc>
          <w:tcPr>
            <w:tcW w:type="dxa" w:w="1584"/>
            <w:vAlign w:val="top"/>
          </w:tcPr>
          <w:p>
            <w:pPr>
              <w:spacing w:after="40" w:before="0" w:line="259" w:lineRule="auto"/>
            </w:pPr>
            <w:r>
              <w:rPr>
                <w:rFonts w:ascii="Calibri" w:hAnsi="Calibri"/>
                <w:b w:val="0"/>
                <w:i w:val="0"/>
                <w:color w:val="212121"/>
                <w:sz w:val="19"/>
              </w:rPr>
              <w:t>Less common</w:t>
            </w:r>
          </w:p>
        </w:tc>
        <w:tc>
          <w:tcPr>
            <w:tcW w:type="dxa" w:w="5716"/>
            <w:vAlign w:val="top"/>
          </w:tcPr>
          <w:p>
            <w:pPr>
              <w:spacing w:after="40" w:before="0" w:line="259" w:lineRule="auto"/>
            </w:pPr>
            <w:r>
              <w:rPr>
                <w:rFonts w:ascii="Calibri" w:hAnsi="Calibri"/>
                <w:b w:val="0"/>
                <w:i w:val="0"/>
                <w:color w:val="212121"/>
                <w:sz w:val="19"/>
              </w:rPr>
              <w:t>Over-represented in NCC and epilepsy; driven by lesion, seizures, stigma and treatment burden.</w:t>
            </w:r>
          </w:p>
        </w:tc>
      </w:tr>
      <w:tr>
        <w:trPr>
          <w:cantSplit/>
        </w:trPr>
        <w:tc>
          <w:tcPr>
            <w:tcW w:type="dxa" w:w="2304"/>
            <w:vAlign w:val="top"/>
          </w:tcPr>
          <w:p>
            <w:pPr>
              <w:spacing w:after="40" w:before="0" w:line="259" w:lineRule="auto"/>
            </w:pPr>
            <w:r>
              <w:rPr>
                <w:rFonts w:ascii="Calibri" w:hAnsi="Calibri"/>
                <w:b/>
                <w:i w:val="0"/>
                <w:color w:val="212121"/>
                <w:sz w:val="19"/>
              </w:rPr>
              <w:t>Dizziness / vertigo</w:t>
            </w:r>
          </w:p>
        </w:tc>
        <w:tc>
          <w:tcPr>
            <w:tcW w:type="dxa" w:w="1584"/>
            <w:vAlign w:val="top"/>
          </w:tcPr>
          <w:p>
            <w:pPr>
              <w:spacing w:after="40" w:before="0" w:line="259" w:lineRule="auto"/>
            </w:pPr>
            <w:r>
              <w:rPr>
                <w:rFonts w:ascii="Calibri" w:hAnsi="Calibri"/>
                <w:b w:val="0"/>
                <w:i w:val="0"/>
                <w:color w:val="212121"/>
                <w:sz w:val="19"/>
              </w:rPr>
              <w:t>Less common</w:t>
            </w:r>
          </w:p>
        </w:tc>
        <w:tc>
          <w:tcPr>
            <w:tcW w:type="dxa" w:w="5716"/>
            <w:vAlign w:val="top"/>
          </w:tcPr>
          <w:p>
            <w:pPr>
              <w:spacing w:after="40" w:before="0" w:line="259" w:lineRule="auto"/>
            </w:pPr>
            <w:r>
              <w:rPr>
                <w:rFonts w:ascii="Calibri" w:hAnsi="Calibri"/>
                <w:b w:val="0"/>
                <w:i w:val="0"/>
                <w:color w:val="212121"/>
                <w:sz w:val="19"/>
              </w:rPr>
              <w:t>May occur with posterior-fossa or brainstem-adjacent lesions.</w:t>
            </w:r>
          </w:p>
        </w:tc>
      </w:tr>
      <w:tr>
        <w:trPr>
          <w:cantSplit/>
        </w:trPr>
        <w:tc>
          <w:tcPr>
            <w:tcW w:type="dxa" w:w="2304"/>
            <w:vAlign w:val="top"/>
          </w:tcPr>
          <w:p>
            <w:pPr>
              <w:spacing w:after="40" w:before="0" w:line="259" w:lineRule="auto"/>
            </w:pPr>
            <w:r>
              <w:rPr>
                <w:rFonts w:ascii="Calibri" w:hAnsi="Calibri"/>
                <w:b/>
                <w:i w:val="0"/>
                <w:color w:val="212121"/>
                <w:sz w:val="19"/>
              </w:rPr>
              <w:t>Altered sensorium / encephalopathy</w:t>
            </w:r>
          </w:p>
        </w:tc>
        <w:tc>
          <w:tcPr>
            <w:tcW w:type="dxa" w:w="1584"/>
            <w:vAlign w:val="top"/>
          </w:tcPr>
          <w:p>
            <w:pPr>
              <w:spacing w:after="40" w:before="0" w:line="259" w:lineRule="auto"/>
            </w:pPr>
            <w:r>
              <w:rPr>
                <w:rFonts w:ascii="Calibri" w:hAnsi="Calibri"/>
                <w:b w:val="0"/>
                <w:i w:val="0"/>
                <w:color w:val="212121"/>
                <w:sz w:val="19"/>
              </w:rPr>
              <w:t>Rare</w:t>
            </w:r>
          </w:p>
        </w:tc>
        <w:tc>
          <w:tcPr>
            <w:tcW w:type="dxa" w:w="5716"/>
            <w:vAlign w:val="top"/>
          </w:tcPr>
          <w:p>
            <w:pPr>
              <w:spacing w:after="40" w:before="0" w:line="259" w:lineRule="auto"/>
            </w:pPr>
            <w:r>
              <w:rPr>
                <w:rFonts w:ascii="Calibri" w:hAnsi="Calibri"/>
                <w:b w:val="0"/>
                <w:i w:val="0"/>
                <w:color w:val="212121"/>
                <w:sz w:val="19"/>
              </w:rPr>
              <w:t>Marks cysticercotic encephalitis (heavy cyst load with diffuse oedema), chiefly in children and young women.</w:t>
            </w:r>
          </w:p>
        </w:tc>
      </w:tr>
      <w:tr>
        <w:trPr>
          <w:cantSplit/>
        </w:trPr>
        <w:tc>
          <w:tcPr>
            <w:tcW w:type="dxa" w:w="2304"/>
            <w:vAlign w:val="top"/>
          </w:tcPr>
          <w:p>
            <w:pPr>
              <w:spacing w:after="40" w:before="0" w:line="259" w:lineRule="auto"/>
            </w:pPr>
            <w:r>
              <w:rPr>
                <w:rFonts w:ascii="Calibri" w:hAnsi="Calibri"/>
                <w:b/>
                <w:i w:val="0"/>
                <w:color w:val="212121"/>
                <w:sz w:val="19"/>
              </w:rPr>
              <w:t>Neck stiffness / meningism</w:t>
            </w:r>
          </w:p>
        </w:tc>
        <w:tc>
          <w:tcPr>
            <w:tcW w:type="dxa" w:w="1584"/>
            <w:vAlign w:val="top"/>
          </w:tcPr>
          <w:p>
            <w:pPr>
              <w:spacing w:after="40" w:before="0" w:line="259" w:lineRule="auto"/>
            </w:pPr>
            <w:r>
              <w:rPr>
                <w:rFonts w:ascii="Calibri" w:hAnsi="Calibri"/>
                <w:b w:val="0"/>
                <w:i w:val="0"/>
                <w:color w:val="212121"/>
                <w:sz w:val="19"/>
              </w:rPr>
              <w:t>Rare</w:t>
            </w:r>
          </w:p>
        </w:tc>
        <w:tc>
          <w:tcPr>
            <w:tcW w:type="dxa" w:w="5716"/>
            <w:vAlign w:val="top"/>
          </w:tcPr>
          <w:p>
            <w:pPr>
              <w:spacing w:after="40" w:before="0" w:line="259" w:lineRule="auto"/>
            </w:pPr>
            <w:r>
              <w:rPr>
                <w:rFonts w:ascii="Calibri" w:hAnsi="Calibri"/>
                <w:b w:val="0"/>
                <w:i w:val="0"/>
                <w:color w:val="212121"/>
                <w:sz w:val="19"/>
              </w:rPr>
              <w:t>Seen in subarachnoid NCC with cysticercal meningitis/arachnoiditis.</w:t>
            </w:r>
          </w:p>
        </w:tc>
      </w:tr>
      <w:tr>
        <w:trPr>
          <w:cantSplit/>
        </w:trPr>
        <w:tc>
          <w:tcPr>
            <w:tcW w:type="dxa" w:w="2304"/>
            <w:vAlign w:val="top"/>
          </w:tcPr>
          <w:p>
            <w:pPr>
              <w:spacing w:after="40" w:before="0" w:line="259" w:lineRule="auto"/>
            </w:pPr>
            <w:r>
              <w:rPr>
                <w:rFonts w:ascii="Calibri" w:hAnsi="Calibri"/>
                <w:b/>
                <w:i w:val="0"/>
                <w:color w:val="212121"/>
                <w:sz w:val="19"/>
              </w:rPr>
              <w:t>Sudden stroke-like deficit</w:t>
            </w:r>
          </w:p>
        </w:tc>
        <w:tc>
          <w:tcPr>
            <w:tcW w:type="dxa" w:w="1584"/>
            <w:vAlign w:val="top"/>
          </w:tcPr>
          <w:p>
            <w:pPr>
              <w:spacing w:after="40" w:before="0" w:line="259" w:lineRule="auto"/>
            </w:pPr>
            <w:r>
              <w:rPr>
                <w:rFonts w:ascii="Calibri" w:hAnsi="Calibri"/>
                <w:b w:val="0"/>
                <w:i w:val="0"/>
                <w:color w:val="212121"/>
                <w:sz w:val="19"/>
              </w:rPr>
              <w:t>Rare</w:t>
            </w:r>
          </w:p>
        </w:tc>
        <w:tc>
          <w:tcPr>
            <w:tcW w:type="dxa" w:w="5716"/>
            <w:vAlign w:val="top"/>
          </w:tcPr>
          <w:p>
            <w:pPr>
              <w:spacing w:after="40" w:before="0" w:line="259" w:lineRule="auto"/>
            </w:pPr>
            <w:r>
              <w:rPr>
                <w:rFonts w:ascii="Calibri" w:hAnsi="Calibri"/>
                <w:b w:val="0"/>
                <w:i w:val="0"/>
                <w:color w:val="212121"/>
                <w:sz w:val="19"/>
              </w:rPr>
              <w:t>Due to cysticercal vasculitis causing cerebral infarction, more with subarachnoid disease.</w:t>
            </w:r>
          </w:p>
        </w:tc>
      </w:tr>
      <w:tr>
        <w:trPr>
          <w:cantSplit/>
        </w:trPr>
        <w:tc>
          <w:tcPr>
            <w:tcW w:type="dxa" w:w="2304"/>
            <w:vAlign w:val="top"/>
          </w:tcPr>
          <w:p>
            <w:pPr>
              <w:spacing w:after="40" w:before="0" w:line="259" w:lineRule="auto"/>
            </w:pPr>
            <w:r>
              <w:rPr>
                <w:rFonts w:ascii="Calibri" w:hAnsi="Calibri"/>
                <w:b/>
                <w:i w:val="0"/>
                <w:color w:val="212121"/>
                <w:sz w:val="19"/>
              </w:rPr>
              <w:t>Palpable subcutaneous / muscle nodules</w:t>
            </w:r>
          </w:p>
        </w:tc>
        <w:tc>
          <w:tcPr>
            <w:tcW w:type="dxa" w:w="1584"/>
            <w:vAlign w:val="top"/>
          </w:tcPr>
          <w:p>
            <w:pPr>
              <w:spacing w:after="40" w:before="0" w:line="259" w:lineRule="auto"/>
            </w:pPr>
            <w:r>
              <w:rPr>
                <w:rFonts w:ascii="Calibri" w:hAnsi="Calibri"/>
                <w:b w:val="0"/>
                <w:i w:val="0"/>
                <w:color w:val="212121"/>
                <w:sz w:val="19"/>
              </w:rPr>
              <w:t>Rare</w:t>
            </w:r>
          </w:p>
        </w:tc>
        <w:tc>
          <w:tcPr>
            <w:tcW w:type="dxa" w:w="5716"/>
            <w:vAlign w:val="top"/>
          </w:tcPr>
          <w:p>
            <w:pPr>
              <w:spacing w:after="40" w:before="0" w:line="259" w:lineRule="auto"/>
            </w:pPr>
            <w:r>
              <w:rPr>
                <w:rFonts w:ascii="Calibri" w:hAnsi="Calibri"/>
                <w:b w:val="0"/>
                <w:i w:val="0"/>
                <w:color w:val="212121"/>
                <w:sz w:val="19"/>
              </w:rPr>
              <w:t>Indicate extra-CNS or disseminated cysticercosis and may accompany brain involvement.</w:t>
            </w:r>
          </w:p>
        </w:tc>
      </w:tr>
      <w:tr>
        <w:trPr>
          <w:cantSplit/>
        </w:trPr>
        <w:tc>
          <w:tcPr>
            <w:tcW w:type="dxa" w:w="2304"/>
            <w:vAlign w:val="top"/>
          </w:tcPr>
          <w:p>
            <w:pPr>
              <w:spacing w:after="40" w:before="0" w:line="259" w:lineRule="auto"/>
            </w:pPr>
            <w:r>
              <w:rPr>
                <w:rFonts w:ascii="Calibri" w:hAnsi="Calibri"/>
                <w:b/>
                <w:i w:val="0"/>
                <w:color w:val="212121"/>
                <w:sz w:val="19"/>
              </w:rPr>
              <w:t>Gait ataxia / imbalance</w:t>
            </w:r>
          </w:p>
        </w:tc>
        <w:tc>
          <w:tcPr>
            <w:tcW w:type="dxa" w:w="1584"/>
            <w:vAlign w:val="top"/>
          </w:tcPr>
          <w:p>
            <w:pPr>
              <w:spacing w:after="40" w:before="0" w:line="259" w:lineRule="auto"/>
            </w:pPr>
            <w:r>
              <w:rPr>
                <w:rFonts w:ascii="Calibri" w:hAnsi="Calibri"/>
                <w:b w:val="0"/>
                <w:i w:val="0"/>
                <w:color w:val="212121"/>
                <w:sz w:val="19"/>
              </w:rPr>
              <w:t>Rare</w:t>
            </w:r>
          </w:p>
        </w:tc>
        <w:tc>
          <w:tcPr>
            <w:tcW w:type="dxa" w:w="5716"/>
            <w:vAlign w:val="top"/>
          </w:tcPr>
          <w:p>
            <w:pPr>
              <w:spacing w:after="40" w:before="0" w:line="259" w:lineRule="auto"/>
            </w:pPr>
            <w:r>
              <w:rPr>
                <w:rFonts w:ascii="Calibri" w:hAnsi="Calibri"/>
                <w:b w:val="0"/>
                <w:i w:val="0"/>
                <w:color w:val="212121"/>
                <w:sz w:val="19"/>
              </w:rPr>
              <w:t>With cerebellar or fourth-ventricular cysts.</w:t>
            </w:r>
          </w:p>
        </w:tc>
      </w:tr>
    </w:tbl>
    <w:p>
      <w:pPr>
        <w:spacing w:before="160" w:after="120"/>
      </w:pPr>
      <w:r>
        <w:rPr>
          <w:rFonts w:ascii="Calibri" w:hAnsi="Calibri"/>
          <w:b/>
          <w:i w:val="0"/>
          <w:color w:val="212121"/>
          <w:sz w:val="22"/>
        </w:rPr>
        <w:t>Signs</w:t>
      </w:r>
    </w:p>
    <w:tbl>
      <w:tblPr>
        <w:tblW w:type="dxa" w:w="9604"/>
        <w:jc w:val="center"/>
        <w:tblLook w:firstColumn="1" w:firstRow="1" w:lastColumn="0" w:lastRow="0" w:noHBand="0" w:noVBand="1" w:val="04A0"/>
        <w:tblBorders>
          <w:top w:val="single" w:sz="4" w:space="0" w:color="BFBFBF"/>
          <w:left w:val="single" w:sz="4" w:space="0" w:color="BFBFBF"/>
          <w:bottom w:val="single" w:sz="4" w:space="0" w:color="BFBFBF"/>
          <w:right w:val="single" w:sz="4" w:space="0" w:color="BFBFBF"/>
          <w:insideH w:val="single" w:sz="4" w:space="0" w:color="BFBFBF"/>
          <w:insideV w:val="single" w:sz="4" w:space="0" w:color="BFBFBF"/>
        </w:tblBorders>
      </w:tblPr>
      <w:tblGrid>
        <w:gridCol w:w="3202"/>
        <w:gridCol w:w="3202"/>
        <w:gridCol w:w="3202"/>
      </w:tblGrid>
      <w:tr>
        <w:trPr>
          <w:cantSplit/>
        </w:trPr>
        <w:tc>
          <w:tcPr>
            <w:tcW w:type="dxa" w:w="3456"/>
            <w:shd w:val="clear" w:color="auto" w:fill="F2F2F2"/>
            <w:vAlign w:val="center"/>
          </w:tcPr>
          <w:p>
            <w:pPr>
              <w:spacing w:after="40" w:before="0" w:line="259" w:lineRule="auto"/>
            </w:pPr>
            <w:r>
              <w:rPr>
                <w:rFonts w:ascii="Calibri" w:hAnsi="Calibri"/>
                <w:b/>
                <w:i w:val="0"/>
                <w:color w:val="212121"/>
                <w:sz w:val="19"/>
              </w:rPr>
              <w:t>Sign</w:t>
            </w:r>
          </w:p>
        </w:tc>
        <w:tc>
          <w:tcPr>
            <w:tcW w:type="dxa" w:w="1728"/>
            <w:shd w:val="clear" w:color="auto" w:fill="F2F2F2"/>
            <w:vAlign w:val="center"/>
          </w:tcPr>
          <w:p>
            <w:pPr>
              <w:spacing w:after="40" w:before="0" w:line="259" w:lineRule="auto"/>
            </w:pPr>
            <w:r>
              <w:rPr>
                <w:rFonts w:ascii="Calibri" w:hAnsi="Calibri"/>
                <w:b/>
                <w:i w:val="0"/>
                <w:color w:val="212121"/>
                <w:sz w:val="19"/>
              </w:rPr>
              <w:t>Type</w:t>
            </w:r>
          </w:p>
        </w:tc>
        <w:tc>
          <w:tcPr>
            <w:tcW w:type="dxa" w:w="4420"/>
            <w:shd w:val="clear" w:color="auto" w:fill="F2F2F2"/>
            <w:vAlign w:val="center"/>
          </w:tcPr>
          <w:p>
            <w:pPr>
              <w:spacing w:after="40" w:before="0" w:line="259" w:lineRule="auto"/>
            </w:pPr>
            <w:r>
              <w:rPr>
                <w:rFonts w:ascii="Calibri" w:hAnsi="Calibri"/>
                <w:b/>
                <w:i w:val="0"/>
                <w:color w:val="212121"/>
                <w:sz w:val="19"/>
              </w:rPr>
              <w:t>Note</w:t>
            </w:r>
          </w:p>
        </w:tc>
      </w:tr>
      <w:tr>
        <w:trPr>
          <w:cantSplit/>
        </w:trPr>
        <w:tc>
          <w:tcPr>
            <w:tcW w:type="dxa" w:w="3456"/>
            <w:vAlign w:val="top"/>
          </w:tcPr>
          <w:p>
            <w:pPr>
              <w:spacing w:after="40" w:before="0" w:line="259" w:lineRule="auto"/>
            </w:pPr>
            <w:r>
              <w:rPr>
                <w:rFonts w:ascii="Calibri" w:hAnsi="Calibri"/>
                <w:b/>
                <w:i w:val="0"/>
                <w:color w:val="212121"/>
                <w:sz w:val="19"/>
              </w:rPr>
              <w:t>Witnessed focal seizure / post-ictal (Todd's) deficit</w:t>
            </w:r>
          </w:p>
        </w:tc>
        <w:tc>
          <w:tcPr>
            <w:tcW w:type="dxa" w:w="1728"/>
            <w:vAlign w:val="top"/>
          </w:tcPr>
          <w:p>
            <w:pPr>
              <w:spacing w:after="40" w:before="0" w:line="259" w:lineRule="auto"/>
            </w:pPr>
            <w:r>
              <w:rPr>
                <w:rFonts w:ascii="Calibri" w:hAnsi="Calibri"/>
                <w:b w:val="0"/>
                <w:i w:val="0"/>
                <w:color w:val="212121"/>
                <w:sz w:val="19"/>
              </w:rPr>
              <w:t>Common</w:t>
            </w:r>
          </w:p>
        </w:tc>
        <w:tc>
          <w:tcPr>
            <w:tcW w:type="dxa" w:w="4420"/>
            <w:vAlign w:val="top"/>
          </w:tcPr>
          <w:p>
            <w:pPr>
              <w:spacing w:after="40" w:before="0" w:line="259" w:lineRule="auto"/>
            </w:pPr>
            <w:r>
              <w:rPr>
                <w:rFonts w:ascii="Calibri" w:hAnsi="Calibri"/>
                <w:b w:val="0"/>
                <w:i w:val="0"/>
                <w:color w:val="212121"/>
                <w:sz w:val="19"/>
              </w:rPr>
              <w:t>Objective correlate of the presenting seizure; helps localise the epileptogenic lesion.</w:t>
            </w:r>
          </w:p>
        </w:tc>
      </w:tr>
      <w:tr>
        <w:trPr>
          <w:cantSplit/>
        </w:trPr>
        <w:tc>
          <w:tcPr>
            <w:tcW w:type="dxa" w:w="3456"/>
            <w:vAlign w:val="top"/>
          </w:tcPr>
          <w:p>
            <w:pPr>
              <w:spacing w:after="40" w:before="0" w:line="259" w:lineRule="auto"/>
            </w:pPr>
            <w:r>
              <w:rPr>
                <w:rFonts w:ascii="Calibri" w:hAnsi="Calibri"/>
                <w:b/>
                <w:i w:val="0"/>
                <w:color w:val="212121"/>
                <w:sz w:val="19"/>
              </w:rPr>
              <w:t>Focal motor or sensory deficit (e.g. hemiparesis)</w:t>
            </w:r>
          </w:p>
        </w:tc>
        <w:tc>
          <w:tcPr>
            <w:tcW w:type="dxa" w:w="1728"/>
            <w:vAlign w:val="top"/>
          </w:tcPr>
          <w:p>
            <w:pPr>
              <w:spacing w:after="40" w:before="0" w:line="259" w:lineRule="auto"/>
            </w:pPr>
            <w:r>
              <w:rPr>
                <w:rFonts w:ascii="Calibri" w:hAnsi="Calibri"/>
                <w:b w:val="0"/>
                <w:i w:val="0"/>
                <w:color w:val="212121"/>
                <w:sz w:val="19"/>
              </w:rPr>
              <w:t>Less common</w:t>
            </w:r>
          </w:p>
        </w:tc>
        <w:tc>
          <w:tcPr>
            <w:tcW w:type="dxa" w:w="4420"/>
            <w:vAlign w:val="top"/>
          </w:tcPr>
          <w:p>
            <w:pPr>
              <w:spacing w:after="40" w:before="0" w:line="259" w:lineRule="auto"/>
            </w:pPr>
            <w:r>
              <w:rPr>
                <w:rFonts w:ascii="Calibri" w:hAnsi="Calibri"/>
                <w:b w:val="0"/>
                <w:i w:val="0"/>
                <w:color w:val="212121"/>
                <w:sz w:val="19"/>
              </w:rPr>
              <w:t>From the lesion and perilesional oedema; often reversible in solitary granuloma.</w:t>
            </w:r>
          </w:p>
        </w:tc>
      </w:tr>
      <w:tr>
        <w:trPr>
          <w:cantSplit/>
        </w:trPr>
        <w:tc>
          <w:tcPr>
            <w:tcW w:type="dxa" w:w="3456"/>
            <w:vAlign w:val="top"/>
          </w:tcPr>
          <w:p>
            <w:pPr>
              <w:spacing w:after="40" w:before="0" w:line="259" w:lineRule="auto"/>
            </w:pPr>
            <w:r>
              <w:rPr>
                <w:rFonts w:ascii="Calibri" w:hAnsi="Calibri"/>
                <w:b/>
                <w:i w:val="0"/>
                <w:color w:val="212121"/>
                <w:sz w:val="19"/>
              </w:rPr>
              <w:t>Papilloedema</w:t>
            </w:r>
          </w:p>
        </w:tc>
        <w:tc>
          <w:tcPr>
            <w:tcW w:type="dxa" w:w="1728"/>
            <w:vAlign w:val="top"/>
          </w:tcPr>
          <w:p>
            <w:pPr>
              <w:spacing w:after="40" w:before="0" w:line="259" w:lineRule="auto"/>
            </w:pPr>
            <w:r>
              <w:rPr>
                <w:rFonts w:ascii="Calibri" w:hAnsi="Calibri"/>
                <w:b w:val="0"/>
                <w:i w:val="0"/>
                <w:color w:val="212121"/>
                <w:sz w:val="19"/>
              </w:rPr>
              <w:t>Less common</w:t>
            </w:r>
          </w:p>
        </w:tc>
        <w:tc>
          <w:tcPr>
            <w:tcW w:type="dxa" w:w="4420"/>
            <w:vAlign w:val="top"/>
          </w:tcPr>
          <w:p>
            <w:pPr>
              <w:spacing w:after="40" w:before="0" w:line="259" w:lineRule="auto"/>
            </w:pPr>
            <w:r>
              <w:rPr>
                <w:rFonts w:ascii="Calibri" w:hAnsi="Calibri"/>
                <w:b w:val="0"/>
                <w:i w:val="0"/>
                <w:color w:val="212121"/>
                <w:sz w:val="19"/>
              </w:rPr>
              <w:t>Sign of raised intracranial pressure due to hydrocephalus or mass effect in extraparenchymal NCC.</w:t>
            </w:r>
          </w:p>
        </w:tc>
      </w:tr>
      <w:tr>
        <w:trPr>
          <w:cantSplit/>
        </w:trPr>
        <w:tc>
          <w:tcPr>
            <w:tcW w:type="dxa" w:w="3456"/>
            <w:vAlign w:val="top"/>
          </w:tcPr>
          <w:p>
            <w:pPr>
              <w:spacing w:after="40" w:before="0" w:line="259" w:lineRule="auto"/>
            </w:pPr>
            <w:r>
              <w:rPr>
                <w:rFonts w:ascii="Calibri" w:hAnsi="Calibri"/>
                <w:b/>
                <w:i w:val="0"/>
                <w:color w:val="212121"/>
                <w:sz w:val="19"/>
              </w:rPr>
              <w:t>Cognitive impairment on bedside testing (e.g. MMSE)</w:t>
            </w:r>
          </w:p>
        </w:tc>
        <w:tc>
          <w:tcPr>
            <w:tcW w:type="dxa" w:w="1728"/>
            <w:vAlign w:val="top"/>
          </w:tcPr>
          <w:p>
            <w:pPr>
              <w:spacing w:after="40" w:before="0" w:line="259" w:lineRule="auto"/>
            </w:pPr>
            <w:r>
              <w:rPr>
                <w:rFonts w:ascii="Calibri" w:hAnsi="Calibri"/>
                <w:b w:val="0"/>
                <w:i w:val="0"/>
                <w:color w:val="212121"/>
                <w:sz w:val="19"/>
              </w:rPr>
              <w:t>Less common</w:t>
            </w:r>
          </w:p>
        </w:tc>
        <w:tc>
          <w:tcPr>
            <w:tcW w:type="dxa" w:w="4420"/>
            <w:vAlign w:val="top"/>
          </w:tcPr>
          <w:p>
            <w:pPr>
              <w:spacing w:after="40" w:before="0" w:line="259" w:lineRule="auto"/>
            </w:pPr>
            <w:r>
              <w:rPr>
                <w:rFonts w:ascii="Calibri" w:hAnsi="Calibri"/>
                <w:b w:val="0"/>
                <w:i w:val="0"/>
                <w:color w:val="212121"/>
                <w:sz w:val="19"/>
              </w:rPr>
              <w:t>Reflects multiple lesions or hippocampal/mesial temporal involvement.</w:t>
            </w:r>
          </w:p>
        </w:tc>
      </w:tr>
      <w:tr>
        <w:trPr>
          <w:cantSplit/>
        </w:trPr>
        <w:tc>
          <w:tcPr>
            <w:tcW w:type="dxa" w:w="3456"/>
            <w:vAlign w:val="top"/>
          </w:tcPr>
          <w:p>
            <w:pPr>
              <w:spacing w:after="40" w:before="0" w:line="259" w:lineRule="auto"/>
            </w:pPr>
            <w:r>
              <w:rPr>
                <w:rFonts w:ascii="Calibri" w:hAnsi="Calibri"/>
                <w:b/>
                <w:i w:val="0"/>
                <w:color w:val="212121"/>
                <w:sz w:val="19"/>
              </w:rPr>
              <w:t>Meningeal signs (neck rigidity, Kernig's)</w:t>
            </w:r>
          </w:p>
        </w:tc>
        <w:tc>
          <w:tcPr>
            <w:tcW w:type="dxa" w:w="1728"/>
            <w:vAlign w:val="top"/>
          </w:tcPr>
          <w:p>
            <w:pPr>
              <w:spacing w:after="40" w:before="0" w:line="259" w:lineRule="auto"/>
            </w:pPr>
            <w:r>
              <w:rPr>
                <w:rFonts w:ascii="Calibri" w:hAnsi="Calibri"/>
                <w:b w:val="0"/>
                <w:i w:val="0"/>
                <w:color w:val="212121"/>
                <w:sz w:val="19"/>
              </w:rPr>
              <w:t>Less common</w:t>
            </w:r>
          </w:p>
        </w:tc>
        <w:tc>
          <w:tcPr>
            <w:tcW w:type="dxa" w:w="4420"/>
            <w:vAlign w:val="top"/>
          </w:tcPr>
          <w:p>
            <w:pPr>
              <w:spacing w:after="40" w:before="0" w:line="259" w:lineRule="auto"/>
            </w:pPr>
            <w:r>
              <w:rPr>
                <w:rFonts w:ascii="Calibri" w:hAnsi="Calibri"/>
                <w:b w:val="0"/>
                <w:i w:val="0"/>
                <w:color w:val="212121"/>
                <w:sz w:val="19"/>
              </w:rPr>
              <w:t>Indicate subarachnoid cysticercal meningitis/arachnoiditis.</w:t>
            </w:r>
          </w:p>
        </w:tc>
      </w:tr>
      <w:tr>
        <w:trPr>
          <w:cantSplit/>
        </w:trPr>
        <w:tc>
          <w:tcPr>
            <w:tcW w:type="dxa" w:w="3456"/>
            <w:vAlign w:val="top"/>
          </w:tcPr>
          <w:p>
            <w:pPr>
              <w:spacing w:after="40" w:before="0" w:line="259" w:lineRule="auto"/>
            </w:pPr>
            <w:r>
              <w:rPr>
                <w:rFonts w:ascii="Calibri" w:hAnsi="Calibri"/>
                <w:b/>
                <w:i w:val="0"/>
                <w:color w:val="212121"/>
                <w:sz w:val="19"/>
              </w:rPr>
              <w:t>Cranial-nerve palsy</w:t>
            </w:r>
          </w:p>
        </w:tc>
        <w:tc>
          <w:tcPr>
            <w:tcW w:type="dxa" w:w="1728"/>
            <w:vAlign w:val="top"/>
          </w:tcPr>
          <w:p>
            <w:pPr>
              <w:spacing w:after="40" w:before="0" w:line="259" w:lineRule="auto"/>
            </w:pPr>
            <w:r>
              <w:rPr>
                <w:rFonts w:ascii="Calibri" w:hAnsi="Calibri"/>
                <w:b w:val="0"/>
                <w:i w:val="0"/>
                <w:color w:val="212121"/>
                <w:sz w:val="19"/>
              </w:rPr>
              <w:t>Rare</w:t>
            </w:r>
          </w:p>
        </w:tc>
        <w:tc>
          <w:tcPr>
            <w:tcW w:type="dxa" w:w="4420"/>
            <w:vAlign w:val="top"/>
          </w:tcPr>
          <w:p>
            <w:pPr>
              <w:spacing w:after="40" w:before="0" w:line="259" w:lineRule="auto"/>
            </w:pPr>
            <w:r>
              <w:rPr>
                <w:rFonts w:ascii="Calibri" w:hAnsi="Calibri"/>
                <w:b w:val="0"/>
                <w:i w:val="0"/>
                <w:color w:val="212121"/>
                <w:sz w:val="19"/>
              </w:rPr>
              <w:t>Basal cisternal (racemose) disease can entrap cranial nerves, causing diplopia or facial weakness.</w:t>
            </w:r>
          </w:p>
        </w:tc>
      </w:tr>
      <w:tr>
        <w:trPr>
          <w:cantSplit/>
        </w:trPr>
        <w:tc>
          <w:tcPr>
            <w:tcW w:type="dxa" w:w="3456"/>
            <w:vAlign w:val="top"/>
          </w:tcPr>
          <w:p>
            <w:pPr>
              <w:spacing w:after="40" w:before="0" w:line="259" w:lineRule="auto"/>
            </w:pPr>
            <w:r>
              <w:rPr>
                <w:rFonts w:ascii="Calibri" w:hAnsi="Calibri"/>
                <w:b/>
                <w:i w:val="0"/>
                <w:color w:val="212121"/>
                <w:sz w:val="19"/>
              </w:rPr>
              <w:t>Reduced visual acuity / visual-field defect</w:t>
            </w:r>
          </w:p>
        </w:tc>
        <w:tc>
          <w:tcPr>
            <w:tcW w:type="dxa" w:w="1728"/>
            <w:vAlign w:val="top"/>
          </w:tcPr>
          <w:p>
            <w:pPr>
              <w:spacing w:after="40" w:before="0" w:line="259" w:lineRule="auto"/>
            </w:pPr>
            <w:r>
              <w:rPr>
                <w:rFonts w:ascii="Calibri" w:hAnsi="Calibri"/>
                <w:b w:val="0"/>
                <w:i w:val="0"/>
                <w:color w:val="212121"/>
                <w:sz w:val="19"/>
              </w:rPr>
              <w:t>Rare</w:t>
            </w:r>
          </w:p>
        </w:tc>
        <w:tc>
          <w:tcPr>
            <w:tcW w:type="dxa" w:w="4420"/>
            <w:vAlign w:val="top"/>
          </w:tcPr>
          <w:p>
            <w:pPr>
              <w:spacing w:after="40" w:before="0" w:line="259" w:lineRule="auto"/>
            </w:pPr>
            <w:r>
              <w:rPr>
                <w:rFonts w:ascii="Calibri" w:hAnsi="Calibri"/>
                <w:b w:val="0"/>
                <w:i w:val="0"/>
                <w:color w:val="212121"/>
                <w:sz w:val="19"/>
              </w:rPr>
              <w:t>From intraocular cyst, chiasmal compression or chronic papilloedema.</w:t>
            </w:r>
          </w:p>
        </w:tc>
      </w:tr>
      <w:tr>
        <w:trPr>
          <w:cantSplit/>
        </w:trPr>
        <w:tc>
          <w:tcPr>
            <w:tcW w:type="dxa" w:w="3456"/>
            <w:vAlign w:val="top"/>
          </w:tcPr>
          <w:p>
            <w:pPr>
              <w:spacing w:after="40" w:before="0" w:line="259" w:lineRule="auto"/>
            </w:pPr>
            <w:r>
              <w:rPr>
                <w:rFonts w:ascii="Calibri" w:hAnsi="Calibri"/>
                <w:b/>
                <w:i w:val="0"/>
                <w:color w:val="212121"/>
                <w:sz w:val="19"/>
              </w:rPr>
              <w:t>Subcutaneous / intramuscular nodules</w:t>
            </w:r>
          </w:p>
        </w:tc>
        <w:tc>
          <w:tcPr>
            <w:tcW w:type="dxa" w:w="1728"/>
            <w:vAlign w:val="top"/>
          </w:tcPr>
          <w:p>
            <w:pPr>
              <w:spacing w:after="40" w:before="0" w:line="259" w:lineRule="auto"/>
            </w:pPr>
            <w:r>
              <w:rPr>
                <w:rFonts w:ascii="Calibri" w:hAnsi="Calibri"/>
                <w:b w:val="0"/>
                <w:i w:val="0"/>
                <w:color w:val="212121"/>
                <w:sz w:val="19"/>
              </w:rPr>
              <w:t>Rare</w:t>
            </w:r>
          </w:p>
        </w:tc>
        <w:tc>
          <w:tcPr>
            <w:tcW w:type="dxa" w:w="4420"/>
            <w:vAlign w:val="top"/>
          </w:tcPr>
          <w:p>
            <w:pPr>
              <w:spacing w:after="40" w:before="0" w:line="259" w:lineRule="auto"/>
            </w:pPr>
            <w:r>
              <w:rPr>
                <w:rFonts w:ascii="Calibri" w:hAnsi="Calibri"/>
                <w:b w:val="0"/>
                <w:i w:val="0"/>
                <w:color w:val="212121"/>
                <w:sz w:val="19"/>
              </w:rPr>
              <w:t>Palpable cysts of disseminated cysticercosis; biopsy can confirm the parasite.</w:t>
            </w:r>
          </w:p>
        </w:tc>
      </w:tr>
      <w:tr>
        <w:trPr>
          <w:cantSplit/>
        </w:trPr>
        <w:tc>
          <w:tcPr>
            <w:tcW w:type="dxa" w:w="3456"/>
            <w:vAlign w:val="top"/>
          </w:tcPr>
          <w:p>
            <w:pPr>
              <w:spacing w:after="40" w:before="0" w:line="259" w:lineRule="auto"/>
            </w:pPr>
            <w:r>
              <w:rPr>
                <w:rFonts w:ascii="Calibri" w:hAnsi="Calibri"/>
                <w:b/>
                <w:i w:val="0"/>
                <w:color w:val="212121"/>
                <w:sz w:val="19"/>
              </w:rPr>
              <w:t>Cerebellar signs (nystagmus, dysmetria, ataxia)</w:t>
            </w:r>
          </w:p>
        </w:tc>
        <w:tc>
          <w:tcPr>
            <w:tcW w:type="dxa" w:w="1728"/>
            <w:vAlign w:val="top"/>
          </w:tcPr>
          <w:p>
            <w:pPr>
              <w:spacing w:after="40" w:before="0" w:line="259" w:lineRule="auto"/>
            </w:pPr>
            <w:r>
              <w:rPr>
                <w:rFonts w:ascii="Calibri" w:hAnsi="Calibri"/>
                <w:b w:val="0"/>
                <w:i w:val="0"/>
                <w:color w:val="212121"/>
                <w:sz w:val="19"/>
              </w:rPr>
              <w:t>Rare</w:t>
            </w:r>
          </w:p>
        </w:tc>
        <w:tc>
          <w:tcPr>
            <w:tcW w:type="dxa" w:w="4420"/>
            <w:vAlign w:val="top"/>
          </w:tcPr>
          <w:p>
            <w:pPr>
              <w:spacing w:after="40" w:before="0" w:line="259" w:lineRule="auto"/>
            </w:pPr>
            <w:r>
              <w:rPr>
                <w:rFonts w:ascii="Calibri" w:hAnsi="Calibri"/>
                <w:b w:val="0"/>
                <w:i w:val="0"/>
                <w:color w:val="212121"/>
                <w:sz w:val="19"/>
              </w:rPr>
              <w:t>With posterior-fossa or fourth-ventricular cysts.</w:t>
            </w:r>
          </w:p>
        </w:tc>
      </w:tr>
      <w:tr>
        <w:trPr>
          <w:cantSplit/>
        </w:trPr>
        <w:tc>
          <w:tcPr>
            <w:tcW w:type="dxa" w:w="3456"/>
            <w:vAlign w:val="top"/>
          </w:tcPr>
          <w:p>
            <w:pPr>
              <w:spacing w:after="40" w:before="0" w:line="259" w:lineRule="auto"/>
            </w:pPr>
            <w:r>
              <w:rPr>
                <w:rFonts w:ascii="Calibri" w:hAnsi="Calibri"/>
                <w:b/>
                <w:i w:val="0"/>
                <w:color w:val="212121"/>
                <w:sz w:val="19"/>
              </w:rPr>
              <w:t>Subretinal cyst on fundoscopy</w:t>
            </w:r>
          </w:p>
        </w:tc>
        <w:tc>
          <w:tcPr>
            <w:tcW w:type="dxa" w:w="1728"/>
            <w:vAlign w:val="top"/>
          </w:tcPr>
          <w:p>
            <w:pPr>
              <w:spacing w:after="40" w:before="0" w:line="259" w:lineRule="auto"/>
            </w:pPr>
            <w:r>
              <w:rPr>
                <w:rFonts w:ascii="Calibri" w:hAnsi="Calibri"/>
                <w:b w:val="0"/>
                <w:i w:val="0"/>
                <w:color w:val="212121"/>
                <w:sz w:val="19"/>
              </w:rPr>
              <w:t>Rare</w:t>
            </w:r>
          </w:p>
        </w:tc>
        <w:tc>
          <w:tcPr>
            <w:tcW w:type="dxa" w:w="4420"/>
            <w:vAlign w:val="top"/>
          </w:tcPr>
          <w:p>
            <w:pPr>
              <w:spacing w:after="40" w:before="0" w:line="259" w:lineRule="auto"/>
            </w:pPr>
            <w:r>
              <w:rPr>
                <w:rFonts w:ascii="Calibri" w:hAnsi="Calibri"/>
                <w:b w:val="0"/>
                <w:i w:val="0"/>
                <w:color w:val="212121"/>
                <w:sz w:val="19"/>
              </w:rPr>
              <w:t>Direct visualisation is an absolute diagnostic criterion and contraindicates cysticidal drugs until managed.</w:t>
            </w:r>
          </w:p>
        </w:tc>
      </w:tr>
    </w:tbl>
    <w:p>
      <w:pPr>
        <w:spacing w:before="200" w:after="120"/>
      </w:pPr>
      <w:r>
        <w:rPr>
          <w:rFonts w:ascii="Calibri" w:hAnsi="Calibri"/>
          <w:b/>
          <w:i w:val="0"/>
          <w:color w:val="212121"/>
          <w:sz w:val="25"/>
        </w:rPr>
        <w:t>Concomitant conditions</w:t>
      </w:r>
    </w:p>
    <w:p>
      <w:pPr>
        <w:spacing w:before="160" w:after="120"/>
      </w:pPr>
      <w:r>
        <w:rPr>
          <w:rFonts w:ascii="Calibri" w:hAnsi="Calibri"/>
          <w:b/>
          <w:i w:val="0"/>
          <w:color w:val="212121"/>
          <w:sz w:val="22"/>
        </w:rPr>
        <w:t>Relationship Types (classification key)</w:t>
      </w:r>
    </w:p>
    <w:tbl>
      <w:tblPr>
        <w:tblW w:type="dxa" w:w="9604"/>
        <w:jc w:val="center"/>
        <w:tblLook w:firstColumn="1" w:firstRow="1" w:lastColumn="0" w:lastRow="0" w:noHBand="0" w:noVBand="1" w:val="04A0"/>
        <w:tblBorders>
          <w:top w:val="single" w:sz="4" w:space="0" w:color="BFBFBF"/>
          <w:left w:val="single" w:sz="4" w:space="0" w:color="BFBFBF"/>
          <w:bottom w:val="single" w:sz="4" w:space="0" w:color="BFBFBF"/>
          <w:right w:val="single" w:sz="4" w:space="0" w:color="BFBFBF"/>
          <w:insideH w:val="single" w:sz="4" w:space="0" w:color="BFBFBF"/>
          <w:insideV w:val="single" w:sz="4" w:space="0" w:color="BFBFBF"/>
        </w:tblBorders>
      </w:tblPr>
      <w:tblGrid>
        <w:gridCol w:w="4802"/>
        <w:gridCol w:w="4802"/>
      </w:tblGrid>
      <w:tr>
        <w:trPr>
          <w:cantSplit/>
        </w:trPr>
        <w:tc>
          <w:tcPr>
            <w:tcW w:type="dxa" w:w="2808"/>
            <w:shd w:val="clear" w:color="auto" w:fill="F2F2F2"/>
            <w:vAlign w:val="center"/>
          </w:tcPr>
          <w:p>
            <w:pPr>
              <w:spacing w:after="40" w:before="0" w:line="259" w:lineRule="auto"/>
            </w:pPr>
            <w:r>
              <w:rPr>
                <w:rFonts w:ascii="Calibri" w:hAnsi="Calibri"/>
                <w:b/>
                <w:i w:val="0"/>
                <w:color w:val="212121"/>
                <w:sz w:val="19"/>
              </w:rPr>
              <w:t>Relationship type</w:t>
            </w:r>
          </w:p>
        </w:tc>
        <w:tc>
          <w:tcPr>
            <w:tcW w:type="dxa" w:w="6796"/>
            <w:shd w:val="clear" w:color="auto" w:fill="F2F2F2"/>
            <w:vAlign w:val="center"/>
          </w:tcPr>
          <w:p>
            <w:pPr>
              <w:spacing w:after="40" w:before="0" w:line="259" w:lineRule="auto"/>
            </w:pPr>
            <w:r>
              <w:rPr>
                <w:rFonts w:ascii="Calibri" w:hAnsi="Calibri"/>
                <w:b/>
                <w:i w:val="0"/>
                <w:color w:val="212121"/>
                <w:sz w:val="19"/>
              </w:rPr>
              <w:t>Definition</w:t>
            </w:r>
          </w:p>
        </w:tc>
      </w:tr>
      <w:tr>
        <w:trPr>
          <w:cantSplit/>
        </w:trPr>
        <w:tc>
          <w:tcPr>
            <w:tcW w:type="dxa" w:w="2808"/>
            <w:vAlign w:val="top"/>
          </w:tcPr>
          <w:p>
            <w:pPr>
              <w:spacing w:after="40" w:before="0" w:line="259" w:lineRule="auto"/>
            </w:pPr>
            <w:r>
              <w:rPr>
                <w:rFonts w:ascii="Calibri" w:hAnsi="Calibri"/>
                <w:b/>
                <w:i w:val="0"/>
                <w:color w:val="212121"/>
                <w:sz w:val="19"/>
              </w:rPr>
              <w:t>Predisposes To</w:t>
            </w:r>
          </w:p>
        </w:tc>
        <w:tc>
          <w:tcPr>
            <w:tcW w:type="dxa" w:w="6796"/>
            <w:vAlign w:val="top"/>
          </w:tcPr>
          <w:p>
            <w:pPr>
              <w:spacing w:after="40" w:before="0" w:line="259" w:lineRule="auto"/>
            </w:pPr>
            <w:r>
              <w:rPr>
                <w:rFonts w:ascii="Calibri" w:hAnsi="Calibri"/>
                <w:b w:val="0"/>
                <w:i w:val="0"/>
                <w:color w:val="212121"/>
                <w:sz w:val="19"/>
              </w:rPr>
              <w:t>One condition increases the likelihood of developing another.</w:t>
            </w:r>
          </w:p>
        </w:tc>
      </w:tr>
      <w:tr>
        <w:trPr>
          <w:cantSplit/>
        </w:trPr>
        <w:tc>
          <w:tcPr>
            <w:tcW w:type="dxa" w:w="2808"/>
            <w:vAlign w:val="top"/>
          </w:tcPr>
          <w:p>
            <w:pPr>
              <w:spacing w:after="40" w:before="0" w:line="259" w:lineRule="auto"/>
            </w:pPr>
            <w:r>
              <w:rPr>
                <w:rFonts w:ascii="Calibri" w:hAnsi="Calibri"/>
                <w:b/>
                <w:i w:val="0"/>
                <w:color w:val="212121"/>
                <w:sz w:val="19"/>
              </w:rPr>
              <w:t>Bidirectional Association</w:t>
            </w:r>
          </w:p>
        </w:tc>
        <w:tc>
          <w:tcPr>
            <w:tcW w:type="dxa" w:w="6796"/>
            <w:vAlign w:val="top"/>
          </w:tcPr>
          <w:p>
            <w:pPr>
              <w:spacing w:after="40" w:before="0" w:line="259" w:lineRule="auto"/>
            </w:pPr>
            <w:r>
              <w:rPr>
                <w:rFonts w:ascii="Calibri" w:hAnsi="Calibri"/>
                <w:b w:val="0"/>
                <w:i w:val="0"/>
                <w:color w:val="212121"/>
                <w:sz w:val="19"/>
              </w:rPr>
              <w:t>Both conditions influence each other.</w:t>
            </w:r>
          </w:p>
        </w:tc>
      </w:tr>
      <w:tr>
        <w:trPr>
          <w:cantSplit/>
        </w:trPr>
        <w:tc>
          <w:tcPr>
            <w:tcW w:type="dxa" w:w="2808"/>
            <w:vAlign w:val="top"/>
          </w:tcPr>
          <w:p>
            <w:pPr>
              <w:spacing w:after="40" w:before="0" w:line="259" w:lineRule="auto"/>
            </w:pPr>
            <w:r>
              <w:rPr>
                <w:rFonts w:ascii="Calibri" w:hAnsi="Calibri"/>
                <w:b/>
                <w:i w:val="0"/>
                <w:color w:val="212121"/>
                <w:sz w:val="19"/>
              </w:rPr>
              <w:t>Shared Pathophysiology</w:t>
            </w:r>
          </w:p>
        </w:tc>
        <w:tc>
          <w:tcPr>
            <w:tcW w:type="dxa" w:w="6796"/>
            <w:vAlign w:val="top"/>
          </w:tcPr>
          <w:p>
            <w:pPr>
              <w:spacing w:after="40" w:before="0" w:line="259" w:lineRule="auto"/>
            </w:pPr>
            <w:r>
              <w:rPr>
                <w:rFonts w:ascii="Calibri" w:hAnsi="Calibri"/>
                <w:b w:val="0"/>
                <w:i w:val="0"/>
                <w:color w:val="212121"/>
                <w:sz w:val="19"/>
              </w:rPr>
              <w:t>Common biological mechanisms and shared etiologies.</w:t>
            </w:r>
          </w:p>
        </w:tc>
      </w:tr>
      <w:tr>
        <w:trPr>
          <w:cantSplit/>
        </w:trPr>
        <w:tc>
          <w:tcPr>
            <w:tcW w:type="dxa" w:w="2808"/>
            <w:vAlign w:val="top"/>
          </w:tcPr>
          <w:p>
            <w:pPr>
              <w:spacing w:after="40" w:before="0" w:line="259" w:lineRule="auto"/>
            </w:pPr>
            <w:r>
              <w:rPr>
                <w:rFonts w:ascii="Calibri" w:hAnsi="Calibri"/>
                <w:b/>
                <w:i w:val="0"/>
                <w:color w:val="212121"/>
                <w:sz w:val="19"/>
              </w:rPr>
              <w:t>Complication Of</w:t>
            </w:r>
          </w:p>
        </w:tc>
        <w:tc>
          <w:tcPr>
            <w:tcW w:type="dxa" w:w="6796"/>
            <w:vAlign w:val="top"/>
          </w:tcPr>
          <w:p>
            <w:pPr>
              <w:spacing w:after="40" w:before="0" w:line="259" w:lineRule="auto"/>
            </w:pPr>
            <w:r>
              <w:rPr>
                <w:rFonts w:ascii="Calibri" w:hAnsi="Calibri"/>
                <w:b w:val="0"/>
                <w:i w:val="0"/>
                <w:color w:val="212121"/>
                <w:sz w:val="19"/>
              </w:rPr>
              <w:t>One condition develops as a consequence of the other.</w:t>
            </w:r>
          </w:p>
        </w:tc>
      </w:tr>
      <w:tr>
        <w:trPr>
          <w:cantSplit/>
        </w:trPr>
        <w:tc>
          <w:tcPr>
            <w:tcW w:type="dxa" w:w="2808"/>
            <w:vAlign w:val="top"/>
          </w:tcPr>
          <w:p>
            <w:pPr>
              <w:spacing w:after="40" w:before="0" w:line="259" w:lineRule="auto"/>
            </w:pPr>
            <w:r>
              <w:rPr>
                <w:rFonts w:ascii="Calibri" w:hAnsi="Calibri"/>
                <w:b/>
                <w:i w:val="0"/>
                <w:color w:val="212121"/>
                <w:sz w:val="19"/>
              </w:rPr>
              <w:t>Treatment Interaction</w:t>
            </w:r>
          </w:p>
        </w:tc>
        <w:tc>
          <w:tcPr>
            <w:tcW w:type="dxa" w:w="6796"/>
            <w:vAlign w:val="top"/>
          </w:tcPr>
          <w:p>
            <w:pPr>
              <w:spacing w:after="40" w:before="0" w:line="259" w:lineRule="auto"/>
            </w:pPr>
            <w:r>
              <w:rPr>
                <w:rFonts w:ascii="Calibri" w:hAnsi="Calibri"/>
                <w:b w:val="0"/>
                <w:i w:val="0"/>
                <w:color w:val="212121"/>
                <w:sz w:val="19"/>
              </w:rPr>
              <w:t>Treatment of one condition affects the other.</w:t>
            </w:r>
          </w:p>
        </w:tc>
      </w:tr>
      <w:tr>
        <w:trPr>
          <w:cantSplit/>
        </w:trPr>
        <w:tc>
          <w:tcPr>
            <w:tcW w:type="dxa" w:w="2808"/>
            <w:vAlign w:val="top"/>
          </w:tcPr>
          <w:p>
            <w:pPr>
              <w:spacing w:after="40" w:before="0" w:line="259" w:lineRule="auto"/>
            </w:pPr>
            <w:r>
              <w:rPr>
                <w:rFonts w:ascii="Calibri" w:hAnsi="Calibri"/>
                <w:b/>
                <w:i w:val="0"/>
                <w:color w:val="212121"/>
                <w:sz w:val="19"/>
              </w:rPr>
              <w:t>Clinical Management Impact</w:t>
            </w:r>
          </w:p>
        </w:tc>
        <w:tc>
          <w:tcPr>
            <w:tcW w:type="dxa" w:w="6796"/>
            <w:vAlign w:val="top"/>
          </w:tcPr>
          <w:p>
            <w:pPr>
              <w:spacing w:after="40" w:before="0" w:line="259" w:lineRule="auto"/>
            </w:pPr>
            <w:r>
              <w:rPr>
                <w:rFonts w:ascii="Calibri" w:hAnsi="Calibri"/>
                <w:b w:val="0"/>
                <w:i w:val="0"/>
                <w:color w:val="212121"/>
                <w:sz w:val="19"/>
              </w:rPr>
              <w:t>Coexistence alters diagnosis, monitoring, prognosis, or treatment planning.</w:t>
            </w:r>
          </w:p>
        </w:tc>
      </w:tr>
    </w:tbl>
    <w:p>
      <w:pPr>
        <w:spacing w:before="160" w:after="120"/>
      </w:pPr>
      <w:r>
        <w:rPr>
          <w:rFonts w:ascii="Calibri" w:hAnsi="Calibri"/>
          <w:b/>
          <w:i w:val="0"/>
          <w:color w:val="212121"/>
          <w:sz w:val="22"/>
        </w:rPr>
        <w:t>Complications</w:t>
      </w:r>
    </w:p>
    <w:tbl>
      <w:tblPr>
        <w:tblW w:type="dxa" w:w="9604"/>
        <w:jc w:val="center"/>
        <w:tblLook w:firstColumn="1" w:firstRow="1" w:lastColumn="0" w:lastRow="0" w:noHBand="0" w:noVBand="1" w:val="04A0"/>
        <w:tblBorders>
          <w:top w:val="single" w:sz="4" w:space="0" w:color="BFBFBF"/>
          <w:left w:val="single" w:sz="4" w:space="0" w:color="BFBFBF"/>
          <w:bottom w:val="single" w:sz="4" w:space="0" w:color="BFBFBF"/>
          <w:right w:val="single" w:sz="4" w:space="0" w:color="BFBFBF"/>
          <w:insideH w:val="single" w:sz="4" w:space="0" w:color="BFBFBF"/>
          <w:insideV w:val="single" w:sz="4" w:space="0" w:color="BFBFBF"/>
        </w:tblBorders>
      </w:tblPr>
      <w:tblGrid>
        <w:gridCol w:w="3202"/>
        <w:gridCol w:w="3202"/>
        <w:gridCol w:w="3202"/>
      </w:tblGrid>
      <w:tr>
        <w:trPr>
          <w:cantSplit/>
        </w:trPr>
        <w:tc>
          <w:tcPr>
            <w:tcW w:type="dxa" w:w="1728"/>
            <w:shd w:val="clear" w:color="auto" w:fill="F2F2F2"/>
            <w:vAlign w:val="center"/>
          </w:tcPr>
          <w:p>
            <w:pPr>
              <w:spacing w:after="40" w:before="0" w:line="259" w:lineRule="auto"/>
            </w:pPr>
            <w:r>
              <w:rPr>
                <w:rFonts w:ascii="Calibri" w:hAnsi="Calibri"/>
                <w:b/>
                <w:i w:val="0"/>
                <w:color w:val="212121"/>
                <w:sz w:val="19"/>
              </w:rPr>
              <w:t>Type</w:t>
            </w:r>
          </w:p>
        </w:tc>
        <w:tc>
          <w:tcPr>
            <w:tcW w:type="dxa" w:w="4896"/>
            <w:shd w:val="clear" w:color="auto" w:fill="F2F2F2"/>
            <w:vAlign w:val="center"/>
          </w:tcPr>
          <w:p>
            <w:pPr>
              <w:spacing w:after="40" w:before="0" w:line="259" w:lineRule="auto"/>
            </w:pPr>
            <w:r>
              <w:rPr>
                <w:rFonts w:ascii="Calibri" w:hAnsi="Calibri"/>
                <w:b/>
                <w:i w:val="0"/>
                <w:color w:val="212121"/>
                <w:sz w:val="19"/>
              </w:rPr>
              <w:t>Complications</w:t>
            </w:r>
          </w:p>
        </w:tc>
        <w:tc>
          <w:tcPr>
            <w:tcW w:type="dxa" w:w="2980"/>
            <w:shd w:val="clear" w:color="auto" w:fill="F2F2F2"/>
            <w:vAlign w:val="center"/>
          </w:tcPr>
          <w:p>
            <w:pPr>
              <w:spacing w:after="40" w:before="0" w:line="259" w:lineRule="auto"/>
            </w:pPr>
            <w:r>
              <w:rPr>
                <w:rFonts w:ascii="Calibri" w:hAnsi="Calibri"/>
                <w:b/>
                <w:i w:val="0"/>
                <w:color w:val="212121"/>
                <w:sz w:val="19"/>
              </w:rPr>
              <w:t>Note</w:t>
            </w:r>
          </w:p>
        </w:tc>
      </w:tr>
      <w:tr>
        <w:trPr>
          <w:cantSplit/>
        </w:trPr>
        <w:tc>
          <w:tcPr>
            <w:tcW w:type="dxa" w:w="1728"/>
            <w:vAlign w:val="top"/>
          </w:tcPr>
          <w:p>
            <w:pPr>
              <w:spacing w:after="40" w:before="0" w:line="259" w:lineRule="auto"/>
            </w:pPr>
            <w:r>
              <w:rPr>
                <w:rFonts w:ascii="Calibri" w:hAnsi="Calibri"/>
                <w:b/>
                <w:i w:val="0"/>
                <w:color w:val="212121"/>
                <w:sz w:val="19"/>
              </w:rPr>
              <w:t>Primary</w:t>
            </w:r>
          </w:p>
        </w:tc>
        <w:tc>
          <w:tcPr>
            <w:tcW w:type="dxa" w:w="4896"/>
            <w:vAlign w:val="top"/>
          </w:tcPr>
          <w:p>
            <w:pPr>
              <w:spacing w:after="40" w:line="254" w:lineRule="auto"/>
              <w:ind w:left="187" w:hanging="187"/>
            </w:pPr>
            <w:r>
              <w:rPr>
                <w:rFonts w:ascii="Calibri" w:hAnsi="Calibri"/>
                <w:b w:val="0"/>
                <w:i w:val="0"/>
                <w:color w:val="212121"/>
                <w:sz w:val="19"/>
              </w:rPr>
              <w:t xml:space="preserve">•  </w:t>
            </w:r>
            <w:r>
              <w:rPr>
                <w:rFonts w:ascii="Calibri" w:hAnsi="Calibri"/>
                <w:b w:val="0"/>
                <w:i w:val="0"/>
                <w:color w:val="212121"/>
                <w:sz w:val="19"/>
              </w:rPr>
              <w:t>Recurrent seizures (acute symptomatic and unprovoked)</w:t>
            </w:r>
          </w:p>
          <w:p>
            <w:pPr>
              <w:spacing w:after="40" w:line="254" w:lineRule="auto"/>
              <w:ind w:left="187" w:hanging="187"/>
            </w:pPr>
            <w:r>
              <w:rPr>
                <w:rFonts w:ascii="Calibri" w:hAnsi="Calibri"/>
                <w:b w:val="0"/>
                <w:i w:val="0"/>
                <w:color w:val="212121"/>
                <w:sz w:val="19"/>
              </w:rPr>
              <w:t xml:space="preserve">•  </w:t>
            </w:r>
            <w:r>
              <w:rPr>
                <w:rFonts w:ascii="Calibri" w:hAnsi="Calibri"/>
                <w:b w:val="0"/>
                <w:i w:val="0"/>
                <w:color w:val="212121"/>
                <w:sz w:val="19"/>
              </w:rPr>
              <w:t>Perilesional oedema and focal neurological deficits</w:t>
            </w:r>
          </w:p>
          <w:p>
            <w:pPr>
              <w:spacing w:after="40" w:line="254" w:lineRule="auto"/>
              <w:ind w:left="187" w:hanging="187"/>
            </w:pPr>
            <w:r>
              <w:rPr>
                <w:rFonts w:ascii="Calibri" w:hAnsi="Calibri"/>
                <w:b w:val="0"/>
                <w:i w:val="0"/>
                <w:color w:val="212121"/>
                <w:sz w:val="19"/>
              </w:rPr>
              <w:t xml:space="preserve">•  </w:t>
            </w:r>
            <w:r>
              <w:rPr>
                <w:rFonts w:ascii="Calibri" w:hAnsi="Calibri"/>
                <w:b w:val="0"/>
                <w:i w:val="0"/>
                <w:color w:val="212121"/>
                <w:sz w:val="19"/>
              </w:rPr>
              <w:t>Acute raised intracranial pressure / severe headache</w:t>
            </w:r>
          </w:p>
          <w:p>
            <w:pPr>
              <w:spacing w:after="40" w:line="254" w:lineRule="auto"/>
              <w:ind w:left="187" w:hanging="187"/>
            </w:pPr>
            <w:r>
              <w:rPr>
                <w:rFonts w:ascii="Calibri" w:hAnsi="Calibri"/>
                <w:b w:val="0"/>
                <w:i w:val="0"/>
                <w:color w:val="212121"/>
                <w:sz w:val="19"/>
              </w:rPr>
              <w:t xml:space="preserve">•  </w:t>
            </w:r>
            <w:r>
              <w:rPr>
                <w:rFonts w:ascii="Calibri" w:hAnsi="Calibri"/>
                <w:b w:val="0"/>
                <w:i w:val="0"/>
                <w:color w:val="212121"/>
                <w:sz w:val="19"/>
              </w:rPr>
              <w:t>Cysticercotic encephalitis (heavy cyst load with diffuse cerebral oedema)</w:t>
            </w:r>
          </w:p>
        </w:tc>
        <w:tc>
          <w:tcPr>
            <w:tcW w:type="dxa" w:w="2980"/>
            <w:vAlign w:val="top"/>
          </w:tcPr>
          <w:p>
            <w:pPr>
              <w:spacing w:after="40" w:before="0" w:line="259" w:lineRule="auto"/>
            </w:pPr>
            <w:r>
              <w:rPr>
                <w:rFonts w:ascii="Calibri" w:hAnsi="Calibri"/>
                <w:b w:val="0"/>
                <w:i w:val="0"/>
                <w:color w:val="212121"/>
                <w:sz w:val="19"/>
              </w:rPr>
              <w:t>Direct early consequences of cyst degeneration and the host inflammatory response</w:t>
            </w:r>
          </w:p>
        </w:tc>
      </w:tr>
      <w:tr>
        <w:trPr>
          <w:cantSplit/>
        </w:trPr>
        <w:tc>
          <w:tcPr>
            <w:tcW w:type="dxa" w:w="1728"/>
            <w:vAlign w:val="top"/>
          </w:tcPr>
          <w:p>
            <w:pPr>
              <w:spacing w:after="40" w:before="0" w:line="259" w:lineRule="auto"/>
            </w:pPr>
            <w:r>
              <w:rPr>
                <w:rFonts w:ascii="Calibri" w:hAnsi="Calibri"/>
                <w:b/>
                <w:i w:val="0"/>
                <w:color w:val="212121"/>
                <w:sz w:val="19"/>
              </w:rPr>
              <w:t>Secondary</w:t>
            </w:r>
          </w:p>
        </w:tc>
        <w:tc>
          <w:tcPr>
            <w:tcW w:type="dxa" w:w="4896"/>
            <w:vAlign w:val="top"/>
          </w:tcPr>
          <w:p>
            <w:pPr>
              <w:spacing w:after="40" w:line="254" w:lineRule="auto"/>
              <w:ind w:left="187" w:hanging="187"/>
            </w:pPr>
            <w:r>
              <w:rPr>
                <w:rFonts w:ascii="Calibri" w:hAnsi="Calibri"/>
                <w:b w:val="0"/>
                <w:i w:val="0"/>
                <w:color w:val="212121"/>
                <w:sz w:val="19"/>
              </w:rPr>
              <w:t xml:space="preserve">•  </w:t>
            </w:r>
            <w:r>
              <w:rPr>
                <w:rFonts w:ascii="Calibri" w:hAnsi="Calibri"/>
                <w:b w:val="0"/>
                <w:i w:val="0"/>
                <w:color w:val="212121"/>
                <w:sz w:val="19"/>
              </w:rPr>
              <w:t>Chronic epilepsy from calcified lesions and perilesional gliosis</w:t>
            </w:r>
          </w:p>
          <w:p>
            <w:pPr>
              <w:spacing w:after="40" w:line="254" w:lineRule="auto"/>
              <w:ind w:left="187" w:hanging="187"/>
            </w:pPr>
            <w:r>
              <w:rPr>
                <w:rFonts w:ascii="Calibri" w:hAnsi="Calibri"/>
                <w:b w:val="0"/>
                <w:i w:val="0"/>
                <w:color w:val="212121"/>
                <w:sz w:val="19"/>
              </w:rPr>
              <w:t xml:space="preserve">•  </w:t>
            </w:r>
            <w:r>
              <w:rPr>
                <w:rFonts w:ascii="Calibri" w:hAnsi="Calibri"/>
                <w:b w:val="0"/>
                <w:i w:val="0"/>
                <w:color w:val="212121"/>
                <w:sz w:val="19"/>
              </w:rPr>
              <w:t>Obstructive hydrocephalus (intraventricular/subarachnoid cysts, ependymitis)</w:t>
            </w:r>
          </w:p>
          <w:p>
            <w:pPr>
              <w:spacing w:after="40" w:line="254" w:lineRule="auto"/>
              <w:ind w:left="187" w:hanging="187"/>
            </w:pPr>
            <w:r>
              <w:rPr>
                <w:rFonts w:ascii="Calibri" w:hAnsi="Calibri"/>
                <w:b w:val="0"/>
                <w:i w:val="0"/>
                <w:color w:val="212121"/>
                <w:sz w:val="19"/>
              </w:rPr>
              <w:t xml:space="preserve">•  </w:t>
            </w:r>
            <w:r>
              <w:rPr>
                <w:rFonts w:ascii="Calibri" w:hAnsi="Calibri"/>
                <w:b w:val="0"/>
                <w:i w:val="0"/>
                <w:color w:val="212121"/>
                <w:sz w:val="19"/>
              </w:rPr>
              <w:t>Cysticercal arachnoiditis and basal meningitis</w:t>
            </w:r>
          </w:p>
          <w:p>
            <w:pPr>
              <w:spacing w:after="40" w:line="254" w:lineRule="auto"/>
              <w:ind w:left="187" w:hanging="187"/>
            </w:pPr>
            <w:r>
              <w:rPr>
                <w:rFonts w:ascii="Calibri" w:hAnsi="Calibri"/>
                <w:b w:val="0"/>
                <w:i w:val="0"/>
                <w:color w:val="212121"/>
                <w:sz w:val="19"/>
              </w:rPr>
              <w:t xml:space="preserve">•  </w:t>
            </w:r>
            <w:r>
              <w:rPr>
                <w:rFonts w:ascii="Calibri" w:hAnsi="Calibri"/>
                <w:b w:val="0"/>
                <w:i w:val="0"/>
                <w:color w:val="212121"/>
                <w:sz w:val="19"/>
              </w:rPr>
              <w:t>Cerebral vasculitis with lacunar/territorial infarction (stroke)</w:t>
            </w:r>
          </w:p>
          <w:p>
            <w:pPr>
              <w:spacing w:after="40" w:line="254" w:lineRule="auto"/>
              <w:ind w:left="187" w:hanging="187"/>
            </w:pPr>
            <w:r>
              <w:rPr>
                <w:rFonts w:ascii="Calibri" w:hAnsi="Calibri"/>
                <w:b w:val="0"/>
                <w:i w:val="0"/>
                <w:color w:val="212121"/>
                <w:sz w:val="19"/>
              </w:rPr>
              <w:t xml:space="preserve">•  </w:t>
            </w:r>
            <w:r>
              <w:rPr>
                <w:rFonts w:ascii="Calibri" w:hAnsi="Calibri"/>
                <w:b w:val="0"/>
                <w:i w:val="0"/>
                <w:color w:val="212121"/>
                <w:sz w:val="19"/>
              </w:rPr>
              <w:t>Cognitive impairment and psychiatric morbidity (depression, anxiety, psychosis)</w:t>
            </w:r>
          </w:p>
        </w:tc>
        <w:tc>
          <w:tcPr>
            <w:tcW w:type="dxa" w:w="2980"/>
            <w:vAlign w:val="top"/>
          </w:tcPr>
          <w:p>
            <w:pPr>
              <w:spacing w:after="40" w:before="0" w:line="259" w:lineRule="auto"/>
            </w:pPr>
            <w:r>
              <w:rPr>
                <w:rFonts w:ascii="Calibri" w:hAnsi="Calibri"/>
                <w:b w:val="0"/>
                <w:i w:val="0"/>
                <w:color w:val="212121"/>
                <w:sz w:val="19"/>
              </w:rPr>
              <w:t>Result from chronic inflammation, CSF-flow obstruction and vascular involvement</w:t>
            </w:r>
          </w:p>
        </w:tc>
      </w:tr>
      <w:tr>
        <w:trPr>
          <w:cantSplit/>
        </w:trPr>
        <w:tc>
          <w:tcPr>
            <w:tcW w:type="dxa" w:w="1728"/>
            <w:vAlign w:val="top"/>
          </w:tcPr>
          <w:p>
            <w:pPr>
              <w:spacing w:after="40" w:before="0" w:line="259" w:lineRule="auto"/>
            </w:pPr>
            <w:r>
              <w:rPr>
                <w:rFonts w:ascii="Calibri" w:hAnsi="Calibri"/>
                <w:b/>
                <w:i w:val="0"/>
                <w:color w:val="212121"/>
                <w:sz w:val="19"/>
              </w:rPr>
              <w:t>Tertiary</w:t>
            </w:r>
          </w:p>
        </w:tc>
        <w:tc>
          <w:tcPr>
            <w:tcW w:type="dxa" w:w="4896"/>
            <w:vAlign w:val="top"/>
          </w:tcPr>
          <w:p>
            <w:pPr>
              <w:spacing w:after="40" w:line="254" w:lineRule="auto"/>
              <w:ind w:left="187" w:hanging="187"/>
            </w:pPr>
            <w:r>
              <w:rPr>
                <w:rFonts w:ascii="Calibri" w:hAnsi="Calibri"/>
                <w:b w:val="0"/>
                <w:i w:val="0"/>
                <w:color w:val="212121"/>
                <w:sz w:val="19"/>
              </w:rPr>
              <w:t xml:space="preserve">•  </w:t>
            </w:r>
            <w:r>
              <w:rPr>
                <w:rFonts w:ascii="Calibri" w:hAnsi="Calibri"/>
                <w:b w:val="0"/>
                <w:i w:val="0"/>
                <w:color w:val="212121"/>
                <w:sz w:val="19"/>
              </w:rPr>
              <w:t>Drug-resistant (refractory) epilepsy</w:t>
            </w:r>
          </w:p>
          <w:p>
            <w:pPr>
              <w:spacing w:after="40" w:line="254" w:lineRule="auto"/>
              <w:ind w:left="187" w:hanging="187"/>
            </w:pPr>
            <w:r>
              <w:rPr>
                <w:rFonts w:ascii="Calibri" w:hAnsi="Calibri"/>
                <w:b w:val="0"/>
                <w:i w:val="0"/>
                <w:color w:val="212121"/>
                <w:sz w:val="19"/>
              </w:rPr>
              <w:t xml:space="preserve">•  </w:t>
            </w:r>
            <w:r>
              <w:rPr>
                <w:rFonts w:ascii="Calibri" w:hAnsi="Calibri"/>
                <w:b w:val="0"/>
                <w:i w:val="0"/>
                <w:color w:val="212121"/>
                <w:sz w:val="19"/>
              </w:rPr>
              <w:t>Mesial temporal lobe epilepsy with hippocampal sclerosis</w:t>
            </w:r>
          </w:p>
          <w:p>
            <w:pPr>
              <w:spacing w:after="40" w:line="254" w:lineRule="auto"/>
              <w:ind w:left="187" w:hanging="187"/>
            </w:pPr>
            <w:r>
              <w:rPr>
                <w:rFonts w:ascii="Calibri" w:hAnsi="Calibri"/>
                <w:b w:val="0"/>
                <w:i w:val="0"/>
                <w:color w:val="212121"/>
                <w:sz w:val="19"/>
              </w:rPr>
              <w:t xml:space="preserve">•  </w:t>
            </w:r>
            <w:r>
              <w:rPr>
                <w:rFonts w:ascii="Calibri" w:hAnsi="Calibri"/>
                <w:b w:val="0"/>
                <w:i w:val="0"/>
                <w:color w:val="212121"/>
                <w:sz w:val="19"/>
              </w:rPr>
              <w:t>Visual loss / blindness (intraocular, optic or chronic raised-ICP)</w:t>
            </w:r>
          </w:p>
          <w:p>
            <w:pPr>
              <w:spacing w:after="40" w:line="254" w:lineRule="auto"/>
              <w:ind w:left="187" w:hanging="187"/>
            </w:pPr>
            <w:r>
              <w:rPr>
                <w:rFonts w:ascii="Calibri" w:hAnsi="Calibri"/>
                <w:b w:val="0"/>
                <w:i w:val="0"/>
                <w:color w:val="212121"/>
                <w:sz w:val="19"/>
              </w:rPr>
              <w:t xml:space="preserve">•  </w:t>
            </w:r>
            <w:r>
              <w:rPr>
                <w:rFonts w:ascii="Calibri" w:hAnsi="Calibri"/>
                <w:b w:val="0"/>
                <w:i w:val="0"/>
                <w:color w:val="212121"/>
                <w:sz w:val="19"/>
              </w:rPr>
              <w:t>Shunt-dependence and its complications; status epilepticus</w:t>
            </w:r>
          </w:p>
          <w:p>
            <w:pPr>
              <w:spacing w:after="40" w:line="254" w:lineRule="auto"/>
              <w:ind w:left="187" w:hanging="187"/>
            </w:pPr>
            <w:r>
              <w:rPr>
                <w:rFonts w:ascii="Calibri" w:hAnsi="Calibri"/>
                <w:b w:val="0"/>
                <w:i w:val="0"/>
                <w:color w:val="212121"/>
                <w:sz w:val="19"/>
              </w:rPr>
              <w:t xml:space="preserve">•  </w:t>
            </w:r>
            <w:r>
              <w:rPr>
                <w:rFonts w:ascii="Calibri" w:hAnsi="Calibri"/>
                <w:b w:val="0"/>
                <w:i w:val="0"/>
                <w:color w:val="212121"/>
                <w:sz w:val="19"/>
              </w:rPr>
              <w:t>Death — chiefly from untreated hydrocephalus and subarachnoid/racemose disease</w:t>
            </w:r>
          </w:p>
          <w:p>
            <w:pPr>
              <w:spacing w:after="40" w:line="254" w:lineRule="auto"/>
              <w:ind w:left="187" w:hanging="187"/>
            </w:pPr>
            <w:r>
              <w:rPr>
                <w:rFonts w:ascii="Calibri" w:hAnsi="Calibri"/>
                <w:b w:val="0"/>
                <w:i w:val="0"/>
                <w:color w:val="212121"/>
                <w:sz w:val="19"/>
              </w:rPr>
              <w:t xml:space="preserve">•  </w:t>
            </w:r>
            <w:r>
              <w:rPr>
                <w:rFonts w:ascii="Calibri" w:hAnsi="Calibri"/>
                <w:b w:val="0"/>
                <w:i w:val="0"/>
                <w:color w:val="212121"/>
                <w:sz w:val="19"/>
              </w:rPr>
              <w:t>Long-term disability, stigma and lost productivity</w:t>
            </w:r>
          </w:p>
        </w:tc>
        <w:tc>
          <w:tcPr>
            <w:tcW w:type="dxa" w:w="2980"/>
            <w:vAlign w:val="top"/>
          </w:tcPr>
          <w:p>
            <w:pPr>
              <w:spacing w:after="40" w:before="0" w:line="259" w:lineRule="auto"/>
            </w:pPr>
            <w:r>
              <w:rPr>
                <w:rFonts w:ascii="Calibri" w:hAnsi="Calibri"/>
                <w:b w:val="0"/>
                <w:i w:val="0"/>
                <w:color w:val="212121"/>
                <w:sz w:val="19"/>
              </w:rPr>
              <w:t>Irreversible, disabling outcomes of longstanding or extraparenchymal disease</w:t>
            </w:r>
          </w:p>
        </w:tc>
      </w:tr>
    </w:tbl>
    <w:p>
      <w:pPr>
        <w:spacing w:before="160" w:after="120"/>
      </w:pPr>
      <w:r>
        <w:rPr>
          <w:rFonts w:ascii="Calibri" w:hAnsi="Calibri"/>
          <w:b/>
          <w:i w:val="0"/>
          <w:color w:val="212121"/>
          <w:sz w:val="22"/>
        </w:rPr>
        <w:t>Associated Medical Conditions</w:t>
      </w:r>
    </w:p>
    <w:tbl>
      <w:tblPr>
        <w:tblW w:type="dxa" w:w="9604"/>
        <w:jc w:val="center"/>
        <w:tblLook w:firstColumn="1" w:firstRow="1" w:lastColumn="0" w:lastRow="0" w:noHBand="0" w:noVBand="1" w:val="04A0"/>
        <w:tblBorders>
          <w:top w:val="single" w:sz="4" w:space="0" w:color="BFBFBF"/>
          <w:left w:val="single" w:sz="4" w:space="0" w:color="BFBFBF"/>
          <w:bottom w:val="single" w:sz="4" w:space="0" w:color="BFBFBF"/>
          <w:right w:val="single" w:sz="4" w:space="0" w:color="BFBFBF"/>
          <w:insideH w:val="single" w:sz="4" w:space="0" w:color="BFBFBF"/>
          <w:insideV w:val="single" w:sz="4" w:space="0" w:color="BFBFBF"/>
        </w:tblBorders>
      </w:tblPr>
      <w:tblGrid>
        <w:gridCol w:w="3202"/>
        <w:gridCol w:w="3202"/>
        <w:gridCol w:w="3202"/>
      </w:tblGrid>
      <w:tr>
        <w:trPr>
          <w:cantSplit/>
        </w:trPr>
        <w:tc>
          <w:tcPr>
            <w:tcW w:type="dxa" w:w="2232"/>
            <w:shd w:val="clear" w:color="auto" w:fill="F2F2F2"/>
            <w:vAlign w:val="center"/>
          </w:tcPr>
          <w:p>
            <w:pPr>
              <w:spacing w:after="40" w:before="0" w:line="259" w:lineRule="auto"/>
            </w:pPr>
            <w:r>
              <w:rPr>
                <w:rFonts w:ascii="Calibri" w:hAnsi="Calibri"/>
                <w:b/>
                <w:i w:val="0"/>
                <w:color w:val="212121"/>
                <w:sz w:val="19"/>
              </w:rPr>
              <w:t>AMC</w:t>
            </w:r>
          </w:p>
        </w:tc>
        <w:tc>
          <w:tcPr>
            <w:tcW w:type="dxa" w:w="2520"/>
            <w:shd w:val="clear" w:color="auto" w:fill="F2F2F2"/>
            <w:vAlign w:val="center"/>
          </w:tcPr>
          <w:p>
            <w:pPr>
              <w:spacing w:after="40" w:before="0" w:line="259" w:lineRule="auto"/>
            </w:pPr>
            <w:r>
              <w:rPr>
                <w:rFonts w:ascii="Calibri" w:hAnsi="Calibri"/>
                <w:b/>
                <w:i w:val="0"/>
                <w:color w:val="212121"/>
                <w:sz w:val="19"/>
              </w:rPr>
              <w:t>Relationship</w:t>
            </w:r>
          </w:p>
        </w:tc>
        <w:tc>
          <w:tcPr>
            <w:tcW w:type="dxa" w:w="4852"/>
            <w:shd w:val="clear" w:color="auto" w:fill="F2F2F2"/>
            <w:vAlign w:val="center"/>
          </w:tcPr>
          <w:p>
            <w:pPr>
              <w:spacing w:after="40" w:before="0" w:line="259" w:lineRule="auto"/>
            </w:pPr>
            <w:r>
              <w:rPr>
                <w:rFonts w:ascii="Calibri" w:hAnsi="Calibri"/>
                <w:b/>
                <w:i w:val="0"/>
                <w:color w:val="212121"/>
                <w:sz w:val="19"/>
              </w:rPr>
              <w:t>Note</w:t>
            </w:r>
          </w:p>
        </w:tc>
      </w:tr>
      <w:tr>
        <w:trPr>
          <w:cantSplit/>
        </w:trPr>
        <w:tc>
          <w:tcPr>
            <w:tcW w:type="dxa" w:w="2232"/>
            <w:vAlign w:val="top"/>
          </w:tcPr>
          <w:p>
            <w:pPr>
              <w:spacing w:after="40" w:before="0" w:line="259" w:lineRule="auto"/>
            </w:pPr>
            <w:r>
              <w:rPr>
                <w:rFonts w:ascii="Calibri" w:hAnsi="Calibri"/>
                <w:b/>
                <w:i w:val="0"/>
                <w:color w:val="212121"/>
                <w:sz w:val="19"/>
              </w:rPr>
              <w:t>Active / acquired epilepsy</w:t>
            </w:r>
          </w:p>
        </w:tc>
        <w:tc>
          <w:tcPr>
            <w:tcW w:type="dxa" w:w="2520"/>
            <w:vAlign w:val="top"/>
          </w:tcPr>
          <w:p>
            <w:pPr>
              <w:spacing w:after="40" w:before="0" w:line="259" w:lineRule="auto"/>
            </w:pPr>
            <w:r>
              <w:rPr>
                <w:rFonts w:ascii="Calibri" w:hAnsi="Calibri"/>
                <w:b w:val="0"/>
                <w:i w:val="0"/>
                <w:color w:val="212121"/>
                <w:sz w:val="18"/>
              </w:rPr>
              <w:t>• Complication Of</w:t>
            </w:r>
          </w:p>
          <w:p>
            <w:pPr>
              <w:spacing w:after="40" w:before="0" w:line="259" w:lineRule="auto"/>
            </w:pPr>
            <w:r>
              <w:rPr>
                <w:rFonts w:ascii="Calibri" w:hAnsi="Calibri"/>
                <w:b w:val="0"/>
                <w:i w:val="0"/>
                <w:color w:val="212121"/>
                <w:sz w:val="18"/>
              </w:rPr>
              <w:t>• Bidirectional Association</w:t>
            </w:r>
          </w:p>
          <w:p>
            <w:pPr>
              <w:spacing w:after="40" w:before="0" w:line="259" w:lineRule="auto"/>
            </w:pPr>
            <w:r>
              <w:rPr>
                <w:rFonts w:ascii="Calibri" w:hAnsi="Calibri"/>
                <w:b w:val="0"/>
                <w:i w:val="0"/>
                <w:color w:val="212121"/>
                <w:sz w:val="18"/>
              </w:rPr>
              <w:t>• Shared Pathophysiology</w:t>
            </w:r>
          </w:p>
        </w:tc>
        <w:tc>
          <w:tcPr>
            <w:tcW w:type="dxa" w:w="4852"/>
            <w:vAlign w:val="top"/>
          </w:tcPr>
          <w:p>
            <w:pPr>
              <w:spacing w:after="40" w:before="0" w:line="259" w:lineRule="auto"/>
            </w:pPr>
            <w:r>
              <w:rPr>
                <w:rFonts w:ascii="Calibri" w:hAnsi="Calibri"/>
                <w:b w:val="0"/>
                <w:i w:val="0"/>
                <w:color w:val="212121"/>
                <w:sz w:val="19"/>
              </w:rPr>
              <w:t>NCC is a leading structural cause of acquired focal epilepsy in India; seizures may persist even after the cyst calcifies, and epilepsy in turn prompts the imaging that reveals NCC.</w:t>
            </w:r>
          </w:p>
          <w:p>
            <w:pPr>
              <w:spacing w:after="40" w:before="0" w:line="259" w:lineRule="auto"/>
            </w:pPr>
            <w:r>
              <w:rPr>
                <w:rFonts w:ascii="Calibri" w:hAnsi="Calibri"/>
                <w:b/>
                <w:i w:val="0"/>
                <w:color w:val="212121"/>
                <w:sz w:val="19"/>
              </w:rPr>
              <w:t>~30% of epilepsy in endemic areas (up to 70% in high-risk communities)</w:t>
            </w:r>
          </w:p>
        </w:tc>
      </w:tr>
      <w:tr>
        <w:trPr>
          <w:cantSplit/>
        </w:trPr>
        <w:tc>
          <w:tcPr>
            <w:tcW w:type="dxa" w:w="2232"/>
            <w:vAlign w:val="top"/>
          </w:tcPr>
          <w:p>
            <w:pPr>
              <w:spacing w:after="40" w:before="0" w:line="259" w:lineRule="auto"/>
            </w:pPr>
            <w:r>
              <w:rPr>
                <w:rFonts w:ascii="Calibri" w:hAnsi="Calibri"/>
                <w:b/>
                <w:i w:val="0"/>
                <w:color w:val="212121"/>
                <w:sz w:val="19"/>
              </w:rPr>
              <w:t>Taeniasis (T. solium intestinal tapeworm)</w:t>
            </w:r>
          </w:p>
        </w:tc>
        <w:tc>
          <w:tcPr>
            <w:tcW w:type="dxa" w:w="2520"/>
            <w:vAlign w:val="top"/>
          </w:tcPr>
          <w:p>
            <w:pPr>
              <w:spacing w:after="40" w:before="0" w:line="259" w:lineRule="auto"/>
            </w:pPr>
            <w:r>
              <w:rPr>
                <w:rFonts w:ascii="Calibri" w:hAnsi="Calibri"/>
                <w:b w:val="0"/>
                <w:i w:val="0"/>
                <w:color w:val="212121"/>
                <w:sz w:val="18"/>
              </w:rPr>
              <w:t>• Shared Pathophysiology</w:t>
            </w:r>
          </w:p>
          <w:p>
            <w:pPr>
              <w:spacing w:after="40" w:before="0" w:line="259" w:lineRule="auto"/>
            </w:pPr>
            <w:r>
              <w:rPr>
                <w:rFonts w:ascii="Calibri" w:hAnsi="Calibri"/>
                <w:b w:val="0"/>
                <w:i w:val="0"/>
                <w:color w:val="212121"/>
                <w:sz w:val="18"/>
              </w:rPr>
              <w:t>• Predisposes To</w:t>
            </w:r>
          </w:p>
          <w:p>
            <w:pPr>
              <w:spacing w:after="40" w:before="0" w:line="259" w:lineRule="auto"/>
            </w:pPr>
            <w:r>
              <w:rPr>
                <w:rFonts w:ascii="Calibri" w:hAnsi="Calibri"/>
                <w:b w:val="0"/>
                <w:i w:val="0"/>
                <w:color w:val="212121"/>
                <w:sz w:val="18"/>
              </w:rPr>
              <w:t>• Treatment Interaction</w:t>
            </w:r>
          </w:p>
        </w:tc>
        <w:tc>
          <w:tcPr>
            <w:tcW w:type="dxa" w:w="4852"/>
            <w:vAlign w:val="top"/>
          </w:tcPr>
          <w:p>
            <w:pPr>
              <w:spacing w:after="40" w:before="0" w:line="259" w:lineRule="auto"/>
            </w:pPr>
            <w:r>
              <w:rPr>
                <w:rFonts w:ascii="Calibri" w:hAnsi="Calibri"/>
                <w:b w:val="0"/>
                <w:i w:val="0"/>
                <w:color w:val="212121"/>
                <w:sz w:val="19"/>
              </w:rPr>
              <w:t>The carrier state is the source of the eggs that cause NCC and the route of heavy self-infection (autoinfection); identifying and treating it is core to management.</w:t>
            </w:r>
          </w:p>
          <w:p>
            <w:pPr>
              <w:spacing w:after="40" w:before="0" w:line="259" w:lineRule="auto"/>
            </w:pPr>
            <w:r>
              <w:rPr>
                <w:rFonts w:ascii="Calibri" w:hAnsi="Calibri"/>
                <w:b/>
                <w:i w:val="0"/>
                <w:color w:val="212121"/>
                <w:sz w:val="19"/>
              </w:rPr>
              <w:t>Present in 20% of NCC cases vs 0% of non-NCC epilepsy (Assam)</w:t>
            </w:r>
          </w:p>
        </w:tc>
      </w:tr>
      <w:tr>
        <w:trPr>
          <w:cantSplit/>
        </w:trPr>
        <w:tc>
          <w:tcPr>
            <w:tcW w:type="dxa" w:w="2232"/>
            <w:vAlign w:val="top"/>
          </w:tcPr>
          <w:p>
            <w:pPr>
              <w:spacing w:after="40" w:before="0" w:line="259" w:lineRule="auto"/>
            </w:pPr>
            <w:r>
              <w:rPr>
                <w:rFonts w:ascii="Calibri" w:hAnsi="Calibri"/>
                <w:b/>
                <w:i w:val="0"/>
                <w:color w:val="212121"/>
                <w:sz w:val="19"/>
              </w:rPr>
              <w:t>Obstructive hydrocephalus</w:t>
            </w:r>
          </w:p>
        </w:tc>
        <w:tc>
          <w:tcPr>
            <w:tcW w:type="dxa" w:w="2520"/>
            <w:vAlign w:val="top"/>
          </w:tcPr>
          <w:p>
            <w:pPr>
              <w:spacing w:after="40" w:before="0" w:line="259" w:lineRule="auto"/>
            </w:pPr>
            <w:r>
              <w:rPr>
                <w:rFonts w:ascii="Calibri" w:hAnsi="Calibri"/>
                <w:b w:val="0"/>
                <w:i w:val="0"/>
                <w:color w:val="212121"/>
                <w:sz w:val="18"/>
              </w:rPr>
              <w:t>• Complication Of</w:t>
            </w:r>
          </w:p>
          <w:p>
            <w:pPr>
              <w:spacing w:after="40" w:before="0" w:line="259" w:lineRule="auto"/>
            </w:pPr>
            <w:r>
              <w:rPr>
                <w:rFonts w:ascii="Calibri" w:hAnsi="Calibri"/>
                <w:b w:val="0"/>
                <w:i w:val="0"/>
                <w:color w:val="212121"/>
                <w:sz w:val="18"/>
              </w:rPr>
              <w:t>• Clinical Management Impact</w:t>
            </w:r>
          </w:p>
        </w:tc>
        <w:tc>
          <w:tcPr>
            <w:tcW w:type="dxa" w:w="4852"/>
            <w:vAlign w:val="top"/>
          </w:tcPr>
          <w:p>
            <w:pPr>
              <w:spacing w:after="40" w:before="0" w:line="259" w:lineRule="auto"/>
            </w:pPr>
            <w:r>
              <w:rPr>
                <w:rFonts w:ascii="Calibri" w:hAnsi="Calibri"/>
                <w:b w:val="0"/>
                <w:i w:val="0"/>
                <w:color w:val="212121"/>
                <w:sz w:val="19"/>
              </w:rPr>
              <w:t>Intraventricular and subarachnoid cysts plus ependymal inflammation obstruct CSF flow, the principal driver of NCC morbidity and mortality and often needing shunting.</w:t>
            </w:r>
          </w:p>
        </w:tc>
      </w:tr>
      <w:tr>
        <w:trPr>
          <w:cantSplit/>
        </w:trPr>
        <w:tc>
          <w:tcPr>
            <w:tcW w:type="dxa" w:w="2232"/>
            <w:vAlign w:val="top"/>
          </w:tcPr>
          <w:p>
            <w:pPr>
              <w:spacing w:after="40" w:before="0" w:line="259" w:lineRule="auto"/>
            </w:pPr>
            <w:r>
              <w:rPr>
                <w:rFonts w:ascii="Calibri" w:hAnsi="Calibri"/>
                <w:b/>
                <w:i w:val="0"/>
                <w:color w:val="212121"/>
                <w:sz w:val="19"/>
              </w:rPr>
              <w:t>Mesial temporal lobe epilepsy with hippocampal sclerosis</w:t>
            </w:r>
          </w:p>
        </w:tc>
        <w:tc>
          <w:tcPr>
            <w:tcW w:type="dxa" w:w="2520"/>
            <w:vAlign w:val="top"/>
          </w:tcPr>
          <w:p>
            <w:pPr>
              <w:spacing w:after="40" w:before="0" w:line="259" w:lineRule="auto"/>
            </w:pPr>
            <w:r>
              <w:rPr>
                <w:rFonts w:ascii="Calibri" w:hAnsi="Calibri"/>
                <w:b w:val="0"/>
                <w:i w:val="0"/>
                <w:color w:val="212121"/>
                <w:sz w:val="18"/>
              </w:rPr>
              <w:t>• Complication Of</w:t>
            </w:r>
          </w:p>
          <w:p>
            <w:pPr>
              <w:spacing w:after="40" w:before="0" w:line="259" w:lineRule="auto"/>
            </w:pPr>
            <w:r>
              <w:rPr>
                <w:rFonts w:ascii="Calibri" w:hAnsi="Calibri"/>
                <w:b w:val="0"/>
                <w:i w:val="0"/>
                <w:color w:val="212121"/>
                <w:sz w:val="18"/>
              </w:rPr>
              <w:t>• Shared Pathophysiology</w:t>
            </w:r>
          </w:p>
          <w:p>
            <w:pPr>
              <w:spacing w:after="40" w:before="0" w:line="259" w:lineRule="auto"/>
            </w:pPr>
            <w:r>
              <w:rPr>
                <w:rFonts w:ascii="Calibri" w:hAnsi="Calibri"/>
                <w:b w:val="0"/>
                <w:i w:val="0"/>
                <w:color w:val="212121"/>
                <w:sz w:val="18"/>
              </w:rPr>
              <w:t>• Clinical Management Impact</w:t>
            </w:r>
          </w:p>
        </w:tc>
        <w:tc>
          <w:tcPr>
            <w:tcW w:type="dxa" w:w="4852"/>
            <w:vAlign w:val="top"/>
          </w:tcPr>
          <w:p>
            <w:pPr>
              <w:spacing w:after="40" w:before="0" w:line="259" w:lineRule="auto"/>
            </w:pPr>
            <w:r>
              <w:rPr>
                <w:rFonts w:ascii="Calibri" w:hAnsi="Calibri"/>
                <w:b w:val="0"/>
                <w:i w:val="0"/>
                <w:color w:val="212121"/>
                <w:sz w:val="19"/>
              </w:rPr>
              <w:t>Calcified NCC is strongly associated with hippocampal sclerosis and refractory temporal-lobe epilepsy, altering surgical evaluation and prognosis.</w:t>
            </w:r>
          </w:p>
          <w:p>
            <w:pPr>
              <w:spacing w:after="40" w:before="0" w:line="259" w:lineRule="auto"/>
            </w:pPr>
            <w:r>
              <w:rPr>
                <w:rFonts w:ascii="Calibri" w:hAnsi="Calibri"/>
                <w:b/>
                <w:i w:val="0"/>
                <w:color w:val="212121"/>
                <w:sz w:val="19"/>
              </w:rPr>
              <w:t>OR 11.9 vs other epilepsies</w:t>
            </w:r>
          </w:p>
        </w:tc>
      </w:tr>
      <w:tr>
        <w:trPr>
          <w:cantSplit/>
        </w:trPr>
        <w:tc>
          <w:tcPr>
            <w:tcW w:type="dxa" w:w="2232"/>
            <w:vAlign w:val="top"/>
          </w:tcPr>
          <w:p>
            <w:pPr>
              <w:spacing w:after="40" w:before="0" w:line="259" w:lineRule="auto"/>
            </w:pPr>
            <w:r>
              <w:rPr>
                <w:rFonts w:ascii="Calibri" w:hAnsi="Calibri"/>
                <w:b/>
                <w:i w:val="0"/>
                <w:color w:val="212121"/>
                <w:sz w:val="19"/>
              </w:rPr>
              <w:t>Cerebral cysticercal vasculitis / stroke</w:t>
            </w:r>
          </w:p>
        </w:tc>
        <w:tc>
          <w:tcPr>
            <w:tcW w:type="dxa" w:w="2520"/>
            <w:vAlign w:val="top"/>
          </w:tcPr>
          <w:p>
            <w:pPr>
              <w:spacing w:after="40" w:before="0" w:line="259" w:lineRule="auto"/>
            </w:pPr>
            <w:r>
              <w:rPr>
                <w:rFonts w:ascii="Calibri" w:hAnsi="Calibri"/>
                <w:b w:val="0"/>
                <w:i w:val="0"/>
                <w:color w:val="212121"/>
                <w:sz w:val="18"/>
              </w:rPr>
              <w:t>Complication Of</w:t>
            </w:r>
          </w:p>
        </w:tc>
        <w:tc>
          <w:tcPr>
            <w:tcW w:type="dxa" w:w="4852"/>
            <w:vAlign w:val="top"/>
          </w:tcPr>
          <w:p>
            <w:pPr>
              <w:spacing w:after="40" w:before="0" w:line="259" w:lineRule="auto"/>
            </w:pPr>
            <w:r>
              <w:rPr>
                <w:rFonts w:ascii="Calibri" w:hAnsi="Calibri"/>
                <w:b w:val="0"/>
                <w:i w:val="0"/>
                <w:color w:val="212121"/>
                <w:sz w:val="19"/>
              </w:rPr>
              <w:t>Inflammation of vessels traversing the basal subarachnoid space causes infarction, especially in racemose disease.</w:t>
            </w:r>
          </w:p>
        </w:tc>
      </w:tr>
      <w:tr>
        <w:trPr>
          <w:cantSplit/>
        </w:trPr>
        <w:tc>
          <w:tcPr>
            <w:tcW w:type="dxa" w:w="2232"/>
            <w:vAlign w:val="top"/>
          </w:tcPr>
          <w:p>
            <w:pPr>
              <w:spacing w:after="40" w:before="0" w:line="259" w:lineRule="auto"/>
            </w:pPr>
            <w:r>
              <w:rPr>
                <w:rFonts w:ascii="Calibri" w:hAnsi="Calibri"/>
                <w:b/>
                <w:i w:val="0"/>
                <w:color w:val="212121"/>
                <w:sz w:val="19"/>
              </w:rPr>
              <w:t>Depression, anxiety &amp; psychosis</w:t>
            </w:r>
          </w:p>
        </w:tc>
        <w:tc>
          <w:tcPr>
            <w:tcW w:type="dxa" w:w="2520"/>
            <w:vAlign w:val="top"/>
          </w:tcPr>
          <w:p>
            <w:pPr>
              <w:spacing w:after="40" w:before="0" w:line="259" w:lineRule="auto"/>
            </w:pPr>
            <w:r>
              <w:rPr>
                <w:rFonts w:ascii="Calibri" w:hAnsi="Calibri"/>
                <w:b w:val="0"/>
                <w:i w:val="0"/>
                <w:color w:val="212121"/>
                <w:sz w:val="18"/>
              </w:rPr>
              <w:t>• Bidirectional Association</w:t>
            </w:r>
          </w:p>
          <w:p>
            <w:pPr>
              <w:spacing w:after="40" w:before="0" w:line="259" w:lineRule="auto"/>
            </w:pPr>
            <w:r>
              <w:rPr>
                <w:rFonts w:ascii="Calibri" w:hAnsi="Calibri"/>
                <w:b w:val="0"/>
                <w:i w:val="0"/>
                <w:color w:val="212121"/>
                <w:sz w:val="18"/>
              </w:rPr>
              <w:t>• Clinical Management Impact</w:t>
            </w:r>
          </w:p>
        </w:tc>
        <w:tc>
          <w:tcPr>
            <w:tcW w:type="dxa" w:w="4852"/>
            <w:vAlign w:val="top"/>
          </w:tcPr>
          <w:p>
            <w:pPr>
              <w:spacing w:after="40" w:before="0" w:line="259" w:lineRule="auto"/>
            </w:pPr>
            <w:r>
              <w:rPr>
                <w:rFonts w:ascii="Calibri" w:hAnsi="Calibri"/>
                <w:b w:val="0"/>
                <w:i w:val="0"/>
                <w:color w:val="212121"/>
                <w:sz w:val="19"/>
              </w:rPr>
              <w:t>Psychiatric disorders are over-represented in NCC through lesion effects, chronic seizures, stigma and treatment burden, and worsen adherence and quality of life.</w:t>
            </w:r>
          </w:p>
        </w:tc>
      </w:tr>
      <w:tr>
        <w:trPr>
          <w:cantSplit/>
        </w:trPr>
        <w:tc>
          <w:tcPr>
            <w:tcW w:type="dxa" w:w="2232"/>
            <w:vAlign w:val="top"/>
          </w:tcPr>
          <w:p>
            <w:pPr>
              <w:spacing w:after="40" w:before="0" w:line="259" w:lineRule="auto"/>
            </w:pPr>
            <w:r>
              <w:rPr>
                <w:rFonts w:ascii="Calibri" w:hAnsi="Calibri"/>
                <w:b/>
                <w:i w:val="0"/>
                <w:color w:val="212121"/>
                <w:sz w:val="19"/>
              </w:rPr>
              <w:t>Chronic / recurrent headache &amp; migraine</w:t>
            </w:r>
          </w:p>
        </w:tc>
        <w:tc>
          <w:tcPr>
            <w:tcW w:type="dxa" w:w="2520"/>
            <w:vAlign w:val="top"/>
          </w:tcPr>
          <w:p>
            <w:pPr>
              <w:spacing w:after="40" w:before="0" w:line="259" w:lineRule="auto"/>
            </w:pPr>
            <w:r>
              <w:rPr>
                <w:rFonts w:ascii="Calibri" w:hAnsi="Calibri"/>
                <w:b w:val="0"/>
                <w:i w:val="0"/>
                <w:color w:val="212121"/>
                <w:sz w:val="18"/>
              </w:rPr>
              <w:t>• Bidirectional Association</w:t>
            </w:r>
          </w:p>
          <w:p>
            <w:pPr>
              <w:spacing w:after="40" w:before="0" w:line="259" w:lineRule="auto"/>
            </w:pPr>
            <w:r>
              <w:rPr>
                <w:rFonts w:ascii="Calibri" w:hAnsi="Calibri"/>
                <w:b w:val="0"/>
                <w:i w:val="0"/>
                <w:color w:val="212121"/>
                <w:sz w:val="18"/>
              </w:rPr>
              <w:t>• Clinical Management Impact</w:t>
            </w:r>
          </w:p>
        </w:tc>
        <w:tc>
          <w:tcPr>
            <w:tcW w:type="dxa" w:w="4852"/>
            <w:vAlign w:val="top"/>
          </w:tcPr>
          <w:p>
            <w:pPr>
              <w:spacing w:after="40" w:before="0" w:line="259" w:lineRule="auto"/>
            </w:pPr>
            <w:r>
              <w:rPr>
                <w:rFonts w:ascii="Calibri" w:hAnsi="Calibri"/>
                <w:b w:val="0"/>
                <w:i w:val="0"/>
                <w:color w:val="212121"/>
                <w:sz w:val="19"/>
              </w:rPr>
              <w:t>Headache is a frequent NCC symptom and can persist independently, complicating attribution of symptoms to active disease.</w:t>
            </w:r>
          </w:p>
        </w:tc>
      </w:tr>
      <w:tr>
        <w:trPr>
          <w:cantSplit/>
        </w:trPr>
        <w:tc>
          <w:tcPr>
            <w:tcW w:type="dxa" w:w="2232"/>
            <w:vAlign w:val="top"/>
          </w:tcPr>
          <w:p>
            <w:pPr>
              <w:spacing w:after="40" w:before="0" w:line="259" w:lineRule="auto"/>
            </w:pPr>
            <w:r>
              <w:rPr>
                <w:rFonts w:ascii="Calibri" w:hAnsi="Calibri"/>
                <w:b/>
                <w:i w:val="0"/>
                <w:color w:val="212121"/>
                <w:sz w:val="19"/>
              </w:rPr>
              <w:t>Cerebral tuberculoma (differential)</w:t>
            </w:r>
          </w:p>
        </w:tc>
        <w:tc>
          <w:tcPr>
            <w:tcW w:type="dxa" w:w="2520"/>
            <w:vAlign w:val="top"/>
          </w:tcPr>
          <w:p>
            <w:pPr>
              <w:spacing w:after="40" w:before="0" w:line="259" w:lineRule="auto"/>
            </w:pPr>
            <w:r>
              <w:rPr>
                <w:rFonts w:ascii="Calibri" w:hAnsi="Calibri"/>
                <w:b w:val="0"/>
                <w:i w:val="0"/>
                <w:color w:val="212121"/>
                <w:sz w:val="18"/>
              </w:rPr>
              <w:t>Clinical Management Impact</w:t>
            </w:r>
          </w:p>
        </w:tc>
        <w:tc>
          <w:tcPr>
            <w:tcW w:type="dxa" w:w="4852"/>
            <w:vAlign w:val="top"/>
          </w:tcPr>
          <w:p>
            <w:pPr>
              <w:spacing w:after="40" w:before="0" w:line="259" w:lineRule="auto"/>
            </w:pPr>
            <w:r>
              <w:rPr>
                <w:rFonts w:ascii="Calibri" w:hAnsi="Calibri"/>
                <w:b w:val="0"/>
                <w:i w:val="0"/>
                <w:color w:val="212121"/>
                <w:sz w:val="19"/>
              </w:rPr>
              <w:t>In India both produce ring-enhancing lesions and seizures; distinguishing them is critical because empirical anti-tubercular versus cysticidal therapy differ entirely.</w:t>
            </w:r>
          </w:p>
        </w:tc>
      </w:tr>
      <w:tr>
        <w:trPr>
          <w:cantSplit/>
        </w:trPr>
        <w:tc>
          <w:tcPr>
            <w:tcW w:type="dxa" w:w="2232"/>
            <w:vAlign w:val="top"/>
          </w:tcPr>
          <w:p>
            <w:pPr>
              <w:spacing w:after="40" w:before="0" w:line="259" w:lineRule="auto"/>
            </w:pPr>
            <w:r>
              <w:rPr>
                <w:rFonts w:ascii="Calibri" w:hAnsi="Calibri"/>
                <w:b/>
                <w:i w:val="0"/>
                <w:color w:val="212121"/>
                <w:sz w:val="19"/>
              </w:rPr>
              <w:t>HIV / immunosuppression</w:t>
            </w:r>
          </w:p>
        </w:tc>
        <w:tc>
          <w:tcPr>
            <w:tcW w:type="dxa" w:w="2520"/>
            <w:vAlign w:val="top"/>
          </w:tcPr>
          <w:p>
            <w:pPr>
              <w:spacing w:after="40" w:before="0" w:line="259" w:lineRule="auto"/>
            </w:pPr>
            <w:r>
              <w:rPr>
                <w:rFonts w:ascii="Calibri" w:hAnsi="Calibri"/>
                <w:b w:val="0"/>
                <w:i w:val="0"/>
                <w:color w:val="212121"/>
                <w:sz w:val="18"/>
              </w:rPr>
              <w:t>• Predisposes To</w:t>
            </w:r>
          </w:p>
          <w:p>
            <w:pPr>
              <w:spacing w:after="40" w:before="0" w:line="259" w:lineRule="auto"/>
            </w:pPr>
            <w:r>
              <w:rPr>
                <w:rFonts w:ascii="Calibri" w:hAnsi="Calibri"/>
                <w:b w:val="0"/>
                <w:i w:val="0"/>
                <w:color w:val="212121"/>
                <w:sz w:val="18"/>
              </w:rPr>
              <w:t>• Clinical Management Impact</w:t>
            </w:r>
          </w:p>
        </w:tc>
        <w:tc>
          <w:tcPr>
            <w:tcW w:type="dxa" w:w="4852"/>
            <w:vAlign w:val="top"/>
          </w:tcPr>
          <w:p>
            <w:pPr>
              <w:spacing w:after="40" w:before="0" w:line="259" w:lineRule="auto"/>
            </w:pPr>
            <w:r>
              <w:rPr>
                <w:rFonts w:ascii="Calibri" w:hAnsi="Calibri"/>
                <w:b w:val="0"/>
                <w:i w:val="0"/>
                <w:color w:val="212121"/>
                <w:sz w:val="19"/>
              </w:rPr>
              <w:t>Impaired cell-mediated immunity can alter cyst inflammation, predispose to heavier/disseminated disease and broaden the CNS-lesion differential.</w:t>
            </w:r>
          </w:p>
        </w:tc>
      </w:tr>
    </w:tbl>
    <w:p>
      <w:pPr>
        <w:spacing w:before="200" w:after="120"/>
      </w:pPr>
      <w:r>
        <w:rPr>
          <w:rFonts w:ascii="Calibri" w:hAnsi="Calibri"/>
          <w:b/>
          <w:i w:val="0"/>
          <w:color w:val="212121"/>
          <w:sz w:val="25"/>
        </w:rPr>
        <w:t>Suggestions</w:t>
      </w:r>
    </w:p>
    <w:tbl>
      <w:tblPr>
        <w:tblW w:type="dxa" w:w="9604"/>
        <w:jc w:val="center"/>
        <w:tblLook w:firstColumn="1" w:firstRow="1" w:lastColumn="0" w:lastRow="0" w:noHBand="0" w:noVBand="1" w:val="04A0"/>
        <w:tblBorders>
          <w:top w:val="single" w:sz="4" w:space="0" w:color="BFBFBF"/>
          <w:left w:val="single" w:sz="4" w:space="0" w:color="BFBFBF"/>
          <w:bottom w:val="single" w:sz="4" w:space="0" w:color="BFBFBF"/>
          <w:right w:val="single" w:sz="4" w:space="0" w:color="BFBFBF"/>
          <w:insideH w:val="single" w:sz="4" w:space="0" w:color="BFBFBF"/>
          <w:insideV w:val="single" w:sz="4" w:space="0" w:color="BFBFBF"/>
        </w:tblBorders>
      </w:tblPr>
      <w:tblGrid>
        <w:gridCol w:w="1921"/>
        <w:gridCol w:w="1921"/>
        <w:gridCol w:w="1921"/>
        <w:gridCol w:w="1921"/>
        <w:gridCol w:w="1921"/>
      </w:tblGrid>
      <w:tr>
        <w:trPr>
          <w:cantSplit/>
        </w:trPr>
        <w:tc>
          <w:tcPr>
            <w:tcW w:type="dxa" w:w="1224"/>
            <w:shd w:val="clear" w:color="auto" w:fill="F2F2F2"/>
            <w:vAlign w:val="center"/>
          </w:tcPr>
          <w:p>
            <w:pPr>
              <w:spacing w:after="40" w:before="0" w:line="259" w:lineRule="auto"/>
            </w:pPr>
            <w:r>
              <w:rPr>
                <w:rFonts w:ascii="Calibri" w:hAnsi="Calibri"/>
                <w:b/>
                <w:i w:val="0"/>
                <w:color w:val="212121"/>
                <w:sz w:val="19"/>
              </w:rPr>
              <w:t>LHP</w:t>
            </w:r>
          </w:p>
        </w:tc>
        <w:tc>
          <w:tcPr>
            <w:tcW w:type="dxa" w:w="1224"/>
            <w:shd w:val="clear" w:color="auto" w:fill="F2F2F2"/>
            <w:vAlign w:val="center"/>
          </w:tcPr>
          <w:p>
            <w:pPr>
              <w:spacing w:after="40" w:before="0" w:line="259" w:lineRule="auto"/>
            </w:pPr>
            <w:r>
              <w:rPr>
                <w:rFonts w:ascii="Calibri" w:hAnsi="Calibri"/>
                <w:b/>
                <w:i w:val="0"/>
                <w:color w:val="212121"/>
                <w:sz w:val="19"/>
              </w:rPr>
              <w:t>Type</w:t>
            </w:r>
          </w:p>
        </w:tc>
        <w:tc>
          <w:tcPr>
            <w:tcW w:type="dxa" w:w="4176"/>
            <w:shd w:val="clear" w:color="auto" w:fill="F2F2F2"/>
            <w:vAlign w:val="center"/>
          </w:tcPr>
          <w:p>
            <w:pPr>
              <w:spacing w:after="40" w:before="0" w:line="259" w:lineRule="auto"/>
            </w:pPr>
            <w:r>
              <w:rPr>
                <w:rFonts w:ascii="Calibri" w:hAnsi="Calibri"/>
                <w:b/>
                <w:i w:val="0"/>
                <w:color w:val="212121"/>
                <w:sz w:val="19"/>
              </w:rPr>
              <w:t>Suggestion</w:t>
            </w:r>
          </w:p>
        </w:tc>
        <w:tc>
          <w:tcPr>
            <w:tcW w:type="dxa" w:w="1944"/>
            <w:shd w:val="clear" w:color="auto" w:fill="F2F2F2"/>
            <w:vAlign w:val="center"/>
          </w:tcPr>
          <w:p>
            <w:pPr>
              <w:spacing w:after="40" w:before="0" w:line="259" w:lineRule="auto"/>
            </w:pPr>
            <w:r>
              <w:rPr>
                <w:rFonts w:ascii="Calibri" w:hAnsi="Calibri"/>
                <w:b/>
                <w:i w:val="0"/>
                <w:color w:val="212121"/>
                <w:sz w:val="19"/>
              </w:rPr>
              <w:t>Profile</w:t>
            </w:r>
          </w:p>
        </w:tc>
        <w:tc>
          <w:tcPr>
            <w:tcW w:type="dxa" w:w="1036"/>
            <w:shd w:val="clear" w:color="auto" w:fill="F2F2F2"/>
            <w:vAlign w:val="center"/>
          </w:tcPr>
          <w:p>
            <w:pPr>
              <w:spacing w:after="40" w:before="0" w:line="259" w:lineRule="auto"/>
            </w:pPr>
            <w:r>
              <w:rPr>
                <w:rFonts w:ascii="Calibri" w:hAnsi="Calibri"/>
                <w:b/>
                <w:i w:val="0"/>
                <w:color w:val="212121"/>
                <w:sz w:val="19"/>
              </w:rPr>
              <w:t>Importance</w:t>
            </w:r>
          </w:p>
        </w:tc>
      </w:tr>
      <w:tr>
        <w:trPr>
          <w:cantSplit/>
        </w:trPr>
        <w:tc>
          <w:tcPr>
            <w:tcW w:type="dxa" w:w="1224"/>
            <w:vMerge w:val="restart"/>
            <w:vAlign w:val="center"/>
          </w:tcPr>
          <w:p>
            <w:pPr>
              <w:spacing w:after="40"/>
            </w:pPr>
            <w:r>
              <w:rPr>
                <w:rFonts w:ascii="Calibri" w:hAnsi="Calibri"/>
                <w:b w:val="0"/>
                <w:i w:val="0"/>
                <w:color w:val="212121"/>
                <w:sz w:val="19"/>
              </w:rPr>
              <w:t>Education</w:t>
            </w:r>
          </w:p>
        </w:tc>
        <w:tc>
          <w:tcPr>
            <w:tcW w:type="dxa" w:w="1224"/>
            <w:vAlign w:val="top"/>
          </w:tcPr>
          <w:p>
            <w:pPr>
              <w:spacing w:after="40" w:before="0" w:line="259" w:lineRule="auto"/>
            </w:pPr>
            <w:r>
              <w:rPr>
                <w:rFonts w:ascii="Calibri" w:hAnsi="Calibri"/>
                <w:b w:val="0"/>
                <w:i w:val="0"/>
                <w:color w:val="212121"/>
                <w:sz w:val="19"/>
              </w:rPr>
              <w:t>Preventive</w:t>
            </w:r>
          </w:p>
        </w:tc>
        <w:tc>
          <w:tcPr>
            <w:tcW w:type="dxa" w:w="4176"/>
            <w:vAlign w:val="top"/>
          </w:tcPr>
          <w:p>
            <w:pPr>
              <w:spacing w:after="40" w:line="254" w:lineRule="auto"/>
              <w:ind w:left="187" w:hanging="187"/>
            </w:pPr>
            <w:r>
              <w:rPr>
                <w:rFonts w:ascii="Calibri" w:hAnsi="Calibri"/>
                <w:b w:val="0"/>
                <w:i w:val="0"/>
                <w:color w:val="212121"/>
                <w:sz w:val="19"/>
              </w:rPr>
              <w:t xml:space="preserve">•  </w:t>
            </w:r>
            <w:r>
              <w:rPr>
                <w:rFonts w:ascii="Calibri" w:hAnsi="Calibri"/>
                <w:b w:val="0"/>
                <w:i w:val="0"/>
                <w:color w:val="212121"/>
                <w:sz w:val="19"/>
              </w:rPr>
              <w:t>Understand that NCC comes from swallowing tapeworm EGGS (via faecally contaminated food, water or hands) — not from eating pork — so vegetarians are also at risk.</w:t>
            </w:r>
          </w:p>
          <w:p>
            <w:pPr>
              <w:spacing w:after="40" w:line="254" w:lineRule="auto"/>
              <w:ind w:left="187" w:hanging="187"/>
            </w:pPr>
            <w:r>
              <w:rPr>
                <w:rFonts w:ascii="Calibri" w:hAnsi="Calibri"/>
                <w:b w:val="0"/>
                <w:i w:val="0"/>
                <w:color w:val="212121"/>
                <w:sz w:val="19"/>
              </w:rPr>
              <w:t xml:space="preserve">•  </w:t>
            </w:r>
            <w:r>
              <w:rPr>
                <w:rFonts w:ascii="Calibri" w:hAnsi="Calibri"/>
                <w:b w:val="0"/>
                <w:i w:val="0"/>
                <w:color w:val="212121"/>
                <w:sz w:val="19"/>
              </w:rPr>
              <w:t>Always wash hands with soap after defecation and before preparing or eating food; insist food handlers do the same.</w:t>
            </w:r>
          </w:p>
          <w:p>
            <w:pPr>
              <w:spacing w:after="40" w:line="254" w:lineRule="auto"/>
              <w:ind w:left="187" w:hanging="187"/>
            </w:pPr>
            <w:r>
              <w:rPr>
                <w:rFonts w:ascii="Calibri" w:hAnsi="Calibri"/>
                <w:b w:val="0"/>
                <w:i w:val="0"/>
                <w:color w:val="212121"/>
                <w:sz w:val="19"/>
              </w:rPr>
              <w:t xml:space="preserve">•  </w:t>
            </w:r>
            <w:r>
              <w:rPr>
                <w:rFonts w:ascii="Calibri" w:hAnsi="Calibri"/>
                <w:b w:val="0"/>
                <w:i w:val="0"/>
                <w:color w:val="212121"/>
                <w:sz w:val="19"/>
              </w:rPr>
              <w:t>Use and maintain a proper toilet; eliminate open defecation, which seeds the environment with eggs.</w:t>
            </w:r>
          </w:p>
          <w:p>
            <w:pPr>
              <w:spacing w:after="40" w:line="254" w:lineRule="auto"/>
              <w:ind w:left="187" w:hanging="187"/>
            </w:pPr>
            <w:r>
              <w:rPr>
                <w:rFonts w:ascii="Calibri" w:hAnsi="Calibri"/>
                <w:b w:val="0"/>
                <w:i w:val="0"/>
                <w:color w:val="212121"/>
                <w:sz w:val="19"/>
              </w:rPr>
              <w:t xml:space="preserve">•  </w:t>
            </w:r>
            <w:r>
              <w:rPr>
                <w:rFonts w:ascii="Calibri" w:hAnsi="Calibri"/>
                <w:b w:val="0"/>
                <w:i w:val="0"/>
                <w:color w:val="212121"/>
                <w:sz w:val="19"/>
              </w:rPr>
              <w:t>Cook pork thoroughly (until no pink, &gt;80°C throughout) and stop pigs from accessing human faeces.</w:t>
            </w:r>
          </w:p>
          <w:p>
            <w:pPr>
              <w:spacing w:after="40" w:line="254" w:lineRule="auto"/>
              <w:ind w:left="187" w:hanging="187"/>
            </w:pPr>
            <w:r>
              <w:rPr>
                <w:rFonts w:ascii="Calibri" w:hAnsi="Calibri"/>
                <w:b w:val="0"/>
                <w:i w:val="0"/>
                <w:color w:val="212121"/>
                <w:sz w:val="19"/>
              </w:rPr>
              <w:t xml:space="preserve">•  </w:t>
            </w:r>
            <w:r>
              <w:rPr>
                <w:rFonts w:ascii="Calibri" w:hAnsi="Calibri"/>
                <w:b w:val="0"/>
                <w:i w:val="0"/>
                <w:color w:val="212121"/>
                <w:sz w:val="19"/>
              </w:rPr>
              <w:t>If a household member passes worm segments in stool, get everyone screened and the carrier treated to remove the egg reservoir.</w:t>
            </w:r>
          </w:p>
          <w:p>
            <w:pPr>
              <w:spacing w:after="40" w:line="254" w:lineRule="auto"/>
              <w:ind w:left="187" w:hanging="187"/>
            </w:pPr>
            <w:r>
              <w:rPr>
                <w:rFonts w:ascii="Calibri" w:hAnsi="Calibri"/>
                <w:b w:val="0"/>
                <w:i w:val="0"/>
                <w:color w:val="212121"/>
                <w:sz w:val="19"/>
              </w:rPr>
              <w:t xml:space="preserve">•  </w:t>
            </w:r>
            <w:r>
              <w:rPr>
                <w:rFonts w:ascii="Calibri" w:hAnsi="Calibri"/>
                <w:b w:val="0"/>
                <w:i w:val="0"/>
                <w:color w:val="212121"/>
                <w:sz w:val="19"/>
              </w:rPr>
              <w:t>Support community mass deworming, pig management and health-education programmes in endemic districts.</w:t>
            </w:r>
          </w:p>
          <w:p>
            <w:pPr>
              <w:spacing w:after="40" w:line="254" w:lineRule="auto"/>
              <w:ind w:left="187" w:hanging="187"/>
            </w:pPr>
            <w:r>
              <w:rPr>
                <w:rFonts w:ascii="Calibri" w:hAnsi="Calibri"/>
                <w:b w:val="0"/>
                <w:i w:val="0"/>
                <w:color w:val="212121"/>
                <w:sz w:val="19"/>
              </w:rPr>
              <w:t xml:space="preserve">•  </w:t>
            </w:r>
            <w:r>
              <w:rPr>
                <w:rFonts w:ascii="Calibri" w:hAnsi="Calibri"/>
                <w:b w:val="0"/>
                <w:i w:val="0"/>
                <w:color w:val="212121"/>
                <w:sz w:val="19"/>
              </w:rPr>
              <w:t>Learn seizure first-aid and recognise red flags (severe/progressive headache, vomiting, drowsiness, visual loss) that need urgent care.</w:t>
            </w:r>
          </w:p>
        </w:tc>
        <w:tc>
          <w:tcPr>
            <w:tcW w:type="dxa" w:w="1944"/>
            <w:vAlign w:val="top"/>
          </w:tcPr>
          <w:p>
            <w:pPr>
              <w:spacing w:after="40" w:line="254" w:lineRule="auto"/>
              <w:ind w:left="187" w:hanging="187"/>
            </w:pPr>
            <w:r>
              <w:rPr>
                <w:rFonts w:ascii="Calibri" w:hAnsi="Calibri"/>
                <w:b w:val="0"/>
                <w:i w:val="0"/>
                <w:color w:val="212121"/>
                <w:sz w:val="19"/>
              </w:rPr>
              <w:t xml:space="preserve">•  </w:t>
            </w:r>
            <w:r>
              <w:rPr>
                <w:rFonts w:ascii="Calibri" w:hAnsi="Calibri"/>
                <w:b w:val="0"/>
                <w:i w:val="0"/>
                <w:color w:val="212121"/>
                <w:sz w:val="19"/>
              </w:rPr>
              <w:t>Rural &amp; pig-farming families</w:t>
            </w:r>
          </w:p>
          <w:p>
            <w:pPr>
              <w:spacing w:after="40" w:line="254" w:lineRule="auto"/>
              <w:ind w:left="187" w:hanging="187"/>
            </w:pPr>
            <w:r>
              <w:rPr>
                <w:rFonts w:ascii="Calibri" w:hAnsi="Calibri"/>
                <w:b w:val="0"/>
                <w:i w:val="0"/>
                <w:color w:val="212121"/>
                <w:sz w:val="19"/>
              </w:rPr>
              <w:t xml:space="preserve">•  </w:t>
            </w:r>
            <w:r>
              <w:rPr>
                <w:rFonts w:ascii="Calibri" w:hAnsi="Calibri"/>
                <w:b w:val="0"/>
                <w:i w:val="0"/>
                <w:color w:val="212121"/>
                <w:sz w:val="19"/>
              </w:rPr>
              <w:t>Food handlers</w:t>
            </w:r>
          </w:p>
          <w:p>
            <w:pPr>
              <w:spacing w:after="40" w:line="254" w:lineRule="auto"/>
              <w:ind w:left="187" w:hanging="187"/>
            </w:pPr>
            <w:r>
              <w:rPr>
                <w:rFonts w:ascii="Calibri" w:hAnsi="Calibri"/>
                <w:b w:val="0"/>
                <w:i w:val="0"/>
                <w:color w:val="212121"/>
                <w:sz w:val="19"/>
              </w:rPr>
              <w:t xml:space="preserve">•  </w:t>
            </w:r>
            <w:r>
              <w:rPr>
                <w:rFonts w:ascii="Calibri" w:hAnsi="Calibri"/>
                <w:b w:val="0"/>
                <w:i w:val="0"/>
                <w:color w:val="212121"/>
                <w:sz w:val="19"/>
              </w:rPr>
              <w:t>Households of a tapeworm carrier</w:t>
            </w:r>
          </w:p>
          <w:p>
            <w:pPr>
              <w:spacing w:after="40" w:line="254" w:lineRule="auto"/>
              <w:ind w:left="187" w:hanging="187"/>
            </w:pPr>
            <w:r>
              <w:rPr>
                <w:rFonts w:ascii="Calibri" w:hAnsi="Calibri"/>
                <w:b w:val="0"/>
                <w:i w:val="0"/>
                <w:color w:val="212121"/>
                <w:sz w:val="19"/>
              </w:rPr>
              <w:t xml:space="preserve">•  </w:t>
            </w:r>
            <w:r>
              <w:rPr>
                <w:rFonts w:ascii="Calibri" w:hAnsi="Calibri"/>
                <w:b w:val="0"/>
                <w:i w:val="0"/>
                <w:color w:val="212121"/>
                <w:sz w:val="19"/>
              </w:rPr>
              <w:t>Endemic-district residents</w:t>
            </w:r>
          </w:p>
          <w:p>
            <w:pPr>
              <w:spacing w:after="40" w:line="254" w:lineRule="auto"/>
              <w:ind w:left="187" w:hanging="187"/>
            </w:pPr>
            <w:r>
              <w:rPr>
                <w:rFonts w:ascii="Calibri" w:hAnsi="Calibri"/>
                <w:b w:val="0"/>
                <w:i w:val="0"/>
                <w:color w:val="212121"/>
                <w:sz w:val="19"/>
              </w:rPr>
              <w:t xml:space="preserve">•  </w:t>
            </w:r>
            <w:r>
              <w:rPr>
                <w:rFonts w:ascii="Calibri" w:hAnsi="Calibri"/>
                <w:b w:val="0"/>
                <w:i w:val="0"/>
                <w:color w:val="212121"/>
                <w:sz w:val="19"/>
              </w:rPr>
              <w:t>School &amp; anganwadi communities</w:t>
            </w:r>
          </w:p>
        </w:tc>
        <w:tc>
          <w:tcPr>
            <w:tcW w:type="dxa" w:w="1036"/>
            <w:vAlign w:val="top"/>
          </w:tcPr>
          <w:p>
            <w:pPr>
              <w:spacing w:after="40" w:before="0" w:line="259" w:lineRule="auto"/>
            </w:pPr>
            <w:r>
              <w:rPr>
                <w:rFonts w:ascii="Calibri" w:hAnsi="Calibri"/>
                <w:b w:val="0"/>
                <w:i w:val="0"/>
                <w:color w:val="212121"/>
                <w:sz w:val="19"/>
              </w:rPr>
              <w:t>High</w:t>
            </w:r>
          </w:p>
        </w:tc>
      </w:tr>
      <w:tr>
        <w:trPr>
          <w:cantSplit/>
        </w:trPr>
        <w:tc>
          <w:tcPr>
            <w:tcW w:type="dxa" w:w="1224"/>
            <w:vMerge/>
            <w:vAlign w:val="top"/>
          </w:tcPr>
          <w:p>
            <w:pPr>
              <w:spacing w:after="40" w:before="0" w:line="259" w:lineRule="auto"/>
            </w:pPr>
          </w:p>
        </w:tc>
        <w:tc>
          <w:tcPr>
            <w:tcW w:type="dxa" w:w="1224"/>
            <w:vAlign w:val="top"/>
          </w:tcPr>
          <w:p>
            <w:pPr>
              <w:spacing w:after="40" w:before="0" w:line="259" w:lineRule="auto"/>
            </w:pPr>
            <w:r>
              <w:rPr>
                <w:rFonts w:ascii="Calibri" w:hAnsi="Calibri"/>
                <w:b w:val="0"/>
                <w:i w:val="0"/>
                <w:color w:val="212121"/>
                <w:sz w:val="19"/>
              </w:rPr>
              <w:t>Therapeutic</w:t>
            </w:r>
          </w:p>
        </w:tc>
        <w:tc>
          <w:tcPr>
            <w:tcW w:type="dxa" w:w="4176"/>
            <w:vAlign w:val="top"/>
          </w:tcPr>
          <w:p>
            <w:pPr>
              <w:spacing w:after="40" w:line="254" w:lineRule="auto"/>
              <w:ind w:left="187" w:hanging="187"/>
            </w:pPr>
            <w:r>
              <w:rPr>
                <w:rFonts w:ascii="Calibri" w:hAnsi="Calibri"/>
                <w:b w:val="0"/>
                <w:i w:val="0"/>
                <w:color w:val="212121"/>
                <w:sz w:val="19"/>
              </w:rPr>
              <w:t xml:space="preserve">•  </w:t>
            </w:r>
            <w:r>
              <w:rPr>
                <w:rFonts w:ascii="Calibri" w:hAnsi="Calibri"/>
                <w:b w:val="0"/>
                <w:i w:val="0"/>
                <w:color w:val="212121"/>
                <w:sz w:val="19"/>
              </w:rPr>
              <w:t>Take antiseizure medication exactly as prescribed and do not stop it abruptly, even after a lesion resolves on scan.</w:t>
            </w:r>
          </w:p>
          <w:p>
            <w:pPr>
              <w:spacing w:after="40" w:line="254" w:lineRule="auto"/>
              <w:ind w:left="187" w:hanging="187"/>
            </w:pPr>
            <w:r>
              <w:rPr>
                <w:rFonts w:ascii="Calibri" w:hAnsi="Calibri"/>
                <w:b w:val="0"/>
                <w:i w:val="0"/>
                <w:color w:val="212121"/>
                <w:sz w:val="19"/>
              </w:rPr>
              <w:t xml:space="preserve">•  </w:t>
            </w:r>
            <w:r>
              <w:rPr>
                <w:rFonts w:ascii="Calibri" w:hAnsi="Calibri"/>
                <w:b w:val="0"/>
                <w:i w:val="0"/>
                <w:color w:val="212121"/>
                <w:sz w:val="19"/>
              </w:rPr>
              <w:t>Complete the prescribed cysticidal course (albendazole ± praziquantel) with the co-prescribed corticosteroid, and attend follow-up imaging.</w:t>
            </w:r>
          </w:p>
          <w:p>
            <w:pPr>
              <w:spacing w:after="40" w:line="254" w:lineRule="auto"/>
              <w:ind w:left="187" w:hanging="187"/>
            </w:pPr>
            <w:r>
              <w:rPr>
                <w:rFonts w:ascii="Calibri" w:hAnsi="Calibri"/>
                <w:b w:val="0"/>
                <w:i w:val="0"/>
                <w:color w:val="212121"/>
                <w:sz w:val="19"/>
              </w:rPr>
              <w:t xml:space="preserve">•  </w:t>
            </w:r>
            <w:r>
              <w:rPr>
                <w:rFonts w:ascii="Calibri" w:hAnsi="Calibri"/>
                <w:b w:val="0"/>
                <w:i w:val="0"/>
                <w:color w:val="212121"/>
                <w:sz w:val="19"/>
              </w:rPr>
              <w:t>Never start cysticidal drugs before an eye examination has excluded an intraocular cyst.</w:t>
            </w:r>
          </w:p>
          <w:p>
            <w:pPr>
              <w:spacing w:after="40" w:line="254" w:lineRule="auto"/>
              <w:ind w:left="187" w:hanging="187"/>
            </w:pPr>
            <w:r>
              <w:rPr>
                <w:rFonts w:ascii="Calibri" w:hAnsi="Calibri"/>
                <w:b w:val="0"/>
                <w:i w:val="0"/>
                <w:color w:val="212121"/>
                <w:sz w:val="19"/>
              </w:rPr>
              <w:t xml:space="preserve">•  </w:t>
            </w:r>
            <w:r>
              <w:rPr>
                <w:rFonts w:ascii="Calibri" w:hAnsi="Calibri"/>
                <w:b w:val="0"/>
                <w:i w:val="0"/>
                <w:color w:val="212121"/>
                <w:sz w:val="19"/>
              </w:rPr>
              <w:t>Report new severe headache, vomiting, visual change or increasing seizures promptly — they may signal raised pressure or hydrocephalus.</w:t>
            </w:r>
          </w:p>
          <w:p>
            <w:pPr>
              <w:spacing w:after="40" w:line="254" w:lineRule="auto"/>
              <w:ind w:left="187" w:hanging="187"/>
            </w:pPr>
            <w:r>
              <w:rPr>
                <w:rFonts w:ascii="Calibri" w:hAnsi="Calibri"/>
                <w:b w:val="0"/>
                <w:i w:val="0"/>
                <w:color w:val="212121"/>
                <w:sz w:val="19"/>
              </w:rPr>
              <w:t xml:space="preserve">•  </w:t>
            </w:r>
            <w:r>
              <w:rPr>
                <w:rFonts w:ascii="Calibri" w:hAnsi="Calibri"/>
                <w:b w:val="0"/>
                <w:i w:val="0"/>
                <w:color w:val="212121"/>
                <w:sz w:val="19"/>
              </w:rPr>
              <w:t>Keep follow-up appointments so the doctor can decide when it is safe to stop antiseizure drugs (often 6 months after a single lesion resolves; longer for calcified/multiple lesions).</w:t>
            </w:r>
          </w:p>
        </w:tc>
        <w:tc>
          <w:tcPr>
            <w:tcW w:type="dxa" w:w="1944"/>
            <w:vAlign w:val="top"/>
          </w:tcPr>
          <w:p>
            <w:pPr>
              <w:spacing w:after="40" w:line="254" w:lineRule="auto"/>
              <w:ind w:left="187" w:hanging="187"/>
            </w:pPr>
            <w:r>
              <w:rPr>
                <w:rFonts w:ascii="Calibri" w:hAnsi="Calibri"/>
                <w:b w:val="0"/>
                <w:i w:val="0"/>
                <w:color w:val="212121"/>
                <w:sz w:val="19"/>
              </w:rPr>
              <w:t xml:space="preserve">•  </w:t>
            </w:r>
            <w:r>
              <w:rPr>
                <w:rFonts w:ascii="Calibri" w:hAnsi="Calibri"/>
                <w:b w:val="0"/>
                <w:i w:val="0"/>
                <w:color w:val="212121"/>
                <w:sz w:val="19"/>
              </w:rPr>
              <w:t>Patients with diagnosed NCC</w:t>
            </w:r>
          </w:p>
          <w:p>
            <w:pPr>
              <w:spacing w:after="40" w:line="254" w:lineRule="auto"/>
              <w:ind w:left="187" w:hanging="187"/>
            </w:pPr>
            <w:r>
              <w:rPr>
                <w:rFonts w:ascii="Calibri" w:hAnsi="Calibri"/>
                <w:b w:val="0"/>
                <w:i w:val="0"/>
                <w:color w:val="212121"/>
                <w:sz w:val="19"/>
              </w:rPr>
              <w:t xml:space="preserve">•  </w:t>
            </w:r>
            <w:r>
              <w:rPr>
                <w:rFonts w:ascii="Calibri" w:hAnsi="Calibri"/>
                <w:b w:val="0"/>
                <w:i w:val="0"/>
                <w:color w:val="212121"/>
                <w:sz w:val="19"/>
              </w:rPr>
              <w:t>Carers of children with NCC</w:t>
            </w:r>
          </w:p>
          <w:p>
            <w:pPr>
              <w:spacing w:after="40" w:line="254" w:lineRule="auto"/>
              <w:ind w:left="187" w:hanging="187"/>
            </w:pPr>
            <w:r>
              <w:rPr>
                <w:rFonts w:ascii="Calibri" w:hAnsi="Calibri"/>
                <w:b w:val="0"/>
                <w:i w:val="0"/>
                <w:color w:val="212121"/>
                <w:sz w:val="19"/>
              </w:rPr>
              <w:t xml:space="preserve">•  </w:t>
            </w:r>
            <w:r>
              <w:rPr>
                <w:rFonts w:ascii="Calibri" w:hAnsi="Calibri"/>
                <w:b w:val="0"/>
                <w:i w:val="0"/>
                <w:color w:val="212121"/>
                <w:sz w:val="19"/>
              </w:rPr>
              <w:t>Patients on antiseizure medication</w:t>
            </w:r>
          </w:p>
          <w:p>
            <w:pPr>
              <w:spacing w:after="40" w:line="254" w:lineRule="auto"/>
              <w:ind w:left="187" w:hanging="187"/>
            </w:pPr>
            <w:r>
              <w:rPr>
                <w:rFonts w:ascii="Calibri" w:hAnsi="Calibri"/>
                <w:b w:val="0"/>
                <w:i w:val="0"/>
                <w:color w:val="212121"/>
                <w:sz w:val="19"/>
              </w:rPr>
              <w:t xml:space="preserve">•  </w:t>
            </w:r>
            <w:r>
              <w:rPr>
                <w:rFonts w:ascii="Calibri" w:hAnsi="Calibri"/>
                <w:b w:val="0"/>
                <w:i w:val="0"/>
                <w:color w:val="212121"/>
                <w:sz w:val="19"/>
              </w:rPr>
              <w:t>Post-treatment follow-up patients</w:t>
            </w:r>
          </w:p>
        </w:tc>
        <w:tc>
          <w:tcPr>
            <w:tcW w:type="dxa" w:w="1036"/>
            <w:vAlign w:val="top"/>
          </w:tcPr>
          <w:p>
            <w:pPr>
              <w:spacing w:after="40" w:before="0" w:line="259" w:lineRule="auto"/>
            </w:pPr>
            <w:r>
              <w:rPr>
                <w:rFonts w:ascii="Calibri" w:hAnsi="Calibri"/>
                <w:b w:val="0"/>
                <w:i w:val="0"/>
                <w:color w:val="212121"/>
                <w:sz w:val="19"/>
              </w:rPr>
              <w:t>High</w:t>
            </w:r>
          </w:p>
        </w:tc>
      </w:tr>
      <w:tr>
        <w:trPr>
          <w:cantSplit/>
        </w:trPr>
        <w:tc>
          <w:tcPr>
            <w:tcW w:type="dxa" w:w="1224"/>
            <w:vAlign w:val="center"/>
          </w:tcPr>
          <w:p>
            <w:pPr>
              <w:spacing w:after="40"/>
            </w:pPr>
            <w:r>
              <w:rPr>
                <w:rFonts w:ascii="Calibri" w:hAnsi="Calibri"/>
                <w:b w:val="0"/>
                <w:i w:val="0"/>
                <w:color w:val="212121"/>
                <w:sz w:val="19"/>
              </w:rPr>
              <w:t>Food</w:t>
            </w:r>
          </w:p>
        </w:tc>
        <w:tc>
          <w:tcPr>
            <w:tcW w:type="dxa" w:w="1224"/>
            <w:vAlign w:val="top"/>
          </w:tcPr>
          <w:p>
            <w:pPr>
              <w:spacing w:after="40" w:before="0" w:line="259" w:lineRule="auto"/>
            </w:pPr>
            <w:r>
              <w:rPr>
                <w:rFonts w:ascii="Calibri" w:hAnsi="Calibri"/>
                <w:b w:val="0"/>
                <w:i w:val="0"/>
                <w:color w:val="212121"/>
                <w:sz w:val="19"/>
              </w:rPr>
              <w:t>Preventive</w:t>
            </w:r>
          </w:p>
        </w:tc>
        <w:tc>
          <w:tcPr>
            <w:tcW w:type="dxa" w:w="4176"/>
            <w:vAlign w:val="top"/>
          </w:tcPr>
          <w:p>
            <w:pPr>
              <w:spacing w:after="40" w:line="254" w:lineRule="auto"/>
              <w:ind w:left="187" w:hanging="187"/>
            </w:pPr>
            <w:r>
              <w:rPr>
                <w:rFonts w:ascii="Calibri" w:hAnsi="Calibri"/>
                <w:b w:val="0"/>
                <w:i w:val="0"/>
                <w:color w:val="212121"/>
                <w:sz w:val="19"/>
              </w:rPr>
              <w:t xml:space="preserve">•  </w:t>
            </w:r>
            <w:r>
              <w:rPr>
                <w:rFonts w:ascii="Calibri" w:hAnsi="Calibri"/>
                <w:b w:val="0"/>
                <w:i w:val="0"/>
                <w:color w:val="212121"/>
                <w:sz w:val="19"/>
              </w:rPr>
              <w:t>Wash all raw vegetables and salad leaves thoroughly in clean, safe water (or peel/cook them) before eating.</w:t>
            </w:r>
          </w:p>
          <w:p>
            <w:pPr>
              <w:spacing w:after="40" w:line="254" w:lineRule="auto"/>
              <w:ind w:left="187" w:hanging="187"/>
            </w:pPr>
            <w:r>
              <w:rPr>
                <w:rFonts w:ascii="Calibri" w:hAnsi="Calibri"/>
                <w:b w:val="0"/>
                <w:i w:val="0"/>
                <w:color w:val="212121"/>
                <w:sz w:val="19"/>
              </w:rPr>
              <w:t xml:space="preserve">•  </w:t>
            </w:r>
            <w:r>
              <w:rPr>
                <w:rFonts w:ascii="Calibri" w:hAnsi="Calibri"/>
                <w:b w:val="0"/>
                <w:i w:val="0"/>
                <w:color w:val="212121"/>
                <w:sz w:val="19"/>
              </w:rPr>
              <w:t>Drink and cook with treated, filtered or boiled water in endemic areas.</w:t>
            </w:r>
          </w:p>
          <w:p>
            <w:pPr>
              <w:spacing w:after="40" w:line="254" w:lineRule="auto"/>
              <w:ind w:left="187" w:hanging="187"/>
            </w:pPr>
            <w:r>
              <w:rPr>
                <w:rFonts w:ascii="Calibri" w:hAnsi="Calibri"/>
                <w:b w:val="0"/>
                <w:i w:val="0"/>
                <w:color w:val="212121"/>
                <w:sz w:val="19"/>
              </w:rPr>
              <w:t xml:space="preserve">•  </w:t>
            </w:r>
            <w:r>
              <w:rPr>
                <w:rFonts w:ascii="Calibri" w:hAnsi="Calibri"/>
                <w:b w:val="0"/>
                <w:i w:val="0"/>
                <w:color w:val="212121"/>
                <w:sz w:val="19"/>
              </w:rPr>
              <w:t>Cook pork and pork products completely; avoid raw or undercooked 'measly' pork.</w:t>
            </w:r>
          </w:p>
          <w:p>
            <w:pPr>
              <w:spacing w:after="40" w:line="254" w:lineRule="auto"/>
              <w:ind w:left="187" w:hanging="187"/>
            </w:pPr>
            <w:r>
              <w:rPr>
                <w:rFonts w:ascii="Calibri" w:hAnsi="Calibri"/>
                <w:b w:val="0"/>
                <w:i w:val="0"/>
                <w:color w:val="212121"/>
                <w:sz w:val="19"/>
              </w:rPr>
              <w:t xml:space="preserve">•  </w:t>
            </w:r>
            <w:r>
              <w:rPr>
                <w:rFonts w:ascii="Calibri" w:hAnsi="Calibri"/>
                <w:b w:val="0"/>
                <w:i w:val="0"/>
                <w:color w:val="212121"/>
                <w:sz w:val="19"/>
              </w:rPr>
              <w:t>Avoid uncovered street food and produce washed in questionable water, especially where sanitation is poor.</w:t>
            </w:r>
          </w:p>
          <w:p>
            <w:pPr>
              <w:spacing w:after="40" w:line="254" w:lineRule="auto"/>
              <w:ind w:left="187" w:hanging="187"/>
            </w:pPr>
            <w:r>
              <w:rPr>
                <w:rFonts w:ascii="Calibri" w:hAnsi="Calibri"/>
                <w:b w:val="0"/>
                <w:i w:val="0"/>
                <w:color w:val="212121"/>
                <w:sz w:val="19"/>
              </w:rPr>
              <w:t xml:space="preserve">•  </w:t>
            </w:r>
            <w:r>
              <w:rPr>
                <w:rFonts w:ascii="Calibri" w:hAnsi="Calibri"/>
                <w:b w:val="0"/>
                <w:i w:val="0"/>
                <w:color w:val="212121"/>
                <w:sz w:val="19"/>
              </w:rPr>
              <w:t>Buy pork inspected/certified free of cysts where such systems exist.</w:t>
            </w:r>
          </w:p>
        </w:tc>
        <w:tc>
          <w:tcPr>
            <w:tcW w:type="dxa" w:w="1944"/>
            <w:vAlign w:val="top"/>
          </w:tcPr>
          <w:p>
            <w:pPr>
              <w:spacing w:after="40" w:line="254" w:lineRule="auto"/>
              <w:ind w:left="187" w:hanging="187"/>
            </w:pPr>
            <w:r>
              <w:rPr>
                <w:rFonts w:ascii="Calibri" w:hAnsi="Calibri"/>
                <w:b w:val="0"/>
                <w:i w:val="0"/>
                <w:color w:val="212121"/>
                <w:sz w:val="19"/>
              </w:rPr>
              <w:t xml:space="preserve">•  </w:t>
            </w:r>
            <w:r>
              <w:rPr>
                <w:rFonts w:ascii="Calibri" w:hAnsi="Calibri"/>
                <w:b w:val="0"/>
                <w:i w:val="0"/>
                <w:color w:val="212121"/>
                <w:sz w:val="19"/>
              </w:rPr>
              <w:t>Vegetarians &amp; non-vegetarians alike</w:t>
            </w:r>
          </w:p>
          <w:p>
            <w:pPr>
              <w:spacing w:after="40" w:line="254" w:lineRule="auto"/>
              <w:ind w:left="187" w:hanging="187"/>
            </w:pPr>
            <w:r>
              <w:rPr>
                <w:rFonts w:ascii="Calibri" w:hAnsi="Calibri"/>
                <w:b w:val="0"/>
                <w:i w:val="0"/>
                <w:color w:val="212121"/>
                <w:sz w:val="19"/>
              </w:rPr>
              <w:t xml:space="preserve">•  </w:t>
            </w:r>
            <w:r>
              <w:rPr>
                <w:rFonts w:ascii="Calibri" w:hAnsi="Calibri"/>
                <w:b w:val="0"/>
                <w:i w:val="0"/>
                <w:color w:val="212121"/>
                <w:sz w:val="19"/>
              </w:rPr>
              <w:t>Street-food consumers</w:t>
            </w:r>
          </w:p>
          <w:p>
            <w:pPr>
              <w:spacing w:after="40" w:line="254" w:lineRule="auto"/>
              <w:ind w:left="187" w:hanging="187"/>
            </w:pPr>
            <w:r>
              <w:rPr>
                <w:rFonts w:ascii="Calibri" w:hAnsi="Calibri"/>
                <w:b w:val="0"/>
                <w:i w:val="0"/>
                <w:color w:val="212121"/>
                <w:sz w:val="19"/>
              </w:rPr>
              <w:t xml:space="preserve">•  </w:t>
            </w:r>
            <w:r>
              <w:rPr>
                <w:rFonts w:ascii="Calibri" w:hAnsi="Calibri"/>
                <w:b w:val="0"/>
                <w:i w:val="0"/>
                <w:color w:val="212121"/>
                <w:sz w:val="19"/>
              </w:rPr>
              <w:t>Families using untreated water</w:t>
            </w:r>
          </w:p>
          <w:p>
            <w:pPr>
              <w:spacing w:after="40" w:line="254" w:lineRule="auto"/>
              <w:ind w:left="187" w:hanging="187"/>
            </w:pPr>
            <w:r>
              <w:rPr>
                <w:rFonts w:ascii="Calibri" w:hAnsi="Calibri"/>
                <w:b w:val="0"/>
                <w:i w:val="0"/>
                <w:color w:val="212121"/>
                <w:sz w:val="19"/>
              </w:rPr>
              <w:t xml:space="preserve">•  </w:t>
            </w:r>
            <w:r>
              <w:rPr>
                <w:rFonts w:ascii="Calibri" w:hAnsi="Calibri"/>
                <w:b w:val="0"/>
                <w:i w:val="0"/>
                <w:color w:val="212121"/>
                <w:sz w:val="19"/>
              </w:rPr>
              <w:t>Pork consumers</w:t>
            </w:r>
          </w:p>
        </w:tc>
        <w:tc>
          <w:tcPr>
            <w:tcW w:type="dxa" w:w="1036"/>
            <w:vAlign w:val="top"/>
          </w:tcPr>
          <w:p>
            <w:pPr>
              <w:spacing w:after="40" w:before="0" w:line="259" w:lineRule="auto"/>
            </w:pPr>
            <w:r>
              <w:rPr>
                <w:rFonts w:ascii="Calibri" w:hAnsi="Calibri"/>
                <w:b w:val="0"/>
                <w:i w:val="0"/>
                <w:color w:val="212121"/>
                <w:sz w:val="19"/>
              </w:rPr>
              <w:t>High</w:t>
            </w:r>
          </w:p>
        </w:tc>
      </w:tr>
      <w:tr>
        <w:trPr>
          <w:cantSplit/>
        </w:trPr>
        <w:tc>
          <w:tcPr>
            <w:tcW w:type="dxa" w:w="1224"/>
            <w:vAlign w:val="center"/>
          </w:tcPr>
          <w:p>
            <w:pPr>
              <w:spacing w:after="40"/>
            </w:pPr>
            <w:r>
              <w:rPr>
                <w:rFonts w:ascii="Calibri" w:hAnsi="Calibri"/>
                <w:b w:val="0"/>
                <w:i w:val="0"/>
                <w:color w:val="212121"/>
                <w:sz w:val="19"/>
              </w:rPr>
              <w:t>Physical Activity</w:t>
            </w:r>
          </w:p>
        </w:tc>
        <w:tc>
          <w:tcPr>
            <w:tcW w:type="dxa" w:w="1224"/>
            <w:vAlign w:val="top"/>
          </w:tcPr>
          <w:p>
            <w:pPr>
              <w:spacing w:after="40" w:before="0" w:line="259" w:lineRule="auto"/>
            </w:pPr>
            <w:r>
              <w:rPr>
                <w:rFonts w:ascii="Calibri" w:hAnsi="Calibri"/>
                <w:b w:val="0"/>
                <w:i w:val="0"/>
                <w:color w:val="212121"/>
                <w:sz w:val="19"/>
              </w:rPr>
              <w:t>Therapeutic</w:t>
            </w:r>
          </w:p>
        </w:tc>
        <w:tc>
          <w:tcPr>
            <w:tcW w:type="dxa" w:w="4176"/>
            <w:vAlign w:val="top"/>
          </w:tcPr>
          <w:p>
            <w:pPr>
              <w:spacing w:after="40" w:line="254" w:lineRule="auto"/>
              <w:ind w:left="187" w:hanging="187"/>
            </w:pPr>
            <w:r>
              <w:rPr>
                <w:rFonts w:ascii="Calibri" w:hAnsi="Calibri"/>
                <w:b w:val="0"/>
                <w:i w:val="0"/>
                <w:color w:val="212121"/>
                <w:sz w:val="19"/>
              </w:rPr>
              <w:t xml:space="preserve">•  </w:t>
            </w:r>
            <w:r>
              <w:rPr>
                <w:rFonts w:ascii="Calibri" w:hAnsi="Calibri"/>
                <w:b w:val="0"/>
                <w:i w:val="0"/>
                <w:color w:val="212121"/>
                <w:sz w:val="19"/>
              </w:rPr>
              <w:t>Stay physically active — infection is not a reason to be sedentary — but take seizure-safety precautions until seizures are controlled.</w:t>
            </w:r>
          </w:p>
          <w:p>
            <w:pPr>
              <w:spacing w:after="40" w:line="254" w:lineRule="auto"/>
              <w:ind w:left="187" w:hanging="187"/>
            </w:pPr>
            <w:r>
              <w:rPr>
                <w:rFonts w:ascii="Calibri" w:hAnsi="Calibri"/>
                <w:b w:val="0"/>
                <w:i w:val="0"/>
                <w:color w:val="212121"/>
                <w:sz w:val="19"/>
              </w:rPr>
              <w:t xml:space="preserve">•  </w:t>
            </w:r>
            <w:r>
              <w:rPr>
                <w:rFonts w:ascii="Calibri" w:hAnsi="Calibri"/>
                <w:b w:val="0"/>
                <w:i w:val="0"/>
                <w:color w:val="212121"/>
                <w:sz w:val="19"/>
              </w:rPr>
              <w:t>Avoid swimming alone, bathing in deep water, working at heights or operating heavy machinery while seizures are uncontrolled.</w:t>
            </w:r>
          </w:p>
          <w:p>
            <w:pPr>
              <w:spacing w:after="40" w:line="254" w:lineRule="auto"/>
              <w:ind w:left="187" w:hanging="187"/>
            </w:pPr>
            <w:r>
              <w:rPr>
                <w:rFonts w:ascii="Calibri" w:hAnsi="Calibri"/>
                <w:b w:val="0"/>
                <w:i w:val="0"/>
                <w:color w:val="212121"/>
                <w:sz w:val="19"/>
              </w:rPr>
              <w:t xml:space="preserve">•  </w:t>
            </w:r>
            <w:r>
              <w:rPr>
                <w:rFonts w:ascii="Calibri" w:hAnsi="Calibri"/>
                <w:b w:val="0"/>
                <w:i w:val="0"/>
                <w:color w:val="212121"/>
                <w:sz w:val="19"/>
              </w:rPr>
              <w:t>Exercise with a companion who knows basic seizure first-aid during the early treatment period.</w:t>
            </w:r>
          </w:p>
          <w:p>
            <w:pPr>
              <w:spacing w:after="40" w:line="254" w:lineRule="auto"/>
              <w:ind w:left="187" w:hanging="187"/>
            </w:pPr>
            <w:r>
              <w:rPr>
                <w:rFonts w:ascii="Calibri" w:hAnsi="Calibri"/>
                <w:b w:val="0"/>
                <w:i w:val="0"/>
                <w:color w:val="212121"/>
                <w:sz w:val="19"/>
              </w:rPr>
              <w:t xml:space="preserve">•  </w:t>
            </w:r>
            <w:r>
              <w:rPr>
                <w:rFonts w:ascii="Calibri" w:hAnsi="Calibri"/>
                <w:b w:val="0"/>
                <w:i w:val="0"/>
                <w:color w:val="212121"/>
                <w:sz w:val="19"/>
              </w:rPr>
              <w:t>Ensure adequate hydration and avoid over-exertion in extreme heat, which can precipitate seizures.</w:t>
            </w:r>
          </w:p>
        </w:tc>
        <w:tc>
          <w:tcPr>
            <w:tcW w:type="dxa" w:w="1944"/>
            <w:vAlign w:val="top"/>
          </w:tcPr>
          <w:p>
            <w:pPr>
              <w:spacing w:after="40" w:line="254" w:lineRule="auto"/>
              <w:ind w:left="187" w:hanging="187"/>
            </w:pPr>
            <w:r>
              <w:rPr>
                <w:rFonts w:ascii="Calibri" w:hAnsi="Calibri"/>
                <w:b w:val="0"/>
                <w:i w:val="0"/>
                <w:color w:val="212121"/>
                <w:sz w:val="19"/>
              </w:rPr>
              <w:t xml:space="preserve">•  </w:t>
            </w:r>
            <w:r>
              <w:rPr>
                <w:rFonts w:ascii="Calibri" w:hAnsi="Calibri"/>
                <w:b w:val="0"/>
                <w:i w:val="0"/>
                <w:color w:val="212121"/>
                <w:sz w:val="19"/>
              </w:rPr>
              <w:t>Patients with active seizures</w:t>
            </w:r>
          </w:p>
          <w:p>
            <w:pPr>
              <w:spacing w:after="40" w:line="254" w:lineRule="auto"/>
              <w:ind w:left="187" w:hanging="187"/>
            </w:pPr>
            <w:r>
              <w:rPr>
                <w:rFonts w:ascii="Calibri" w:hAnsi="Calibri"/>
                <w:b w:val="0"/>
                <w:i w:val="0"/>
                <w:color w:val="212121"/>
                <w:sz w:val="19"/>
              </w:rPr>
              <w:t xml:space="preserve">•  </w:t>
            </w:r>
            <w:r>
              <w:rPr>
                <w:rFonts w:ascii="Calibri" w:hAnsi="Calibri"/>
                <w:b w:val="0"/>
                <w:i w:val="0"/>
                <w:color w:val="212121"/>
                <w:sz w:val="19"/>
              </w:rPr>
              <w:t>Children with NCC epilepsy</w:t>
            </w:r>
          </w:p>
          <w:p>
            <w:pPr>
              <w:spacing w:after="40" w:line="254" w:lineRule="auto"/>
              <w:ind w:left="187" w:hanging="187"/>
            </w:pPr>
            <w:r>
              <w:rPr>
                <w:rFonts w:ascii="Calibri" w:hAnsi="Calibri"/>
                <w:b w:val="0"/>
                <w:i w:val="0"/>
                <w:color w:val="212121"/>
                <w:sz w:val="19"/>
              </w:rPr>
              <w:t xml:space="preserve">•  </w:t>
            </w:r>
            <w:r>
              <w:rPr>
                <w:rFonts w:ascii="Calibri" w:hAnsi="Calibri"/>
                <w:b w:val="0"/>
                <w:i w:val="0"/>
                <w:color w:val="212121"/>
                <w:sz w:val="19"/>
              </w:rPr>
              <w:t>Newly diagnosed patients</w:t>
            </w:r>
          </w:p>
        </w:tc>
        <w:tc>
          <w:tcPr>
            <w:tcW w:type="dxa" w:w="1036"/>
            <w:vAlign w:val="top"/>
          </w:tcPr>
          <w:p>
            <w:pPr>
              <w:spacing w:after="40" w:before="0" w:line="259" w:lineRule="auto"/>
            </w:pPr>
            <w:r>
              <w:rPr>
                <w:rFonts w:ascii="Calibri" w:hAnsi="Calibri"/>
                <w:b w:val="0"/>
                <w:i w:val="0"/>
                <w:color w:val="212121"/>
                <w:sz w:val="19"/>
              </w:rPr>
              <w:t>Medium</w:t>
            </w:r>
          </w:p>
        </w:tc>
      </w:tr>
      <w:tr>
        <w:trPr>
          <w:cantSplit/>
        </w:trPr>
        <w:tc>
          <w:tcPr>
            <w:tcW w:type="dxa" w:w="1224"/>
            <w:vAlign w:val="center"/>
          </w:tcPr>
          <w:p>
            <w:pPr>
              <w:spacing w:after="40"/>
            </w:pPr>
            <w:r>
              <w:rPr>
                <w:rFonts w:ascii="Calibri" w:hAnsi="Calibri"/>
                <w:b w:val="0"/>
                <w:i w:val="0"/>
                <w:color w:val="212121"/>
                <w:sz w:val="19"/>
              </w:rPr>
              <w:t>Sleep</w:t>
            </w:r>
          </w:p>
        </w:tc>
        <w:tc>
          <w:tcPr>
            <w:tcW w:type="dxa" w:w="1224"/>
            <w:vAlign w:val="top"/>
          </w:tcPr>
          <w:p>
            <w:pPr>
              <w:spacing w:after="40" w:before="0" w:line="259" w:lineRule="auto"/>
            </w:pPr>
            <w:r>
              <w:rPr>
                <w:rFonts w:ascii="Calibri" w:hAnsi="Calibri"/>
                <w:b w:val="0"/>
                <w:i w:val="0"/>
                <w:color w:val="212121"/>
                <w:sz w:val="19"/>
              </w:rPr>
              <w:t>Preventive</w:t>
            </w:r>
          </w:p>
        </w:tc>
        <w:tc>
          <w:tcPr>
            <w:tcW w:type="dxa" w:w="4176"/>
            <w:vAlign w:val="top"/>
          </w:tcPr>
          <w:p>
            <w:pPr>
              <w:spacing w:after="40" w:line="254" w:lineRule="auto"/>
              <w:ind w:left="187" w:hanging="187"/>
            </w:pPr>
            <w:r>
              <w:rPr>
                <w:rFonts w:ascii="Calibri" w:hAnsi="Calibri"/>
                <w:b w:val="0"/>
                <w:i w:val="0"/>
                <w:color w:val="212121"/>
                <w:sz w:val="19"/>
              </w:rPr>
              <w:t xml:space="preserve">•  </w:t>
            </w:r>
            <w:r>
              <w:rPr>
                <w:rFonts w:ascii="Calibri" w:hAnsi="Calibri"/>
                <w:b w:val="0"/>
                <w:i w:val="0"/>
                <w:color w:val="212121"/>
                <w:sz w:val="19"/>
              </w:rPr>
              <w:t>Keep a regular sleep schedule with 7–9 hours per night; sleep deprivation lowers the seizure threshold.</w:t>
            </w:r>
          </w:p>
          <w:p>
            <w:pPr>
              <w:spacing w:after="40" w:line="254" w:lineRule="auto"/>
              <w:ind w:left="187" w:hanging="187"/>
            </w:pPr>
            <w:r>
              <w:rPr>
                <w:rFonts w:ascii="Calibri" w:hAnsi="Calibri"/>
                <w:b w:val="0"/>
                <w:i w:val="0"/>
                <w:color w:val="212121"/>
                <w:sz w:val="19"/>
              </w:rPr>
              <w:t xml:space="preserve">•  </w:t>
            </w:r>
            <w:r>
              <w:rPr>
                <w:rFonts w:ascii="Calibri" w:hAnsi="Calibri"/>
                <w:b w:val="0"/>
                <w:i w:val="0"/>
                <w:color w:val="212121"/>
                <w:sz w:val="19"/>
              </w:rPr>
              <w:t>Avoid night-shift disruption and 'all-nighters' where possible, especially around dose changes.</w:t>
            </w:r>
          </w:p>
          <w:p>
            <w:pPr>
              <w:spacing w:after="40" w:line="254" w:lineRule="auto"/>
              <w:ind w:left="187" w:hanging="187"/>
            </w:pPr>
            <w:r>
              <w:rPr>
                <w:rFonts w:ascii="Calibri" w:hAnsi="Calibri"/>
                <w:b w:val="0"/>
                <w:i w:val="0"/>
                <w:color w:val="212121"/>
                <w:sz w:val="19"/>
              </w:rPr>
              <w:t xml:space="preserve">•  </w:t>
            </w:r>
            <w:r>
              <w:rPr>
                <w:rFonts w:ascii="Calibri" w:hAnsi="Calibri"/>
                <w:b w:val="0"/>
                <w:i w:val="0"/>
                <w:color w:val="212121"/>
                <w:sz w:val="19"/>
              </w:rPr>
              <w:t>Treat coexisting sleep problems, as poor sleep worsens seizure control and mood.</w:t>
            </w:r>
          </w:p>
        </w:tc>
        <w:tc>
          <w:tcPr>
            <w:tcW w:type="dxa" w:w="1944"/>
            <w:vAlign w:val="top"/>
          </w:tcPr>
          <w:p>
            <w:pPr>
              <w:spacing w:after="40" w:line="254" w:lineRule="auto"/>
              <w:ind w:left="187" w:hanging="187"/>
            </w:pPr>
            <w:r>
              <w:rPr>
                <w:rFonts w:ascii="Calibri" w:hAnsi="Calibri"/>
                <w:b w:val="0"/>
                <w:i w:val="0"/>
                <w:color w:val="212121"/>
                <w:sz w:val="19"/>
              </w:rPr>
              <w:t xml:space="preserve">•  </w:t>
            </w:r>
            <w:r>
              <w:rPr>
                <w:rFonts w:ascii="Calibri" w:hAnsi="Calibri"/>
                <w:b w:val="0"/>
                <w:i w:val="0"/>
                <w:color w:val="212121"/>
                <w:sz w:val="19"/>
              </w:rPr>
              <w:t>Patients with NCC-related epilepsy</w:t>
            </w:r>
          </w:p>
          <w:p>
            <w:pPr>
              <w:spacing w:after="40" w:line="254" w:lineRule="auto"/>
              <w:ind w:left="187" w:hanging="187"/>
            </w:pPr>
            <w:r>
              <w:rPr>
                <w:rFonts w:ascii="Calibri" w:hAnsi="Calibri"/>
                <w:b w:val="0"/>
                <w:i w:val="0"/>
                <w:color w:val="212121"/>
                <w:sz w:val="19"/>
              </w:rPr>
              <w:t xml:space="preserve">•  </w:t>
            </w:r>
            <w:r>
              <w:rPr>
                <w:rFonts w:ascii="Calibri" w:hAnsi="Calibri"/>
                <w:b w:val="0"/>
                <w:i w:val="0"/>
                <w:color w:val="212121"/>
                <w:sz w:val="19"/>
              </w:rPr>
              <w:t>Students &amp; shift workers</w:t>
            </w:r>
          </w:p>
          <w:p>
            <w:pPr>
              <w:spacing w:after="40" w:line="254" w:lineRule="auto"/>
              <w:ind w:left="187" w:hanging="187"/>
            </w:pPr>
            <w:r>
              <w:rPr>
                <w:rFonts w:ascii="Calibri" w:hAnsi="Calibri"/>
                <w:b w:val="0"/>
                <w:i w:val="0"/>
                <w:color w:val="212121"/>
                <w:sz w:val="19"/>
              </w:rPr>
              <w:t xml:space="preserve">•  </w:t>
            </w:r>
            <w:r>
              <w:rPr>
                <w:rFonts w:ascii="Calibri" w:hAnsi="Calibri"/>
                <w:b w:val="0"/>
                <w:i w:val="0"/>
                <w:color w:val="212121"/>
                <w:sz w:val="19"/>
              </w:rPr>
              <w:t>Patients with poor seizure control</w:t>
            </w:r>
          </w:p>
        </w:tc>
        <w:tc>
          <w:tcPr>
            <w:tcW w:type="dxa" w:w="1036"/>
            <w:vAlign w:val="top"/>
          </w:tcPr>
          <w:p>
            <w:pPr>
              <w:spacing w:after="40" w:before="0" w:line="259" w:lineRule="auto"/>
            </w:pPr>
            <w:r>
              <w:rPr>
                <w:rFonts w:ascii="Calibri" w:hAnsi="Calibri"/>
                <w:b w:val="0"/>
                <w:i w:val="0"/>
                <w:color w:val="212121"/>
                <w:sz w:val="19"/>
              </w:rPr>
              <w:t>Medium</w:t>
            </w:r>
          </w:p>
        </w:tc>
      </w:tr>
      <w:tr>
        <w:trPr>
          <w:cantSplit/>
        </w:trPr>
        <w:tc>
          <w:tcPr>
            <w:tcW w:type="dxa" w:w="1224"/>
            <w:vAlign w:val="center"/>
          </w:tcPr>
          <w:p>
            <w:pPr>
              <w:spacing w:after="40"/>
            </w:pPr>
            <w:r>
              <w:rPr>
                <w:rFonts w:ascii="Calibri" w:hAnsi="Calibri"/>
                <w:b w:val="0"/>
                <w:i w:val="0"/>
                <w:color w:val="212121"/>
                <w:sz w:val="19"/>
              </w:rPr>
              <w:t>Alcohol</w:t>
            </w:r>
          </w:p>
        </w:tc>
        <w:tc>
          <w:tcPr>
            <w:tcW w:type="dxa" w:w="1224"/>
            <w:vAlign w:val="top"/>
          </w:tcPr>
          <w:p>
            <w:pPr>
              <w:spacing w:after="40" w:before="0" w:line="259" w:lineRule="auto"/>
            </w:pPr>
            <w:r>
              <w:rPr>
                <w:rFonts w:ascii="Calibri" w:hAnsi="Calibri"/>
                <w:b w:val="0"/>
                <w:i w:val="0"/>
                <w:color w:val="212121"/>
                <w:sz w:val="19"/>
              </w:rPr>
              <w:t>Preventive</w:t>
            </w:r>
          </w:p>
        </w:tc>
        <w:tc>
          <w:tcPr>
            <w:tcW w:type="dxa" w:w="4176"/>
            <w:vAlign w:val="top"/>
          </w:tcPr>
          <w:p>
            <w:pPr>
              <w:spacing w:after="40" w:line="254" w:lineRule="auto"/>
              <w:ind w:left="187" w:hanging="187"/>
            </w:pPr>
            <w:r>
              <w:rPr>
                <w:rFonts w:ascii="Calibri" w:hAnsi="Calibri"/>
                <w:b w:val="0"/>
                <w:i w:val="0"/>
                <w:color w:val="212121"/>
                <w:sz w:val="19"/>
              </w:rPr>
              <w:t xml:space="preserve">•  </w:t>
            </w:r>
            <w:r>
              <w:rPr>
                <w:rFonts w:ascii="Calibri" w:hAnsi="Calibri"/>
                <w:b w:val="0"/>
                <w:i w:val="0"/>
                <w:color w:val="212121"/>
                <w:sz w:val="19"/>
              </w:rPr>
              <w:t>Avoid heavy and binge drinking, which lowers the seizure threshold and precipitates breakthrough seizures.</w:t>
            </w:r>
          </w:p>
          <w:p>
            <w:pPr>
              <w:spacing w:after="40" w:line="254" w:lineRule="auto"/>
              <w:ind w:left="187" w:hanging="187"/>
            </w:pPr>
            <w:r>
              <w:rPr>
                <w:rFonts w:ascii="Calibri" w:hAnsi="Calibri"/>
                <w:b w:val="0"/>
                <w:i w:val="0"/>
                <w:color w:val="212121"/>
                <w:sz w:val="19"/>
              </w:rPr>
              <w:t xml:space="preserve">•  </w:t>
            </w:r>
            <w:r>
              <w:rPr>
                <w:rFonts w:ascii="Calibri" w:hAnsi="Calibri"/>
                <w:b w:val="0"/>
                <w:i w:val="0"/>
                <w:color w:val="212121"/>
                <w:sz w:val="19"/>
              </w:rPr>
              <w:t>Recognise that alcohol can interact with antiseizure medication and undermine adherence.</w:t>
            </w:r>
          </w:p>
          <w:p>
            <w:pPr>
              <w:spacing w:after="40" w:line="254" w:lineRule="auto"/>
              <w:ind w:left="187" w:hanging="187"/>
            </w:pPr>
            <w:r>
              <w:rPr>
                <w:rFonts w:ascii="Calibri" w:hAnsi="Calibri"/>
                <w:b w:val="0"/>
                <w:i w:val="0"/>
                <w:color w:val="212121"/>
                <w:sz w:val="19"/>
              </w:rPr>
              <w:t xml:space="preserve">•  </w:t>
            </w:r>
            <w:r>
              <w:rPr>
                <w:rFonts w:ascii="Calibri" w:hAnsi="Calibri"/>
                <w:b w:val="0"/>
                <w:i w:val="0"/>
                <w:color w:val="212121"/>
                <w:sz w:val="19"/>
              </w:rPr>
              <w:t>If seizures are active, abstaining from alcohol is the safest option.</w:t>
            </w:r>
          </w:p>
        </w:tc>
        <w:tc>
          <w:tcPr>
            <w:tcW w:type="dxa" w:w="1944"/>
            <w:vAlign w:val="top"/>
          </w:tcPr>
          <w:p>
            <w:pPr>
              <w:spacing w:after="40" w:line="254" w:lineRule="auto"/>
              <w:ind w:left="187" w:hanging="187"/>
            </w:pPr>
            <w:r>
              <w:rPr>
                <w:rFonts w:ascii="Calibri" w:hAnsi="Calibri"/>
                <w:b w:val="0"/>
                <w:i w:val="0"/>
                <w:color w:val="212121"/>
                <w:sz w:val="19"/>
              </w:rPr>
              <w:t xml:space="preserve">•  </w:t>
            </w:r>
            <w:r>
              <w:rPr>
                <w:rFonts w:ascii="Calibri" w:hAnsi="Calibri"/>
                <w:b w:val="0"/>
                <w:i w:val="0"/>
                <w:color w:val="212121"/>
                <w:sz w:val="19"/>
              </w:rPr>
              <w:t>Patients with epilepsy from NCC</w:t>
            </w:r>
          </w:p>
          <w:p>
            <w:pPr>
              <w:spacing w:after="40" w:line="254" w:lineRule="auto"/>
              <w:ind w:left="187" w:hanging="187"/>
            </w:pPr>
            <w:r>
              <w:rPr>
                <w:rFonts w:ascii="Calibri" w:hAnsi="Calibri"/>
                <w:b w:val="0"/>
                <w:i w:val="0"/>
                <w:color w:val="212121"/>
                <w:sz w:val="19"/>
              </w:rPr>
              <w:t xml:space="preserve">•  </w:t>
            </w:r>
            <w:r>
              <w:rPr>
                <w:rFonts w:ascii="Calibri" w:hAnsi="Calibri"/>
                <w:b w:val="0"/>
                <w:i w:val="0"/>
                <w:color w:val="212121"/>
                <w:sz w:val="19"/>
              </w:rPr>
              <w:t>Young adults</w:t>
            </w:r>
          </w:p>
          <w:p>
            <w:pPr>
              <w:spacing w:after="40" w:line="254" w:lineRule="auto"/>
              <w:ind w:left="187" w:hanging="187"/>
            </w:pPr>
            <w:r>
              <w:rPr>
                <w:rFonts w:ascii="Calibri" w:hAnsi="Calibri"/>
                <w:b w:val="0"/>
                <w:i w:val="0"/>
                <w:color w:val="212121"/>
                <w:sz w:val="19"/>
              </w:rPr>
              <w:t xml:space="preserve">•  </w:t>
            </w:r>
            <w:r>
              <w:rPr>
                <w:rFonts w:ascii="Calibri" w:hAnsi="Calibri"/>
                <w:b w:val="0"/>
                <w:i w:val="0"/>
                <w:color w:val="212121"/>
                <w:sz w:val="19"/>
              </w:rPr>
              <w:t>Patients on antiseizure medication</w:t>
            </w:r>
          </w:p>
        </w:tc>
        <w:tc>
          <w:tcPr>
            <w:tcW w:type="dxa" w:w="1036"/>
            <w:vAlign w:val="top"/>
          </w:tcPr>
          <w:p>
            <w:pPr>
              <w:spacing w:after="40" w:before="0" w:line="259" w:lineRule="auto"/>
            </w:pPr>
            <w:r>
              <w:rPr>
                <w:rFonts w:ascii="Calibri" w:hAnsi="Calibri"/>
                <w:b w:val="0"/>
                <w:i w:val="0"/>
                <w:color w:val="212121"/>
                <w:sz w:val="19"/>
              </w:rPr>
              <w:t>Medium</w:t>
            </w:r>
          </w:p>
        </w:tc>
      </w:tr>
      <w:tr>
        <w:trPr>
          <w:cantSplit/>
        </w:trPr>
        <w:tc>
          <w:tcPr>
            <w:tcW w:type="dxa" w:w="1224"/>
            <w:vAlign w:val="center"/>
          </w:tcPr>
          <w:p>
            <w:pPr>
              <w:spacing w:after="40"/>
            </w:pPr>
            <w:r>
              <w:rPr>
                <w:rFonts w:ascii="Calibri" w:hAnsi="Calibri"/>
                <w:b w:val="0"/>
                <w:i w:val="0"/>
                <w:color w:val="212121"/>
                <w:sz w:val="19"/>
              </w:rPr>
              <w:t>Smoking</w:t>
            </w:r>
          </w:p>
        </w:tc>
        <w:tc>
          <w:tcPr>
            <w:tcW w:type="dxa" w:w="1224"/>
            <w:vAlign w:val="top"/>
          </w:tcPr>
          <w:p>
            <w:pPr>
              <w:spacing w:after="40" w:before="0" w:line="259" w:lineRule="auto"/>
            </w:pPr>
            <w:r>
              <w:rPr>
                <w:rFonts w:ascii="Calibri" w:hAnsi="Calibri"/>
                <w:b w:val="0"/>
                <w:i w:val="0"/>
                <w:color w:val="212121"/>
                <w:sz w:val="19"/>
              </w:rPr>
              <w:t>Preventive</w:t>
            </w:r>
          </w:p>
        </w:tc>
        <w:tc>
          <w:tcPr>
            <w:tcW w:type="dxa" w:w="4176"/>
            <w:vAlign w:val="top"/>
          </w:tcPr>
          <w:p>
            <w:pPr>
              <w:spacing w:after="40" w:line="254" w:lineRule="auto"/>
              <w:ind w:left="187" w:hanging="187"/>
            </w:pPr>
            <w:r>
              <w:rPr>
                <w:rFonts w:ascii="Calibri" w:hAnsi="Calibri"/>
                <w:b w:val="0"/>
                <w:i w:val="0"/>
                <w:color w:val="212121"/>
                <w:sz w:val="19"/>
              </w:rPr>
              <w:t xml:space="preserve">•  </w:t>
            </w:r>
            <w:r>
              <w:rPr>
                <w:rFonts w:ascii="Calibri" w:hAnsi="Calibri"/>
                <w:b w:val="0"/>
                <w:i w:val="0"/>
                <w:color w:val="212121"/>
                <w:sz w:val="19"/>
              </w:rPr>
              <w:t>Stop smoking for general brain and vascular health; it does not treat NCC but reduces overall risk.</w:t>
            </w:r>
          </w:p>
          <w:p>
            <w:pPr>
              <w:spacing w:after="40" w:line="254" w:lineRule="auto"/>
              <w:ind w:left="187" w:hanging="187"/>
            </w:pPr>
            <w:r>
              <w:rPr>
                <w:rFonts w:ascii="Calibri" w:hAnsi="Calibri"/>
                <w:b w:val="0"/>
                <w:i w:val="0"/>
                <w:color w:val="212121"/>
                <w:sz w:val="19"/>
              </w:rPr>
              <w:t xml:space="preserve">•  </w:t>
            </w:r>
            <w:r>
              <w:rPr>
                <w:rFonts w:ascii="Calibri" w:hAnsi="Calibri"/>
                <w:b w:val="0"/>
                <w:i w:val="0"/>
                <w:color w:val="212121"/>
                <w:sz w:val="19"/>
              </w:rPr>
              <w:t>Avoid tobacco combined with poor sleep and alcohol, a combination that worsens seizure control.</w:t>
            </w:r>
          </w:p>
        </w:tc>
        <w:tc>
          <w:tcPr>
            <w:tcW w:type="dxa" w:w="1944"/>
            <w:vAlign w:val="top"/>
          </w:tcPr>
          <w:p>
            <w:pPr>
              <w:spacing w:after="40" w:line="254" w:lineRule="auto"/>
              <w:ind w:left="187" w:hanging="187"/>
            </w:pPr>
            <w:r>
              <w:rPr>
                <w:rFonts w:ascii="Calibri" w:hAnsi="Calibri"/>
                <w:b w:val="0"/>
                <w:i w:val="0"/>
                <w:color w:val="212121"/>
                <w:sz w:val="19"/>
              </w:rPr>
              <w:t xml:space="preserve">•  </w:t>
            </w:r>
            <w:r>
              <w:rPr>
                <w:rFonts w:ascii="Calibri" w:hAnsi="Calibri"/>
                <w:b w:val="0"/>
                <w:i w:val="0"/>
                <w:color w:val="212121"/>
                <w:sz w:val="19"/>
              </w:rPr>
              <w:t>Smokers with NCC epilepsy</w:t>
            </w:r>
          </w:p>
          <w:p>
            <w:pPr>
              <w:spacing w:after="40" w:line="254" w:lineRule="auto"/>
              <w:ind w:left="187" w:hanging="187"/>
            </w:pPr>
            <w:r>
              <w:rPr>
                <w:rFonts w:ascii="Calibri" w:hAnsi="Calibri"/>
                <w:b w:val="0"/>
                <w:i w:val="0"/>
                <w:color w:val="212121"/>
                <w:sz w:val="19"/>
              </w:rPr>
              <w:t xml:space="preserve">•  </w:t>
            </w:r>
            <w:r>
              <w:rPr>
                <w:rFonts w:ascii="Calibri" w:hAnsi="Calibri"/>
                <w:b w:val="0"/>
                <w:i w:val="0"/>
                <w:color w:val="212121"/>
                <w:sz w:val="19"/>
              </w:rPr>
              <w:t>Young adult patients</w:t>
            </w:r>
          </w:p>
        </w:tc>
        <w:tc>
          <w:tcPr>
            <w:tcW w:type="dxa" w:w="1036"/>
            <w:vAlign w:val="top"/>
          </w:tcPr>
          <w:p>
            <w:pPr>
              <w:spacing w:after="40" w:before="0" w:line="259" w:lineRule="auto"/>
            </w:pPr>
            <w:r>
              <w:rPr>
                <w:rFonts w:ascii="Calibri" w:hAnsi="Calibri"/>
                <w:b w:val="0"/>
                <w:i w:val="0"/>
                <w:color w:val="212121"/>
                <w:sz w:val="19"/>
              </w:rPr>
              <w:t>Low</w:t>
            </w:r>
          </w:p>
        </w:tc>
      </w:tr>
      <w:tr>
        <w:trPr>
          <w:cantSplit/>
        </w:trPr>
        <w:tc>
          <w:tcPr>
            <w:tcW w:type="dxa" w:w="1224"/>
            <w:vAlign w:val="center"/>
          </w:tcPr>
          <w:p>
            <w:pPr>
              <w:spacing w:after="40"/>
            </w:pPr>
            <w:r>
              <w:rPr>
                <w:rFonts w:ascii="Calibri" w:hAnsi="Calibri"/>
                <w:b w:val="0"/>
                <w:i w:val="0"/>
                <w:color w:val="212121"/>
                <w:sz w:val="19"/>
              </w:rPr>
              <w:t>Mental health</w:t>
            </w:r>
          </w:p>
        </w:tc>
        <w:tc>
          <w:tcPr>
            <w:tcW w:type="dxa" w:w="1224"/>
            <w:vAlign w:val="top"/>
          </w:tcPr>
          <w:p>
            <w:pPr>
              <w:spacing w:after="40" w:before="0" w:line="259" w:lineRule="auto"/>
            </w:pPr>
            <w:r>
              <w:rPr>
                <w:rFonts w:ascii="Calibri" w:hAnsi="Calibri"/>
                <w:b w:val="0"/>
                <w:i w:val="0"/>
                <w:color w:val="212121"/>
                <w:sz w:val="19"/>
              </w:rPr>
              <w:t>Therapeutic</w:t>
            </w:r>
          </w:p>
        </w:tc>
        <w:tc>
          <w:tcPr>
            <w:tcW w:type="dxa" w:w="4176"/>
            <w:vAlign w:val="top"/>
          </w:tcPr>
          <w:p>
            <w:pPr>
              <w:spacing w:after="40" w:line="254" w:lineRule="auto"/>
              <w:ind w:left="187" w:hanging="187"/>
            </w:pPr>
            <w:r>
              <w:rPr>
                <w:rFonts w:ascii="Calibri" w:hAnsi="Calibri"/>
                <w:b w:val="0"/>
                <w:i w:val="0"/>
                <w:color w:val="212121"/>
                <w:sz w:val="19"/>
              </w:rPr>
              <w:t xml:space="preserve">•  </w:t>
            </w:r>
            <w:r>
              <w:rPr>
                <w:rFonts w:ascii="Calibri" w:hAnsi="Calibri"/>
                <w:b w:val="0"/>
                <w:i w:val="0"/>
                <w:color w:val="212121"/>
                <w:sz w:val="19"/>
              </w:rPr>
              <w:t>Screen for and treat depression, anxiety and psychosis, which are common and undertreated in NCC and epilepsy.</w:t>
            </w:r>
          </w:p>
          <w:p>
            <w:pPr>
              <w:spacing w:after="40" w:line="254" w:lineRule="auto"/>
              <w:ind w:left="187" w:hanging="187"/>
            </w:pPr>
            <w:r>
              <w:rPr>
                <w:rFonts w:ascii="Calibri" w:hAnsi="Calibri"/>
                <w:b w:val="0"/>
                <w:i w:val="0"/>
                <w:color w:val="212121"/>
                <w:sz w:val="19"/>
              </w:rPr>
              <w:t xml:space="preserve">•  </w:t>
            </w:r>
            <w:r>
              <w:rPr>
                <w:rFonts w:ascii="Calibri" w:hAnsi="Calibri"/>
                <w:b w:val="0"/>
                <w:i w:val="0"/>
                <w:color w:val="212121"/>
                <w:sz w:val="19"/>
              </w:rPr>
              <w:t>Address epilepsy-related stigma with counselling and family/community education.</w:t>
            </w:r>
          </w:p>
          <w:p>
            <w:pPr>
              <w:spacing w:after="40" w:line="254" w:lineRule="auto"/>
              <w:ind w:left="187" w:hanging="187"/>
            </w:pPr>
            <w:r>
              <w:rPr>
                <w:rFonts w:ascii="Calibri" w:hAnsi="Calibri"/>
                <w:b w:val="0"/>
                <w:i w:val="0"/>
                <w:color w:val="212121"/>
                <w:sz w:val="19"/>
              </w:rPr>
              <w:t xml:space="preserve">•  </w:t>
            </w:r>
            <w:r>
              <w:rPr>
                <w:rFonts w:ascii="Calibri" w:hAnsi="Calibri"/>
                <w:b w:val="0"/>
                <w:i w:val="0"/>
                <w:color w:val="212121"/>
                <w:sz w:val="19"/>
              </w:rPr>
              <w:t>Offer psychological support and support-group linkage to improve medication adherence and quality of life.</w:t>
            </w:r>
          </w:p>
          <w:p>
            <w:pPr>
              <w:spacing w:after="40" w:line="254" w:lineRule="auto"/>
              <w:ind w:left="187" w:hanging="187"/>
            </w:pPr>
            <w:r>
              <w:rPr>
                <w:rFonts w:ascii="Calibri" w:hAnsi="Calibri"/>
                <w:b w:val="0"/>
                <w:i w:val="0"/>
                <w:color w:val="212121"/>
                <w:sz w:val="19"/>
              </w:rPr>
              <w:t xml:space="preserve">•  </w:t>
            </w:r>
            <w:r>
              <w:rPr>
                <w:rFonts w:ascii="Calibri" w:hAnsi="Calibri"/>
                <w:b w:val="0"/>
                <w:i w:val="0"/>
                <w:color w:val="212121"/>
                <w:sz w:val="19"/>
              </w:rPr>
              <w:t>Coordinate psychiatric care with the neurologist, as some psychotropic drugs affect the seizure threshold.</w:t>
            </w:r>
          </w:p>
        </w:tc>
        <w:tc>
          <w:tcPr>
            <w:tcW w:type="dxa" w:w="1944"/>
            <w:vAlign w:val="top"/>
          </w:tcPr>
          <w:p>
            <w:pPr>
              <w:spacing w:after="40" w:line="254" w:lineRule="auto"/>
              <w:ind w:left="187" w:hanging="187"/>
            </w:pPr>
            <w:r>
              <w:rPr>
                <w:rFonts w:ascii="Calibri" w:hAnsi="Calibri"/>
                <w:b w:val="0"/>
                <w:i w:val="0"/>
                <w:color w:val="212121"/>
                <w:sz w:val="19"/>
              </w:rPr>
              <w:t xml:space="preserve">•  </w:t>
            </w:r>
            <w:r>
              <w:rPr>
                <w:rFonts w:ascii="Calibri" w:hAnsi="Calibri"/>
                <w:b w:val="0"/>
                <w:i w:val="0"/>
                <w:color w:val="212121"/>
                <w:sz w:val="19"/>
              </w:rPr>
              <w:t>Patients with chronic/refractory NCC epilepsy</w:t>
            </w:r>
          </w:p>
          <w:p>
            <w:pPr>
              <w:spacing w:after="40" w:line="254" w:lineRule="auto"/>
              <w:ind w:left="187" w:hanging="187"/>
            </w:pPr>
            <w:r>
              <w:rPr>
                <w:rFonts w:ascii="Calibri" w:hAnsi="Calibri"/>
                <w:b w:val="0"/>
                <w:i w:val="0"/>
                <w:color w:val="212121"/>
                <w:sz w:val="19"/>
              </w:rPr>
              <w:t xml:space="preserve">•  </w:t>
            </w:r>
            <w:r>
              <w:rPr>
                <w:rFonts w:ascii="Calibri" w:hAnsi="Calibri"/>
                <w:b w:val="0"/>
                <w:i w:val="0"/>
                <w:color w:val="212121"/>
                <w:sz w:val="19"/>
              </w:rPr>
              <w:t>Patients facing stigma</w:t>
            </w:r>
          </w:p>
          <w:p>
            <w:pPr>
              <w:spacing w:after="40" w:line="254" w:lineRule="auto"/>
              <w:ind w:left="187" w:hanging="187"/>
            </w:pPr>
            <w:r>
              <w:rPr>
                <w:rFonts w:ascii="Calibri" w:hAnsi="Calibri"/>
                <w:b w:val="0"/>
                <w:i w:val="0"/>
                <w:color w:val="212121"/>
                <w:sz w:val="19"/>
              </w:rPr>
              <w:t xml:space="preserve">•  </w:t>
            </w:r>
            <w:r>
              <w:rPr>
                <w:rFonts w:ascii="Calibri" w:hAnsi="Calibri"/>
                <w:b w:val="0"/>
                <w:i w:val="0"/>
                <w:color w:val="212121"/>
                <w:sz w:val="19"/>
              </w:rPr>
              <w:t>Carers and families</w:t>
            </w:r>
          </w:p>
        </w:tc>
        <w:tc>
          <w:tcPr>
            <w:tcW w:type="dxa" w:w="1036"/>
            <w:vAlign w:val="top"/>
          </w:tcPr>
          <w:p>
            <w:pPr>
              <w:spacing w:after="40" w:before="0" w:line="259" w:lineRule="auto"/>
            </w:pPr>
            <w:r>
              <w:rPr>
                <w:rFonts w:ascii="Calibri" w:hAnsi="Calibri"/>
                <w:b w:val="0"/>
                <w:i w:val="0"/>
                <w:color w:val="212121"/>
                <w:sz w:val="19"/>
              </w:rPr>
              <w:t>Medium</w:t>
            </w:r>
          </w:p>
        </w:tc>
      </w:tr>
    </w:tbl>
    <w:sectPr w:rsidR="00FC693F" w:rsidRPr="0006063C" w:rsidSect="00034616">
      <w:pgSz w:w="11909" w:h="16834"/>
      <w:pgMar w:top="1152" w:right="1152" w:bottom="1152" w:left="1152" w:header="720" w:footer="720" w:gutter="0"/>
      <w:cols w:space="720"/>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mc:Ignorable="w14">
  <w:font w:name="Symbol">
    <w:panose1 w:val="00000000000000000000"/>
    <w:charset w:val="02"/>
    <w:family w:val="auto"/>
    <w:pitch w:val="variable"/>
    <w:sig w:usb0="00000000" w:usb1="10000000" w:usb2="00000000" w:usb3="00000000" w:csb0="80000000" w:csb1="00000000"/>
  </w:font>
  <w:font w:name="Times New Roman">
    <w:panose1 w:val="02020603050405020304"/>
    <w:charset w:val="00"/>
    <w:family w:val="auto"/>
    <w:pitch w:val="variable"/>
    <w:sig w:usb0="E0002AFF" w:usb1="C0007841" w:usb2="00000009" w:usb3="00000000" w:csb0="000001FF" w:csb1="00000000"/>
  </w:font>
  <w:font w:name="Cambria">
    <w:panose1 w:val="02040503050406030204"/>
    <w:charset w:val="00"/>
    <w:family w:val="auto"/>
    <w:pitch w:val="variable"/>
    <w:sig w:usb0="E00002FF" w:usb1="400004FF" w:usb2="00000000" w:usb3="00000000" w:csb0="0000019F" w:csb1="00000000"/>
  </w:font>
  <w:font w:name="ＭＳ 明朝">
    <w:panose1 w:val="00000000000000000000"/>
    <w:charset w:val="80"/>
    <w:family w:val="roman"/>
    <w:notTrueType/>
    <w:pitch w:val="fixed"/>
    <w:sig w:usb0="00000001" w:usb1="08070000" w:usb2="00000010" w:usb3="00000000" w:csb0="00020000" w:csb1="00000000"/>
  </w:font>
  <w:font w:name="Calibri">
    <w:panose1 w:val="020F0502020204030204"/>
    <w:charset w:val="00"/>
    <w:family w:val="auto"/>
    <w:pitch w:val="variable"/>
    <w:sig w:usb0="E10002FF" w:usb1="4000ACFF" w:usb2="00000009" w:usb3="00000000" w:csb0="0000019F" w:csb1="00000000"/>
  </w:font>
  <w:font w:name="ＭＳ ゴシック">
    <w:panose1 w:val="00000000000000000000"/>
    <w:charset w:val="80"/>
    <w:family w:val="modern"/>
    <w:notTrueType/>
    <w:pitch w:val="fixed"/>
    <w:sig w:usb0="00000001" w:usb1="08070000" w:usb2="00000010" w:usb3="00000000" w:csb0="00020000" w:csb1="00000000"/>
  </w:font>
  <w:font w:name="Courier">
    <w:panose1 w:val="02000500000000000000"/>
    <w:charset w:val="00"/>
    <w:family w:val="auto"/>
    <w:pitch w:val="variable"/>
    <w:sig w:usb0="00000003" w:usb1="00000000" w:usb2="00000000" w:usb3="00000000" w:csb0="00000001" w:csb1="00000000"/>
  </w:font>
  <w:font w:name="Arial">
    <w:panose1 w:val="020B0604020202020204"/>
    <w:charset w:val="00"/>
    <w:family w:val="auto"/>
    <w:pitch w:val="variable"/>
    <w:sig w:usb0="E0002AFF" w:usb1="C0007843" w:usb2="00000009" w:usb3="00000000" w:csb0="000001FF" w:csb1="00000000"/>
  </w:font>
</w:fonts>
</file>

<file path=word/numbering.xml><?xml version="1.0" encoding="utf-8"?>
<w:numbering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abstractNum w:abstractNumId="0">
    <w:nsid w:val="FFFFFF7C"/>
    <w:multiLevelType w:val="singleLevel"/>
    <w:tmpl w:val="C310EC42"/>
    <w:lvl w:ilvl="0">
      <w:start w:val="1"/>
      <w:numFmt w:val="decimal"/>
      <w:lvlText w:val="%1."/>
      <w:lvlJc w:val="left"/>
      <w:pPr>
        <w:tabs>
          <w:tab w:val="num" w:pos="1800"/>
        </w:tabs>
        <w:ind w:left="1800" w:hanging="360"/>
      </w:pPr>
    </w:lvl>
  </w:abstractNum>
  <w:abstractNum w:abstractNumId="1">
    <w:nsid w:val="FFFFFF7D"/>
    <w:multiLevelType w:val="singleLevel"/>
    <w:tmpl w:val="E4089024"/>
    <w:lvl w:ilvl="0">
      <w:start w:val="1"/>
      <w:numFmt w:val="decimal"/>
      <w:lvlText w:val="%1."/>
      <w:lvlJc w:val="left"/>
      <w:pPr>
        <w:tabs>
          <w:tab w:val="num" w:pos="1440"/>
        </w:tabs>
        <w:ind w:left="1440" w:hanging="360"/>
      </w:pPr>
    </w:lvl>
  </w:abstractNum>
  <w:abstractNum w:abstractNumId="2">
    <w:nsid w:val="FFFFFF7E"/>
    <w:multiLevelType w:val="singleLevel"/>
    <w:tmpl w:val="FB12693A"/>
    <w:lvl w:ilvl="0">
      <w:start w:val="1"/>
      <w:numFmt w:val="decimal"/>
      <w:pStyle w:val="ListNumber3"/>
      <w:lvlText w:val="%1."/>
      <w:lvlJc w:val="left"/>
      <w:pPr>
        <w:tabs>
          <w:tab w:val="num" w:pos="1080"/>
        </w:tabs>
        <w:ind w:left="1080" w:hanging="360"/>
      </w:pPr>
    </w:lvl>
  </w:abstractNum>
  <w:abstractNum w:abstractNumId="3">
    <w:nsid w:val="FFFFFF7F"/>
    <w:multiLevelType w:val="singleLevel"/>
    <w:tmpl w:val="38441652"/>
    <w:lvl w:ilvl="0">
      <w:start w:val="1"/>
      <w:numFmt w:val="decimal"/>
      <w:pStyle w:val="ListNumber2"/>
      <w:lvlText w:val="%1."/>
      <w:lvlJc w:val="left"/>
      <w:pPr>
        <w:tabs>
          <w:tab w:val="num" w:pos="720"/>
        </w:tabs>
        <w:ind w:left="720" w:hanging="360"/>
      </w:pPr>
    </w:lvl>
  </w:abstractNum>
  <w:abstractNum w:abstractNumId="4">
    <w:nsid w:val="FFFFFF81"/>
    <w:multiLevelType w:val="singleLevel"/>
    <w:tmpl w:val="171AC3A4"/>
    <w:lvl w:ilvl="0">
      <w:start w:val="1"/>
      <w:numFmt w:val="bullet"/>
      <w:lvlText w:val=""/>
      <w:lvlJc w:val="left"/>
      <w:pPr>
        <w:tabs>
          <w:tab w:val="num" w:pos="1440"/>
        </w:tabs>
        <w:ind w:left="1440" w:hanging="360"/>
      </w:pPr>
      <w:rPr>
        <w:rFonts w:ascii="Symbol" w:hAnsi="Symbol" w:hint="default"/>
      </w:rPr>
    </w:lvl>
  </w:abstractNum>
  <w:abstractNum w:abstractNumId="5">
    <w:nsid w:val="FFFFFF82"/>
    <w:multiLevelType w:val="singleLevel"/>
    <w:tmpl w:val="F3EAFDEC"/>
    <w:lvl w:ilvl="0">
      <w:start w:val="1"/>
      <w:numFmt w:val="bullet"/>
      <w:pStyle w:val="ListBullet3"/>
      <w:lvlText w:val=""/>
      <w:lvlJc w:val="left"/>
      <w:pPr>
        <w:tabs>
          <w:tab w:val="num" w:pos="1080"/>
        </w:tabs>
        <w:ind w:left="1080" w:hanging="360"/>
      </w:pPr>
      <w:rPr>
        <w:rFonts w:ascii="Symbol" w:hAnsi="Symbol" w:hint="default"/>
      </w:rPr>
    </w:lvl>
  </w:abstractNum>
  <w:abstractNum w:abstractNumId="6">
    <w:nsid w:val="FFFFFF83"/>
    <w:multiLevelType w:val="singleLevel"/>
    <w:tmpl w:val="3D1EFFD4"/>
    <w:lvl w:ilvl="0">
      <w:start w:val="1"/>
      <w:numFmt w:val="bullet"/>
      <w:pStyle w:val="ListBullet2"/>
      <w:lvlText w:val=""/>
      <w:lvlJc w:val="left"/>
      <w:pPr>
        <w:tabs>
          <w:tab w:val="num" w:pos="720"/>
        </w:tabs>
        <w:ind w:left="720" w:hanging="360"/>
      </w:pPr>
      <w:rPr>
        <w:rFonts w:ascii="Symbol" w:hAnsi="Symbol" w:hint="default"/>
      </w:rPr>
    </w:lvl>
  </w:abstractNum>
  <w:abstractNum w:abstractNumId="7">
    <w:nsid w:val="FFFFFF88"/>
    <w:multiLevelType w:val="singleLevel"/>
    <w:tmpl w:val="D0A62B40"/>
    <w:lvl w:ilvl="0">
      <w:start w:val="1"/>
      <w:numFmt w:val="decimal"/>
      <w:pStyle w:val="ListNumber"/>
      <w:lvlText w:val="%1."/>
      <w:lvlJc w:val="left"/>
      <w:pPr>
        <w:tabs>
          <w:tab w:val="num" w:pos="360"/>
        </w:tabs>
        <w:ind w:left="360" w:hanging="360"/>
      </w:pPr>
    </w:lvl>
  </w:abstractNum>
  <w:abstractNum w:abstractNumId="8">
    <w:nsid w:val="FFFFFF89"/>
    <w:multiLevelType w:val="singleLevel"/>
    <w:tmpl w:val="29761A62"/>
    <w:lvl w:ilvl="0">
      <w:start w:val="1"/>
      <w:numFmt w:val="bullet"/>
      <w:pStyle w:val="ListBullet"/>
      <w:lvlText w:val=""/>
      <w:lvlJc w:val="left"/>
      <w:pPr>
        <w:tabs>
          <w:tab w:val="num" w:pos="360"/>
        </w:tabs>
        <w:ind w:left="360" w:hanging="360"/>
      </w:pPr>
      <w:rPr>
        <w:rFonts w:ascii="Symbol" w:hAnsi="Symbol" w:hint="default"/>
      </w:rPr>
    </w:lvl>
  </w:abstractNum>
  <w:num w:numId="1">
    <w:abstractNumId w:val="8"/>
  </w:num>
  <w:num w:numId="2">
    <w:abstractNumId w:val="6"/>
  </w:num>
  <w:num w:numId="3">
    <w:abstractNumId w:val="5"/>
  </w:num>
  <w:num w:numId="4">
    <w:abstractNumId w:val="4"/>
  </w:num>
  <w:num w:numId="5">
    <w:abstractNumId w:val="7"/>
  </w:num>
  <w:num w:numId="6">
    <w:abstractNumId w:val="3"/>
  </w:num>
  <w:num w:numId="7">
    <w:abstractNumId w:val="2"/>
  </w:num>
  <w:num w:numId="8">
    <w:abstractNumId w:val="1"/>
  </w:num>
  <w:num w:numId="9">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sl="http://schemas.openxmlformats.org/schemaLibrary/2006/main" mc:Ignorable="w14">
  <w:zoom w:val="bestFit"/>
  <w:proofState w:spelling="clean" w:grammar="clean"/>
  <w:defaultTabStop w:val="720"/>
  <w:characterSpacingControl w:val="doNotCompress"/>
  <w:savePreviewPicture/>
  <w:compat>
    <w:useFELayout/>
    <w:compatSetting w:name="compatibilityMode" w:uri="http://schemas.microsoft.com/office/word" w:val="14"/>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
  <w:rsids>
    <w:rsidRoot w:val="00B47730"/>
    <w:rsid w:val="00034616"/>
    <w:rsid w:val="0006063C"/>
    <w:rsid w:val="0015074B"/>
    <w:rsid w:val="0029639D"/>
    <w:rsid w:val="00326F90"/>
    <w:rsid w:val="00AA1D8D"/>
    <w:rsid w:val="00B47730"/>
    <w:rsid w:val="00CB0664"/>
    <w:rsid w:val="00FC693F"/>
  </w:rsids>
  <m:mathPr>
    <m:mathFont m:val="Cambria Math"/>
    <m:brkBin m:val="before"/>
    <m:brkBinSub m:val="--"/>
    <m:smallFrac m:val="0"/>
    <m:dispDef/>
    <m:lMargin m:val="0"/>
    <m:rMargin m:val="0"/>
    <m:defJc m:val="centerGroup"/>
    <m:wrapIndent m:val="1440"/>
    <m:intLim m:val="subSup"/>
    <m:naryLim m:val="undOvr"/>
  </m:mathPr>
  <w:themeFontLang w:val="en-US" w:eastAsia="ja-JP"/>
  <w:clrSchemeMapping w:bg1="light1" w:t1="dark1" w:bg2="light2" w:t2="dark2" w:accent1="accent1" w:accent2="accent2" w:accent3="accent3" w:accent4="accent4" w:accent5="accent5" w:accent6="accent6" w:hyperlink="hyperlink" w:followedHyperlink="followedHyperlink"/>
  <w:doNotAutoCompressPictures/>
  <w:shapeDefaults>
    <o:shapedefaults v:ext="edit" spidmax="1027"/>
    <o:shapelayout v:ext="edit">
      <o:idmap v:ext="edit" data="1"/>
    </o:shapelayout>
  </w:shapeDefaults>
  <w:decimalSymbol w:val="."/>
  <w:listSeparator w:val=","/>
  <w14:docId w14:val="24062061"/>
  <w14:defaultImageDpi w14:val="300"/>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mc:Ignorable="w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pPr>
      <w:spacing w:after="120" w:before="0" w:line="269" w:lineRule="auto"/>
    </w:pPr>
    <w:rPr>
      <w:rFonts w:ascii="Calibri" w:hAnsi="Calibri" w:cs="Calibri"/>
      <w:color w:val="212121"/>
      <w:sz w:val="21"/>
    </w:rPr>
  </w:style>
  <w:style w:type="paragraph" w:styleId="Header">
    <w:name w:val="header"/>
    <w:basedOn w:val="Normal"/>
    <w:link w:val="HeaderChar"/>
    <w:uiPriority w:val="99"/>
    <w:unhideWhenUsed/>
    <w:rsid w:val="00E618BF"/>
    <w:pPr>
      <w:tabs>
        <w:tab w:val="center" w:pos="4680"/>
        <w:tab w:val="right" w:pos="9360"/>
      </w:tabs>
      <w:spacing w:after="0" w:line="240" w:lineRule="auto"/>
    </w:pPr>
  </w:style>
  <w:style w:type="character" w:customStyle="1" w:styleId="HeaderChar">
    <w:name w:val="Header Char"/>
    <w:basedOn w:val="DefaultParagraphFont"/>
    <w:link w:val="Header"/>
    <w:uiPriority w:val="99"/>
    <w:rsid w:val="00E618BF"/>
  </w:style>
  <w:style w:type="paragraph" w:styleId="Footer">
    <w:name w:val="footer"/>
    <w:basedOn w:val="Normal"/>
    <w:link w:val="FooterChar"/>
    <w:uiPriority w:val="99"/>
    <w:unhideWhenUsed/>
    <w:rsid w:val="00E618BF"/>
    <w:pPr>
      <w:tabs>
        <w:tab w:val="center" w:pos="4680"/>
        <w:tab w:val="right" w:pos="9360"/>
      </w:tabs>
      <w:spacing w:after="0" w:line="240" w:lineRule="auto"/>
    </w:pPr>
  </w:style>
  <w:style w:type="character" w:customStyle="1" w:styleId="FooterChar">
    <w:name w:val="Footer Char"/>
    <w:basedOn w:val="DefaultParagraphFont"/>
    <w:link w:val="Footer"/>
    <w:uiPriority w:val="99"/>
    <w:rsid w:val="00E618B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stylesWithEffects.xml><?xml version="1.0" encoding="utf-8"?>
<w:styles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mc:Ignorable="w14">
  <w:allowPNG/>
  <w:doNotSaveAsSingleFile/>
</w:webSettings>
</file>

<file path=word/_rels/document.xml.rels><?xml version='1.0' encoding='UTF-8' standalone='yes'?>
<Relationships xmlns="http://schemas.openxmlformats.org/package/2006/relationships"><Relationship Id="rId3" Type="http://schemas.openxmlformats.org/officeDocument/2006/relationships/styles" Target="styles.xml"/><Relationship Id="rId4" Type="http://schemas.microsoft.com/office/2007/relationships/stylesWithEffects" Target="stylesWithEffects.xml"/><Relationship Id="rId5" Type="http://schemas.openxmlformats.org/officeDocument/2006/relationships/settings" Target="settings.xml"/><Relationship Id="rId6" Type="http://schemas.openxmlformats.org/officeDocument/2006/relationships/webSettings" Target="webSettings.xml"/><Relationship Id="rId7" Type="http://schemas.openxmlformats.org/officeDocument/2006/relationships/fontTable" Target="fontTable.xml"/><Relationship Id="rId8" Type="http://schemas.openxmlformats.org/officeDocument/2006/relationships/theme" Target="theme/theme1.xml"/><Relationship Id="rId1" Type="http://schemas.openxmlformats.org/officeDocument/2006/relationships/customXml" Target="../customXml/item1.xml"/><Relationship Id="rId2" Type="http://schemas.openxmlformats.org/officeDocument/2006/relationships/numbering" Target="numbering.xml"/><Relationship Id="rId9" Type="http://schemas.openxmlformats.org/officeDocument/2006/relationships/hyperlink" Target="https://www.who.int/news-room/fact-sheets/detail/taeniasis-cysticercosis" TargetMode="External"/><Relationship Id="rId10" Type="http://schemas.openxmlformats.org/officeDocument/2006/relationships/hyperlink" Target="https://www.nature.com/articles/s41598-021-86823-w" TargetMode="External"/><Relationship Id="rId11" Type="http://schemas.openxmlformats.org/officeDocument/2006/relationships/hyperlink" Target="https://indianpediatrics.net/epub082021/RECOMM-00360.pdf" TargetMode="External"/><Relationship Id="rId12" Type="http://schemas.openxmlformats.org/officeDocument/2006/relationships/hyperlink" Target="https://www.ias.ac.in/article/fulltext/jbsc/033/04/0571-0582" TargetMode="External"/><Relationship Id="rId13" Type="http://schemas.openxmlformats.org/officeDocument/2006/relationships/hyperlink" Target="https://www.who.int/news-room/questions-and-answers/item/taeniasis-and-cysticercosis" TargetMode="External"/><Relationship Id="rId14" Type="http://schemas.openxmlformats.org/officeDocument/2006/relationships/hyperlink" Target="https://journals.plos.org/plosntds/article?id=10.1371%2Fjournal.pntd.0005153" TargetMode="External"/><Relationship Id="rId15" Type="http://schemas.openxmlformats.org/officeDocument/2006/relationships/hyperlink" Target="https://pmc.ncbi.nlm.nih.gov/articles/PMC5683283/" TargetMode="External"/><Relationship Id="rId16" Type="http://schemas.openxmlformats.org/officeDocument/2006/relationships/hyperlink" Target="https://pmc.ncbi.nlm.nih.gov/articles/PMC8274779/" TargetMode="External"/><Relationship Id="rId17" Type="http://schemas.openxmlformats.org/officeDocument/2006/relationships/hyperlink" Target="https://pmc.ncbi.nlm.nih.gov/articles/PMC8164720/" TargetMode="External"/><Relationship Id="rId18" Type="http://schemas.openxmlformats.org/officeDocument/2006/relationships/hyperlink" Target="https://www.ncbi.nlm.nih.gov/books/NBK573855/" TargetMode="Externa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EF278816-EC6F-A645-907D-7F25AECB1D4A}">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0</TotalTime>
  <Pages>1</Pages>
  <Words>0</Words>
  <Characters>0</Characters>
  <Application>Microsoft Macintosh Word</Application>
  <DocSecurity>0</DocSecurity>
  <Lines>0</Lines>
  <Paragraphs>0</Paragraphs>
  <ScaleCrop>false</ScaleCrop>
  <HeadingPairs>
    <vt:vector size="2" baseType="variant">
      <vt:variant>
        <vt:lpstr>Title</vt:lpstr>
      </vt:variant>
      <vt:variant>
        <vt:i4>1</vt:i4>
      </vt:variant>
    </vt:vector>
  </HeadingPairs>
  <TitlesOfParts>
    <vt:vector size="1" baseType="lpstr">
      <vt:lpstr/>
    </vt:vector>
  </TitlesOfParts>
  <Manager/>
  <Company/>
  <LinksUpToDate>false</LinksUpToDate>
  <CharactersWithSpaces>0</CharactersWithSpaces>
  <SharedDoc>false</SharedDoc>
  <HyperlinkBase/>
  <HyperlinksChanged>false</HyperlinksChanged>
  <AppVersion>14.0000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python-docx</dc:creator>
  <cp:keywords/>
  <dc:description>generated by python-docx</dc:description>
  <cp:lastModifiedBy/>
  <cp:revision>1</cp:revision>
  <dcterms:created xsi:type="dcterms:W3CDTF">2013-12-23T23:15:00Z</dcterms:created>
  <dcterms:modified xsi:type="dcterms:W3CDTF">2013-12-23T23:15:00Z</dcterms:modified>
  <cp:category/>
</cp:coreProperties>
</file>