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Brain Abscess</w:t>
      </w:r>
    </w:p>
    <w:p>
      <w:pPr>
        <w:spacing w:before="0" w:after="160"/>
      </w:pPr>
      <w:r>
        <w:rPr>
          <w:rFonts w:ascii="Calibri" w:hAnsi="Calibri"/>
          <w:b/>
          <w:i w:val="0"/>
          <w:color w:val="212121"/>
          <w:sz w:val="22"/>
        </w:rPr>
        <w:t xml:space="preserve">AKA </w:t>
      </w:r>
      <w:r>
        <w:rPr>
          <w:rFonts w:ascii="Calibri" w:hAnsi="Calibri"/>
          <w:b w:val="0"/>
          <w:i w:val="0"/>
          <w:color w:val="212121"/>
          <w:sz w:val="22"/>
        </w:rPr>
        <w:t>i.e., Cerebral Abscess, Intracranial Abscess, Cerebral Suppuration, Pus pocket in the brain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brain abscess is a focal, encapsulated collection of pus within the brain parenchyma arising from a bacterial, fungal, tuberculous or parasitic infection. It begins as a localized area of cerebritis and matures over one to two weeks into a necrotic, pus-filled cavity surrounded by a vascularized collagen capsule. Once formed it behaves as an expanding intracranial mass, producing raised intracranial pressure, focal neurological deficits and seizures, and it is frequently fatal if not drained and treated with prolonged antimicrobials.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Brain abscess remains disproportionately common in India compared with high-income countries, chiefly because of the heavy burden of untreated chronic suppurative otitis media (CSOM) and paranasal sinus disease. Otogenic (ear-derived) infection is the single largest source, accounting for roughly 39% of cases in large South Indian series, and the disease strikes a young population (mean age about 28 years) with a male predominance of nearly 2.7:1. Globally the incidence is estimated at around 4 cases per million per year, running higher in low- and middle-income settings where South Asia also carries the world's highest burden of otitis-media-related morbidity.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Brain abscess is diagnosed by neuroimaging that demonstrates a ring-enhancing intracranial lesion, confirmed wherever possible by microbiological analysis of aspirated pus: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MRI (preferred) or CT showing a ring-enhancing lesion with surrounding vasogenic oedema and mass effect, most often in the frontal or temporal lobe;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Diffusion-weighted MRI showing central restricted diffusion (low ADC) within the cavity - the key feature separating a pyogenic abscess from a necrotic tumour;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 spectroscopy showing cytosolic amino acids (0.9 ppm), lactate, acetate and succinate within the lesion;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Stereotactic or CT-guided aspiration of pus for Gram stain, aerobic and anaerobic culture, fungal (KOH/culture) and mycobacterial studies (AFB smear, GeneXpert MTB/RIF) - simultaneously diagnostic and therapeutic;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markers: peripheral leukocytosis, raised ESR/CRP, and blood cultures for hematogenous sources;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Lumbar puncture is contraindicated when mass effect or raised intracranial pressure is present, because of the risk of cerebral herniation;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Source work-up: otoscopy and HRCT temporal bone (CSOM/cholesteatoma), CT paranasal sinuses, dental assessment, echocardiography (right-to-left shunt/endocarditis), chest imaging and HIV/blood-sugar testing.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Brain abscess is classified pathologically by evolutionary stage (Britt-Enzmann) and clinically by route of infection and causative organism:</w:t>
      </w:r>
    </w:p>
    <w:p>
      <w:pPr>
        <w:spacing w:before="0" w:after="80"/>
      </w:pPr>
      <w:r>
        <w:rPr>
          <w:rFonts w:ascii="Calibri" w:hAnsi="Calibri"/>
          <w:b w:val="0"/>
          <w:i w:val="0"/>
          <w:color w:val="212121"/>
          <w:sz w:val="21"/>
        </w:rPr>
        <w:t>(1) Early cerebritis (days 1-3): a poorly demarcated focus of inflammation, oedema and early necrosis without a capsule.</w:t>
      </w:r>
    </w:p>
    <w:p>
      <w:pPr>
        <w:spacing w:before="0" w:after="80"/>
      </w:pPr>
      <w:r>
        <w:rPr>
          <w:rFonts w:ascii="Calibri" w:hAnsi="Calibri"/>
          <w:b w:val="0"/>
          <w:i w:val="0"/>
          <w:color w:val="212121"/>
          <w:sz w:val="21"/>
        </w:rPr>
        <w:t>(2) Late cerebritis (days 4-9): expanding central necrosis with peak surrounding oedema and early reticulin and neovascular formation.</w:t>
      </w:r>
    </w:p>
    <w:p>
      <w:pPr>
        <w:spacing w:before="0" w:after="80"/>
      </w:pPr>
      <w:r>
        <w:rPr>
          <w:rFonts w:ascii="Calibri" w:hAnsi="Calibri"/>
          <w:b w:val="0"/>
          <w:i w:val="0"/>
          <w:color w:val="212121"/>
          <w:sz w:val="21"/>
        </w:rPr>
        <w:t>(3) Early capsule (days 10-13): a ring-enhancing collagen capsule begins to form around the necrotic centre.</w:t>
      </w:r>
    </w:p>
    <w:p>
      <w:pPr>
        <w:spacing w:before="0" w:after="80"/>
      </w:pPr>
      <w:r>
        <w:rPr>
          <w:rFonts w:ascii="Calibri" w:hAnsi="Calibri"/>
          <w:b w:val="0"/>
          <w:i w:val="0"/>
          <w:color w:val="212121"/>
          <w:sz w:val="21"/>
        </w:rPr>
        <w:t>(4) Late capsule (day 14 onward): a well-formed collagen capsule, characteristically thinner on its ventricular (medial) aspect, which predisposes to rupture into the ventricles.</w:t>
      </w:r>
    </w:p>
    <w:p>
      <w:pPr>
        <w:spacing w:before="0" w:after="80"/>
      </w:pPr>
      <w:r>
        <w:rPr>
          <w:rFonts w:ascii="Calibri" w:hAnsi="Calibri"/>
          <w:b w:val="0"/>
          <w:i w:val="0"/>
          <w:color w:val="212121"/>
          <w:sz w:val="21"/>
        </w:rPr>
        <w:t>By route/source: contiguous spread (otogenic/mastoid to temporal lobe or cerebellum; sinus or dental to frontal lobe), hematogenous spread (from lung, cyanotic heart disease or endocarditis - typically multiple and at the grey-white junction in the middle cerebral artery territory), direct inoculation (penetrating trauma or neurosurgery), and cryptogenic (no identifiable source, ~20-25%).</w:t>
      </w:r>
    </w:p>
    <w:p>
      <w:pPr>
        <w:spacing w:before="0" w:after="80"/>
      </w:pPr>
      <w:r>
        <w:rPr>
          <w:rFonts w:ascii="Calibri" w:hAnsi="Calibri"/>
          <w:b w:val="0"/>
          <w:i w:val="0"/>
          <w:color w:val="212121"/>
          <w:sz w:val="21"/>
        </w:rPr>
        <w:t>By pathogen: pyogenic bacterial (streptococci, staphylococci, Gram-negative bacilli and anaerobes - most common), tuberculous, fungal (Aspergillus, Cladophialophora, Candida - chiefly in diabetics and the immunocompromised) and parasitic.</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Otogenic infection (CSOM/cholesteatoma): The leading cause in India; infection erodes through the tegmen tympani or mastoid to seed the temporal lobe and cerebellum.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Rhinogenic and odontogenic infection: Chronic frontal or ethmoid sinusitis and dental sepsis spread contiguously to the frontal lobe.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Hematogenous seeding: Bacteraemia from lung suppuration (bronchiectasis, lung abscess, empyema) or infective endocarditis; right-to-left shunts (cyanotic congenital heart disease, pulmonary AVMs) bypass the pulmonary filter.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Penetrating trauma and neurosurgery: Direct inoculation of organisms into brain parenchyma.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HIV, diabetes mellitus, organ transplantation and corticosteroid therapy predispose to opportunistic (fungal, nocardial, tuberculous, toxoplasma) abscesses.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Cryptogenic: No identifiable source is found in roughly 20-25% of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(2nd-4th decade)</w:t>
            </w:r>
          </w:p>
        </w:tc>
        <w:tc>
          <w:tcPr>
            <w:tcW w:type="dxa" w:w="4276"/>
            <w:vAlign w:val="top"/>
          </w:tcPr>
          <w:p>
            <w:pPr>
              <w:spacing w:after="60" w:line="259" w:lineRule="auto"/>
            </w:pPr>
            <w:r>
              <w:rPr>
                <w:rFonts w:ascii="Calibri" w:hAnsi="Calibri"/>
                <w:b w:val="0"/>
                <w:i w:val="0"/>
                <w:color w:val="212121"/>
                <w:sz w:val="19"/>
              </w:rPr>
              <w:t>Brain abscess disproportionately affects young, otherwise healthy adults because the commonest Indian source - chronic ear and sinus infection - peaks in this group and reaches the brain by contiguous or hematogenous spread.</w:t>
            </w:r>
          </w:p>
          <w:p>
            <w:pPr>
              <w:spacing w:after="40" w:before="60" w:line="259" w:lineRule="auto"/>
            </w:pPr>
            <w:r>
              <w:rPr>
                <w:rFonts w:ascii="Calibri" w:hAnsi="Calibri"/>
                <w:b w:val="0"/>
                <w:i w:val="0"/>
                <w:color w:val="212121"/>
                <w:sz w:val="19"/>
              </w:rPr>
              <w:t>In a 24-year South Indian series the mean age was 28.5 +/- 17.6 years (range 2-80).</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#youngadults  #otogenic  #temporallobe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(4-7 years)</w:t>
            </w:r>
          </w:p>
        </w:tc>
        <w:tc>
          <w:tcPr>
            <w:tcW w:type="dxa" w:w="4276"/>
            <w:vAlign w:val="top"/>
          </w:tcPr>
          <w:p>
            <w:pPr>
              <w:spacing w:after="60" w:line="259" w:lineRule="auto"/>
            </w:pPr>
            <w:r>
              <w:rPr>
                <w:rFonts w:ascii="Calibri" w:hAnsi="Calibri"/>
                <w:b w:val="0"/>
                <w:i w:val="0"/>
                <w:color w:val="212121"/>
                <w:sz w:val="19"/>
              </w:rPr>
              <w:t>Children with cyanotic congenital heart disease and untreated otitis media are a high-risk group; right-to-left shunts let venous bacteria bypass the pulmonary filter and seed the brain.</w:t>
            </w:r>
          </w:p>
          <w:p>
            <w:pPr>
              <w:spacing w:after="40" w:before="60" w:line="259" w:lineRule="auto"/>
            </w:pPr>
            <w:r>
              <w:rPr>
                <w:rFonts w:ascii="Calibri" w:hAnsi="Calibri"/>
                <w:b w:val="0"/>
                <w:i w:val="0"/>
                <w:color w:val="212121"/>
                <w:sz w:val="19"/>
              </w:rPr>
              <w:t>Congenital heart disease underlies more than 60% of paediatric brain abscesses.</w:t>
            </w:r>
          </w:p>
          <w:p>
            <w:pPr>
              <w:spacing w:after="40" w:line="252" w:lineRule="auto"/>
            </w:pPr>
            <w:hyperlink r:id="rId10">
              <w:r>
                <w:rPr>
                  <w:rFonts w:ascii="Calibri" w:hAnsi="Calibri" w:cs="Calibri"/>
                  <w:sz w:val="18"/>
                  <w:color w:val="1155CC"/>
                  <w:u w:val="single"/>
                </w:rPr>
                <w:t xml:space="preserve">ncbi.nlm.nih.gov - StatPearls Brain Abscess</w:t>
              </w:r>
            </w:hyperlink>
          </w:p>
          <w:p>
            <w:pPr>
              <w:spacing w:before="60" w:after="40"/>
            </w:pPr>
            <w:r>
              <w:rPr>
                <w:rFonts w:ascii="Calibri" w:hAnsi="Calibri"/>
                <w:b w:val="0"/>
                <w:i w:val="0"/>
                <w:color w:val="5A5A5A"/>
                <w:sz w:val="18"/>
              </w:rPr>
              <w:t>#paediatric  #cyanoticCHD  #rightToLeftShunt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Males predominate across virtually all series, partly reflecting a higher burden of trauma, sinus disease and untreated CSOM.</w:t>
            </w:r>
          </w:p>
          <w:p>
            <w:pPr>
              <w:spacing w:after="40" w:before="60" w:line="259" w:lineRule="auto"/>
            </w:pPr>
            <w:r>
              <w:rPr>
                <w:rFonts w:ascii="Calibri" w:hAnsi="Calibri"/>
                <w:b w:val="0"/>
                <w:i w:val="0"/>
                <w:color w:val="212121"/>
                <w:sz w:val="19"/>
              </w:rPr>
              <w:t>Male:female ratio is about 2.7:1 in South India; risk is highest in males over 40.</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#male  #maledominance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populations</w:t>
            </w:r>
          </w:p>
        </w:tc>
        <w:tc>
          <w:tcPr>
            <w:tcW w:type="dxa" w:w="4276"/>
            <w:vAlign w:val="top"/>
          </w:tcPr>
          <w:p>
            <w:pPr>
              <w:spacing w:after="60" w:line="259" w:lineRule="auto"/>
            </w:pPr>
            <w:r>
              <w:rPr>
                <w:rFonts w:ascii="Calibri" w:hAnsi="Calibri"/>
                <w:b w:val="0"/>
                <w:i w:val="0"/>
                <w:color w:val="212121"/>
                <w:sz w:val="19"/>
              </w:rPr>
              <w:t>Poverty, overcrowding and poor access to ENT care allow chronic ear and sinus infections to remain untreated and progress intracranially.</w:t>
            </w:r>
          </w:p>
          <w:p>
            <w:pPr>
              <w:spacing w:after="40" w:before="60" w:line="259" w:lineRule="auto"/>
            </w:pPr>
            <w:r>
              <w:rPr>
                <w:rFonts w:ascii="Calibri" w:hAnsi="Calibri"/>
                <w:b w:val="0"/>
                <w:i w:val="0"/>
                <w:color w:val="212121"/>
                <w:sz w:val="19"/>
              </w:rPr>
              <w:t>In rural South India CSOM prevalence among schoolchildren is about 5.2%, with overcrowding and unsafe ear-cleaning identified as risk factors.</w:t>
            </w:r>
          </w:p>
          <w:p>
            <w:pPr>
              <w:spacing w:after="40" w:line="252" w:lineRule="auto"/>
            </w:pPr>
            <w:hyperlink r:id="rId11">
              <w:r>
                <w:rPr>
                  <w:rFonts w:ascii="Calibri" w:hAnsi="Calibri" w:cs="Calibri"/>
                  <w:sz w:val="18"/>
                  <w:color w:val="1155CC"/>
                  <w:u w:val="single"/>
                </w:rPr>
                <w:t xml:space="preserve">Springer - CSOM prevalence, rural South India</w:t>
              </w:r>
            </w:hyperlink>
          </w:p>
          <w:p>
            <w:pPr>
              <w:spacing w:before="60" w:after="40"/>
            </w:pPr>
            <w:r>
              <w:rPr>
                <w:rFonts w:ascii="Calibri" w:hAnsi="Calibri"/>
                <w:b w:val="0"/>
                <w:i w:val="0"/>
                <w:color w:val="5A5A5A"/>
                <w:sz w:val="18"/>
              </w:rPr>
              <w:t>#poverty  #ruralhealth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South Asian / Indian populations</w:t>
            </w:r>
          </w:p>
        </w:tc>
        <w:tc>
          <w:tcPr>
            <w:tcW w:type="dxa" w:w="4276"/>
            <w:vAlign w:val="top"/>
          </w:tcPr>
          <w:p>
            <w:pPr>
              <w:spacing w:after="60" w:line="259" w:lineRule="auto"/>
            </w:pPr>
            <w:r>
              <w:rPr>
                <w:rFonts w:ascii="Calibri" w:hAnsi="Calibri"/>
                <w:b w:val="0"/>
                <w:i w:val="0"/>
                <w:color w:val="212121"/>
                <w:sz w:val="19"/>
              </w:rPr>
              <w:t>The high regional burden of chronic suppurative otitis media makes otogenic brain abscess far more common in India and South Asia than in high-income countries.</w:t>
            </w:r>
          </w:p>
          <w:p>
            <w:pPr>
              <w:spacing w:after="40" w:before="60" w:line="259" w:lineRule="auto"/>
            </w:pPr>
            <w:r>
              <w:rPr>
                <w:rFonts w:ascii="Calibri" w:hAnsi="Calibri"/>
                <w:b w:val="0"/>
                <w:i w:val="0"/>
                <w:color w:val="212121"/>
                <w:sz w:val="19"/>
              </w:rPr>
              <w:t>South Asia carries the world's highest otitis-media-related hearing-impairment burden (~97 per 10,000).</w:t>
            </w:r>
          </w:p>
          <w:p>
            <w:pPr>
              <w:spacing w:after="40" w:line="252" w:lineRule="auto"/>
            </w:pPr>
            <w:hyperlink r:id="rId12">
              <w:r>
                <w:rPr>
                  <w:rFonts w:ascii="Calibri" w:hAnsi="Calibri" w:cs="Calibri"/>
                  <w:sz w:val="18"/>
                  <w:color w:val="1155CC"/>
                  <w:u w:val="single"/>
                </w:rPr>
                <w:t xml:space="preserve">PLOS One - global burden of otitis media</w:t>
              </w:r>
            </w:hyperlink>
          </w:p>
          <w:p>
            <w:pPr>
              <w:spacing w:before="60" w:after="40"/>
            </w:pPr>
            <w:r>
              <w:rPr>
                <w:rFonts w:ascii="Calibri" w:hAnsi="Calibri"/>
                <w:b w:val="0"/>
                <w:i w:val="0"/>
                <w:color w:val="5A5A5A"/>
                <w:sz w:val="18"/>
              </w:rPr>
              <w:t>#SouthAsia  #CSOMburden  #otogenic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 underserved districts</w:t>
            </w:r>
          </w:p>
        </w:tc>
        <w:tc>
          <w:tcPr>
            <w:tcW w:type="dxa" w:w="4276"/>
            <w:vAlign w:val="top"/>
          </w:tcPr>
          <w:p>
            <w:pPr>
              <w:spacing w:after="60" w:line="259" w:lineRule="auto"/>
            </w:pPr>
            <w:r>
              <w:rPr>
                <w:rFonts w:ascii="Calibri" w:hAnsi="Calibri"/>
                <w:b w:val="0"/>
                <w:i w:val="0"/>
                <w:color w:val="212121"/>
                <w:sz w:val="19"/>
              </w:rPr>
              <w:t>Delayed diagnosis and limited access to neuroimaging and neurosurgery in rural India worsen the otogenic-to-intracranial progression and outcomes.</w:t>
            </w:r>
          </w:p>
          <w:p>
            <w:pPr>
              <w:spacing w:after="40" w:before="60" w:line="259" w:lineRule="auto"/>
            </w:pPr>
            <w:r>
              <w:rPr>
                <w:rFonts w:ascii="Calibri" w:hAnsi="Calibri"/>
                <w:b w:val="0"/>
                <w:i w:val="0"/>
                <w:color w:val="212121"/>
                <w:sz w:val="19"/>
              </w:rPr>
              <w:t>Otogenic infection is the single largest source (~39%) of brain abscess in Indian tertiary series.</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#ruralIndia  #delayeddiagnosis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Ear hygiene / self-cleaning practices</w:t>
            </w:r>
          </w:p>
        </w:tc>
        <w:tc>
          <w:tcPr>
            <w:tcW w:type="dxa" w:w="2160"/>
            <w:vAlign w:val="top"/>
          </w:tcPr>
          <w:p>
            <w:pPr>
              <w:spacing w:after="40" w:before="0" w:line="259" w:lineRule="auto"/>
            </w:pPr>
            <w:r>
              <w:rPr>
                <w:rFonts w:ascii="Calibri" w:hAnsi="Calibri"/>
                <w:b w:val="0"/>
                <w:i w:val="0"/>
                <w:color w:val="212121"/>
                <w:sz w:val="19"/>
              </w:rPr>
              <w:t>People with chronic ear discharge or unsafe ear-cleaning habits</w:t>
            </w:r>
          </w:p>
        </w:tc>
        <w:tc>
          <w:tcPr>
            <w:tcW w:type="dxa" w:w="4276"/>
            <w:vAlign w:val="top"/>
          </w:tcPr>
          <w:p>
            <w:pPr>
              <w:spacing w:after="60" w:line="259" w:lineRule="auto"/>
            </w:pPr>
            <w:r>
              <w:rPr>
                <w:rFonts w:ascii="Calibri" w:hAnsi="Calibri"/>
                <w:b w:val="0"/>
                <w:i w:val="0"/>
                <w:color w:val="212121"/>
                <w:sz w:val="19"/>
              </w:rPr>
              <w:t>Persistent otorrhoea and traumatic self-ear-cleaning perpetuate CSOM and cholesteatoma, the commonest route to a temporal-lobe or cerebellar abscess in India.</w:t>
            </w:r>
          </w:p>
          <w:p>
            <w:pPr>
              <w:spacing w:after="40" w:before="60" w:line="259" w:lineRule="auto"/>
            </w:pPr>
            <w:r>
              <w:rPr>
                <w:rFonts w:ascii="Calibri" w:hAnsi="Calibri"/>
                <w:b w:val="0"/>
                <w:i w:val="0"/>
                <w:color w:val="212121"/>
                <w:sz w:val="19"/>
              </w:rPr>
              <w:t>About 7.4% of schoolchildren with CSOM reported ear-cleaning with unsafe materials.</w:t>
            </w:r>
          </w:p>
          <w:p>
            <w:pPr>
              <w:spacing w:after="40" w:line="252" w:lineRule="auto"/>
            </w:pPr>
            <w:hyperlink r:id="rId11">
              <w:r>
                <w:rPr>
                  <w:rFonts w:ascii="Calibri" w:hAnsi="Calibri" w:cs="Calibri"/>
                  <w:sz w:val="18"/>
                  <w:color w:val="1155CC"/>
                  <w:u w:val="single"/>
                </w:rPr>
                <w:t xml:space="preserve">Springer - CSOM prevalence, rural South India</w:t>
              </w:r>
            </w:hyperlink>
          </w:p>
          <w:p>
            <w:pPr>
              <w:spacing w:before="60" w:after="40"/>
            </w:pPr>
            <w:r>
              <w:rPr>
                <w:rFonts w:ascii="Calibri" w:hAnsi="Calibri"/>
                <w:b w:val="0"/>
                <w:i w:val="0"/>
                <w:color w:val="5A5A5A"/>
                <w:sz w:val="18"/>
              </w:rPr>
              <w:t>#earhygiene  #CSOM  #cholesteatoma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impairs mucociliary clearance and promotes chronic sinusitis and periodontal disease, both contiguous sources of a frontal-lobe abscess.</w:t>
            </w:r>
          </w:p>
          <w:p>
            <w:pPr>
              <w:spacing w:before="60" w:after="40"/>
            </w:pPr>
            <w:r>
              <w:rPr>
                <w:rFonts w:ascii="Calibri" w:hAnsi="Calibri"/>
                <w:b w:val="0"/>
                <w:i w:val="0"/>
                <w:color w:val="5A5A5A"/>
                <w:sz w:val="18"/>
              </w:rPr>
              <w:t>#smoking  #sinusitis  #mucociliary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w:t>
            </w:r>
          </w:p>
        </w:tc>
        <w:tc>
          <w:tcPr>
            <w:tcW w:type="dxa" w:w="2160"/>
            <w:vAlign w:val="top"/>
          </w:tcPr>
          <w:p>
            <w:pPr>
              <w:spacing w:after="40" w:before="0" w:line="259" w:lineRule="auto"/>
            </w:pPr>
            <w:r>
              <w:rPr>
                <w:rFonts w:ascii="Calibri" w:hAnsi="Calibri"/>
                <w:b w:val="0"/>
                <w:i w:val="0"/>
                <w:color w:val="212121"/>
                <w:sz w:val="19"/>
              </w:rPr>
              <w:t>Heavy alcohol users; injecting drug users</w:t>
            </w:r>
          </w:p>
        </w:tc>
        <w:tc>
          <w:tcPr>
            <w:tcW w:type="dxa" w:w="4276"/>
            <w:vAlign w:val="top"/>
          </w:tcPr>
          <w:p>
            <w:pPr>
              <w:spacing w:after="60" w:line="259" w:lineRule="auto"/>
            </w:pPr>
            <w:r>
              <w:rPr>
                <w:rFonts w:ascii="Calibri" w:hAnsi="Calibri"/>
                <w:b w:val="0"/>
                <w:i w:val="0"/>
                <w:color w:val="212121"/>
                <w:sz w:val="19"/>
              </w:rPr>
              <w:t>Alcohol excess predisposes to aspiration pneumonia and immune suppression, while injecting drug use causes right-sided endocarditis - both hematogenous sources of abscess.</w:t>
            </w:r>
          </w:p>
          <w:p>
            <w:pPr>
              <w:spacing w:before="60" w:after="40"/>
            </w:pPr>
            <w:r>
              <w:rPr>
                <w:rFonts w:ascii="Calibri" w:hAnsi="Calibri"/>
                <w:b w:val="0"/>
                <w:i w:val="0"/>
                <w:color w:val="5A5A5A"/>
                <w:sz w:val="18"/>
              </w:rPr>
              <w:t>#alcohol  #IVDU  #endocarditis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Undernourished children</w:t>
            </w:r>
          </w:p>
        </w:tc>
        <w:tc>
          <w:tcPr>
            <w:tcW w:type="dxa" w:w="4276"/>
            <w:vAlign w:val="top"/>
          </w:tcPr>
          <w:p>
            <w:pPr>
              <w:spacing w:after="60" w:line="259" w:lineRule="auto"/>
            </w:pPr>
            <w:r>
              <w:rPr>
                <w:rFonts w:ascii="Calibri" w:hAnsi="Calibri"/>
                <w:b w:val="0"/>
                <w:i w:val="0"/>
                <w:color w:val="212121"/>
                <w:sz w:val="19"/>
              </w:rPr>
              <w:t>Protein-energy malnutrition impairs cell-mediated immunity and predisposes to recurrent otitis media and its intracranial spread.</w:t>
            </w:r>
          </w:p>
          <w:p>
            <w:pPr>
              <w:spacing w:before="60" w:after="40"/>
            </w:pPr>
            <w:r>
              <w:rPr>
                <w:rFonts w:ascii="Calibri" w:hAnsi="Calibri"/>
                <w:b w:val="0"/>
                <w:i w:val="0"/>
                <w:color w:val="5A5A5A"/>
                <w:sz w:val="18"/>
              </w:rPr>
              <w:t>#malnutrition  #immunity  #recurrentOM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Glycaemic load / uncontrolled diabetic diet</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Chronic hyperglycaemia from high-glycaemic diets impairs neutrophil function and predisposes to pyogenic and fungal (Aspergillus, Cladophialophora) brain abscess.</w:t>
            </w:r>
          </w:p>
          <w:p>
            <w:pPr>
              <w:spacing w:after="40" w:before="60" w:line="259" w:lineRule="auto"/>
            </w:pPr>
            <w:r>
              <w:rPr>
                <w:rFonts w:ascii="Calibri" w:hAnsi="Calibri"/>
                <w:b w:val="0"/>
                <w:i w:val="0"/>
                <w:color w:val="212121"/>
                <w:sz w:val="19"/>
              </w:rPr>
              <w:t>Fungal isolates accounted for about 1.7% of brain abscesses in a South Indian series, typically in diabetic or immunocompromised hosts.</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#diabetes  #hyperglycaemia  #fungalabscess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congenital</w:t>
            </w:r>
          </w:p>
        </w:tc>
        <w:tc>
          <w:tcPr>
            <w:tcW w:type="dxa" w:w="2160"/>
            <w:vAlign w:val="top"/>
          </w:tcPr>
          <w:p>
            <w:pPr>
              <w:spacing w:after="40" w:before="0" w:line="259" w:lineRule="auto"/>
            </w:pPr>
            <w:r>
              <w:rPr>
                <w:rFonts w:ascii="Calibri" w:hAnsi="Calibri"/>
                <w:b w:val="0"/>
                <w:i w:val="0"/>
                <w:color w:val="212121"/>
                <w:sz w:val="19"/>
              </w:rPr>
              <w:t>Children with cyanotic congenital heart disease (e.g., Tetralogy of Fallot)</w:t>
            </w:r>
          </w:p>
        </w:tc>
        <w:tc>
          <w:tcPr>
            <w:tcW w:type="dxa" w:w="4276"/>
            <w:vAlign w:val="top"/>
          </w:tcPr>
          <w:p>
            <w:pPr>
              <w:spacing w:after="60" w:line="259" w:lineRule="auto"/>
            </w:pPr>
            <w:r>
              <w:rPr>
                <w:rFonts w:ascii="Calibri" w:hAnsi="Calibri"/>
                <w:b w:val="0"/>
                <w:i w:val="0"/>
                <w:color w:val="212121"/>
                <w:sz w:val="19"/>
              </w:rPr>
              <w:t>Right-to-left shunting allows venous bacteria to bypass pulmonary filtration; secondary polycythaemia and cerebral hypoxia create a nidus for abscess.</w:t>
            </w:r>
          </w:p>
          <w:p>
            <w:pPr>
              <w:spacing w:after="40" w:before="60" w:line="259" w:lineRule="auto"/>
            </w:pPr>
            <w:r>
              <w:rPr>
                <w:rFonts w:ascii="Calibri" w:hAnsi="Calibri"/>
                <w:b w:val="0"/>
                <w:i w:val="0"/>
                <w:color w:val="212121"/>
                <w:sz w:val="19"/>
              </w:rPr>
              <w:t>5-18.7% of cyanotic-CHD-related cerebral abscesses occur in Tetralogy of Fallot.</w:t>
            </w:r>
          </w:p>
          <w:p>
            <w:pPr>
              <w:spacing w:after="40" w:line="252" w:lineRule="auto"/>
            </w:pPr>
            <w:hyperlink r:id="rId13">
              <w:r>
                <w:rPr>
                  <w:rFonts w:ascii="Calibri" w:hAnsi="Calibri" w:cs="Calibri"/>
                  <w:sz w:val="18"/>
                  <w:color w:val="1155CC"/>
                  <w:u w:val="single"/>
                </w:rPr>
                <w:t xml:space="preserve">J Med Case Reports - TOF with cerebral abscess</w:t>
              </w:r>
            </w:hyperlink>
          </w:p>
          <w:p>
            <w:pPr>
              <w:spacing w:before="60" w:after="40"/>
            </w:pPr>
            <w:r>
              <w:rPr>
                <w:rFonts w:ascii="Calibri" w:hAnsi="Calibri"/>
                <w:b w:val="0"/>
                <w:i w:val="0"/>
                <w:color w:val="5A5A5A"/>
                <w:sz w:val="18"/>
              </w:rPr>
              <w:t>#TetralogyOfFallot  #cyanoticCHD  #paradoxicalembolism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Hereditary vascular malformation</w:t>
            </w:r>
          </w:p>
        </w:tc>
        <w:tc>
          <w:tcPr>
            <w:tcW w:type="dxa" w:w="2160"/>
            <w:vAlign w:val="top"/>
          </w:tcPr>
          <w:p>
            <w:pPr>
              <w:spacing w:after="40" w:before="0" w:line="259" w:lineRule="auto"/>
            </w:pPr>
            <w:r>
              <w:rPr>
                <w:rFonts w:ascii="Calibri" w:hAnsi="Calibri"/>
                <w:b w:val="0"/>
                <w:i w:val="0"/>
                <w:color w:val="212121"/>
                <w:sz w:val="19"/>
              </w:rPr>
              <w:t>Hereditary haemorrhagic telangiectasia (Osler-Weber-Rendu) with pulmonary AVMs</w:t>
            </w:r>
          </w:p>
        </w:tc>
        <w:tc>
          <w:tcPr>
            <w:tcW w:type="dxa" w:w="4276"/>
            <w:vAlign w:val="top"/>
          </w:tcPr>
          <w:p>
            <w:pPr>
              <w:spacing w:after="60" w:line="259" w:lineRule="auto"/>
            </w:pPr>
            <w:r>
              <w:rPr>
                <w:rFonts w:ascii="Calibri" w:hAnsi="Calibri"/>
                <w:b w:val="0"/>
                <w:i w:val="0"/>
                <w:color w:val="212121"/>
                <w:sz w:val="19"/>
              </w:rPr>
              <w:t>Pulmonary arteriovenous malformations provide a right-to-left shunt that permits paradoxical septic emboli to reach the brain.</w:t>
            </w:r>
          </w:p>
          <w:p>
            <w:pPr>
              <w:spacing w:before="60" w:after="40"/>
            </w:pPr>
            <w:r>
              <w:rPr>
                <w:rFonts w:ascii="Calibri" w:hAnsi="Calibri"/>
                <w:b w:val="0"/>
                <w:i w:val="0"/>
                <w:color w:val="5A5A5A"/>
                <w:sz w:val="18"/>
              </w:rPr>
              <w:t>#HHT  #pulmonaryAVM  #paradoxicalemboli</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suppurative otitis media / cholesteatoma</w:t>
            </w:r>
          </w:p>
        </w:tc>
        <w:tc>
          <w:tcPr>
            <w:tcW w:type="dxa" w:w="2160"/>
            <w:vAlign w:val="top"/>
          </w:tcPr>
          <w:p>
            <w:pPr>
              <w:spacing w:after="40" w:before="0" w:line="259" w:lineRule="auto"/>
            </w:pPr>
            <w:r>
              <w:rPr>
                <w:rFonts w:ascii="Calibri" w:hAnsi="Calibri"/>
                <w:b w:val="0"/>
                <w:i w:val="0"/>
                <w:color w:val="212121"/>
                <w:sz w:val="19"/>
              </w:rPr>
              <w:t>Patients with long-standing CSOM</w:t>
            </w:r>
          </w:p>
        </w:tc>
        <w:tc>
          <w:tcPr>
            <w:tcW w:type="dxa" w:w="4276"/>
            <w:vAlign w:val="top"/>
          </w:tcPr>
          <w:p>
            <w:pPr>
              <w:spacing w:after="60" w:line="259" w:lineRule="auto"/>
            </w:pPr>
            <w:r>
              <w:rPr>
                <w:rFonts w:ascii="Calibri" w:hAnsi="Calibri"/>
                <w:b w:val="0"/>
                <w:i w:val="0"/>
                <w:color w:val="212121"/>
                <w:sz w:val="19"/>
              </w:rPr>
              <w:t>Direct erosion through the tegmen tympani or mastoid spreads infection to the temporal lobe and cerebellum - the dominant mechanism of brain abscess in India.</w:t>
            </w:r>
          </w:p>
          <w:p>
            <w:pPr>
              <w:spacing w:after="40" w:before="60" w:line="259" w:lineRule="auto"/>
            </w:pPr>
            <w:r>
              <w:rPr>
                <w:rFonts w:ascii="Calibri" w:hAnsi="Calibri"/>
                <w:b w:val="0"/>
                <w:i w:val="0"/>
                <w:color w:val="212121"/>
                <w:sz w:val="19"/>
              </w:rPr>
              <w:t>Otogenic infection accounts for about 39% of brain abscesses in South Indian series.</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#CSOM  #otogenic  #cerebellarabscess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Paranasal sinusitis / dental sepsis</w:t>
            </w:r>
          </w:p>
        </w:tc>
        <w:tc>
          <w:tcPr>
            <w:tcW w:type="dxa" w:w="2160"/>
            <w:vAlign w:val="top"/>
          </w:tcPr>
          <w:p>
            <w:pPr>
              <w:spacing w:after="40" w:before="0" w:line="259" w:lineRule="auto"/>
            </w:pPr>
            <w:r>
              <w:rPr>
                <w:rFonts w:ascii="Calibri" w:hAnsi="Calibri"/>
                <w:b w:val="0"/>
                <w:i w:val="0"/>
                <w:color w:val="212121"/>
                <w:sz w:val="19"/>
              </w:rPr>
              <w:t>Patients with chronic frontal sinusitis or dental abscess</w:t>
            </w:r>
          </w:p>
        </w:tc>
        <w:tc>
          <w:tcPr>
            <w:tcW w:type="dxa" w:w="4276"/>
            <w:vAlign w:val="top"/>
          </w:tcPr>
          <w:p>
            <w:pPr>
              <w:spacing w:after="60" w:line="259" w:lineRule="auto"/>
            </w:pPr>
            <w:r>
              <w:rPr>
                <w:rFonts w:ascii="Calibri" w:hAnsi="Calibri"/>
                <w:b w:val="0"/>
                <w:i w:val="0"/>
                <w:color w:val="212121"/>
                <w:sz w:val="19"/>
              </w:rPr>
              <w:t>Contiguous spread from the frontal or ethmoid sinuses or from an odontogenic infection seeds the frontal lobe.</w:t>
            </w:r>
          </w:p>
          <w:p>
            <w:pPr>
              <w:spacing w:after="40" w:before="60" w:line="259" w:lineRule="auto"/>
            </w:pPr>
            <w:r>
              <w:rPr>
                <w:rFonts w:ascii="Calibri" w:hAnsi="Calibri"/>
                <w:b w:val="0"/>
                <w:i w:val="0"/>
                <w:color w:val="212121"/>
                <w:sz w:val="19"/>
              </w:rPr>
              <w:t>Paranasal sinus infection underlies 30-50% of abscesses in Western series.</w:t>
            </w:r>
          </w:p>
          <w:p>
            <w:pPr>
              <w:spacing w:after="40" w:line="252" w:lineRule="auto"/>
            </w:pPr>
            <w:hyperlink r:id="rId10">
              <w:r>
                <w:rPr>
                  <w:rFonts w:ascii="Calibri" w:hAnsi="Calibri" w:cs="Calibri"/>
                  <w:sz w:val="18"/>
                  <w:color w:val="1155CC"/>
                  <w:u w:val="single"/>
                </w:rPr>
                <w:t xml:space="preserve">ncbi.nlm.nih.gov - StatPearls Brain Abscess</w:t>
              </w:r>
            </w:hyperlink>
          </w:p>
          <w:p>
            <w:pPr>
              <w:spacing w:before="60" w:after="40"/>
            </w:pPr>
            <w:r>
              <w:rPr>
                <w:rFonts w:ascii="Calibri" w:hAnsi="Calibri"/>
                <w:b w:val="0"/>
                <w:i w:val="0"/>
                <w:color w:val="5A5A5A"/>
                <w:sz w:val="18"/>
              </w:rPr>
              <w:t>#sinusitis  #frontallobe  #dentalsepsis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(HIV, transplant, steroids)</w:t>
            </w:r>
          </w:p>
        </w:tc>
        <w:tc>
          <w:tcPr>
            <w:tcW w:type="dxa" w:w="2160"/>
            <w:vAlign w:val="top"/>
          </w:tcPr>
          <w:p>
            <w:pPr>
              <w:spacing w:after="40" w:before="0" w:line="259" w:lineRule="auto"/>
            </w:pPr>
            <w:r>
              <w:rPr>
                <w:rFonts w:ascii="Calibri" w:hAnsi="Calibri"/>
                <w:b w:val="0"/>
                <w:i w:val="0"/>
                <w:color w:val="212121"/>
                <w:sz w:val="19"/>
              </w:rPr>
              <w:t>Immunocompromised patients</w:t>
            </w:r>
          </w:p>
        </w:tc>
        <w:tc>
          <w:tcPr>
            <w:tcW w:type="dxa" w:w="4276"/>
            <w:vAlign w:val="top"/>
          </w:tcPr>
          <w:p>
            <w:pPr>
              <w:spacing w:after="60" w:line="259" w:lineRule="auto"/>
            </w:pPr>
            <w:r>
              <w:rPr>
                <w:rFonts w:ascii="Calibri" w:hAnsi="Calibri"/>
                <w:b w:val="0"/>
                <w:i w:val="0"/>
                <w:color w:val="212121"/>
                <w:sz w:val="19"/>
              </w:rPr>
              <w:t>Impaired immunity predisposes to opportunistic abscesses - Toxoplasma, Nocardia, tuberculous and fungal - which are often multiple and atypical in presentation.</w:t>
            </w:r>
          </w:p>
          <w:p>
            <w:pPr>
              <w:spacing w:after="40" w:before="60" w:line="259" w:lineRule="auto"/>
            </w:pPr>
            <w:r>
              <w:rPr>
                <w:rFonts w:ascii="Calibri" w:hAnsi="Calibri"/>
                <w:b w:val="0"/>
                <w:i w:val="0"/>
                <w:color w:val="212121"/>
                <w:sz w:val="19"/>
              </w:rPr>
              <w:t>Tuberculous abscesses formed about 2.2% and fungal about 1.7% of a South Indian series.</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#HIV  #immunocompromised  #opportunistic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Hematogenous sepsis / endocarditis / lung suppuration</w:t>
            </w:r>
          </w:p>
        </w:tc>
        <w:tc>
          <w:tcPr>
            <w:tcW w:type="dxa" w:w="2160"/>
            <w:vAlign w:val="top"/>
          </w:tcPr>
          <w:p>
            <w:pPr>
              <w:spacing w:after="40" w:before="0" w:line="259" w:lineRule="auto"/>
            </w:pPr>
            <w:r>
              <w:rPr>
                <w:rFonts w:ascii="Calibri" w:hAnsi="Calibri"/>
                <w:b w:val="0"/>
                <w:i w:val="0"/>
                <w:color w:val="212121"/>
                <w:sz w:val="19"/>
              </w:rPr>
              <w:t>Patients with bacterial endocarditis, bronchiectasis or lung abscess</w:t>
            </w:r>
          </w:p>
        </w:tc>
        <w:tc>
          <w:tcPr>
            <w:tcW w:type="dxa" w:w="4276"/>
            <w:vAlign w:val="top"/>
          </w:tcPr>
          <w:p>
            <w:pPr>
              <w:spacing w:after="60" w:line="259" w:lineRule="auto"/>
            </w:pPr>
            <w:r>
              <w:rPr>
                <w:rFonts w:ascii="Calibri" w:hAnsi="Calibri"/>
                <w:b w:val="0"/>
                <w:i w:val="0"/>
                <w:color w:val="212121"/>
                <w:sz w:val="19"/>
              </w:rPr>
              <w:t>Bacteraemia from a distant suppurative focus lodges at the grey-white junction, classically causing multiple abscesses in the middle cerebral artery territory.</w:t>
            </w:r>
          </w:p>
          <w:p>
            <w:pPr>
              <w:spacing w:after="40" w:before="60" w:line="259" w:lineRule="auto"/>
            </w:pPr>
            <w:r>
              <w:rPr>
                <w:rFonts w:ascii="Calibri" w:hAnsi="Calibri"/>
                <w:b w:val="0"/>
                <w:i w:val="0"/>
                <w:color w:val="212121"/>
                <w:sz w:val="19"/>
              </w:rPr>
              <w:t>Hematogenous or septic sources accounted for about 10.9% of cases in South India.</w:t>
            </w:r>
          </w:p>
          <w:p>
            <w:pPr>
              <w:spacing w:after="40" w:line="252" w:lineRule="auto"/>
            </w:pPr>
            <w:hyperlink r:id="rId9">
              <w:r>
                <w:rPr>
                  <w:rFonts w:ascii="Calibri" w:hAnsi="Calibri" w:cs="Calibri"/>
                  <w:sz w:val="18"/>
                  <w:color w:val="1155CC"/>
                  <w:u w:val="single"/>
                </w:rPr>
                <w:t xml:space="preserve">academia.edu - 24-year South India brain abscess series</w:t>
              </w:r>
            </w:hyperlink>
          </w:p>
          <w:p>
            <w:pPr>
              <w:spacing w:before="60" w:after="40"/>
            </w:pPr>
            <w:r>
              <w:rPr>
                <w:rFonts w:ascii="Calibri" w:hAnsi="Calibri"/>
                <w:b w:val="0"/>
                <w:i w:val="0"/>
                <w:color w:val="5A5A5A"/>
                <w:sz w:val="18"/>
              </w:rPr>
              <w:t>#hematogenous  #endocarditis  #multipleabscess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abscess formation; general fitness supports immune competence and post-operative neuro-rehabilitation.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Nutritional status and glycaemic control matter: malnutrition and uncontrolled diabetes impair immunity and raise the risk of pyogenic and fungal abscess.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sleep supports immune defence; chronic sleep deprivation may impair the host response to infection, though evidence specific to brain abscess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promotes chronic sinusitis and periodontal disease and impairs mucociliary clearance, indirectly increasing contiguous sources of abscess.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excess predisposes to aspiration pneumonia, immune suppression and poor dental hygiene - all indirect routes to hematogenous or odontogenic abscess.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neuropsychiatric sequelae (cognitive impairment, mood disturbance, epilepsy-related distress) are common after recovery and need support.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of hydration in the pathogenesis of brain abscess.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brain abscess.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 sinus, dental and wound hygiene are pivotal: untreated chronic ear discharge and dental sepsis are leading contiguous sources, so their prompt treatment sharply reduces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Antecedent otogenic, rhinogenic or dental infection, penetrating head trauma and neurosurgical procedures are the principal events that provoke abscess formation.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Duration of chronic ear discharge (otorrhoea)</w:t>
            </w:r>
          </w:p>
        </w:tc>
        <w:tc>
          <w:tcPr>
            <w:tcW w:type="dxa" w:w="1655"/>
            <w:vAlign w:val="top"/>
          </w:tcPr>
          <w:p>
            <w:pPr>
              <w:spacing w:after="40" w:before="0" w:line="259" w:lineRule="auto"/>
            </w:pPr>
            <w:r>
              <w:rPr>
                <w:rFonts w:ascii="Calibri" w:hAnsi="Calibri"/>
                <w:b w:val="0"/>
                <w:i w:val="0"/>
                <w:color w:val="212121"/>
                <w:sz w:val="19"/>
              </w:rPr>
              <w:t>CSOM patients</w:t>
            </w:r>
          </w:p>
        </w:tc>
        <w:tc>
          <w:tcPr>
            <w:tcW w:type="dxa" w:w="1512"/>
            <w:vAlign w:val="top"/>
          </w:tcPr>
          <w:p>
            <w:pPr>
              <w:spacing w:after="40" w:before="0" w:line="259" w:lineRule="auto"/>
            </w:pPr>
            <w:r>
              <w:rPr>
                <w:rFonts w:ascii="Calibri" w:hAnsi="Calibri"/>
                <w:b w:val="0"/>
                <w:i w:val="0"/>
                <w:color w:val="212121"/>
                <w:sz w:val="19"/>
              </w:rPr>
              <w:t>No discharge / promptly treated</w:t>
            </w:r>
          </w:p>
        </w:tc>
        <w:tc>
          <w:tcPr>
            <w:tcW w:type="dxa" w:w="1512"/>
            <w:vAlign w:val="top"/>
          </w:tcPr>
          <w:p>
            <w:pPr>
              <w:spacing w:after="40" w:before="0" w:line="259" w:lineRule="auto"/>
            </w:pPr>
            <w:r>
              <w:rPr>
                <w:rFonts w:ascii="Calibri" w:hAnsi="Calibri"/>
                <w:b w:val="0"/>
                <w:i w:val="0"/>
                <w:color w:val="212121"/>
                <w:sz w:val="19"/>
              </w:rPr>
              <w:t>Persistent or recurrent otorrhoea; cholesteatoma</w:t>
            </w:r>
          </w:p>
        </w:tc>
        <w:tc>
          <w:tcPr>
            <w:tcW w:type="dxa" w:w="1468"/>
            <w:vAlign w:val="top"/>
          </w:tcPr>
          <w:p>
            <w:pPr>
              <w:spacing w:after="60" w:line="259" w:lineRule="auto"/>
            </w:pPr>
            <w:r>
              <w:rPr>
                <w:rFonts w:ascii="Calibri" w:hAnsi="Calibri"/>
                <w:b w:val="0"/>
                <w:i w:val="0"/>
                <w:color w:val="212121"/>
                <w:sz w:val="19"/>
              </w:rPr>
              <w:t>Leading otogenic route to abscess in India</w:t>
            </w:r>
          </w:p>
          <w:p>
            <w:pPr>
              <w:spacing w:after="40" w:line="252" w:lineRule="auto"/>
            </w:pPr>
            <w:hyperlink r:id="rId9">
              <w:r>
                <w:rPr>
                  <w:rFonts w:ascii="Calibri" w:hAnsi="Calibri" w:cs="Calibri"/>
                  <w:sz w:val="18"/>
                  <w:color w:val="1155CC"/>
                  <w:u w:val="single"/>
                </w:rPr>
                <w:t xml:space="preserve">https://www.academia.edu/60761997/Microbiological_Spectrum_of_Brain_Abscess_at_a_Tertiary_Care_Hospital_in_South_India_24_Year_Data_and_Review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Oral / dental hygiene status</w:t>
            </w:r>
          </w:p>
        </w:tc>
        <w:tc>
          <w:tcPr>
            <w:tcW w:type="dxa" w:w="1655"/>
            <w:vAlign w:val="top"/>
          </w:tcPr>
          <w:p>
            <w:pPr>
              <w:spacing w:after="40" w:before="0" w:line="259" w:lineRule="auto"/>
            </w:pPr>
            <w:r>
              <w:rPr>
                <w:rFonts w:ascii="Calibri" w:hAnsi="Calibri"/>
                <w:b w:val="0"/>
                <w:i w:val="0"/>
                <w:color w:val="212121"/>
                <w:sz w:val="19"/>
              </w:rPr>
              <w:t>Adults with dental sepsis</w:t>
            </w:r>
          </w:p>
        </w:tc>
        <w:tc>
          <w:tcPr>
            <w:tcW w:type="dxa" w:w="1512"/>
            <w:vAlign w:val="top"/>
          </w:tcPr>
          <w:p>
            <w:pPr>
              <w:spacing w:after="40" w:before="0" w:line="259" w:lineRule="auto"/>
            </w:pPr>
            <w:r>
              <w:rPr>
                <w:rFonts w:ascii="Calibri" w:hAnsi="Calibri"/>
                <w:b w:val="0"/>
                <w:i w:val="0"/>
                <w:color w:val="212121"/>
                <w:sz w:val="19"/>
              </w:rPr>
              <w:t>Good; regular dental care</w:t>
            </w:r>
          </w:p>
        </w:tc>
        <w:tc>
          <w:tcPr>
            <w:tcW w:type="dxa" w:w="1512"/>
            <w:vAlign w:val="top"/>
          </w:tcPr>
          <w:p>
            <w:pPr>
              <w:spacing w:after="40" w:before="0" w:line="259" w:lineRule="auto"/>
            </w:pPr>
            <w:r>
              <w:rPr>
                <w:rFonts w:ascii="Calibri" w:hAnsi="Calibri"/>
                <w:b w:val="0"/>
                <w:i w:val="0"/>
                <w:color w:val="212121"/>
                <w:sz w:val="19"/>
              </w:rPr>
              <w:t>Untreated dental abscess or periodontitis</w:t>
            </w:r>
          </w:p>
        </w:tc>
        <w:tc>
          <w:tcPr>
            <w:tcW w:type="dxa" w:w="1468"/>
            <w:vAlign w:val="top"/>
          </w:tcPr>
          <w:p>
            <w:pPr>
              <w:spacing w:after="40" w:before="0" w:line="259" w:lineRule="auto"/>
            </w:pPr>
            <w:r>
              <w:rPr>
                <w:rFonts w:ascii="Calibri" w:hAnsi="Calibri"/>
                <w:b w:val="0"/>
                <w:i w:val="0"/>
                <w:color w:val="212121"/>
                <w:sz w:val="19"/>
              </w:rPr>
              <w:t>Odontogenic frontal-lobe source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Antecedent infection or head injury</w:t>
            </w:r>
          </w:p>
        </w:tc>
        <w:tc>
          <w:tcPr>
            <w:tcW w:type="dxa" w:w="1655"/>
            <w:vAlign w:val="top"/>
          </w:tcPr>
          <w:p>
            <w:pPr>
              <w:spacing w:after="40" w:before="0" w:line="259" w:lineRule="auto"/>
            </w:pPr>
            <w:r>
              <w:rPr>
                <w:rFonts w:ascii="Calibri" w:hAnsi="Calibri"/>
                <w:b w:val="0"/>
                <w:i w:val="0"/>
                <w:color w:val="212121"/>
                <w:sz w:val="19"/>
              </w:rPr>
              <w:t>All at-risk</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Active otitis/sinusitis/dental focus, penetrating trauma, recent neurosurgery</w:t>
            </w:r>
          </w:p>
        </w:tc>
        <w:tc>
          <w:tcPr>
            <w:tcW w:type="dxa" w:w="1468"/>
            <w:vAlign w:val="top"/>
          </w:tcPr>
          <w:p>
            <w:pPr>
              <w:spacing w:after="40" w:before="0" w:line="259" w:lineRule="auto"/>
            </w:pPr>
            <w:r>
              <w:rPr>
                <w:rFonts w:ascii="Calibri" w:hAnsi="Calibri"/>
                <w:b w:val="0"/>
                <w:i w:val="0"/>
                <w:color w:val="212121"/>
                <w:sz w:val="19"/>
              </w:rPr>
              <w:t>Principal provoking events preceding abscess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 7%</w:t>
            </w:r>
          </w:p>
        </w:tc>
        <w:tc>
          <w:tcPr>
            <w:tcW w:type="dxa" w:w="1512"/>
            <w:vAlign w:val="top"/>
          </w:tcPr>
          <w:p>
            <w:pPr>
              <w:spacing w:after="40" w:before="0" w:line="259" w:lineRule="auto"/>
            </w:pPr>
            <w:r>
              <w:rPr>
                <w:rFonts w:ascii="Calibri" w:hAnsi="Calibri"/>
                <w:b w:val="0"/>
                <w:i w:val="0"/>
                <w:color w:val="212121"/>
                <w:sz w:val="19"/>
              </w:rPr>
              <w:t>&gt;= 8% (poor control)</w:t>
            </w:r>
          </w:p>
        </w:tc>
        <w:tc>
          <w:tcPr>
            <w:tcW w:type="dxa" w:w="1468"/>
            <w:vAlign w:val="top"/>
          </w:tcPr>
          <w:p>
            <w:pPr>
              <w:spacing w:after="60" w:line="259" w:lineRule="auto"/>
            </w:pPr>
            <w:r>
              <w:rPr>
                <w:rFonts w:ascii="Calibri" w:hAnsi="Calibri"/>
                <w:b w:val="0"/>
                <w:i w:val="0"/>
                <w:color w:val="212121"/>
                <w:sz w:val="19"/>
              </w:rPr>
              <w:t>Poor control predisposes to pyogenic and fungal abscess</w:t>
            </w:r>
          </w:p>
          <w:p>
            <w:pPr>
              <w:spacing w:after="40" w:line="252" w:lineRule="auto"/>
            </w:pPr>
            <w:hyperlink r:id="rId9">
              <w:r>
                <w:rPr>
                  <w:rFonts w:ascii="Calibri" w:hAnsi="Calibri" w:cs="Calibri"/>
                  <w:sz w:val="18"/>
                  <w:color w:val="1155CC"/>
                  <w:u w:val="single"/>
                </w:rPr>
                <w:t xml:space="preserve">https://www.academia.edu/60761997/Microbiological_Spectrum_of_Brain_Abscess_at_a_Tertiary_Care_Hospital_in_South_India_24_Year_Data_and_Review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Nutritional status (BMI / weight-for-age)</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Age-appropriate normal</w:t>
            </w:r>
          </w:p>
        </w:tc>
        <w:tc>
          <w:tcPr>
            <w:tcW w:type="dxa" w:w="1512"/>
            <w:vAlign w:val="top"/>
          </w:tcPr>
          <w:p>
            <w:pPr>
              <w:spacing w:after="40" w:before="0" w:line="259" w:lineRule="auto"/>
            </w:pPr>
            <w:r>
              <w:rPr>
                <w:rFonts w:ascii="Calibri" w:hAnsi="Calibri"/>
                <w:b w:val="0"/>
                <w:i w:val="0"/>
                <w:color w:val="212121"/>
                <w:sz w:val="19"/>
              </w:rPr>
              <w:t>Undernutrition / low BMI</w:t>
            </w:r>
          </w:p>
        </w:tc>
        <w:tc>
          <w:tcPr>
            <w:tcW w:type="dxa" w:w="1468"/>
            <w:vAlign w:val="top"/>
          </w:tcPr>
          <w:p>
            <w:pPr>
              <w:spacing w:after="40" w:before="0" w:line="259" w:lineRule="auto"/>
            </w:pPr>
            <w:r>
              <w:rPr>
                <w:rFonts w:ascii="Calibri" w:hAnsi="Calibri"/>
                <w:b w:val="0"/>
                <w:i w:val="0"/>
                <w:color w:val="212121"/>
                <w:sz w:val="19"/>
              </w:rPr>
              <w:t>Impaired immunity, recurrent otitis media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Chronic sinusitis and impaired mucociliary clearance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light</w:t>
            </w:r>
          </w:p>
        </w:tc>
        <w:tc>
          <w:tcPr>
            <w:tcW w:type="dxa" w:w="1512"/>
            <w:vAlign w:val="top"/>
          </w:tcPr>
          <w:p>
            <w:pPr>
              <w:spacing w:after="40" w:before="0" w:line="259" w:lineRule="auto"/>
            </w:pPr>
            <w:r>
              <w:rPr>
                <w:rFonts w:ascii="Calibri" w:hAnsi="Calibri"/>
                <w:b w:val="0"/>
                <w:i w:val="0"/>
                <w:color w:val="212121"/>
                <w:sz w:val="19"/>
              </w:rPr>
              <w:t>Heavy use / dependence</w:t>
            </w:r>
          </w:p>
        </w:tc>
        <w:tc>
          <w:tcPr>
            <w:tcW w:type="dxa" w:w="1468"/>
            <w:vAlign w:val="top"/>
          </w:tcPr>
          <w:p>
            <w:pPr>
              <w:spacing w:after="40" w:before="0" w:line="259" w:lineRule="auto"/>
            </w:pPr>
            <w:r>
              <w:rPr>
                <w:rFonts w:ascii="Calibri" w:hAnsi="Calibri"/>
                <w:b w:val="0"/>
                <w:i w:val="0"/>
                <w:color w:val="212121"/>
                <w:sz w:val="19"/>
              </w:rPr>
              <w:t>Aspiration and immunosuppression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Oxygen saturation / haematocrit (cyanotic CHD)</w:t>
            </w:r>
          </w:p>
        </w:tc>
        <w:tc>
          <w:tcPr>
            <w:tcW w:type="dxa" w:w="1655"/>
            <w:vAlign w:val="top"/>
          </w:tcPr>
          <w:p>
            <w:pPr>
              <w:spacing w:after="40" w:before="0" w:line="259" w:lineRule="auto"/>
            </w:pPr>
            <w:r>
              <w:rPr>
                <w:rFonts w:ascii="Calibri" w:hAnsi="Calibri"/>
                <w:b w:val="0"/>
                <w:i w:val="0"/>
                <w:color w:val="212121"/>
                <w:sz w:val="19"/>
              </w:rPr>
              <w:t>Cyanotic CHD patients</w:t>
            </w:r>
          </w:p>
        </w:tc>
        <w:tc>
          <w:tcPr>
            <w:tcW w:type="dxa" w:w="1512"/>
            <w:vAlign w:val="top"/>
          </w:tcPr>
          <w:p>
            <w:pPr>
              <w:spacing w:after="40" w:before="0" w:line="259" w:lineRule="auto"/>
            </w:pPr>
            <w:r>
              <w:rPr>
                <w:rFonts w:ascii="Calibri" w:hAnsi="Calibri"/>
                <w:b w:val="0"/>
                <w:i w:val="0"/>
                <w:color w:val="212121"/>
                <w:sz w:val="19"/>
              </w:rPr>
              <w:t>Corrected shunt; normal SpO2</w:t>
            </w:r>
          </w:p>
        </w:tc>
        <w:tc>
          <w:tcPr>
            <w:tcW w:type="dxa" w:w="1512"/>
            <w:vAlign w:val="top"/>
          </w:tcPr>
          <w:p>
            <w:pPr>
              <w:spacing w:after="40" w:before="0" w:line="259" w:lineRule="auto"/>
            </w:pPr>
            <w:r>
              <w:rPr>
                <w:rFonts w:ascii="Calibri" w:hAnsi="Calibri"/>
                <w:b w:val="0"/>
                <w:i w:val="0"/>
                <w:color w:val="212121"/>
                <w:sz w:val="19"/>
              </w:rPr>
              <w:t>Chronic hypoxaemia; secondary polycythaemia (PCV &gt; 55%)</w:t>
            </w:r>
          </w:p>
        </w:tc>
        <w:tc>
          <w:tcPr>
            <w:tcW w:type="dxa" w:w="1468"/>
            <w:vAlign w:val="top"/>
          </w:tcPr>
          <w:p>
            <w:pPr>
              <w:spacing w:after="60" w:line="259" w:lineRule="auto"/>
            </w:pPr>
            <w:r>
              <w:rPr>
                <w:rFonts w:ascii="Calibri" w:hAnsi="Calibri"/>
                <w:b w:val="0"/>
                <w:i w:val="0"/>
                <w:color w:val="212121"/>
                <w:sz w:val="19"/>
              </w:rPr>
              <w:t>Right-to-left shunt enables cerebral seeding</w:t>
            </w:r>
          </w:p>
          <w:p>
            <w:pPr>
              <w:spacing w:after="40" w:line="252" w:lineRule="auto"/>
            </w:pPr>
            <w:hyperlink r:id="rId13">
              <w:r>
                <w:rPr>
                  <w:rFonts w:ascii="Calibri" w:hAnsi="Calibri" w:cs="Calibri"/>
                  <w:sz w:val="18"/>
                  <w:color w:val="1155CC"/>
                  <w:u w:val="single"/>
                </w:rPr>
                <w:t xml:space="preserve">https://jmedicalcasereports.biomedcentral.com/articles/10.1186/s13256-024-04451-0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Ring-enhancing lesion + central restricted diffusion</w:t>
            </w:r>
          </w:p>
        </w:tc>
        <w:tc>
          <w:tcPr>
            <w:tcW w:type="dxa" w:w="892"/>
            <w:vAlign w:val="top"/>
          </w:tcPr>
          <w:p>
            <w:pPr>
              <w:spacing w:after="40" w:before="0" w:line="259" w:lineRule="auto"/>
            </w:pPr>
            <w:r>
              <w:rPr>
                <w:rFonts w:ascii="Calibri" w:hAnsi="Calibri"/>
                <w:b w:val="0"/>
                <w:i w:val="0"/>
                <w:color w:val="212121"/>
                <w:sz w:val="16"/>
              </w:rPr>
              <w:t>Contrast MRI brain with DWI</w:t>
            </w:r>
          </w:p>
        </w:tc>
        <w:tc>
          <w:tcPr>
            <w:tcW w:type="dxa" w:w="950"/>
            <w:vAlign w:val="top"/>
          </w:tcPr>
          <w:p>
            <w:pPr>
              <w:spacing w:after="40" w:before="0" w:line="259" w:lineRule="auto"/>
            </w:pPr>
            <w:r>
              <w:rPr>
                <w:rFonts w:ascii="Calibri" w:hAnsi="Calibri"/>
                <w:b w:val="0"/>
                <w:i w:val="0"/>
                <w:color w:val="212121"/>
                <w:sz w:val="16"/>
              </w:rPr>
              <w:t>No focal lesion; no restricted diffusion</w:t>
            </w:r>
          </w:p>
        </w:tc>
        <w:tc>
          <w:tcPr>
            <w:tcW w:type="dxa" w:w="950"/>
            <w:vAlign w:val="top"/>
          </w:tcPr>
          <w:p>
            <w:pPr>
              <w:spacing w:after="40" w:before="0" w:line="259" w:lineRule="auto"/>
            </w:pPr>
            <w:r>
              <w:rPr>
                <w:rFonts w:ascii="Calibri" w:hAnsi="Calibri"/>
                <w:b w:val="0"/>
                <w:i w:val="0"/>
                <w:color w:val="212121"/>
                <w:sz w:val="16"/>
              </w:rPr>
              <w:t>Ring-enhancing lesion with central low-ADC signal and perilesional oedema</w:t>
            </w:r>
          </w:p>
        </w:tc>
        <w:tc>
          <w:tcPr>
            <w:tcW w:type="dxa" w:w="1036"/>
            <w:vAlign w:val="top"/>
          </w:tcPr>
          <w:p>
            <w:pPr>
              <w:spacing w:after="40" w:before="0" w:line="259" w:lineRule="auto"/>
            </w:pPr>
            <w:r>
              <w:rPr>
                <w:rFonts w:ascii="Calibri" w:hAnsi="Calibri"/>
                <w:b w:val="0"/>
                <w:i w:val="0"/>
                <w:color w:val="212121"/>
                <w:sz w:val="16"/>
              </w:rPr>
              <w:t>Central diffusion restriction distinguishes a pyogenic abscess from a necrotic tumour</w:t>
            </w:r>
          </w:p>
        </w:tc>
        <w:tc>
          <w:tcPr>
            <w:tcW w:type="dxa" w:w="1036"/>
            <w:vAlign w:val="top"/>
          </w:tcPr>
          <w:p>
            <w:pPr>
              <w:spacing w:after="40" w:before="0" w:line="259" w:lineRule="auto"/>
            </w:pPr>
            <w:r>
              <w:rPr>
                <w:rFonts w:ascii="Calibri" w:hAnsi="Calibri"/>
                <w:b w:val="0"/>
                <w:i w:val="0"/>
                <w:color w:val="212121"/>
                <w:sz w:val="16"/>
              </w:rPr>
              <w:t>Suspected intracranial infection, CSOM, immunocompromised</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MRI preferred; DWI/ADC is the key sequence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Ring-enhancing hypodense lesion</w:t>
            </w:r>
          </w:p>
        </w:tc>
        <w:tc>
          <w:tcPr>
            <w:tcW w:type="dxa" w:w="892"/>
            <w:vAlign w:val="top"/>
          </w:tcPr>
          <w:p>
            <w:pPr>
              <w:spacing w:after="40" w:before="0" w:line="259" w:lineRule="auto"/>
            </w:pPr>
            <w:r>
              <w:rPr>
                <w:rFonts w:ascii="Calibri" w:hAnsi="Calibri"/>
                <w:b w:val="0"/>
                <w:i w:val="0"/>
                <w:color w:val="212121"/>
                <w:sz w:val="16"/>
              </w:rPr>
              <w:t>Contrast CT head</w:t>
            </w:r>
          </w:p>
        </w:tc>
        <w:tc>
          <w:tcPr>
            <w:tcW w:type="dxa" w:w="950"/>
            <w:vAlign w:val="top"/>
          </w:tcPr>
          <w:p>
            <w:pPr>
              <w:spacing w:after="40" w:before="0" w:line="259" w:lineRule="auto"/>
            </w:pPr>
            <w:r>
              <w:rPr>
                <w:rFonts w:ascii="Calibri" w:hAnsi="Calibri"/>
                <w:b w:val="0"/>
                <w:i w:val="0"/>
                <w:color w:val="212121"/>
                <w:sz w:val="16"/>
              </w:rPr>
              <w:t>No ring-enhancing lesion</w:t>
            </w:r>
          </w:p>
        </w:tc>
        <w:tc>
          <w:tcPr>
            <w:tcW w:type="dxa" w:w="950"/>
            <w:vAlign w:val="top"/>
          </w:tcPr>
          <w:p>
            <w:pPr>
              <w:spacing w:after="40" w:before="0" w:line="259" w:lineRule="auto"/>
            </w:pPr>
            <w:r>
              <w:rPr>
                <w:rFonts w:ascii="Calibri" w:hAnsi="Calibri"/>
                <w:b w:val="0"/>
                <w:i w:val="0"/>
                <w:color w:val="212121"/>
                <w:sz w:val="16"/>
              </w:rPr>
              <w:t>Hypodense lesion with ring enhancement and mass effect</w:t>
            </w:r>
          </w:p>
        </w:tc>
        <w:tc>
          <w:tcPr>
            <w:tcW w:type="dxa" w:w="1036"/>
            <w:vAlign w:val="top"/>
          </w:tcPr>
          <w:p>
            <w:pPr>
              <w:spacing w:after="40" w:before="0" w:line="259" w:lineRule="auto"/>
            </w:pPr>
            <w:r>
              <w:rPr>
                <w:rFonts w:ascii="Calibri" w:hAnsi="Calibri"/>
                <w:b w:val="0"/>
                <w:i w:val="0"/>
                <w:color w:val="212121"/>
                <w:sz w:val="16"/>
              </w:rPr>
              <w:t>First-line in emergencies; helps stage cerebritis versus capsule and gauge mass effect</w:t>
            </w:r>
          </w:p>
        </w:tc>
        <w:tc>
          <w:tcPr>
            <w:tcW w:type="dxa" w:w="1036"/>
            <w:vAlign w:val="top"/>
          </w:tcPr>
          <w:p>
            <w:pPr>
              <w:spacing w:after="40" w:before="0" w:line="259" w:lineRule="auto"/>
            </w:pPr>
            <w:r>
              <w:rPr>
                <w:rFonts w:ascii="Calibri" w:hAnsi="Calibri"/>
                <w:b w:val="0"/>
                <w:i w:val="0"/>
                <w:color w:val="212121"/>
                <w:sz w:val="16"/>
              </w:rPr>
              <w:t>Acute presentation, head trauma, raised ICP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Faster and more available; guides urgency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Gram stain and aerobic/anaerobic culture</w:t>
            </w:r>
          </w:p>
        </w:tc>
        <w:tc>
          <w:tcPr>
            <w:tcW w:type="dxa" w:w="892"/>
            <w:vAlign w:val="top"/>
          </w:tcPr>
          <w:p>
            <w:pPr>
              <w:spacing w:after="40" w:before="0" w:line="259" w:lineRule="auto"/>
            </w:pPr>
            <w:r>
              <w:rPr>
                <w:rFonts w:ascii="Calibri" w:hAnsi="Calibri"/>
                <w:b w:val="0"/>
                <w:i w:val="0"/>
                <w:color w:val="212121"/>
                <w:sz w:val="16"/>
              </w:rPr>
              <w:t>Stereotactic / CT-guided aspiration of pus</w:t>
            </w:r>
          </w:p>
        </w:tc>
        <w:tc>
          <w:tcPr>
            <w:tcW w:type="dxa" w:w="950"/>
            <w:vAlign w:val="top"/>
          </w:tcPr>
          <w:p>
            <w:pPr>
              <w:spacing w:after="40" w:before="0" w:line="259" w:lineRule="auto"/>
            </w:pPr>
            <w:r>
              <w:rPr>
                <w:rFonts w:ascii="Calibri" w:hAnsi="Calibri"/>
                <w:b w:val="0"/>
                <w:i w:val="0"/>
                <w:color w:val="212121"/>
                <w:sz w:val="16"/>
              </w:rPr>
              <w:t>Sterile</w:t>
            </w:r>
          </w:p>
        </w:tc>
        <w:tc>
          <w:tcPr>
            <w:tcW w:type="dxa" w:w="950"/>
            <w:vAlign w:val="top"/>
          </w:tcPr>
          <w:p>
            <w:pPr>
              <w:spacing w:after="40" w:before="0" w:line="259" w:lineRule="auto"/>
            </w:pPr>
            <w:r>
              <w:rPr>
                <w:rFonts w:ascii="Calibri" w:hAnsi="Calibri"/>
                <w:b w:val="0"/>
                <w:i w:val="0"/>
                <w:color w:val="212121"/>
                <w:sz w:val="16"/>
              </w:rPr>
              <w:t>Organisms on Gram stain or positive culture</w:t>
            </w:r>
          </w:p>
        </w:tc>
        <w:tc>
          <w:tcPr>
            <w:tcW w:type="dxa" w:w="1036"/>
            <w:vAlign w:val="top"/>
          </w:tcPr>
          <w:p>
            <w:pPr>
              <w:spacing w:after="40" w:before="0" w:line="259" w:lineRule="auto"/>
            </w:pPr>
            <w:r>
              <w:rPr>
                <w:rFonts w:ascii="Calibri" w:hAnsi="Calibri"/>
                <w:b w:val="0"/>
                <w:i w:val="0"/>
                <w:color w:val="212121"/>
                <w:sz w:val="16"/>
              </w:rPr>
              <w:t>Identifies the pathogen, guides targeted antibiotics and provides therapeutic drainage</w:t>
            </w:r>
          </w:p>
        </w:tc>
        <w:tc>
          <w:tcPr>
            <w:tcW w:type="dxa" w:w="1036"/>
            <w:vAlign w:val="top"/>
          </w:tcPr>
          <w:p>
            <w:pPr>
              <w:spacing w:after="40" w:before="0" w:line="259" w:lineRule="auto"/>
            </w:pPr>
            <w:r>
              <w:rPr>
                <w:rFonts w:ascii="Calibri" w:hAnsi="Calibri"/>
                <w:b w:val="0"/>
                <w:i w:val="0"/>
                <w:color w:val="212121"/>
                <w:sz w:val="16"/>
              </w:rPr>
              <w:t>All operable abscesses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Send simultaneously for anaerobic, fungal and mycobacterial studies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AFB smear / GeneXpert MTB-RIF; fungal KOH and culture</w:t>
            </w:r>
          </w:p>
        </w:tc>
        <w:tc>
          <w:tcPr>
            <w:tcW w:type="dxa" w:w="892"/>
            <w:vAlign w:val="top"/>
          </w:tcPr>
          <w:p>
            <w:pPr>
              <w:spacing w:after="40" w:before="0" w:line="259" w:lineRule="auto"/>
            </w:pPr>
            <w:r>
              <w:rPr>
                <w:rFonts w:ascii="Calibri" w:hAnsi="Calibri"/>
                <w:b w:val="0"/>
                <w:i w:val="0"/>
                <w:color w:val="212121"/>
                <w:sz w:val="16"/>
              </w:rPr>
              <w:t>Aspirate analysis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AFB or MTB positive, or fungal elements seen</w:t>
            </w:r>
          </w:p>
        </w:tc>
        <w:tc>
          <w:tcPr>
            <w:tcW w:type="dxa" w:w="1036"/>
            <w:vAlign w:val="top"/>
          </w:tcPr>
          <w:p>
            <w:pPr>
              <w:spacing w:after="40" w:before="0" w:line="259" w:lineRule="auto"/>
            </w:pPr>
            <w:r>
              <w:rPr>
                <w:rFonts w:ascii="Calibri" w:hAnsi="Calibri"/>
                <w:b w:val="0"/>
                <w:i w:val="0"/>
                <w:color w:val="212121"/>
                <w:sz w:val="16"/>
              </w:rPr>
              <w:t>Detects tuberculous and fungal abscess, which are India-relevant in diabetics and the immunocompromised</w:t>
            </w:r>
          </w:p>
        </w:tc>
        <w:tc>
          <w:tcPr>
            <w:tcW w:type="dxa" w:w="1036"/>
            <w:vAlign w:val="top"/>
          </w:tcPr>
          <w:p>
            <w:pPr>
              <w:spacing w:after="40" w:before="0" w:line="259" w:lineRule="auto"/>
            </w:pPr>
            <w:r>
              <w:rPr>
                <w:rFonts w:ascii="Calibri" w:hAnsi="Calibri"/>
                <w:b w:val="0"/>
                <w:i w:val="0"/>
                <w:color w:val="212121"/>
                <w:sz w:val="16"/>
              </w:rPr>
              <w:t>Immunocompromised, diabetics, TB-endemic settings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TB ~2.2% and fungal ~1.7% of a South Indian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Hematological</w:t>
            </w:r>
          </w:p>
        </w:tc>
        <w:tc>
          <w:tcPr>
            <w:tcW w:type="dxa" w:w="1036"/>
            <w:vAlign w:val="top"/>
          </w:tcPr>
          <w:p>
            <w:pPr>
              <w:spacing w:after="40" w:before="0" w:line="259" w:lineRule="auto"/>
            </w:pPr>
            <w:r>
              <w:rPr>
                <w:rFonts w:ascii="Calibri" w:hAnsi="Calibri"/>
                <w:b w:val="0"/>
                <w:i w:val="0"/>
                <w:color w:val="212121"/>
                <w:sz w:val="16"/>
              </w:rPr>
              <w:t>Total leukocyte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/uL</w:t>
            </w:r>
          </w:p>
        </w:tc>
        <w:tc>
          <w:tcPr>
            <w:tcW w:type="dxa" w:w="950"/>
            <w:vAlign w:val="top"/>
          </w:tcPr>
          <w:p>
            <w:pPr>
              <w:spacing w:after="40" w:before="0" w:line="259" w:lineRule="auto"/>
            </w:pPr>
            <w:r>
              <w:rPr>
                <w:rFonts w:ascii="Calibri" w:hAnsi="Calibri"/>
                <w:b w:val="0"/>
                <w:i w:val="0"/>
                <w:color w:val="212121"/>
                <w:sz w:val="16"/>
              </w:rPr>
              <w:t>Neutrophilic leukocytosis</w:t>
            </w:r>
          </w:p>
        </w:tc>
        <w:tc>
          <w:tcPr>
            <w:tcW w:type="dxa" w:w="1036"/>
            <w:vAlign w:val="top"/>
          </w:tcPr>
          <w:p>
            <w:pPr>
              <w:spacing w:after="40" w:before="0" w:line="259" w:lineRule="auto"/>
            </w:pPr>
            <w:r>
              <w:rPr>
                <w:rFonts w:ascii="Calibri" w:hAnsi="Calibri"/>
                <w:b w:val="0"/>
                <w:i w:val="0"/>
                <w:color w:val="212121"/>
                <w:sz w:val="16"/>
              </w:rPr>
              <w:t>Supports infection but may be normal in the encapsulated stage</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ESR &lt; 20 mm/hr</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but useful to track response to treatment</w:t>
            </w:r>
          </w:p>
        </w:tc>
        <w:tc>
          <w:tcPr>
            <w:tcW w:type="dxa" w:w="1036"/>
            <w:vAlign w:val="top"/>
          </w:tcPr>
          <w:p>
            <w:pPr>
              <w:spacing w:after="40" w:before="0" w:line="259" w:lineRule="auto"/>
            </w:pPr>
            <w:r>
              <w:rPr>
                <w:rFonts w:ascii="Calibri" w:hAnsi="Calibri"/>
                <w:b w:val="0"/>
                <w:i w:val="0"/>
                <w:color w:val="212121"/>
                <w:sz w:val="16"/>
              </w:rPr>
              <w:t>All cases; monitoring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Serial trend more useful than single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Blood culture</w:t>
            </w:r>
          </w:p>
        </w:tc>
        <w:tc>
          <w:tcPr>
            <w:tcW w:type="dxa" w:w="892"/>
            <w:vAlign w:val="top"/>
          </w:tcPr>
          <w:p>
            <w:pPr>
              <w:spacing w:after="40" w:before="0" w:line="259" w:lineRule="auto"/>
            </w:pPr>
            <w:r>
              <w:rPr>
                <w:rFonts w:ascii="Calibri" w:hAnsi="Calibri"/>
                <w:b w:val="0"/>
                <w:i w:val="0"/>
                <w:color w:val="212121"/>
                <w:sz w:val="16"/>
              </w:rPr>
              <w:t>Two sets of blood cultures</w:t>
            </w:r>
          </w:p>
        </w:tc>
        <w:tc>
          <w:tcPr>
            <w:tcW w:type="dxa" w:w="950"/>
            <w:vAlign w:val="top"/>
          </w:tcPr>
          <w:p>
            <w:pPr>
              <w:spacing w:after="40" w:before="0" w:line="259" w:lineRule="auto"/>
            </w:pPr>
            <w:r>
              <w:rPr>
                <w:rFonts w:ascii="Calibri" w:hAnsi="Calibri"/>
                <w:b w:val="0"/>
                <w:i w:val="0"/>
                <w:color w:val="212121"/>
                <w:sz w:val="16"/>
              </w:rPr>
              <w:t>Sterile</w:t>
            </w:r>
          </w:p>
        </w:tc>
        <w:tc>
          <w:tcPr>
            <w:tcW w:type="dxa" w:w="950"/>
            <w:vAlign w:val="top"/>
          </w:tcPr>
          <w:p>
            <w:pPr>
              <w:spacing w:after="40" w:before="0" w:line="259" w:lineRule="auto"/>
            </w:pPr>
            <w:r>
              <w:rPr>
                <w:rFonts w:ascii="Calibri" w:hAnsi="Calibri"/>
                <w:b w:val="0"/>
                <w:i w:val="0"/>
                <w:color w:val="212121"/>
                <w:sz w:val="16"/>
              </w:rPr>
              <w:t>Positive (bacteraemia)</w:t>
            </w:r>
          </w:p>
        </w:tc>
        <w:tc>
          <w:tcPr>
            <w:tcW w:type="dxa" w:w="1036"/>
            <w:vAlign w:val="top"/>
          </w:tcPr>
          <w:p>
            <w:pPr>
              <w:spacing w:after="40" w:before="0" w:line="259" w:lineRule="auto"/>
            </w:pPr>
            <w:r>
              <w:rPr>
                <w:rFonts w:ascii="Calibri" w:hAnsi="Calibri"/>
                <w:b w:val="0"/>
                <w:i w:val="0"/>
                <w:color w:val="212121"/>
                <w:sz w:val="16"/>
              </w:rPr>
              <w:t>Detects a hematogenous source or infective endocarditis</w:t>
            </w:r>
          </w:p>
        </w:tc>
        <w:tc>
          <w:tcPr>
            <w:tcW w:type="dxa" w:w="1036"/>
            <w:vAlign w:val="top"/>
          </w:tcPr>
          <w:p>
            <w:pPr>
              <w:spacing w:after="40" w:before="0" w:line="259" w:lineRule="auto"/>
            </w:pPr>
            <w:r>
              <w:rPr>
                <w:rFonts w:ascii="Calibri" w:hAnsi="Calibri"/>
                <w:b w:val="0"/>
                <w:i w:val="0"/>
                <w:color w:val="212121"/>
                <w:sz w:val="16"/>
              </w:rPr>
              <w:t>Cyanotic CHD, endocarditis, sepsis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Draw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Source work-up</w:t>
            </w:r>
          </w:p>
        </w:tc>
        <w:tc>
          <w:tcPr>
            <w:tcW w:type="dxa" w:w="1036"/>
            <w:vAlign w:val="top"/>
          </w:tcPr>
          <w:p>
            <w:pPr>
              <w:spacing w:after="40" w:before="0" w:line="259" w:lineRule="auto"/>
            </w:pPr>
            <w:r>
              <w:rPr>
                <w:rFonts w:ascii="Calibri" w:hAnsi="Calibri"/>
                <w:b w:val="0"/>
                <w:i w:val="0"/>
                <w:color w:val="212121"/>
                <w:sz w:val="16"/>
              </w:rPr>
              <w:t>HRCT temporal bone / CT PNS / echocardiography / HIV &amp; glucose</w:t>
            </w:r>
          </w:p>
        </w:tc>
        <w:tc>
          <w:tcPr>
            <w:tcW w:type="dxa" w:w="892"/>
            <w:vAlign w:val="top"/>
          </w:tcPr>
          <w:p>
            <w:pPr>
              <w:spacing w:after="40" w:before="0" w:line="259" w:lineRule="auto"/>
            </w:pPr>
            <w:r>
              <w:rPr>
                <w:rFonts w:ascii="Calibri" w:hAnsi="Calibri"/>
                <w:b w:val="0"/>
                <w:i w:val="0"/>
                <w:color w:val="212121"/>
                <w:sz w:val="16"/>
              </w:rPr>
              <w:t>Source identification</w:t>
            </w:r>
          </w:p>
        </w:tc>
        <w:tc>
          <w:tcPr>
            <w:tcW w:type="dxa" w:w="950"/>
            <w:vAlign w:val="top"/>
          </w:tcPr>
          <w:p>
            <w:pPr>
              <w:spacing w:after="40" w:before="0" w:line="259" w:lineRule="auto"/>
            </w:pPr>
            <w:r>
              <w:rPr>
                <w:rFonts w:ascii="Calibri" w:hAnsi="Calibri"/>
                <w:b w:val="0"/>
                <w:i w:val="0"/>
                <w:color w:val="212121"/>
                <w:sz w:val="16"/>
              </w:rPr>
              <w:t>No source identified</w:t>
            </w:r>
          </w:p>
        </w:tc>
        <w:tc>
          <w:tcPr>
            <w:tcW w:type="dxa" w:w="950"/>
            <w:vAlign w:val="top"/>
          </w:tcPr>
          <w:p>
            <w:pPr>
              <w:spacing w:after="40" w:before="0" w:line="259" w:lineRule="auto"/>
            </w:pPr>
            <w:r>
              <w:rPr>
                <w:rFonts w:ascii="Calibri" w:hAnsi="Calibri"/>
                <w:b w:val="0"/>
                <w:i w:val="0"/>
                <w:color w:val="212121"/>
                <w:sz w:val="16"/>
              </w:rPr>
              <w:t>CSOM/cholesteatoma, sinusitis, right-to-left shunt or immunosuppression</w:t>
            </w:r>
          </w:p>
        </w:tc>
        <w:tc>
          <w:tcPr>
            <w:tcW w:type="dxa" w:w="1036"/>
            <w:vAlign w:val="top"/>
          </w:tcPr>
          <w:p>
            <w:pPr>
              <w:spacing w:after="40" w:before="0" w:line="259" w:lineRule="auto"/>
            </w:pPr>
            <w:r>
              <w:rPr>
                <w:rFonts w:ascii="Calibri" w:hAnsi="Calibri"/>
                <w:b w:val="0"/>
                <w:i w:val="0"/>
                <w:color w:val="212121"/>
                <w:sz w:val="16"/>
              </w:rPr>
              <w:t>Directs definitive source control (mastoidectomy, FESS) and prevents recurrence</w:t>
            </w:r>
          </w:p>
        </w:tc>
        <w:tc>
          <w:tcPr>
            <w:tcW w:type="dxa" w:w="1036"/>
            <w:vAlign w:val="top"/>
          </w:tcPr>
          <w:p>
            <w:pPr>
              <w:spacing w:after="40" w:before="0" w:line="259" w:lineRule="auto"/>
            </w:pPr>
            <w:r>
              <w:rPr>
                <w:rFonts w:ascii="Calibri" w:hAnsi="Calibri"/>
                <w:b w:val="0"/>
                <w:i w:val="0"/>
                <w:color w:val="212121"/>
                <w:sz w:val="16"/>
              </w:rPr>
              <w:t>Otogenic, rhinogenic, cardiac and immunocompromised sources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Essential to prevent recurrence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Headache, fever, focal deficit, seizure, vomiting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Subacute worsening headache with focal signs, with or without fever</w:t>
            </w:r>
          </w:p>
        </w:tc>
        <w:tc>
          <w:tcPr>
            <w:tcW w:type="dxa" w:w="1036"/>
            <w:vAlign w:val="top"/>
          </w:tcPr>
          <w:p>
            <w:pPr>
              <w:spacing w:after="40" w:before="0" w:line="259" w:lineRule="auto"/>
            </w:pPr>
            <w:r>
              <w:rPr>
                <w:rFonts w:ascii="Calibri" w:hAnsi="Calibri"/>
                <w:b w:val="0"/>
                <w:i w:val="0"/>
                <w:color w:val="212121"/>
                <w:sz w:val="16"/>
              </w:rPr>
              <w:t>The classic triad is present in fewer than half of patients, so a high index of suspicion is needed</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typically evolve over days to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Predisposing source</w:t>
            </w:r>
          </w:p>
        </w:tc>
        <w:tc>
          <w:tcPr>
            <w:tcW w:type="dxa" w:w="979"/>
            <w:vAlign w:val="top"/>
          </w:tcPr>
          <w:p>
            <w:pPr>
              <w:spacing w:after="40" w:before="0" w:line="259" w:lineRule="auto"/>
            </w:pPr>
            <w:r>
              <w:rPr>
                <w:rFonts w:ascii="Calibri" w:hAnsi="Calibri"/>
                <w:b w:val="0"/>
                <w:i w:val="0"/>
                <w:color w:val="212121"/>
                <w:sz w:val="16"/>
              </w:rPr>
              <w:t>Chronic ear discharge, sinusitis, dental sepsis, congenital heart disease, head trauma or surgery, immunosuppression</w:t>
            </w:r>
          </w:p>
        </w:tc>
        <w:tc>
          <w:tcPr>
            <w:tcW w:type="dxa" w:w="950"/>
            <w:vAlign w:val="top"/>
          </w:tcPr>
          <w:p>
            <w:pPr>
              <w:spacing w:after="40" w:before="0" w:line="259" w:lineRule="auto"/>
            </w:pPr>
            <w:r>
              <w:rPr>
                <w:rFonts w:ascii="Calibri" w:hAnsi="Calibri"/>
                <w:b w:val="0"/>
                <w:i w:val="0"/>
                <w:color w:val="212121"/>
                <w:sz w:val="16"/>
              </w:rPr>
              <w:t>No predisposing factor</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Otogenic infection (CSOM) is the leading Indian source (~39%)</w:t>
            </w:r>
          </w:p>
        </w:tc>
        <w:tc>
          <w:tcPr>
            <w:tcW w:type="dxa" w:w="1036"/>
            <w:vAlign w:val="top"/>
          </w:tcPr>
          <w:p>
            <w:pPr>
              <w:spacing w:after="40" w:before="0" w:line="259" w:lineRule="auto"/>
            </w:pPr>
            <w:r>
              <w:rPr>
                <w:rFonts w:ascii="Calibri" w:hAnsi="Calibri"/>
                <w:b w:val="0"/>
                <w:i w:val="0"/>
                <w:color w:val="212121"/>
                <w:sz w:val="16"/>
              </w:rPr>
              <w:t>CSOM, sinusitis, cyanotic CHD, immunocompromised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empirical therapy and source control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GCS, focal deficits, cerebellar signs, cranial nerves</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Hemiparesis, aphasia, ataxia or cranial-nerve palsy</w:t>
            </w:r>
          </w:p>
        </w:tc>
        <w:tc>
          <w:tcPr>
            <w:tcW w:type="dxa" w:w="1036"/>
            <w:vAlign w:val="top"/>
          </w:tcPr>
          <w:p>
            <w:pPr>
              <w:spacing w:after="40" w:before="0" w:line="259" w:lineRule="auto"/>
            </w:pPr>
            <w:r>
              <w:rPr>
                <w:rFonts w:ascii="Calibri" w:hAnsi="Calibri"/>
                <w:b w:val="0"/>
                <w:i w:val="0"/>
                <w:color w:val="212121"/>
                <w:sz w:val="16"/>
              </w:rPr>
              <w:t>Localizes the abscess; admission GCS is a key prognostic determinant</w:t>
            </w:r>
          </w:p>
        </w:tc>
        <w:tc>
          <w:tcPr>
            <w:tcW w:type="dxa" w:w="1036"/>
            <w:vAlign w:val="top"/>
          </w:tcPr>
          <w:p>
            <w:pPr>
              <w:spacing w:after="40" w:before="0" w:line="259" w:lineRule="auto"/>
            </w:pPr>
            <w:r>
              <w:rPr>
                <w:rFonts w:ascii="Calibri" w:hAnsi="Calibri"/>
                <w:b w:val="0"/>
                <w:i w:val="0"/>
                <w:color w:val="212121"/>
                <w:sz w:val="16"/>
              </w:rPr>
              <w:t>All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Serial neuro-observation is essential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raised intracranial pressure</w:t>
            </w:r>
          </w:p>
        </w:tc>
        <w:tc>
          <w:tcPr>
            <w:tcW w:type="dxa" w:w="979"/>
            <w:vAlign w:val="top"/>
          </w:tcPr>
          <w:p>
            <w:pPr>
              <w:spacing w:after="40" w:before="0" w:line="259" w:lineRule="auto"/>
            </w:pPr>
            <w:r>
              <w:rPr>
                <w:rFonts w:ascii="Calibri" w:hAnsi="Calibri"/>
                <w:b w:val="0"/>
                <w:i w:val="0"/>
                <w:color w:val="212121"/>
                <w:sz w:val="16"/>
              </w:rPr>
              <w:t>Papilloedema, altered sensorium, vomiting, bradycardia/hypertension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Indicates significant mass effect; lumbar puncture is contraindicated</w:t>
            </w:r>
          </w:p>
        </w:tc>
        <w:tc>
          <w:tcPr>
            <w:tcW w:type="dxa" w:w="1036"/>
            <w:vAlign w:val="top"/>
          </w:tcPr>
          <w:p>
            <w:pPr>
              <w:spacing w:after="40" w:before="0" w:line="259" w:lineRule="auto"/>
            </w:pPr>
            <w:r>
              <w:rPr>
                <w:rFonts w:ascii="Calibri" w:hAnsi="Calibri"/>
                <w:b w:val="0"/>
                <w:i w:val="0"/>
                <w:color w:val="212121"/>
                <w:sz w:val="16"/>
              </w:rPr>
              <w:t>Large or multiple abscesses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Prompts urgent decompression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ENT examination</w:t>
            </w:r>
          </w:p>
        </w:tc>
        <w:tc>
          <w:tcPr>
            <w:tcW w:type="dxa" w:w="979"/>
            <w:vAlign w:val="top"/>
          </w:tcPr>
          <w:p>
            <w:pPr>
              <w:spacing w:after="40" w:before="0" w:line="259" w:lineRule="auto"/>
            </w:pPr>
            <w:r>
              <w:rPr>
                <w:rFonts w:ascii="Calibri" w:hAnsi="Calibri"/>
                <w:b w:val="0"/>
                <w:i w:val="0"/>
                <w:color w:val="212121"/>
                <w:sz w:val="16"/>
              </w:rPr>
              <w:t>Otoscopy, mastoid tenderness, sinus tenderness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Tympanic-membrane perforation, otorrhoea, cholesteatoma or sinus tenderness</w:t>
            </w:r>
          </w:p>
        </w:tc>
        <w:tc>
          <w:tcPr>
            <w:tcW w:type="dxa" w:w="1036"/>
            <w:vAlign w:val="top"/>
          </w:tcPr>
          <w:p>
            <w:pPr>
              <w:spacing w:after="40" w:before="0" w:line="259" w:lineRule="auto"/>
            </w:pPr>
            <w:r>
              <w:rPr>
                <w:rFonts w:ascii="Calibri" w:hAnsi="Calibri"/>
                <w:b w:val="0"/>
                <w:i w:val="0"/>
                <w:color w:val="212121"/>
                <w:sz w:val="16"/>
              </w:rPr>
              <w:t>Confirms an otogenic or rhinogenic source</w:t>
            </w:r>
          </w:p>
        </w:tc>
        <w:tc>
          <w:tcPr>
            <w:tcW w:type="dxa" w:w="1036"/>
            <w:vAlign w:val="top"/>
          </w:tcPr>
          <w:p>
            <w:pPr>
              <w:spacing w:after="40" w:before="0" w:line="259" w:lineRule="auto"/>
            </w:pPr>
            <w:r>
              <w:rPr>
                <w:rFonts w:ascii="Calibri" w:hAnsi="Calibri"/>
                <w:b w:val="0"/>
                <w:i w:val="0"/>
                <w:color w:val="212121"/>
                <w:sz w:val="16"/>
              </w:rPr>
              <w:t>Otogenic abscess, CSOM</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Directs ENT source control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Cardio-respiratory examination</w:t>
            </w:r>
          </w:p>
        </w:tc>
        <w:tc>
          <w:tcPr>
            <w:tcW w:type="dxa" w:w="979"/>
            <w:vAlign w:val="top"/>
          </w:tcPr>
          <w:p>
            <w:pPr>
              <w:spacing w:after="40" w:before="0" w:line="259" w:lineRule="auto"/>
            </w:pPr>
            <w:r>
              <w:rPr>
                <w:rFonts w:ascii="Calibri" w:hAnsi="Calibri"/>
                <w:b w:val="0"/>
                <w:i w:val="0"/>
                <w:color w:val="212121"/>
                <w:sz w:val="16"/>
              </w:rPr>
              <w:t>Cyanosis, clubbing, murmur, chest signs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Cyanotic congenital heart disease, an endocarditis murmur or lung suppuration</w:t>
            </w:r>
          </w:p>
        </w:tc>
        <w:tc>
          <w:tcPr>
            <w:tcW w:type="dxa" w:w="1036"/>
            <w:vAlign w:val="top"/>
          </w:tcPr>
          <w:p>
            <w:pPr>
              <w:spacing w:after="40" w:before="0" w:line="259" w:lineRule="auto"/>
            </w:pPr>
            <w:r>
              <w:rPr>
                <w:rFonts w:ascii="Calibri" w:hAnsi="Calibri"/>
                <w:b w:val="0"/>
                <w:i w:val="0"/>
                <w:color w:val="212121"/>
                <w:sz w:val="16"/>
              </w:rPr>
              <w:t>Identifies a hematogenous source</w:t>
            </w:r>
          </w:p>
        </w:tc>
        <w:tc>
          <w:tcPr>
            <w:tcW w:type="dxa" w:w="1036"/>
            <w:vAlign w:val="top"/>
          </w:tcPr>
          <w:p>
            <w:pPr>
              <w:spacing w:after="40" w:before="0" w:line="259" w:lineRule="auto"/>
            </w:pPr>
            <w:r>
              <w:rPr>
                <w:rFonts w:ascii="Calibri" w:hAnsi="Calibri"/>
                <w:b w:val="0"/>
                <w:i w:val="0"/>
                <w:color w:val="212121"/>
                <w:sz w:val="16"/>
              </w:rPr>
              <w:t>Cyanotic CHD, endocarditis, bronchiectasis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Prompts echocardiography and blood cultures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(~70%); a persistent, progressively worsening, often hemicranial headache from raised intracranial pressure.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Present in roughly 45-53%; it may be absent once the abscess is encapsulated, so its absence does not exclude the diagnosis.</w:t>
            </w:r>
          </w:p>
        </w:tc>
      </w:tr>
      <w:tr>
        <w:trPr>
          <w:cantSplit/>
        </w:trPr>
        <w:tc>
          <w:tcPr>
            <w:tcW w:type="dxa" w:w="2304"/>
            <w:vAlign w:val="top"/>
          </w:tcPr>
          <w:p>
            <w:pPr>
              <w:spacing w:after="40" w:before="0" w:line="259" w:lineRule="auto"/>
            </w:pPr>
            <w:r>
              <w:rPr>
                <w:rFonts w:ascii="Calibri" w:hAnsi="Calibri"/>
                <w:b/>
                <w:i w:val="0"/>
                <w:color w:val="212121"/>
                <w:sz w:val="19"/>
              </w:rPr>
              <w:t>Focal neurological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Weakness, numbness or speech difficulty depending on the abscess site, reflecting the expanding mass (50-65%).</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Focal or generalized seizures in about 25-35%, especially with frontal or temporal abscesses.</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raised intracranial pressure, often accompanying the headache.</w:t>
            </w:r>
          </w:p>
        </w:tc>
      </w:tr>
      <w:tr>
        <w:trPr>
          <w:cantSplit/>
        </w:trPr>
        <w:tc>
          <w:tcPr>
            <w:tcW w:type="dxa" w:w="2304"/>
            <w:vAlign w:val="top"/>
          </w:tcPr>
          <w:p>
            <w:pPr>
              <w:spacing w:after="40" w:before="0" w:line="259" w:lineRule="auto"/>
            </w:pPr>
            <w:r>
              <w:rPr>
                <w:rFonts w:ascii="Calibri" w:hAnsi="Calibri"/>
                <w:b/>
                <w:i w:val="0"/>
                <w:color w:val="212121"/>
                <w:sz w:val="19"/>
              </w:rPr>
              <w:t>Drowsiness / altered 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lethargy or confusion (mental-status change in ~65%); a marker of raised ICP and a worse prognosis.</w:t>
            </w:r>
          </w:p>
        </w:tc>
      </w:tr>
      <w:tr>
        <w:trPr>
          <w:cantSplit/>
        </w:trPr>
        <w:tc>
          <w:tcPr>
            <w:tcW w:type="dxa" w:w="2304"/>
            <w:vAlign w:val="top"/>
          </w:tcPr>
          <w:p>
            <w:pPr>
              <w:spacing w:after="40" w:before="0" w:line="259" w:lineRule="auto"/>
            </w:pPr>
            <w:r>
              <w:rPr>
                <w:rFonts w:ascii="Calibri" w:hAnsi="Calibri"/>
                <w:b/>
                <w:i w:val="0"/>
                <w:color w:val="212121"/>
                <w:sz w:val="19"/>
              </w:rPr>
              <w:t>Ear discharge (otorrhoea)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otogenic abscess a history of chronic or recurrent ear discharge precedes the neurological symptoms.</w:t>
            </w:r>
          </w:p>
        </w:tc>
      </w:tr>
      <w:tr>
        <w:trPr>
          <w:cantSplit/>
        </w:trPr>
        <w:tc>
          <w:tcPr>
            <w:tcW w:type="dxa" w:w="2304"/>
            <w:vAlign w:val="top"/>
          </w:tcPr>
          <w:p>
            <w:pPr>
              <w:spacing w:after="40" w:before="0" w:line="259" w:lineRule="auto"/>
            </w:pPr>
            <w:r>
              <w:rPr>
                <w:rFonts w:ascii="Calibri" w:hAnsi="Calibri"/>
                <w:b/>
                <w:i w:val="0"/>
                <w:color w:val="212121"/>
                <w:sz w:val="19"/>
              </w:rPr>
              <w:t>Visual disturbance / diplopia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Blurring or double vision from papilloedema or a sixth-nerve palsy caused by raised ICP.</w:t>
            </w:r>
          </w:p>
        </w:tc>
      </w:tr>
      <w:tr>
        <w:trPr>
          <w:cantSplit/>
        </w:trPr>
        <w:tc>
          <w:tcPr>
            <w:tcW w:type="dxa" w:w="2304"/>
            <w:vAlign w:val="top"/>
          </w:tcPr>
          <w:p>
            <w:pPr>
              <w:spacing w:after="40" w:before="0" w:line="259" w:lineRule="auto"/>
            </w:pPr>
            <w:r>
              <w:rPr>
                <w:rFonts w:ascii="Calibri" w:hAnsi="Calibri"/>
                <w:b/>
                <w:i w:val="0"/>
                <w:color w:val="212121"/>
                <w:sz w:val="19"/>
              </w:rPr>
              <w:t>Speech difficulty (dysphasia)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With dominant temporal or frontal lobe involvement.</w:t>
            </w:r>
          </w:p>
        </w:tc>
      </w:tr>
      <w:tr>
        <w:trPr>
          <w:cantSplit/>
        </w:trPr>
        <w:tc>
          <w:tcPr>
            <w:tcW w:type="dxa" w:w="2304"/>
            <w:vAlign w:val="top"/>
          </w:tcPr>
          <w:p>
            <w:pPr>
              <w:spacing w:after="40" w:before="0" w:line="259" w:lineRule="auto"/>
            </w:pPr>
            <w:r>
              <w:rPr>
                <w:rFonts w:ascii="Calibri" w:hAnsi="Calibri"/>
                <w:b/>
                <w:i w:val="0"/>
                <w:color w:val="212121"/>
                <w:sz w:val="19"/>
              </w:rPr>
              <w:t>Imbalance / unsteady gait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cerebellar abscess (typically otogenic) causes ataxia and incoordination.</w:t>
            </w:r>
          </w:p>
        </w:tc>
      </w:tr>
      <w:tr>
        <w:trPr>
          <w:cantSplit/>
        </w:trPr>
        <w:tc>
          <w:tcPr>
            <w:tcW w:type="dxa" w:w="2304"/>
            <w:vAlign w:val="top"/>
          </w:tcPr>
          <w:p>
            <w:pPr>
              <w:spacing w:after="40" w:before="0" w:line="259" w:lineRule="auto"/>
            </w:pPr>
            <w:r>
              <w:rPr>
                <w:rFonts w:ascii="Calibri" w:hAnsi="Calibri"/>
                <w:b/>
                <w:i w:val="0"/>
                <w:color w:val="212121"/>
                <w:sz w:val="19"/>
              </w:rPr>
              <w:t>Personality or behavioural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frontal-lobe abscess may present with apathy or disinhibition.</w:t>
            </w:r>
          </w:p>
        </w:tc>
      </w:tr>
      <w:tr>
        <w:trPr>
          <w:cantSplit/>
        </w:trPr>
        <w:tc>
          <w:tcPr>
            <w:tcW w:type="dxa" w:w="2304"/>
            <w:vAlign w:val="top"/>
          </w:tcPr>
          <w:p>
            <w:pPr>
              <w:spacing w:after="40" w:before="0" w:line="259" w:lineRule="auto"/>
            </w:pPr>
            <w:r>
              <w:rPr>
                <w:rFonts w:ascii="Calibri" w:hAnsi="Calibri"/>
                <w:b/>
                <w:i w:val="0"/>
                <w:color w:val="212121"/>
                <w:sz w:val="19"/>
              </w:rPr>
              <w:t>Neck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meningeal irritation or intraventricular rupture.</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accompany meningism.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pyrexia, though often low-grade or absent in the encapsulated stage.</w:t>
            </w:r>
          </w:p>
        </w:tc>
      </w:tr>
      <w:tr>
        <w:trPr>
          <w:cantSplit/>
        </w:trPr>
        <w:tc>
          <w:tcPr>
            <w:tcW w:type="dxa" w:w="3456"/>
            <w:vAlign w:val="top"/>
          </w:tcPr>
          <w:p>
            <w:pPr>
              <w:spacing w:after="40" w:before="0" w:line="259" w:lineRule="auto"/>
            </w:pPr>
            <w:r>
              <w:rPr>
                <w:rFonts w:ascii="Calibri" w:hAnsi="Calibri"/>
                <w:b/>
                <w:i w:val="0"/>
                <w:color w:val="212121"/>
                <w:sz w:val="19"/>
              </w:rPr>
              <w:t>Focal motor deficit (hemiparesis/hemiplegia)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Contralateral weakness from the space-occupying lesion.</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Fundoscopic optic-disc swelling indicating raised intracranial pressure.</w:t>
            </w:r>
          </w:p>
        </w:tc>
      </w:tr>
      <w:tr>
        <w:trPr>
          <w:cantSplit/>
        </w:trPr>
        <w:tc>
          <w:tcPr>
            <w:tcW w:type="dxa" w:w="3456"/>
            <w:vAlign w:val="top"/>
          </w:tcPr>
          <w:p>
            <w:pPr>
              <w:spacing w:after="40" w:before="0" w:line="259" w:lineRule="auto"/>
            </w:pPr>
            <w:r>
              <w:rPr>
                <w:rFonts w:ascii="Calibri" w:hAnsi="Calibri"/>
                <w:b/>
                <w:i w:val="0"/>
                <w:color w:val="212121"/>
                <w:sz w:val="19"/>
              </w:rPr>
              <w:t>Reduced consciousness (low GCS)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Admission GCS is a key determinant of outcome.</w:t>
            </w:r>
          </w:p>
        </w:tc>
      </w:tr>
      <w:tr>
        <w:trPr>
          <w:cantSplit/>
        </w:trPr>
        <w:tc>
          <w:tcPr>
            <w:tcW w:type="dxa" w:w="3456"/>
            <w:vAlign w:val="top"/>
          </w:tcPr>
          <w:p>
            <w:pPr>
              <w:spacing w:after="40" w:before="0" w:line="259" w:lineRule="auto"/>
            </w:pPr>
            <w:r>
              <w:rPr>
                <w:rFonts w:ascii="Calibri" w:hAnsi="Calibri"/>
                <w:b/>
                <w:i w:val="0"/>
                <w:color w:val="212121"/>
                <w:sz w:val="19"/>
              </w:rPr>
              <w:t>Cranial-nerve palsies (especially III and VI)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raised ICP or brainstem/cavernous involvement.</w:t>
            </w:r>
          </w:p>
        </w:tc>
      </w:tr>
      <w:tr>
        <w:trPr>
          <w:cantSplit/>
        </w:trPr>
        <w:tc>
          <w:tcPr>
            <w:tcW w:type="dxa" w:w="3456"/>
            <w:vAlign w:val="top"/>
          </w:tcPr>
          <w:p>
            <w:pPr>
              <w:spacing w:after="40" w:before="0" w:line="259" w:lineRule="auto"/>
            </w:pPr>
            <w:r>
              <w:rPr>
                <w:rFonts w:ascii="Calibri" w:hAnsi="Calibri"/>
                <w:b/>
                <w:i w:val="0"/>
                <w:color w:val="212121"/>
                <w:sz w:val="19"/>
              </w:rPr>
              <w:t>Ear signs (perforation, otorrhoea, cholesteatoma)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Found on otoscopy in otogenic cases.</w:t>
            </w:r>
          </w:p>
        </w:tc>
      </w:tr>
      <w:tr>
        <w:trPr>
          <w:cantSplit/>
        </w:trPr>
        <w:tc>
          <w:tcPr>
            <w:tcW w:type="dxa" w:w="3456"/>
            <w:vAlign w:val="top"/>
          </w:tcPr>
          <w:p>
            <w:pPr>
              <w:spacing w:after="40" w:before="0" w:line="259" w:lineRule="auto"/>
            </w:pPr>
            <w:r>
              <w:rPr>
                <w:rFonts w:ascii="Calibri" w:hAnsi="Calibri"/>
                <w:b/>
                <w:i w:val="0"/>
                <w:color w:val="212121"/>
                <w:sz w:val="19"/>
              </w:rPr>
              <w:t>Cerebellar signs (nystagmus, dysmetria, ataxia)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to a cerebellar (otogenic) abscess.</w:t>
            </w:r>
          </w:p>
        </w:tc>
      </w:tr>
      <w:tr>
        <w:trPr>
          <w:cantSplit/>
        </w:trPr>
        <w:tc>
          <w:tcPr>
            <w:tcW w:type="dxa" w:w="3456"/>
            <w:vAlign w:val="top"/>
          </w:tcPr>
          <w:p>
            <w:pPr>
              <w:spacing w:after="40" w:before="0" w:line="259" w:lineRule="auto"/>
            </w:pPr>
            <w:r>
              <w:rPr>
                <w:rFonts w:ascii="Calibri" w:hAnsi="Calibri"/>
                <w:b/>
                <w:i w:val="0"/>
                <w:color w:val="212121"/>
                <w:sz w:val="19"/>
              </w:rPr>
              <w:t>Dysphasia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Expressive or receptive, with dominant-hemisphere lesions.</w:t>
            </w:r>
          </w:p>
        </w:tc>
      </w:tr>
      <w:tr>
        <w:trPr>
          <w:cantSplit/>
        </w:trPr>
        <w:tc>
          <w:tcPr>
            <w:tcW w:type="dxa" w:w="3456"/>
            <w:vAlign w:val="top"/>
          </w:tcPr>
          <w:p>
            <w:pPr>
              <w:spacing w:after="40" w:before="0" w:line="259" w:lineRule="auto"/>
            </w:pPr>
            <w:r>
              <w:rPr>
                <w:rFonts w:ascii="Calibri" w:hAnsi="Calibri"/>
                <w:b/>
                <w:i w:val="0"/>
                <w:color w:val="212121"/>
                <w:sz w:val="19"/>
              </w:rPr>
              <w:t>Neck rigidity / meningism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With meningeal irritation or ventricular rupture.</w:t>
            </w:r>
          </w:p>
        </w:tc>
      </w:tr>
      <w:tr>
        <w:trPr>
          <w:cantSplit/>
        </w:trPr>
        <w:tc>
          <w:tcPr>
            <w:tcW w:type="dxa" w:w="3456"/>
            <w:vAlign w:val="top"/>
          </w:tcPr>
          <w:p>
            <w:pPr>
              <w:spacing w:after="40" w:before="0" w:line="259" w:lineRule="auto"/>
            </w:pPr>
            <w:r>
              <w:rPr>
                <w:rFonts w:ascii="Calibri" w:hAnsi="Calibri"/>
                <w:b/>
                <w:i w:val="0"/>
                <w:color w:val="212121"/>
                <w:sz w:val="19"/>
              </w:rPr>
              <w:t>Cyanosis and 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Signal an underlying cyanotic congenital heart disease source.</w:t>
            </w:r>
          </w:p>
        </w:tc>
      </w:tr>
      <w:tr>
        <w:trPr>
          <w:cantSplit/>
        </w:trPr>
        <w:tc>
          <w:tcPr>
            <w:tcW w:type="dxa" w:w="3456"/>
            <w:vAlign w:val="top"/>
          </w:tcPr>
          <w:p>
            <w:pPr>
              <w:spacing w:after="40" w:before="0" w:line="259" w:lineRule="auto"/>
            </w:pPr>
            <w:r>
              <w:rPr>
                <w:rFonts w:ascii="Calibri" w:hAnsi="Calibri"/>
                <w:b/>
                <w:i w:val="0"/>
                <w:color w:val="212121"/>
                <w:sz w:val="19"/>
              </w:rPr>
              <w:t>Cushing response (bradycardia, hypertension, irregular respiration)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late, ominous sign of impending herniation.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intracranial pressure and mass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Perilesional cerebral (vasogenic)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Focal neurological deficits (hemiparesis, aphasia, cranial-nerve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hydrocephalus</w:t>
            </w:r>
          </w:p>
        </w:tc>
        <w:tc>
          <w:tcPr>
            <w:tcW w:type="dxa" w:w="2980"/>
            <w:vAlign w:val="top"/>
          </w:tcPr>
          <w:p>
            <w:pPr>
              <w:spacing w:after="40" w:before="0" w:line="259" w:lineRule="auto"/>
            </w:pPr>
            <w:r>
              <w:rPr>
                <w:rFonts w:ascii="Calibri" w:hAnsi="Calibri"/>
                <w:b w:val="0"/>
                <w:i w:val="0"/>
                <w:color w:val="212121"/>
                <w:sz w:val="19"/>
              </w:rPr>
              <w:t>Direct consequences of an expanding intracranial pus collection.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Intraventricular rupture of the abscess (IVOBA) - often fatal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Meningitis and ventriculitis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Subdural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venous sinus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Uncal or tonsillar herniation</w:t>
            </w:r>
          </w:p>
        </w:tc>
        <w:tc>
          <w:tcPr>
            <w:tcW w:type="dxa" w:w="2980"/>
            <w:vAlign w:val="top"/>
          </w:tcPr>
          <w:p>
            <w:pPr>
              <w:spacing w:after="40" w:before="0" w:line="259" w:lineRule="auto"/>
            </w:pPr>
            <w:r>
              <w:rPr>
                <w:rFonts w:ascii="Calibri" w:hAnsi="Calibri"/>
                <w:b w:val="0"/>
                <w:i w:val="0"/>
                <w:color w:val="212121"/>
                <w:sz w:val="19"/>
              </w:rPr>
              <w:t>Spread of infection or decompensated mass effect.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Residual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motor or speech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and behavioural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the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w:t>
            </w:r>
          </w:p>
        </w:tc>
        <w:tc>
          <w:tcPr>
            <w:tcW w:type="dxa" w:w="2980"/>
            <w:vAlign w:val="top"/>
          </w:tcPr>
          <w:p>
            <w:pPr>
              <w:spacing w:after="40" w:before="0" w:line="259" w:lineRule="auto"/>
            </w:pPr>
            <w:r>
              <w:rPr>
                <w:rFonts w:ascii="Calibri" w:hAnsi="Calibri"/>
                <w:b w:val="0"/>
                <w:i w:val="0"/>
                <w:color w:val="212121"/>
                <w:sz w:val="19"/>
              </w:rPr>
              <w:t>Long-term disabling or fatal outcomes; mortality is about 5-10% with modern care but markedly higher after ventricular rupture.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suppurative otitis media (CSOM) / cholesteatoma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Indian source; infection erodes through the mastoid and tegmen to seed the temporal lobe and cerebellum.</w:t>
            </w:r>
          </w:p>
          <w:p>
            <w:pPr>
              <w:spacing w:after="40" w:before="0" w:line="259" w:lineRule="auto"/>
            </w:pPr>
            <w:r>
              <w:rPr>
                <w:rFonts w:ascii="Calibri" w:hAnsi="Calibri"/>
                <w:b/>
                <w:i w:val="0"/>
                <w:color w:val="212121"/>
                <w:sz w:val="19"/>
              </w:rPr>
              <w:t>~39% of cases (leading source)</w:t>
            </w:r>
          </w:p>
        </w:tc>
      </w:tr>
      <w:tr>
        <w:trPr>
          <w:cantSplit/>
        </w:trPr>
        <w:tc>
          <w:tcPr>
            <w:tcW w:type="dxa" w:w="2232"/>
            <w:vAlign w:val="top"/>
          </w:tcPr>
          <w:p>
            <w:pPr>
              <w:spacing w:after="40" w:before="0" w:line="259" w:lineRule="auto"/>
            </w:pPr>
            <w:r>
              <w:rPr>
                <w:rFonts w:ascii="Calibri" w:hAnsi="Calibri"/>
                <w:b/>
                <w:i w:val="0"/>
                <w:color w:val="212121"/>
                <w:sz w:val="19"/>
              </w:rPr>
              <w:t>Cyanotic congenital heart disease (Tetralogy of Fallot)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Right-to-left shunting bypasses the pulmonary filter and enables bacterial seeding; the commonest paediatric predisposition.</w:t>
            </w:r>
          </w:p>
          <w:p>
            <w:pPr>
              <w:spacing w:after="40" w:before="0" w:line="259" w:lineRule="auto"/>
            </w:pPr>
            <w:r>
              <w:rPr>
                <w:rFonts w:ascii="Calibri" w:hAnsi="Calibri"/>
                <w:b/>
                <w:i w:val="0"/>
                <w:color w:val="212121"/>
                <w:sz w:val="19"/>
              </w:rPr>
              <w:t>&gt; 60% of paediatric cases</w:t>
            </w:r>
          </w:p>
        </w:tc>
      </w:tr>
      <w:tr>
        <w:trPr>
          <w:cantSplit/>
        </w:trPr>
        <w:tc>
          <w:tcPr>
            <w:tcW w:type="dxa" w:w="2232"/>
            <w:vAlign w:val="top"/>
          </w:tcPr>
          <w:p>
            <w:pPr>
              <w:spacing w:after="40" w:before="0" w:line="259" w:lineRule="auto"/>
            </w:pPr>
            <w:r>
              <w:rPr>
                <w:rFonts w:ascii="Calibri" w:hAnsi="Calibri"/>
                <w:b/>
                <w:i w:val="0"/>
                <w:color w:val="212121"/>
                <w:sz w:val="19"/>
              </w:rPr>
              <w:t>Paranasal sinusitis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Contiguous spread from the frontal or ethmoid sinuses to the frontal lobe.</w:t>
            </w:r>
          </w:p>
          <w:p>
            <w:pPr>
              <w:spacing w:after="40" w:before="0" w:line="259" w:lineRule="auto"/>
            </w:pPr>
            <w:r>
              <w:rPr>
                <w:rFonts w:ascii="Calibri" w:hAnsi="Calibri"/>
                <w:b/>
                <w:i w:val="0"/>
                <w:color w:val="212121"/>
                <w:sz w:val="19"/>
              </w:rPr>
              <w:t>30-50% (Western series)</w:t>
            </w:r>
          </w:p>
        </w:tc>
      </w:tr>
      <w:tr>
        <w:trPr>
          <w:cantSplit/>
        </w:trPr>
        <w:tc>
          <w:tcPr>
            <w:tcW w:type="dxa" w:w="2232"/>
            <w:vAlign w:val="top"/>
          </w:tcPr>
          <w:p>
            <w:pPr>
              <w:spacing w:after="40" w:before="0" w:line="259" w:lineRule="auto"/>
            </w:pPr>
            <w:r>
              <w:rPr>
                <w:rFonts w:ascii="Calibri" w:hAnsi="Calibri"/>
                <w:b/>
                <w:i w:val="0"/>
                <w:color w:val="212121"/>
                <w:sz w:val="19"/>
              </w:rPr>
              <w:t>Dental / periodontal sepsis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Odontogenic bacteraemia and contiguous spread produce anaerobic and streptococcal abscesses.</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Septic emboli seed the brain via the arterial circulation, classically causing multiple abscesses.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neutrophil function, raising the risk of pyogenic and fungal abscess and worsening outcomes.</w:t>
            </w:r>
          </w:p>
        </w:tc>
      </w:tr>
      <w:tr>
        <w:trPr>
          <w:cantSplit/>
        </w:trPr>
        <w:tc>
          <w:tcPr>
            <w:tcW w:type="dxa" w:w="2232"/>
            <w:vAlign w:val="top"/>
          </w:tcPr>
          <w:p>
            <w:pPr>
              <w:spacing w:after="40" w:before="0" w:line="259" w:lineRule="auto"/>
            </w:pPr>
            <w:r>
              <w:rPr>
                <w:rFonts w:ascii="Calibri" w:hAnsi="Calibri"/>
                <w:b/>
                <w:i w:val="0"/>
                <w:color w:val="212121"/>
                <w:sz w:val="19"/>
              </w:rPr>
              <w:t>HIV/AIDS and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opportunistic abscesses (Toxoplasma, Nocardia, tuberculous, fungal), which are often multiple and atypical.</w:t>
            </w:r>
          </w:p>
        </w:tc>
      </w:tr>
      <w:tr>
        <w:trPr>
          <w:cantSplit/>
        </w:trPr>
        <w:tc>
          <w:tcPr>
            <w:tcW w:type="dxa" w:w="2232"/>
            <w:vAlign w:val="top"/>
          </w:tcPr>
          <w:p>
            <w:pPr>
              <w:spacing w:after="40" w:before="0" w:line="259" w:lineRule="auto"/>
            </w:pPr>
            <w:r>
              <w:rPr>
                <w:rFonts w:ascii="Calibri" w:hAnsi="Calibri"/>
                <w:b/>
                <w:i w:val="0"/>
                <w:color w:val="212121"/>
                <w:sz w:val="19"/>
              </w:rPr>
              <w:t>Pulmonary AVM / Hereditary haemorrhagic telangiectasia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right-to-left pulmonary shunt permits paradoxical septic emboli to reach the brain.</w:t>
            </w:r>
          </w:p>
        </w:tc>
      </w:tr>
      <w:tr>
        <w:trPr>
          <w:cantSplit/>
        </w:trPr>
        <w:tc>
          <w:tcPr>
            <w:tcW w:type="dxa" w:w="2232"/>
            <w:vAlign w:val="top"/>
          </w:tcPr>
          <w:p>
            <w:pPr>
              <w:spacing w:after="40" w:before="0" w:line="259" w:lineRule="auto"/>
            </w:pPr>
            <w:r>
              <w:rPr>
                <w:rFonts w:ascii="Calibri" w:hAnsi="Calibri"/>
                <w:b/>
                <w:i w:val="0"/>
                <w:color w:val="212121"/>
                <w:sz w:val="19"/>
              </w:rPr>
              <w:t>Bronchiectasis / lung abscess / empyema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Chronic pulmonary suppuration acts as a hematogenous source.</w:t>
            </w:r>
          </w:p>
          <w:p>
            <w:pPr>
              <w:spacing w:after="40" w:before="0" w:line="259" w:lineRule="auto"/>
            </w:pPr>
            <w:r>
              <w:rPr>
                <w:rFonts w:ascii="Calibri" w:hAnsi="Calibri"/>
                <w:b/>
                <w:i w:val="0"/>
                <w:color w:val="212121"/>
                <w:sz w:val="19"/>
              </w:rPr>
              <w:t>~10.9% hematogenous (India)</w:t>
            </w:r>
          </w:p>
        </w:tc>
      </w:tr>
      <w:tr>
        <w:trPr>
          <w:cantSplit/>
        </w:trPr>
        <w:tc>
          <w:tcPr>
            <w:tcW w:type="dxa" w:w="2232"/>
            <w:vAlign w:val="top"/>
          </w:tcPr>
          <w:p>
            <w:pPr>
              <w:spacing w:after="40" w:before="0" w:line="259" w:lineRule="auto"/>
            </w:pPr>
            <w:r>
              <w:rPr>
                <w:rFonts w:ascii="Calibri" w:hAnsi="Calibri"/>
                <w:b/>
                <w:i w:val="0"/>
                <w:color w:val="212121"/>
                <w:sz w:val="19"/>
              </w:rPr>
              <w:t>Epilepsy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Cortical irritation and the resulting gliotic scar cause seizures during and long after the abscess.</w:t>
            </w:r>
          </w:p>
        </w:tc>
      </w:tr>
      <w:tr>
        <w:trPr>
          <w:cantSplit/>
        </w:trPr>
        <w:tc>
          <w:tcPr>
            <w:tcW w:type="dxa" w:w="2232"/>
            <w:vAlign w:val="top"/>
          </w:tcPr>
          <w:p>
            <w:pPr>
              <w:spacing w:after="40" w:before="0" w:line="259" w:lineRule="auto"/>
            </w:pPr>
            <w:r>
              <w:rPr>
                <w:rFonts w:ascii="Calibri" w:hAnsi="Calibri"/>
                <w:b/>
                <w:i w:val="0"/>
                <w:color w:val="212121"/>
                <w:sz w:val="19"/>
              </w:rPr>
              <w:t>Bacterial meningitis / ventriculitis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May precede the abscess as a source or follow intraventricular rupture; shares a pyogenic pathophysiology.</w:t>
            </w:r>
          </w:p>
        </w:tc>
      </w:tr>
      <w:tr>
        <w:trPr>
          <w:cantSplit/>
        </w:trPr>
        <w:tc>
          <w:tcPr>
            <w:tcW w:type="dxa" w:w="2232"/>
            <w:vAlign w:val="top"/>
          </w:tcPr>
          <w:p>
            <w:pPr>
              <w:spacing w:after="40" w:before="0" w:line="259" w:lineRule="auto"/>
            </w:pPr>
            <w:r>
              <w:rPr>
                <w:rFonts w:ascii="Calibri" w:hAnsi="Calibri"/>
                <w:b/>
                <w:i w:val="0"/>
                <w:color w:val="212121"/>
                <w:sz w:val="19"/>
              </w:rPr>
              <w:t>Hydrocephalus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Mass effect or post-ventriculitis obstruction impairs CSF flow and may require diversion.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chronic ear discharge (CSOM) promptly and completely, and seek ENT review for any persistent otorrhoea or a cholesteatoma to prevent otogenic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sinusitis and dental infection early; do not ignore recurrent frontal headache accompanied by nasal or dental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red flags - a new, worsening headache with fever, seizures, focal weakness or drowsiness warrants urgent neuroimaging.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cyanotic congenital heart disease should follow antibiotic-prophylaxis guidance and have any neurological symptom evaluated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antibiotics (often 6-8 weeks) and attend follow-up imaging to confirm resolution.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CSOM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Cyanotic 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sinusitis / dental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early, supervised neuro-rehabilitation and physiotherapy for hemiparesis or ataxia once the patient is stable.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activity, driving and working at heights until declared seizure-free and cleared by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mobilization with fall precautions during recovery from focal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occupational and speech therapy where speech or cognition is affected.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residual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phase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to support immune competence, especially in children recovering from recurrent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tight glycaemic control (HbA1c &lt; 7%) in diabetics to lower the risk of pyogenic and fungal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vitamins and hydration throughout the prolonged antibiotic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immune defence during and after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night-time or early-morning headache with vomiting, which may signal raised intracranial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mucociliary clearance and reduce chronic sinus and periodontal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in children who are prone to recurrent otitis media.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sinusitis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aspiration risk, immune suppression and poor dental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antibiotics and anticonvulsants because of interactions and a lowered seizure threshold.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anticonvulsants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post-abscess cognitive impairment, mood disturbance and epilepsy-related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epilepsy counselling and medication-adherence support for those left with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caregiver and family support, particularly for children left with residual deficits.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with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post-abscess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cademia.edu/60761997/Microbiological_Spectrum_of_Brain_Abscess_at_a_Tertiary_Care_Hospital_in_South_India_24_Year_Data_and_Review" TargetMode="External"/><Relationship Id="rId10" Type="http://schemas.openxmlformats.org/officeDocument/2006/relationships/hyperlink" Target="https://www.ncbi.nlm.nih.gov/books/NBK441841/" TargetMode="External"/><Relationship Id="rId11" Type="http://schemas.openxmlformats.org/officeDocument/2006/relationships/hyperlink" Target="https://link.springer.com/article/10.1007/s12070-019-01627-9" TargetMode="External"/><Relationship Id="rId12" Type="http://schemas.openxmlformats.org/officeDocument/2006/relationships/hyperlink" Target="https://journals.plos.org/plosone/article?id=10.1371%2Fjournal.pone.0036226" TargetMode="External"/><Relationship Id="rId13" Type="http://schemas.openxmlformats.org/officeDocument/2006/relationships/hyperlink" Target="https://jmedicalcasereports.biomedcentral.com/articles/10.1186/s13256-024-044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