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Benign Paroxysmal Positional Vertigo</w:t>
      </w:r>
    </w:p>
    <w:p>
      <w:pPr>
        <w:spacing w:before="0" w:after="160"/>
      </w:pPr>
      <w:r>
        <w:rPr>
          <w:rFonts w:ascii="Calibri" w:hAnsi="Calibri"/>
          <w:b/>
          <w:i w:val="0"/>
          <w:color w:val="212121"/>
          <w:sz w:val="22"/>
        </w:rPr>
        <w:t xml:space="preserve">AKA </w:t>
      </w:r>
      <w:r>
        <w:rPr>
          <w:rFonts w:ascii="Calibri" w:hAnsi="Calibri"/>
          <w:b w:val="0"/>
          <w:i w:val="0"/>
          <w:color w:val="212121"/>
          <w:sz w:val="22"/>
        </w:rPr>
        <w:t>i.e., BPPV, Positional vertigo, Otolith/otoconia disease, “Ear-crystal” vertigo, Top-shelf vertigo</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Benign paroxysmal positional vertigo (BPPV) is a peripheral vestibular disorder marked by brief, recurrent episodes of vertigo (a spinning sensation) that are provoked by changes in head position relative to gravity. It is caused by otoconia — tiny calcium-carbonate crystals — that dislodge from the utricle and migrate into one of the semicircular canals (most often the posterior canal), where they make the canal abnormally sensitive to gravity and produce inappropriate vestibular signalling. Although self-limiting and benign, BPPV is the single most common cause of vertigo across the lifespan, is highly recurrent, and is readily cured at the bedside with canalith-repositioning maneuvers.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BPPV is the most common cause of vertigo, accounting for roughly 17–42% of all patients who present with vertigo. Its estimated lifetime prevalence is about 2.4% and 1-year prevalence about 1.6%, rising steeply with age and showing a clear female predominance. In Indian ENT and neuro-otology clinics BPPV is consistently the leading diagnosis among vertigo patients — commonly one-quarter to one-third of cases — typically peaking in the fifth to seventh decades of life.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BPPV is a clinical diagnosis based on a characteristic history and provoking positional maneuvers; imaging and laboratory tests are not required in typical cases.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Posterior canal BPPV: transient vertigo with characteristic torsional, up-beating nystagmus provoked by the Dix–Hallpike maneuver, with a short latency (~1–20 seconds), duration under 60 seconds, and fatigability on repetition;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Lateral (horizontal) canal BPPV: horizontal, direction-changing nystagmus (geotropic or apogeotropic) provoked by the supine head-roll (Pagnini–McClure) test when the Dix–Hallpike is negative or shows horizontal nystagmus;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Brief episodes (typically &lt; 1 minute) triggered by positional change — rolling over in bed, lying down, sitting up, bending forward, or looking upward;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persistent spontaneous nystagmus, hearing loss, or focal neurological deficits, which would point to an alternative (often central)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 AAO-HNS guidance, radiographic imaging and formal vestibular-function testing are NOT indicated when diagnostic criteria are met, and routine vestibular-suppressant medication is discouraged.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BPPV is classified by the semicircular canal involved and by the underlying otoconial mechanism:</w:t>
      </w:r>
    </w:p>
    <w:p>
      <w:pPr>
        <w:spacing w:before="0" w:after="80"/>
      </w:pPr>
      <w:r>
        <w:rPr>
          <w:rFonts w:ascii="Calibri" w:hAnsi="Calibri"/>
          <w:b w:val="0"/>
          <w:i w:val="0"/>
          <w:color w:val="212121"/>
          <w:sz w:val="21"/>
        </w:rPr>
        <w:t>(1) Posterior canal BPPV — by far the most common variant (~80–90% of cases), producing torsional, up-beating nystagmus on the Dix–Hallpike maneuver;</w:t>
      </w:r>
    </w:p>
    <w:p>
      <w:pPr>
        <w:spacing w:before="0" w:after="80"/>
      </w:pPr>
      <w:r>
        <w:rPr>
          <w:rFonts w:ascii="Calibri" w:hAnsi="Calibri"/>
          <w:b w:val="0"/>
          <w:i w:val="0"/>
          <w:color w:val="212121"/>
          <w:sz w:val="21"/>
        </w:rPr>
        <w:t>(2) Lateral (horizontal) canal BPPV — ~10–20% of cases, subdivided into geotropic (canalithiasis) and apogeotropic (cupulolithiasis) forms identified on the supine roll test;</w:t>
      </w:r>
    </w:p>
    <w:p>
      <w:pPr>
        <w:spacing w:before="0" w:after="80"/>
      </w:pPr>
      <w:r>
        <w:rPr>
          <w:rFonts w:ascii="Calibri" w:hAnsi="Calibri"/>
          <w:b w:val="0"/>
          <w:i w:val="0"/>
          <w:color w:val="212121"/>
          <w:sz w:val="21"/>
        </w:rPr>
        <w:t>(3) Anterior (superior) canal BPPV — rare (~1–3%), producing down-beating nystagmus and requiring careful exclusion of central mimics;</w:t>
      </w:r>
    </w:p>
    <w:p>
      <w:pPr>
        <w:spacing w:before="0" w:after="80"/>
      </w:pPr>
      <w:r>
        <w:rPr>
          <w:rFonts w:ascii="Calibri" w:hAnsi="Calibri"/>
          <w:b w:val="0"/>
          <w:i w:val="0"/>
          <w:color w:val="212121"/>
          <w:sz w:val="21"/>
        </w:rPr>
        <w:t>(4) By mechanism and etiology: canalithiasis (free-floating otoconia within the canal — the usual cause) versus cupulolithiasis (otoconia adherent to the cupula, causing more persistent nystagmus); and primary/idiopathic (~50–83% of cases) versus secondary BPPV (head trauma, vestibular neuritis, Ménière disease, prolonged bed rest, ear surgery).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Otoconial displacement: Dislodged utricular otoconia (calcium-carbonate crystals) migrate into a semicircular canal, rendering it abnormally responsive to gravity — the core mechanism of every form of BPPV.</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Ageing degeneration: Age-related degeneration of the otoconial membrane and reduced otoconial repair make crystals more likely to detach, explaining the marked rise in incidence in older adults.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Head trauma: The commonest identifiable secondary cause (~7–17% of cases); mechanical shock dislodges otoconia and is frequently bilateral — common after road-traffic and sports injuries.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Vitamin D deficiency and disordered calcium metabolism: Impaired otoconial calcium homeostasis promotes detachment and recurrence — particularly relevant given India's very high background rate of hypovitaminosis 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Osteoporosis / oestrogen deficiency: Reduced bone and otoconial mineral turnover in postmenopausal women predisposes to, and increases recurrence of, BPPV.</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Labyrinthine insult: Vestibular neuritis/labyrinthitis, Ménière disease, migraine and ischaemia damage the labyrinth and liberate otoconia into the canals.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Prolonged bed rest / sustained head position: Immobilisation lets otoconia settle within a canal; recognised after illness, surgery, or long dental/salon procedures.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(middle-aged)</w:t>
            </w:r>
          </w:p>
        </w:tc>
        <w:tc>
          <w:tcPr>
            <w:tcW w:type="dxa" w:w="4276"/>
            <w:vAlign w:val="top"/>
          </w:tcPr>
          <w:p>
            <w:pPr>
              <w:spacing w:after="60" w:line="259" w:lineRule="auto"/>
            </w:pPr>
            <w:r>
              <w:rPr>
                <w:rFonts w:ascii="Calibri" w:hAnsi="Calibri"/>
                <w:b w:val="0"/>
                <w:i w:val="0"/>
                <w:color w:val="212121"/>
                <w:sz w:val="19"/>
              </w:rPr>
              <w:t>Incidence climbs from mid-life as the otoconial membrane degenerates and crystals detach more readily. Displaced otoconia enter a semicircular canal and make it gravity-sensitive, triggering brief positional vertigo.</w:t>
            </w:r>
          </w:p>
          <w:p>
            <w:pPr>
              <w:spacing w:after="40" w:before="60" w:line="259" w:lineRule="auto"/>
            </w:pPr>
            <w:r>
              <w:rPr>
                <w:rFonts w:ascii="Calibri" w:hAnsi="Calibri"/>
                <w:b w:val="0"/>
                <w:i w:val="0"/>
                <w:color w:val="212121"/>
                <w:sz w:val="19"/>
              </w:rPr>
              <w:t>Onset most commonly occurs in the fifth to seventh decades; population studies place peak BPPV incidence around the 51–60-year band.</w:t>
            </w:r>
          </w:p>
          <w:p>
            <w:pPr>
              <w:spacing w:after="40" w:line="252" w:lineRule="auto"/>
            </w:pPr>
            <w:hyperlink r:id="rId9">
              <w:r>
                <w:rPr>
                  <w:rFonts w:ascii="Calibri" w:hAnsi="Calibri" w:cs="Calibri"/>
                  <w:sz w:val="18"/>
                  <w:color w:val="1155CC"/>
                  <w:u w:val="single"/>
                </w:rPr>
                <w:t xml:space="preserve">pmc.ncbi.nlm.nih.gov/articles/PMC6383320</w:t>
              </w:r>
            </w:hyperlink>
          </w:p>
          <w:p>
            <w:pPr>
              <w:spacing w:before="60" w:after="40"/>
            </w:pPr>
            <w:r>
              <w:rPr>
                <w:rFonts w:ascii="Calibri" w:hAnsi="Calibri"/>
                <w:b w:val="0"/>
                <w:i w:val="0"/>
                <w:color w:val="5A5A5A"/>
                <w:sz w:val="18"/>
              </w:rPr>
              <w:t>#otoconia  #positionalvertigo  #midlife  #labyrinth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Highest risk group: cumulative otoconial degeneration plus frequent immobility, osteoporosis and vitamin D deficiency. In older adults BPPV is a major, often-missed contributor to imbalance and falls.</w:t>
            </w:r>
          </w:p>
          <w:p>
            <w:pPr>
              <w:spacing w:after="40" w:before="60" w:line="259" w:lineRule="auto"/>
            </w:pPr>
            <w:r>
              <w:rPr>
                <w:rFonts w:ascii="Calibri" w:hAnsi="Calibri"/>
                <w:b w:val="0"/>
                <w:i w:val="0"/>
                <w:color w:val="212121"/>
                <w:sz w:val="19"/>
              </w:rPr>
              <w:t>About 9% of elderly patients attending for non-balance complaints were found to have unrecognised BPPV.</w:t>
            </w:r>
          </w:p>
          <w:p>
            <w:pPr>
              <w:spacing w:after="40" w:line="252" w:lineRule="auto"/>
            </w:pPr>
            <w:hyperlink r:id="rId9">
              <w:r>
                <w:rPr>
                  <w:rFonts w:ascii="Calibri" w:hAnsi="Calibri" w:cs="Calibri"/>
                  <w:sz w:val="18"/>
                  <w:color w:val="1155CC"/>
                  <w:u w:val="single"/>
                </w:rPr>
                <w:t xml:space="preserve">pmc.ncbi.nlm.nih.gov/articles/PMC6383320</w:t>
              </w:r>
            </w:hyperlink>
          </w:p>
          <w:p>
            <w:pPr>
              <w:spacing w:before="60" w:after="40"/>
            </w:pPr>
            <w:r>
              <w:rPr>
                <w:rFonts w:ascii="Calibri" w:hAnsi="Calibri"/>
                <w:b w:val="0"/>
                <w:i w:val="0"/>
                <w:color w:val="5A5A5A"/>
                <w:sz w:val="18"/>
              </w:rPr>
              <w:t>#elderly  #falls  #unrecognised  #imbalance  #geriatric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roughly twice as often as men. Oestrogen influences inner-ear calcium handling and otoconial integrity; postmenopausal oestrogen decline plus osteoporosis raises both occurrence and recurrence.</w:t>
            </w:r>
          </w:p>
          <w:p>
            <w:pPr>
              <w:spacing w:after="40" w:before="60" w:line="259" w:lineRule="auto"/>
            </w:pPr>
            <w:r>
              <w:rPr>
                <w:rFonts w:ascii="Calibri" w:hAnsi="Calibri"/>
                <w:b w:val="0"/>
                <w:i w:val="0"/>
                <w:color w:val="212121"/>
                <w:sz w:val="19"/>
              </w:rPr>
              <w:t>Female-to-male ratio is about 2–3:1; meta-analysis gives female sex a pooled odds ratio of 1.18 (95% CI 1.05–1.32).</w:t>
            </w:r>
          </w:p>
          <w:p>
            <w:pPr>
              <w:spacing w:after="40" w:line="252" w:lineRule="auto"/>
            </w:pPr>
            <w:hyperlink r:id="rId10">
              <w:r>
                <w:rPr>
                  <w:rFonts w:ascii="Calibri" w:hAnsi="Calibri" w:cs="Calibri"/>
                  <w:sz w:val="18"/>
                  <w:color w:val="1155CC"/>
                  <w:u w:val="single"/>
                </w:rPr>
                <w:t xml:space="preserve">pmc.ncbi.nlm.nih.gov/articles/PMC7324663 (meta-analysis)</w:t>
              </w:r>
            </w:hyperlink>
          </w:p>
          <w:p>
            <w:pPr>
              <w:spacing w:before="60" w:after="40"/>
            </w:pPr>
            <w:r>
              <w:rPr>
                <w:rFonts w:ascii="Calibri" w:hAnsi="Calibri"/>
                <w:b w:val="0"/>
                <w:i w:val="0"/>
                <w:color w:val="5A5A5A"/>
                <w:sz w:val="18"/>
              </w:rPr>
              <w:t>#female  #oestrogen  #postmenopausal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Indoor workers, veiled / covered-clothing groups</w:t>
            </w:r>
          </w:p>
        </w:tc>
        <w:tc>
          <w:tcPr>
            <w:tcW w:type="dxa" w:w="4276"/>
            <w:vAlign w:val="top"/>
          </w:tcPr>
          <w:p>
            <w:pPr>
              <w:spacing w:after="60" w:line="259" w:lineRule="auto"/>
            </w:pPr>
            <w:r>
              <w:rPr>
                <w:rFonts w:ascii="Calibri" w:hAnsi="Calibri"/>
                <w:b w:val="0"/>
                <w:i w:val="0"/>
                <w:color w:val="212121"/>
                <w:sz w:val="19"/>
              </w:rPr>
              <w:t>Limited skin sun-exposure from indoor occupations, urban living, air pollution and cultural covering drives widespread vitamin D deficiency, impairing otoconial calcium homeostasis and predisposing to BPPV and its recurrence.</w:t>
            </w:r>
          </w:p>
          <w:p>
            <w:pPr>
              <w:spacing w:after="40" w:before="60" w:line="259" w:lineRule="auto"/>
            </w:pPr>
            <w:r>
              <w:rPr>
                <w:rFonts w:ascii="Calibri" w:hAnsi="Calibri"/>
                <w:b w:val="0"/>
                <w:i w:val="0"/>
                <w:color w:val="212121"/>
                <w:sz w:val="19"/>
              </w:rPr>
              <w:t>Despite abundant sunshine, a high prevalence (roughly 50–90%) of vitamin D deficiency is documented across Indian populations.</w:t>
            </w:r>
          </w:p>
          <w:p>
            <w:pPr>
              <w:spacing w:after="40" w:line="252" w:lineRule="auto"/>
            </w:pPr>
            <w:hyperlink r:id="rId11">
              <w:r>
                <w:rPr>
                  <w:rFonts w:ascii="Calibri" w:hAnsi="Calibri" w:cs="Calibri"/>
                  <w:sz w:val="18"/>
                  <w:color w:val="1155CC"/>
                  <w:u w:val="single"/>
                </w:rPr>
                <w:t xml:space="preserve">ijmr.org.in — hypovitaminosis D in India</w:t>
              </w:r>
            </w:hyperlink>
          </w:p>
          <w:p>
            <w:pPr>
              <w:spacing w:before="60" w:after="40"/>
            </w:pPr>
            <w:r>
              <w:rPr>
                <w:rFonts w:ascii="Calibri" w:hAnsi="Calibri"/>
                <w:b w:val="0"/>
                <w:i w:val="0"/>
                <w:color w:val="5A5A5A"/>
                <w:sz w:val="18"/>
              </w:rPr>
              <w:t>#vitaminD  #sunexposure  #indoor  #urban</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population (low vitamin D status)</w:t>
            </w:r>
          </w:p>
        </w:tc>
        <w:tc>
          <w:tcPr>
            <w:tcW w:type="dxa" w:w="4276"/>
            <w:vAlign w:val="top"/>
          </w:tcPr>
          <w:p>
            <w:pPr>
              <w:spacing w:after="60" w:line="259" w:lineRule="auto"/>
            </w:pPr>
            <w:r>
              <w:rPr>
                <w:rFonts w:ascii="Calibri" w:hAnsi="Calibri"/>
                <w:b w:val="0"/>
                <w:i w:val="0"/>
                <w:color w:val="212121"/>
                <w:sz w:val="19"/>
              </w:rPr>
              <w:t>India carries one of the world's highest burdens of hypovitaminosis D alongside low dietary calcium intake, a biochemical milieu that undermines otoconial stability and is linked to higher BPPV occurrence and recurrence.</w:t>
            </w:r>
          </w:p>
          <w:p>
            <w:pPr>
              <w:spacing w:after="40" w:before="60" w:line="259" w:lineRule="auto"/>
            </w:pPr>
            <w:r>
              <w:rPr>
                <w:rFonts w:ascii="Calibri" w:hAnsi="Calibri"/>
                <w:b w:val="0"/>
                <w:i w:val="0"/>
                <w:color w:val="212121"/>
                <w:sz w:val="19"/>
              </w:rPr>
              <w:t>Adult vitamin D deficiency across Indian studies ranges widely from ~30% to over 90%.</w:t>
            </w:r>
          </w:p>
          <w:p>
            <w:pPr>
              <w:spacing w:after="40" w:line="252" w:lineRule="auto"/>
            </w:pPr>
            <w:hyperlink r:id="rId11">
              <w:r>
                <w:rPr>
                  <w:rFonts w:ascii="Calibri" w:hAnsi="Calibri" w:cs="Calibri"/>
                  <w:sz w:val="18"/>
                  <w:color w:val="1155CC"/>
                  <w:u w:val="single"/>
                </w:rPr>
                <w:t xml:space="preserve">ijmr.org.in — hypovitaminosis D in India</w:t>
              </w:r>
            </w:hyperlink>
          </w:p>
          <w:p>
            <w:pPr>
              <w:spacing w:before="60" w:after="40"/>
            </w:pPr>
            <w:r>
              <w:rPr>
                <w:rFonts w:ascii="Calibri" w:hAnsi="Calibri"/>
                <w:b w:val="0"/>
                <w:i w:val="0"/>
                <w:color w:val="5A5A5A"/>
                <w:sz w:val="18"/>
              </w:rPr>
              <w:t>#India  #vitaminD  #lowcalcium  #recurrence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Prolonged bed rest</w:t>
            </w:r>
          </w:p>
        </w:tc>
        <w:tc>
          <w:tcPr>
            <w:tcW w:type="dxa" w:w="2160"/>
            <w:vAlign w:val="top"/>
          </w:tcPr>
          <w:p>
            <w:pPr>
              <w:spacing w:after="40" w:before="0" w:line="259" w:lineRule="auto"/>
            </w:pPr>
            <w:r>
              <w:rPr>
                <w:rFonts w:ascii="Calibri" w:hAnsi="Calibri"/>
                <w:b w:val="0"/>
                <w:i w:val="0"/>
                <w:color w:val="212121"/>
                <w:sz w:val="19"/>
              </w:rPr>
              <w:t>Bedridden, post-operative, post-illness patients</w:t>
            </w:r>
          </w:p>
        </w:tc>
        <w:tc>
          <w:tcPr>
            <w:tcW w:type="dxa" w:w="4276"/>
            <w:vAlign w:val="top"/>
          </w:tcPr>
          <w:p>
            <w:pPr>
              <w:spacing w:after="60" w:line="259" w:lineRule="auto"/>
            </w:pPr>
            <w:r>
              <w:rPr>
                <w:rFonts w:ascii="Calibri" w:hAnsi="Calibri"/>
                <w:b w:val="0"/>
                <w:i w:val="0"/>
                <w:color w:val="212121"/>
                <w:sz w:val="19"/>
              </w:rPr>
              <w:t>Prolonged immobilisation and sustained supine head position allow free otoconia to settle within a semicircular canal rather than disperse, precipitating positional vertigo when the patient remobilises.</w:t>
            </w:r>
          </w:p>
          <w:p>
            <w:pPr>
              <w:spacing w:after="40" w:before="60" w:line="259" w:lineRule="auto"/>
            </w:pPr>
            <w:r>
              <w:rPr>
                <w:rFonts w:ascii="Calibri" w:hAnsi="Calibri"/>
                <w:b w:val="0"/>
                <w:i w:val="0"/>
                <w:color w:val="212121"/>
                <w:sz w:val="19"/>
              </w:rPr>
              <w:t>Prolonged bed rest is a recognised precipitant of BPPV; early mobilisation is advised where possible.</w:t>
            </w:r>
          </w:p>
          <w:p>
            <w:pPr>
              <w:spacing w:after="40" w:line="252" w:lineRule="auto"/>
            </w:pPr>
            <w:hyperlink r:id="rId12">
              <w:r>
                <w:rPr>
                  <w:rFonts w:ascii="Calibri" w:hAnsi="Calibri" w:cs="Calibri"/>
                  <w:sz w:val="18"/>
                  <w:color w:val="1155CC"/>
                  <w:u w:val="single"/>
                </w:rPr>
                <w:t xml:space="preserve">ncbi.nlm.nih.gov/books/NBK470308 (StatPearls)</w:t>
              </w:r>
            </w:hyperlink>
          </w:p>
          <w:p>
            <w:pPr>
              <w:spacing w:before="60" w:after="40"/>
            </w:pPr>
            <w:r>
              <w:rPr>
                <w:rFonts w:ascii="Calibri" w:hAnsi="Calibri"/>
                <w:b w:val="0"/>
                <w:i w:val="0"/>
                <w:color w:val="5A5A5A"/>
                <w:sz w:val="18"/>
              </w:rPr>
              <w:t>#bedrest  #immobility  #postop  #supine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Head trauma</w:t>
            </w:r>
          </w:p>
        </w:tc>
        <w:tc>
          <w:tcPr>
            <w:tcW w:type="dxa" w:w="2160"/>
            <w:vAlign w:val="top"/>
          </w:tcPr>
          <w:p>
            <w:pPr>
              <w:spacing w:after="40" w:before="0" w:line="259" w:lineRule="auto"/>
            </w:pPr>
            <w:r>
              <w:rPr>
                <w:rFonts w:ascii="Calibri" w:hAnsi="Calibri"/>
                <w:b w:val="0"/>
                <w:i w:val="0"/>
                <w:color w:val="212121"/>
                <w:sz w:val="19"/>
              </w:rPr>
              <w:t>Road-traffic, sports and fall injury victims</w:t>
            </w:r>
          </w:p>
        </w:tc>
        <w:tc>
          <w:tcPr>
            <w:tcW w:type="dxa" w:w="4276"/>
            <w:vAlign w:val="top"/>
          </w:tcPr>
          <w:p>
            <w:pPr>
              <w:spacing w:after="60" w:line="259" w:lineRule="auto"/>
            </w:pPr>
            <w:r>
              <w:rPr>
                <w:rFonts w:ascii="Calibri" w:hAnsi="Calibri"/>
                <w:b w:val="0"/>
                <w:i w:val="0"/>
                <w:color w:val="212121"/>
                <w:sz w:val="19"/>
              </w:rPr>
              <w:t>Mechanical shock to the head shears otoconia loose from the utricle, causing secondary — often bilateral — BPPV that tends to be more recurrent and harder to clear than idiopathic disease.</w:t>
            </w:r>
          </w:p>
          <w:p>
            <w:pPr>
              <w:spacing w:after="40" w:before="60" w:line="259" w:lineRule="auto"/>
            </w:pPr>
            <w:r>
              <w:rPr>
                <w:rFonts w:ascii="Calibri" w:hAnsi="Calibri"/>
                <w:b w:val="0"/>
                <w:i w:val="0"/>
                <w:color w:val="212121"/>
                <w:sz w:val="19"/>
              </w:rPr>
              <w:t>Head trauma is the commonest identifiable secondary cause (~7–17% of cases); pooled odds ratio 3.42 (95% CI 1.21–9.70).</w:t>
            </w:r>
          </w:p>
          <w:p>
            <w:pPr>
              <w:spacing w:after="40" w:line="252" w:lineRule="auto"/>
            </w:pPr>
            <w:hyperlink r:id="rId10">
              <w:r>
                <w:rPr>
                  <w:rFonts w:ascii="Calibri" w:hAnsi="Calibri" w:cs="Calibri"/>
                  <w:sz w:val="18"/>
                  <w:color w:val="1155CC"/>
                  <w:u w:val="single"/>
                </w:rPr>
                <w:t xml:space="preserve">pmc.ncbi.nlm.nih.gov/articles/PMC7324663 (meta-analysis)</w:t>
              </w:r>
            </w:hyperlink>
          </w:p>
          <w:p>
            <w:pPr>
              <w:spacing w:before="60" w:after="40"/>
            </w:pPr>
            <w:r>
              <w:rPr>
                <w:rFonts w:ascii="Calibri" w:hAnsi="Calibri"/>
                <w:b w:val="0"/>
                <w:i w:val="0"/>
                <w:color w:val="5A5A5A"/>
                <w:sz w:val="18"/>
              </w:rPr>
              <w:t>#headtrauma  #secondaryBPPV  #RTA  #sportsinjury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position</w:t>
            </w:r>
          </w:p>
        </w:tc>
        <w:tc>
          <w:tcPr>
            <w:tcW w:type="dxa" w:w="2160"/>
            <w:vAlign w:val="top"/>
          </w:tcPr>
          <w:p>
            <w:pPr>
              <w:spacing w:after="40" w:before="0" w:line="259" w:lineRule="auto"/>
            </w:pPr>
            <w:r>
              <w:rPr>
                <w:rFonts w:ascii="Calibri" w:hAnsi="Calibri"/>
                <w:b w:val="0"/>
                <w:i w:val="0"/>
                <w:color w:val="212121"/>
                <w:sz w:val="19"/>
              </w:rPr>
              <w:t>Habitual one-side sleepers</w:t>
            </w:r>
          </w:p>
        </w:tc>
        <w:tc>
          <w:tcPr>
            <w:tcW w:type="dxa" w:w="4276"/>
            <w:vAlign w:val="top"/>
          </w:tcPr>
          <w:p>
            <w:pPr>
              <w:spacing w:after="60" w:line="259" w:lineRule="auto"/>
            </w:pPr>
            <w:r>
              <w:rPr>
                <w:rFonts w:ascii="Calibri" w:hAnsi="Calibri"/>
                <w:b w:val="0"/>
                <w:i w:val="0"/>
                <w:color w:val="212121"/>
                <w:sz w:val="19"/>
              </w:rPr>
              <w:t>Consistently sleeping on the same side is associated with same-side (ipsilateral) posterior-canal BPPV, as gravity favours otoconial settling in the dependent ear over prolonged supine periods.</w:t>
            </w:r>
          </w:p>
          <w:p>
            <w:pPr>
              <w:spacing w:after="40" w:before="60" w:line="259" w:lineRule="auto"/>
            </w:pPr>
            <w:r>
              <w:rPr>
                <w:rFonts w:ascii="Calibri" w:hAnsi="Calibri"/>
                <w:b w:val="0"/>
                <w:i w:val="0"/>
                <w:color w:val="212121"/>
                <w:sz w:val="19"/>
              </w:rPr>
              <w:t>Habitual lateral sleep posture correlates with the side of posterior-canal involvement in clinical series.</w:t>
            </w:r>
          </w:p>
          <w:p>
            <w:pPr>
              <w:spacing w:before="60" w:after="40"/>
            </w:pPr>
            <w:r>
              <w:rPr>
                <w:rFonts w:ascii="Calibri" w:hAnsi="Calibri"/>
                <w:b w:val="0"/>
                <w:i w:val="0"/>
                <w:color w:val="5A5A5A"/>
                <w:sz w:val="18"/>
              </w:rPr>
              <w:t>#sleepposition  #ipsilateral  #posteriorcanal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Tobacco's vascular effects on the labyrinthine microcirculation may marginally raise BPPV risk, though the evidence is weak and inconsistent compared with the vitamin-D, bone and trauma pathways.</w:t>
            </w:r>
          </w:p>
          <w:p>
            <w:pPr>
              <w:spacing w:after="40" w:before="60" w:line="259" w:lineRule="auto"/>
            </w:pPr>
            <w:r>
              <w:rPr>
                <w:rFonts w:ascii="Calibri" w:hAnsi="Calibri"/>
                <w:b w:val="0"/>
                <w:i w:val="0"/>
                <w:color w:val="212121"/>
                <w:sz w:val="19"/>
              </w:rPr>
              <w:t>Smoking shows only a weak, inconsistent association with BPPV in comorbidity reviews.</w:t>
            </w:r>
          </w:p>
          <w:p>
            <w:pPr>
              <w:spacing w:after="40" w:line="252" w:lineRule="auto"/>
            </w:pPr>
            <w:hyperlink r:id="rId13">
              <w:r>
                <w:rPr>
                  <w:rFonts w:ascii="Calibri" w:hAnsi="Calibri" w:cs="Calibri"/>
                  <w:sz w:val="18"/>
                  <w:color w:val="1155CC"/>
                  <w:u w:val="single"/>
                </w:rPr>
                <w:t xml:space="preserve">frontiersin.org — BPPV comorbidities review</w:t>
              </w:r>
            </w:hyperlink>
          </w:p>
          <w:p>
            <w:pPr>
              <w:spacing w:before="60" w:after="40"/>
            </w:pPr>
            <w:r>
              <w:rPr>
                <w:rFonts w:ascii="Calibri" w:hAnsi="Calibri"/>
                <w:b w:val="0"/>
                <w:i w:val="0"/>
                <w:color w:val="5A5A5A"/>
                <w:sz w:val="18"/>
              </w:rPr>
              <w:t>#smoking  #vascular  #weakassociation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calcium / vitamin D intake</w:t>
            </w:r>
          </w:p>
        </w:tc>
        <w:tc>
          <w:tcPr>
            <w:tcW w:type="dxa" w:w="2160"/>
            <w:vAlign w:val="top"/>
          </w:tcPr>
          <w:p>
            <w:pPr>
              <w:spacing w:after="40" w:before="0" w:line="259" w:lineRule="auto"/>
            </w:pPr>
            <w:r>
              <w:rPr>
                <w:rFonts w:ascii="Calibri" w:hAnsi="Calibri"/>
                <w:b w:val="0"/>
                <w:i w:val="0"/>
                <w:color w:val="212121"/>
                <w:sz w:val="19"/>
              </w:rPr>
              <w:t>Low-dairy vegetarian diets</w:t>
            </w:r>
          </w:p>
        </w:tc>
        <w:tc>
          <w:tcPr>
            <w:tcW w:type="dxa" w:w="4276"/>
            <w:vAlign w:val="top"/>
          </w:tcPr>
          <w:p>
            <w:pPr>
              <w:spacing w:after="60" w:line="259" w:lineRule="auto"/>
            </w:pPr>
            <w:r>
              <w:rPr>
                <w:rFonts w:ascii="Calibri" w:hAnsi="Calibri"/>
                <w:b w:val="0"/>
                <w:i w:val="0"/>
                <w:color w:val="212121"/>
                <w:sz w:val="19"/>
              </w:rPr>
              <w:t>Diets low in calcium and vitamin D — common in parts of India — impair the calcium metabolism that maintains otoconial structure, favouring crystal detachment and BPPV recurrence.</w:t>
            </w:r>
          </w:p>
          <w:p>
            <w:pPr>
              <w:spacing w:after="40" w:before="60" w:line="259" w:lineRule="auto"/>
            </w:pPr>
            <w:r>
              <w:rPr>
                <w:rFonts w:ascii="Calibri" w:hAnsi="Calibri"/>
                <w:b w:val="0"/>
                <w:i w:val="0"/>
                <w:color w:val="212121"/>
                <w:sz w:val="19"/>
              </w:rPr>
              <w:t>A high prevalence of vitamin D deficiency with low dietary calcium is documented in the Indian population.</w:t>
            </w:r>
          </w:p>
          <w:p>
            <w:pPr>
              <w:spacing w:after="40" w:line="252" w:lineRule="auto"/>
            </w:pPr>
            <w:hyperlink r:id="rId11">
              <w:r>
                <w:rPr>
                  <w:rFonts w:ascii="Calibri" w:hAnsi="Calibri" w:cs="Calibri"/>
                  <w:sz w:val="18"/>
                  <w:color w:val="1155CC"/>
                  <w:u w:val="single"/>
                </w:rPr>
                <w:t xml:space="preserve">ijmr.org.in — hypovitaminosis D in India</w:t>
              </w:r>
            </w:hyperlink>
          </w:p>
          <w:p>
            <w:pPr>
              <w:spacing w:before="60" w:after="40"/>
            </w:pPr>
            <w:r>
              <w:rPr>
                <w:rFonts w:ascii="Calibri" w:hAnsi="Calibri"/>
                <w:b w:val="0"/>
                <w:i w:val="0"/>
                <w:color w:val="5A5A5A"/>
                <w:sz w:val="18"/>
              </w:rPr>
              <w:t>#lowcalcium  #vitaminD  #vegetarian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Adults with metabolic-syndrome cluster</w:t>
            </w:r>
          </w:p>
        </w:tc>
        <w:tc>
          <w:tcPr>
            <w:tcW w:type="dxa" w:w="4276"/>
            <w:vAlign w:val="top"/>
          </w:tcPr>
          <w:p>
            <w:pPr>
              <w:spacing w:after="60" w:line="259" w:lineRule="auto"/>
            </w:pPr>
            <w:r>
              <w:rPr>
                <w:rFonts w:ascii="Calibri" w:hAnsi="Calibri"/>
                <w:b w:val="0"/>
                <w:i w:val="0"/>
                <w:color w:val="212121"/>
                <w:sz w:val="19"/>
              </w:rPr>
              <w:t>Obesity clusters with hypertension, diabetes and dyslipidaemia, which affect the labyrinthine microvasculature; dyslipidaemia in particular is associated with BPPV occurrence and slower treatment response.</w:t>
            </w:r>
          </w:p>
          <w:p>
            <w:pPr>
              <w:spacing w:after="40" w:before="60" w:line="259" w:lineRule="auto"/>
            </w:pPr>
            <w:r>
              <w:rPr>
                <w:rFonts w:ascii="Calibri" w:hAnsi="Calibri"/>
                <w:b w:val="0"/>
                <w:i w:val="0"/>
                <w:color w:val="212121"/>
                <w:sz w:val="19"/>
              </w:rPr>
              <w:t>Dyslipidaemia was associated with BPPV in 64% of good-quality studies in a systematic review.</w:t>
            </w:r>
          </w:p>
          <w:p>
            <w:pPr>
              <w:spacing w:after="40" w:line="252" w:lineRule="auto"/>
            </w:pPr>
            <w:hyperlink r:id="rId13">
              <w:r>
                <w:rPr>
                  <w:rFonts w:ascii="Calibri" w:hAnsi="Calibri" w:cs="Calibri"/>
                  <w:sz w:val="18"/>
                  <w:color w:val="1155CC"/>
                  <w:u w:val="single"/>
                </w:rPr>
                <w:t xml:space="preserve">frontiersin.org — BPPV comorbidities review</w:t>
              </w:r>
            </w:hyperlink>
          </w:p>
          <w:p>
            <w:pPr>
              <w:spacing w:before="60" w:after="40"/>
            </w:pPr>
            <w:r>
              <w:rPr>
                <w:rFonts w:ascii="Calibri" w:hAnsi="Calibri"/>
                <w:b w:val="0"/>
                <w:i w:val="0"/>
                <w:color w:val="5A5A5A"/>
                <w:sz w:val="18"/>
              </w:rPr>
              <w:t>#obesity  #dyslipidaemia  #metabolicsyndrome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vestibulopathy / affected first-degree relatives</w:t>
            </w:r>
          </w:p>
        </w:tc>
        <w:tc>
          <w:tcPr>
            <w:tcW w:type="dxa" w:w="4276"/>
            <w:vAlign w:val="top"/>
          </w:tcPr>
          <w:p>
            <w:pPr>
              <w:spacing w:after="60" w:line="259" w:lineRule="auto"/>
            </w:pPr>
            <w:r>
              <w:rPr>
                <w:rFonts w:ascii="Calibri" w:hAnsi="Calibri"/>
                <w:b w:val="0"/>
                <w:i w:val="0"/>
                <w:color w:val="212121"/>
                <w:sz w:val="19"/>
              </w:rPr>
              <w:t>Familial clustering and an inherited susceptibility to otoconial instability are described, particularly in early-onset and recurrent BPPV, reflecting shared genetic influences on inner-ear calcium handling.</w:t>
            </w:r>
          </w:p>
          <w:p>
            <w:pPr>
              <w:spacing w:after="40" w:before="60" w:line="259" w:lineRule="auto"/>
            </w:pPr>
            <w:r>
              <w:rPr>
                <w:rFonts w:ascii="Calibri" w:hAnsi="Calibri"/>
                <w:b w:val="0"/>
                <w:i w:val="0"/>
                <w:color w:val="212121"/>
                <w:sz w:val="19"/>
              </w:rPr>
              <w:t>Familial forms of BPPV are recognised, suggesting a heritable component in a subset of patients.</w:t>
            </w:r>
          </w:p>
          <w:p>
            <w:pPr>
              <w:spacing w:before="60" w:after="40"/>
            </w:pPr>
            <w:r>
              <w:rPr>
                <w:rFonts w:ascii="Calibri" w:hAnsi="Calibri"/>
                <w:b w:val="0"/>
                <w:i w:val="0"/>
                <w:color w:val="5A5A5A"/>
                <w:sz w:val="18"/>
              </w:rPr>
              <w:t>#familyhistory  #genetic  #recurrent  #inherited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Osteoporosis / Osteopenia</w:t>
            </w:r>
          </w:p>
        </w:tc>
        <w:tc>
          <w:tcPr>
            <w:tcW w:type="dxa" w:w="2160"/>
            <w:vAlign w:val="top"/>
          </w:tcPr>
          <w:p>
            <w:pPr>
              <w:spacing w:after="40" w:before="0" w:line="259" w:lineRule="auto"/>
            </w:pPr>
            <w:r>
              <w:rPr>
                <w:rFonts w:ascii="Calibri" w:hAnsi="Calibri"/>
                <w:b w:val="0"/>
                <w:i w:val="0"/>
                <w:color w:val="212121"/>
                <w:sz w:val="19"/>
              </w:rPr>
              <w:t>Postmenopausal women with low bone density</w:t>
            </w:r>
          </w:p>
        </w:tc>
        <w:tc>
          <w:tcPr>
            <w:tcW w:type="dxa" w:w="4276"/>
            <w:vAlign w:val="top"/>
          </w:tcPr>
          <w:p>
            <w:pPr>
              <w:spacing w:after="60" w:line="259" w:lineRule="auto"/>
            </w:pPr>
            <w:r>
              <w:rPr>
                <w:rFonts w:ascii="Calibri" w:hAnsi="Calibri"/>
                <w:b w:val="0"/>
                <w:i w:val="0"/>
                <w:color w:val="212121"/>
                <w:sz w:val="19"/>
              </w:rPr>
              <w:t>Reduced systemic bone-mineral turnover parallels reduced otoconial mineral integrity, so crystals detach and re-form abnormally — tightly linking osteoporosis with both BPPV onset and recurrence.</w:t>
            </w:r>
          </w:p>
          <w:p>
            <w:pPr>
              <w:spacing w:after="40" w:before="60" w:line="259" w:lineRule="auto"/>
            </w:pPr>
            <w:r>
              <w:rPr>
                <w:rFonts w:ascii="Calibri" w:hAnsi="Calibri"/>
                <w:b w:val="0"/>
                <w:i w:val="0"/>
                <w:color w:val="212121"/>
                <w:sz w:val="19"/>
              </w:rPr>
              <w:t>Osteoporosis carries a pooled odds ratio of 2.49 (95% CI 1.39–4.46) for BPPV.</w:t>
            </w:r>
          </w:p>
          <w:p>
            <w:pPr>
              <w:spacing w:after="40" w:line="252" w:lineRule="auto"/>
            </w:pPr>
            <w:hyperlink r:id="rId10">
              <w:r>
                <w:rPr>
                  <w:rFonts w:ascii="Calibri" w:hAnsi="Calibri" w:cs="Calibri"/>
                  <w:sz w:val="18"/>
                  <w:color w:val="1155CC"/>
                  <w:u w:val="single"/>
                </w:rPr>
                <w:t xml:space="preserve">pmc.ncbi.nlm.nih.gov/articles/PMC7324663 (meta-analysis)</w:t>
              </w:r>
            </w:hyperlink>
          </w:p>
          <w:p>
            <w:pPr>
              <w:spacing w:before="60" w:after="40"/>
            </w:pPr>
            <w:r>
              <w:rPr>
                <w:rFonts w:ascii="Calibri" w:hAnsi="Calibri"/>
                <w:b w:val="0"/>
                <w:i w:val="0"/>
                <w:color w:val="5A5A5A"/>
                <w:sz w:val="18"/>
              </w:rPr>
              <w:t>#osteoporosis  #bonedensity  #postmenopausal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Patients with low serum 25(OH)D</w:t>
            </w:r>
          </w:p>
        </w:tc>
        <w:tc>
          <w:tcPr>
            <w:tcW w:type="dxa" w:w="4276"/>
            <w:vAlign w:val="top"/>
          </w:tcPr>
          <w:p>
            <w:pPr>
              <w:spacing w:after="60" w:line="259" w:lineRule="auto"/>
            </w:pPr>
            <w:r>
              <w:rPr>
                <w:rFonts w:ascii="Calibri" w:hAnsi="Calibri"/>
                <w:b w:val="0"/>
                <w:i w:val="0"/>
                <w:color w:val="212121"/>
                <w:sz w:val="19"/>
              </w:rPr>
              <w:t>Low vitamin D impairs the calcium homeostasis that stabilises otoconia; deficiency is over-represented in BPPV and correction reduces recurrence, a finding especially pertinent in India.</w:t>
            </w:r>
          </w:p>
          <w:p>
            <w:pPr>
              <w:spacing w:after="40" w:before="60" w:line="259" w:lineRule="auto"/>
            </w:pPr>
            <w:r>
              <w:rPr>
                <w:rFonts w:ascii="Calibri" w:hAnsi="Calibri"/>
                <w:b w:val="0"/>
                <w:i w:val="0"/>
                <w:color w:val="212121"/>
                <w:sz w:val="19"/>
              </w:rPr>
              <w:t>In an Indian cohort every BPPV patient had serum 25(OH)D below 20 ng/mL, and supplementation lowered recurrence.</w:t>
            </w:r>
          </w:p>
          <w:p>
            <w:pPr>
              <w:spacing w:after="40" w:line="252" w:lineRule="auto"/>
            </w:pPr>
            <w:hyperlink r:id="rId14">
              <w:r>
                <w:rPr>
                  <w:rFonts w:ascii="Calibri" w:hAnsi="Calibri" w:cs="Calibri"/>
                  <w:sz w:val="18"/>
                  <w:color w:val="1155CC"/>
                  <w:u w:val="single"/>
                </w:rPr>
                <w:t xml:space="preserve">link.springer.com — Indian BPPV &amp; vitamin D study</w:t>
              </w:r>
            </w:hyperlink>
          </w:p>
          <w:p>
            <w:pPr>
              <w:spacing w:before="60" w:after="40"/>
            </w:pPr>
            <w:r>
              <w:rPr>
                <w:rFonts w:ascii="Calibri" w:hAnsi="Calibri"/>
                <w:b w:val="0"/>
                <w:i w:val="0"/>
                <w:color w:val="5A5A5A"/>
                <w:sz w:val="18"/>
              </w:rPr>
              <w:t>#vitaminD  #25OHD  #recurrence  #supplementation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Migraine / Vestibular migraine</w:t>
            </w:r>
          </w:p>
        </w:tc>
        <w:tc>
          <w:tcPr>
            <w:tcW w:type="dxa" w:w="2160"/>
            <w:vAlign w:val="top"/>
          </w:tcPr>
          <w:p>
            <w:pPr>
              <w:spacing w:after="40" w:before="0" w:line="259" w:lineRule="auto"/>
            </w:pPr>
            <w:r>
              <w:rPr>
                <w:rFonts w:ascii="Calibri" w:hAnsi="Calibri"/>
                <w:b w:val="0"/>
                <w:i w:val="0"/>
                <w:color w:val="212121"/>
                <w:sz w:val="19"/>
              </w:rPr>
              <w:t>Migraineurs</w:t>
            </w:r>
          </w:p>
        </w:tc>
        <w:tc>
          <w:tcPr>
            <w:tcW w:type="dxa" w:w="4276"/>
            <w:vAlign w:val="top"/>
          </w:tcPr>
          <w:p>
            <w:pPr>
              <w:spacing w:after="60" w:line="259" w:lineRule="auto"/>
            </w:pPr>
            <w:r>
              <w:rPr>
                <w:rFonts w:ascii="Calibri" w:hAnsi="Calibri"/>
                <w:b w:val="0"/>
                <w:i w:val="0"/>
                <w:color w:val="212121"/>
                <w:sz w:val="19"/>
              </w:rPr>
              <w:t>Recurrent trigemino-vascular and ischaemic insults to the labyrinth are thought to liberate otoconia; migraine is one of the strongest comorbid associations with BPPV and predicts recurrence.</w:t>
            </w:r>
          </w:p>
          <w:p>
            <w:pPr>
              <w:spacing w:after="40" w:before="60" w:line="259" w:lineRule="auto"/>
            </w:pPr>
            <w:r>
              <w:rPr>
                <w:rFonts w:ascii="Calibri" w:hAnsi="Calibri"/>
                <w:b w:val="0"/>
                <w:i w:val="0"/>
                <w:color w:val="212121"/>
                <w:sz w:val="19"/>
              </w:rPr>
              <w:t>Migraine carries a pooled odds ratio of 4.40 (95% CI 2.67–7.25); prevalence in BPPV patients is about twice that of controls.</w:t>
            </w:r>
          </w:p>
          <w:p>
            <w:pPr>
              <w:spacing w:after="40" w:line="252" w:lineRule="auto"/>
            </w:pPr>
            <w:hyperlink r:id="rId10">
              <w:r>
                <w:rPr>
                  <w:rFonts w:ascii="Calibri" w:hAnsi="Calibri" w:cs="Calibri"/>
                  <w:sz w:val="18"/>
                  <w:color w:val="1155CC"/>
                  <w:u w:val="single"/>
                </w:rPr>
                <w:t xml:space="preserve">pmc.ncbi.nlm.nih.gov/articles/PMC7324663 (meta-analysis)</w:t>
              </w:r>
            </w:hyperlink>
          </w:p>
          <w:p>
            <w:pPr>
              <w:spacing w:before="60" w:after="40"/>
            </w:pPr>
            <w:r>
              <w:rPr>
                <w:rFonts w:ascii="Calibri" w:hAnsi="Calibri"/>
                <w:b w:val="0"/>
                <w:i w:val="0"/>
                <w:color w:val="5A5A5A"/>
                <w:sz w:val="18"/>
              </w:rPr>
              <w:t>#migraine  #vestibularmigraine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Ménière disease / Vestibular neuritis</w:t>
            </w:r>
          </w:p>
        </w:tc>
        <w:tc>
          <w:tcPr>
            <w:tcW w:type="dxa" w:w="2160"/>
            <w:vAlign w:val="top"/>
          </w:tcPr>
          <w:p>
            <w:pPr>
              <w:spacing w:after="40" w:before="0" w:line="259" w:lineRule="auto"/>
            </w:pPr>
            <w:r>
              <w:rPr>
                <w:rFonts w:ascii="Calibri" w:hAnsi="Calibri"/>
                <w:b w:val="0"/>
                <w:i w:val="0"/>
                <w:color w:val="212121"/>
                <w:sz w:val="19"/>
              </w:rPr>
              <w:t>Prior inner-ear disease</w:t>
            </w:r>
          </w:p>
        </w:tc>
        <w:tc>
          <w:tcPr>
            <w:tcW w:type="dxa" w:w="4276"/>
            <w:vAlign w:val="top"/>
          </w:tcPr>
          <w:p>
            <w:pPr>
              <w:spacing w:after="60" w:line="259" w:lineRule="auto"/>
            </w:pPr>
            <w:r>
              <w:rPr>
                <w:rFonts w:ascii="Calibri" w:hAnsi="Calibri"/>
                <w:b w:val="0"/>
                <w:i w:val="0"/>
                <w:color w:val="212121"/>
                <w:sz w:val="19"/>
              </w:rPr>
              <w:t>Endolymphatic hydrops and inflammatory labyrinthine damage release otoconia into the canals, producing secondary BPPV that is often recurrent and refractory to a single repositioning maneuver.</w:t>
            </w:r>
          </w:p>
          <w:p>
            <w:pPr>
              <w:spacing w:after="40" w:before="60" w:line="259" w:lineRule="auto"/>
            </w:pPr>
            <w:r>
              <w:rPr>
                <w:rFonts w:ascii="Calibri" w:hAnsi="Calibri"/>
                <w:b w:val="0"/>
                <w:i w:val="0"/>
                <w:color w:val="212121"/>
                <w:sz w:val="19"/>
              </w:rPr>
              <w:t>Ménière disease and labyrinthitis are recognised secondary causes among the ~17% of BPPV that is non-idiopathic.</w:t>
            </w:r>
          </w:p>
          <w:p>
            <w:pPr>
              <w:spacing w:after="40" w:line="252" w:lineRule="auto"/>
            </w:pPr>
            <w:hyperlink r:id="rId15">
              <w:r>
                <w:rPr>
                  <w:rFonts w:ascii="Calibri" w:hAnsi="Calibri" w:cs="Calibri"/>
                  <w:sz w:val="18"/>
                  <w:color w:val="1155CC"/>
                  <w:u w:val="single"/>
                </w:rPr>
                <w:t xml:space="preserve">link.springer.com — BPPV population study</w:t>
              </w:r>
            </w:hyperlink>
          </w:p>
          <w:p>
            <w:pPr>
              <w:spacing w:before="60" w:after="40"/>
            </w:pPr>
            <w:r>
              <w:rPr>
                <w:rFonts w:ascii="Calibri" w:hAnsi="Calibri"/>
                <w:b w:val="0"/>
                <w:i w:val="0"/>
                <w:color w:val="5A5A5A"/>
                <w:sz w:val="18"/>
              </w:rPr>
              <w:t>#Meniere  #labyrinthitis  #secondaryBPPV  #refractory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w:t>
            </w:r>
          </w:p>
        </w:tc>
        <w:tc>
          <w:tcPr>
            <w:tcW w:type="dxa" w:w="4276"/>
            <w:vAlign w:val="top"/>
          </w:tcPr>
          <w:p>
            <w:pPr>
              <w:spacing w:after="60" w:line="259" w:lineRule="auto"/>
            </w:pPr>
            <w:r>
              <w:rPr>
                <w:rFonts w:ascii="Calibri" w:hAnsi="Calibri"/>
                <w:b w:val="0"/>
                <w:i w:val="0"/>
                <w:color w:val="212121"/>
                <w:sz w:val="19"/>
              </w:rPr>
              <w:t>Chronic hyperglycaemia damages the labyrinthine microvasculature and vestibular nerve, and is associated with BPPV that may require more repositioning sessions to resolve.</w:t>
            </w:r>
          </w:p>
          <w:p>
            <w:pPr>
              <w:spacing w:after="40" w:before="60" w:line="259" w:lineRule="auto"/>
            </w:pPr>
            <w:r>
              <w:rPr>
                <w:rFonts w:ascii="Calibri" w:hAnsi="Calibri"/>
                <w:b w:val="0"/>
                <w:i w:val="0"/>
                <w:color w:val="212121"/>
                <w:sz w:val="19"/>
              </w:rPr>
              <w:t>In an Indian BPPV series ~9% had diabetes; comorbid diabetes is linked to needing more treatment sessions.</w:t>
            </w:r>
          </w:p>
          <w:p>
            <w:pPr>
              <w:spacing w:after="40" w:line="252" w:lineRule="auto"/>
            </w:pPr>
            <w:hyperlink r:id="rId16">
              <w:r>
                <w:rPr>
                  <w:rFonts w:ascii="Calibri" w:hAnsi="Calibri" w:cs="Calibri"/>
                  <w:sz w:val="18"/>
                  <w:color w:val="1155CC"/>
                  <w:u w:val="single"/>
                </w:rPr>
                <w:t xml:space="preserve">impactfactor.org — Indian BPPV study (IJPCR)</w:t>
              </w:r>
            </w:hyperlink>
          </w:p>
          <w:p>
            <w:pPr>
              <w:spacing w:before="60" w:after="40"/>
            </w:pPr>
            <w:r>
              <w:rPr>
                <w:rFonts w:ascii="Calibri" w:hAnsi="Calibri"/>
                <w:b w:val="0"/>
                <w:i w:val="0"/>
                <w:color w:val="5A5A5A"/>
                <w:sz w:val="18"/>
              </w:rPr>
              <w:t>#diabetes  #microvascular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Adults with hypertension</w:t>
            </w:r>
          </w:p>
        </w:tc>
        <w:tc>
          <w:tcPr>
            <w:tcW w:type="dxa" w:w="4276"/>
            <w:vAlign w:val="top"/>
          </w:tcPr>
          <w:p>
            <w:pPr>
              <w:spacing w:after="60" w:line="259" w:lineRule="auto"/>
            </w:pPr>
            <w:r>
              <w:rPr>
                <w:rFonts w:ascii="Calibri" w:hAnsi="Calibri"/>
                <w:b w:val="0"/>
                <w:i w:val="0"/>
                <w:color w:val="212121"/>
                <w:sz w:val="19"/>
              </w:rPr>
              <w:t>Hypertension-related microvascular change in the inner ear is a plausible contributor and a frequent comorbidity in BPPV cohorts, though its independent causal role remains modest.</w:t>
            </w:r>
          </w:p>
          <w:p>
            <w:pPr>
              <w:spacing w:after="40" w:before="60" w:line="259" w:lineRule="auto"/>
            </w:pPr>
            <w:r>
              <w:rPr>
                <w:rFonts w:ascii="Calibri" w:hAnsi="Calibri"/>
                <w:b w:val="0"/>
                <w:i w:val="0"/>
                <w:color w:val="212121"/>
                <w:sz w:val="19"/>
              </w:rPr>
              <w:t>About 13% of an Indian BPPV series were hypertensive; hypertension is a commonly reported BPPV comorbidity.</w:t>
            </w:r>
          </w:p>
          <w:p>
            <w:pPr>
              <w:spacing w:after="40" w:line="252" w:lineRule="auto"/>
            </w:pPr>
            <w:hyperlink r:id="rId16">
              <w:r>
                <w:rPr>
                  <w:rFonts w:ascii="Calibri" w:hAnsi="Calibri" w:cs="Calibri"/>
                  <w:sz w:val="18"/>
                  <w:color w:val="1155CC"/>
                  <w:u w:val="single"/>
                </w:rPr>
                <w:t xml:space="preserve">impactfactor.org — Indian BPPV study (IJPCR)</w:t>
              </w:r>
            </w:hyperlink>
          </w:p>
          <w:p>
            <w:pPr>
              <w:spacing w:before="60" w:after="40"/>
            </w:pPr>
            <w:r>
              <w:rPr>
                <w:rFonts w:ascii="Calibri" w:hAnsi="Calibri"/>
                <w:b w:val="0"/>
                <w:i w:val="0"/>
                <w:color w:val="5A5A5A"/>
                <w:sz w:val="18"/>
              </w:rPr>
              <w:t>#hypertension  #vascular  #comorbidity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bed rest and immobilisation let otoconia settle within a canal and are recognised precipitants of BPPV; conversely, weight-bearing activity supports bone and otoconial mineral health. Direct exercise-based prevention evidence is modest.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acts mainly indirectly via calcium and vitamin D status — low intake is linked to higher occurrence and recurrence — but no specific 'BPPV diet' is established.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Habitual sleeping on one side is associated with same-side posterior-canal BPPV, and prolonged supine positioning can precipitate episodes; poor sleep worsens dizziness handicap.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Weak, inconsistent association: smoking's vascular effects on the labyrinth may marginally raise risk, but evidence is limited.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causes transient positional alcohol nystagmus that is distinct from true BPPV; a causal link is weak, though intoxication impairs balance and increases fall risk during vertigo.</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Anxiety and depression frequently coexist with BPPV and predict persistence; untreated positional vertigo can evolve into persistent postural-perceptual dizziness (PPPD).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direct role in BPPV; dehydration-related lightheadedness should be distinguished from true positional vertigo.</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effect on BPPV itself; excess caffeine may aggravate coexisting anxiety-related dizziness, so moderation is sometimes advised during acute vertigo.</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general hygiene has no established role in the pathogenesis of BPPV.</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Positional change is the defining trigger: rolling over in bed, lying down or sitting up, bending forward and looking upward reliably provoke episodes; sudden head movement and vibration (e.g., travel) can precipitate attacks.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and extreme head positions — dental chair, salon shampoo basin, prolonged supine posture, neck extension for overhead work — are recognised precipitants; head position relative to gravity is central to both symptom provocation and repositioning treatment.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activity (minutes/week)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Prolonged bed rest / immobilisation</w:t>
            </w:r>
          </w:p>
        </w:tc>
        <w:tc>
          <w:tcPr>
            <w:tcW w:type="dxa" w:w="1468"/>
            <w:vAlign w:val="top"/>
          </w:tcPr>
          <w:p>
            <w:pPr>
              <w:spacing w:after="40" w:before="0" w:line="259" w:lineRule="auto"/>
            </w:pPr>
            <w:r>
              <w:rPr>
                <w:rFonts w:ascii="Calibri" w:hAnsi="Calibri"/>
                <w:b w:val="0"/>
                <w:i w:val="0"/>
                <w:color w:val="212121"/>
                <w:sz w:val="19"/>
              </w:rPr>
              <w:t>Early mobilisation prevents otoconial settling and supports bone health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Days immobilised / bedridden</w:t>
            </w:r>
          </w:p>
        </w:tc>
        <w:tc>
          <w:tcPr>
            <w:tcW w:type="dxa" w:w="1655"/>
            <w:vAlign w:val="top"/>
          </w:tcPr>
          <w:p>
            <w:pPr>
              <w:spacing w:after="40" w:before="0" w:line="259" w:lineRule="auto"/>
            </w:pPr>
            <w:r>
              <w:rPr>
                <w:rFonts w:ascii="Calibri" w:hAnsi="Calibri"/>
                <w:b w:val="0"/>
                <w:i w:val="0"/>
                <w:color w:val="212121"/>
                <w:sz w:val="19"/>
              </w:rPr>
              <w:t>Post-op, post-illness</w:t>
            </w:r>
          </w:p>
        </w:tc>
        <w:tc>
          <w:tcPr>
            <w:tcW w:type="dxa" w:w="1512"/>
            <w:vAlign w:val="top"/>
          </w:tcPr>
          <w:p>
            <w:pPr>
              <w:spacing w:after="40" w:before="0" w:line="259" w:lineRule="auto"/>
            </w:pPr>
            <w:r>
              <w:rPr>
                <w:rFonts w:ascii="Calibri" w:hAnsi="Calibri"/>
                <w:b w:val="0"/>
                <w:i w:val="0"/>
                <w:color w:val="212121"/>
                <w:sz w:val="19"/>
              </w:rPr>
              <w:t>Early mobilisation</w:t>
            </w:r>
          </w:p>
        </w:tc>
        <w:tc>
          <w:tcPr>
            <w:tcW w:type="dxa" w:w="1512"/>
            <w:vAlign w:val="top"/>
          </w:tcPr>
          <w:p>
            <w:pPr>
              <w:spacing w:after="40" w:before="0" w:line="259" w:lineRule="auto"/>
            </w:pPr>
            <w:r>
              <w:rPr>
                <w:rFonts w:ascii="Calibri" w:hAnsi="Calibri"/>
                <w:b w:val="0"/>
                <w:i w:val="0"/>
                <w:color w:val="212121"/>
                <w:sz w:val="19"/>
              </w:rPr>
              <w:t>&gt; 2–3 days sustained bed rest</w:t>
            </w:r>
          </w:p>
        </w:tc>
        <w:tc>
          <w:tcPr>
            <w:tcW w:type="dxa" w:w="1468"/>
            <w:vAlign w:val="top"/>
          </w:tcPr>
          <w:p>
            <w:pPr>
              <w:spacing w:after="60" w:line="259" w:lineRule="auto"/>
            </w:pPr>
            <w:r>
              <w:rPr>
                <w:rFonts w:ascii="Calibri" w:hAnsi="Calibri"/>
                <w:b w:val="0"/>
                <w:i w:val="0"/>
                <w:color w:val="212121"/>
                <w:sz w:val="19"/>
              </w:rPr>
              <w:t>Prolonged supine immobility precipitates BPPV</w:t>
            </w:r>
          </w:p>
          <w:p>
            <w:pPr>
              <w:spacing w:after="40" w:line="252" w:lineRule="auto"/>
            </w:pPr>
            <w:hyperlink r:id="rId12">
              <w:r>
                <w:rPr>
                  <w:rFonts w:ascii="Calibri" w:hAnsi="Calibri" w:cs="Calibri"/>
                  <w:sz w:val="18"/>
                  <w:color w:val="1155CC"/>
                  <w:u w:val="single"/>
                </w:rPr>
                <w:t xml:space="preserve">https://www.ncbi.nlm.nih.gov/books/NBK470308/</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All, esp. recurrent &amp; postmenopausal</w:t>
            </w:r>
          </w:p>
        </w:tc>
        <w:tc>
          <w:tcPr>
            <w:tcW w:type="dxa" w:w="1512"/>
            <w:vAlign w:val="top"/>
          </w:tcPr>
          <w:p>
            <w:pPr>
              <w:spacing w:after="40" w:before="0" w:line="259" w:lineRule="auto"/>
            </w:pPr>
            <w:r>
              <w:rPr>
                <w:rFonts w:ascii="Calibri" w:hAnsi="Calibri"/>
                <w:b w:val="0"/>
                <w:i w:val="0"/>
                <w:color w:val="212121"/>
                <w:sz w:val="19"/>
              </w:rPr>
              <w:t>≥ 30 ng/mL (sufficient)</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linked to BPPV occurrence &amp; recurrence; correct if low</w:t>
            </w:r>
          </w:p>
          <w:p>
            <w:pPr>
              <w:spacing w:after="40" w:line="252" w:lineRule="auto"/>
            </w:pPr>
            <w:hyperlink r:id="rId14">
              <w:r>
                <w:rPr>
                  <w:rFonts w:ascii="Calibri" w:hAnsi="Calibri" w:cs="Calibri"/>
                  <w:sz w:val="18"/>
                  <w:color w:val="1155CC"/>
                  <w:u w:val="single"/>
                </w:rPr>
                <w:t xml:space="preserve">https://link.springer.com/article/10.1007/s12070-021-03070-1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calcium intake (mg/day)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1000–1200 mg/day</w:t>
            </w:r>
          </w:p>
        </w:tc>
        <w:tc>
          <w:tcPr>
            <w:tcW w:type="dxa" w:w="1512"/>
            <w:vAlign w:val="top"/>
          </w:tcPr>
          <w:p>
            <w:pPr>
              <w:spacing w:after="40" w:before="0" w:line="259" w:lineRule="auto"/>
            </w:pPr>
            <w:r>
              <w:rPr>
                <w:rFonts w:ascii="Calibri" w:hAnsi="Calibri"/>
                <w:b w:val="0"/>
                <w:i w:val="0"/>
                <w:color w:val="212121"/>
                <w:sz w:val="19"/>
              </w:rPr>
              <w:t>&lt; 600 mg/day</w:t>
            </w:r>
          </w:p>
        </w:tc>
        <w:tc>
          <w:tcPr>
            <w:tcW w:type="dxa" w:w="1468"/>
            <w:vAlign w:val="top"/>
          </w:tcPr>
          <w:p>
            <w:pPr>
              <w:spacing w:after="60" w:line="259" w:lineRule="auto"/>
            </w:pPr>
            <w:r>
              <w:rPr>
                <w:rFonts w:ascii="Calibri" w:hAnsi="Calibri"/>
                <w:b w:val="0"/>
                <w:i w:val="0"/>
                <w:color w:val="212121"/>
                <w:sz w:val="19"/>
              </w:rPr>
              <w:t>Supports otoconial calcium homeostasis</w:t>
            </w:r>
          </w:p>
          <w:p>
            <w:pPr>
              <w:spacing w:after="40" w:line="252" w:lineRule="auto"/>
            </w:pPr>
            <w:hyperlink r:id="rId11">
              <w:r>
                <w:rPr>
                  <w:rFonts w:ascii="Calibri" w:hAnsi="Calibri" w:cs="Calibri"/>
                  <w:sz w:val="18"/>
                  <w:color w:val="1155CC"/>
                  <w:u w:val="single"/>
                </w:rPr>
                <w:t xml:space="preserve">https://ijmr.org.in/prevalence-of-hypovitaminosis-d-in-india-way-forward/</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Bone mineral density (DEXA T-score)</w:t>
            </w:r>
          </w:p>
        </w:tc>
        <w:tc>
          <w:tcPr>
            <w:tcW w:type="dxa" w:w="1655"/>
            <w:vAlign w:val="top"/>
          </w:tcPr>
          <w:p>
            <w:pPr>
              <w:spacing w:after="40" w:before="0" w:line="259" w:lineRule="auto"/>
            </w:pPr>
            <w:r>
              <w:rPr>
                <w:rFonts w:ascii="Calibri" w:hAnsi="Calibri"/>
                <w:b w:val="0"/>
                <w:i w:val="0"/>
                <w:color w:val="212121"/>
                <w:sz w:val="19"/>
              </w:rPr>
              <w:t>Postmenopausal women, elderly</w:t>
            </w:r>
          </w:p>
        </w:tc>
        <w:tc>
          <w:tcPr>
            <w:tcW w:type="dxa" w:w="1512"/>
            <w:vAlign w:val="top"/>
          </w:tcPr>
          <w:p>
            <w:pPr>
              <w:spacing w:after="40" w:before="0" w:line="259" w:lineRule="auto"/>
            </w:pPr>
            <w:r>
              <w:rPr>
                <w:rFonts w:ascii="Calibri" w:hAnsi="Calibri"/>
                <w:b w:val="0"/>
                <w:i w:val="0"/>
                <w:color w:val="212121"/>
                <w:sz w:val="19"/>
              </w:rPr>
              <w:t>≥ –1.0</w:t>
            </w:r>
          </w:p>
        </w:tc>
        <w:tc>
          <w:tcPr>
            <w:tcW w:type="dxa" w:w="1512"/>
            <w:vAlign w:val="top"/>
          </w:tcPr>
          <w:p>
            <w:pPr>
              <w:spacing w:after="40" w:before="0" w:line="259" w:lineRule="auto"/>
            </w:pPr>
            <w:r>
              <w:rPr>
                <w:rFonts w:ascii="Calibri" w:hAnsi="Calibri"/>
                <w:b w:val="0"/>
                <w:i w:val="0"/>
                <w:color w:val="212121"/>
                <w:sz w:val="19"/>
              </w:rPr>
              <w:t>≤ –2.5 (osteoporosis)</w:t>
            </w:r>
          </w:p>
        </w:tc>
        <w:tc>
          <w:tcPr>
            <w:tcW w:type="dxa" w:w="1468"/>
            <w:vAlign w:val="top"/>
          </w:tcPr>
          <w:p>
            <w:pPr>
              <w:spacing w:after="60" w:line="259" w:lineRule="auto"/>
            </w:pPr>
            <w:r>
              <w:rPr>
                <w:rFonts w:ascii="Calibri" w:hAnsi="Calibri"/>
                <w:b w:val="0"/>
                <w:i w:val="0"/>
                <w:color w:val="212121"/>
                <w:sz w:val="19"/>
              </w:rPr>
              <w:t>Osteoporosis ≈ 2.5× odds of BPPV; predicts recurrence</w:t>
            </w:r>
          </w:p>
          <w:p>
            <w:pPr>
              <w:spacing w:after="40" w:line="252" w:lineRule="auto"/>
            </w:pPr>
            <w:hyperlink r:id="rId10">
              <w:r>
                <w:rPr>
                  <w:rFonts w:ascii="Calibri" w:hAnsi="Calibri" w:cs="Calibri"/>
                  <w:sz w:val="18"/>
                  <w:color w:val="1155CC"/>
                  <w:u w:val="single"/>
                </w:rPr>
                <w:t xml:space="preserve">https://pmc.ncbi.nlm.nih.gov/articles/PMC7324663/</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Poor sleep amplifies dizziness handicap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Habitual sleep side</w:t>
            </w:r>
          </w:p>
        </w:tc>
        <w:tc>
          <w:tcPr>
            <w:tcW w:type="dxa" w:w="1655"/>
            <w:vAlign w:val="top"/>
          </w:tcPr>
          <w:p>
            <w:pPr>
              <w:spacing w:after="40" w:before="0" w:line="259" w:lineRule="auto"/>
            </w:pPr>
            <w:r>
              <w:rPr>
                <w:rFonts w:ascii="Calibri" w:hAnsi="Calibri"/>
                <w:b w:val="0"/>
                <w:i w:val="0"/>
                <w:color w:val="212121"/>
                <w:sz w:val="19"/>
              </w:rPr>
              <w:t>Recurrent BPPV</w:t>
            </w:r>
          </w:p>
        </w:tc>
        <w:tc>
          <w:tcPr>
            <w:tcW w:type="dxa" w:w="1512"/>
            <w:vAlign w:val="top"/>
          </w:tcPr>
          <w:p>
            <w:pPr>
              <w:spacing w:after="40" w:before="0" w:line="259" w:lineRule="auto"/>
            </w:pPr>
            <w:r>
              <w:rPr>
                <w:rFonts w:ascii="Calibri" w:hAnsi="Calibri"/>
                <w:b w:val="0"/>
                <w:i w:val="0"/>
                <w:color w:val="212121"/>
                <w:sz w:val="19"/>
              </w:rPr>
              <w:t>Vary / neutral supine</w:t>
            </w:r>
          </w:p>
        </w:tc>
        <w:tc>
          <w:tcPr>
            <w:tcW w:type="dxa" w:w="1512"/>
            <w:vAlign w:val="top"/>
          </w:tcPr>
          <w:p>
            <w:pPr>
              <w:spacing w:after="40" w:before="0" w:line="259" w:lineRule="auto"/>
            </w:pPr>
            <w:r>
              <w:rPr>
                <w:rFonts w:ascii="Calibri" w:hAnsi="Calibri"/>
                <w:b w:val="0"/>
                <w:i w:val="0"/>
                <w:color w:val="212121"/>
                <w:sz w:val="19"/>
              </w:rPr>
              <w:t>Consistent same-side sleeping</w:t>
            </w:r>
          </w:p>
        </w:tc>
        <w:tc>
          <w:tcPr>
            <w:tcW w:type="dxa" w:w="1468"/>
            <w:vAlign w:val="top"/>
          </w:tcPr>
          <w:p>
            <w:pPr>
              <w:spacing w:after="40" w:before="0" w:line="259" w:lineRule="auto"/>
            </w:pPr>
            <w:r>
              <w:rPr>
                <w:rFonts w:ascii="Calibri" w:hAnsi="Calibri"/>
                <w:b w:val="0"/>
                <w:i w:val="0"/>
                <w:color w:val="212121"/>
                <w:sz w:val="19"/>
              </w:rPr>
              <w:t>Side-sleeping associates with ipsilateral posterior-canal BPPV</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vascular-risk</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Weak vascular association with labyrinthine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Dizziness Handicap Inventory (DHI)</w:t>
            </w:r>
          </w:p>
        </w:tc>
        <w:tc>
          <w:tcPr>
            <w:tcW w:type="dxa" w:w="1655"/>
            <w:vAlign w:val="top"/>
          </w:tcPr>
          <w:p>
            <w:pPr>
              <w:spacing w:after="40" w:before="0" w:line="259" w:lineRule="auto"/>
            </w:pPr>
            <w:r>
              <w:rPr>
                <w:rFonts w:ascii="Calibri" w:hAnsi="Calibri"/>
                <w:b w:val="0"/>
                <w:i w:val="0"/>
                <w:color w:val="212121"/>
                <w:sz w:val="19"/>
              </w:rPr>
              <w:t>Anxious / chronic-dizziness patients</w:t>
            </w:r>
          </w:p>
        </w:tc>
        <w:tc>
          <w:tcPr>
            <w:tcW w:type="dxa" w:w="1512"/>
            <w:vAlign w:val="top"/>
          </w:tcPr>
          <w:p>
            <w:pPr>
              <w:spacing w:after="40" w:before="0" w:line="259" w:lineRule="auto"/>
            </w:pPr>
            <w:r>
              <w:rPr>
                <w:rFonts w:ascii="Calibri" w:hAnsi="Calibri"/>
                <w:b w:val="0"/>
                <w:i w:val="0"/>
                <w:color w:val="212121"/>
                <w:sz w:val="19"/>
              </w:rPr>
              <w:t>0–30 (mild handicap)</w:t>
            </w:r>
          </w:p>
        </w:tc>
        <w:tc>
          <w:tcPr>
            <w:tcW w:type="dxa" w:w="1512"/>
            <w:vAlign w:val="top"/>
          </w:tcPr>
          <w:p>
            <w:pPr>
              <w:spacing w:after="40" w:before="0" w:line="259" w:lineRule="auto"/>
            </w:pPr>
            <w:r>
              <w:rPr>
                <w:rFonts w:ascii="Calibri" w:hAnsi="Calibri"/>
                <w:b w:val="0"/>
                <w:i w:val="0"/>
                <w:color w:val="212121"/>
                <w:sz w:val="19"/>
              </w:rPr>
              <w:t>&gt; 60 (severe handicap)</w:t>
            </w:r>
          </w:p>
        </w:tc>
        <w:tc>
          <w:tcPr>
            <w:tcW w:type="dxa" w:w="1468"/>
            <w:vAlign w:val="top"/>
          </w:tcPr>
          <w:p>
            <w:pPr>
              <w:spacing w:after="40" w:before="0" w:line="259" w:lineRule="auto"/>
            </w:pPr>
            <w:r>
              <w:rPr>
                <w:rFonts w:ascii="Calibri" w:hAnsi="Calibri"/>
                <w:b w:val="0"/>
                <w:i w:val="0"/>
                <w:color w:val="212121"/>
                <w:sz w:val="19"/>
              </w:rPr>
              <w:t>Tracks functional impact; higher with anxiety/PPPD</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Dix–Hallpike nystagmus duration</w:t>
            </w:r>
          </w:p>
        </w:tc>
        <w:tc>
          <w:tcPr>
            <w:tcW w:type="dxa" w:w="1655"/>
            <w:vAlign w:val="top"/>
          </w:tcPr>
          <w:p>
            <w:pPr>
              <w:spacing w:after="40" w:before="0" w:line="259" w:lineRule="auto"/>
            </w:pPr>
            <w:r>
              <w:rPr>
                <w:rFonts w:ascii="Calibri" w:hAnsi="Calibri"/>
                <w:b w:val="0"/>
                <w:i w:val="0"/>
                <w:color w:val="212121"/>
                <w:sz w:val="19"/>
              </w:rPr>
              <w:t>Suspected posterior-canal BPPV</w:t>
            </w:r>
          </w:p>
        </w:tc>
        <w:tc>
          <w:tcPr>
            <w:tcW w:type="dxa" w:w="1512"/>
            <w:vAlign w:val="top"/>
          </w:tcPr>
          <w:p>
            <w:pPr>
              <w:spacing w:after="40" w:before="0" w:line="259" w:lineRule="auto"/>
            </w:pPr>
            <w:r>
              <w:rPr>
                <w:rFonts w:ascii="Calibri" w:hAnsi="Calibri"/>
                <w:b w:val="0"/>
                <w:i w:val="0"/>
                <w:color w:val="212121"/>
                <w:sz w:val="19"/>
              </w:rPr>
              <w:t>No provoked nystagmus</w:t>
            </w:r>
          </w:p>
        </w:tc>
        <w:tc>
          <w:tcPr>
            <w:tcW w:type="dxa" w:w="1512"/>
            <w:vAlign w:val="top"/>
          </w:tcPr>
          <w:p>
            <w:pPr>
              <w:spacing w:after="40" w:before="0" w:line="259" w:lineRule="auto"/>
            </w:pPr>
            <w:r>
              <w:rPr>
                <w:rFonts w:ascii="Calibri" w:hAnsi="Calibri"/>
                <w:b w:val="0"/>
                <w:i w:val="0"/>
                <w:color w:val="212121"/>
                <w:sz w:val="19"/>
              </w:rPr>
              <w:t>Torsional up-beating nystagmus &lt; 60 s</w:t>
            </w:r>
          </w:p>
        </w:tc>
        <w:tc>
          <w:tcPr>
            <w:tcW w:type="dxa" w:w="1468"/>
            <w:vAlign w:val="top"/>
          </w:tcPr>
          <w:p>
            <w:pPr>
              <w:spacing w:after="60" w:line="259" w:lineRule="auto"/>
            </w:pPr>
            <w:r>
              <w:rPr>
                <w:rFonts w:ascii="Calibri" w:hAnsi="Calibri"/>
                <w:b w:val="0"/>
                <w:i w:val="0"/>
                <w:color w:val="212121"/>
                <w:sz w:val="19"/>
              </w:rPr>
              <w:t>Diagnostic threshold; latency 1–20 s, fatigable</w:t>
            </w:r>
          </w:p>
          <w:p>
            <w:pPr>
              <w:spacing w:after="40" w:line="252" w:lineRule="auto"/>
            </w:pPr>
            <w:hyperlink r:id="rId17">
              <w:r>
                <w:rPr>
                  <w:rFonts w:ascii="Calibri" w:hAnsi="Calibri" w:cs="Calibri"/>
                  <w:sz w:val="18"/>
                  <w:color w:val="1155CC"/>
                  <w:u w:val="single"/>
                </w:rPr>
                <w:t xml:space="preserve">https://www.entnet.org/resource/aao-hnsf-updated-cpg-bppv-press-release-fact-sheet/</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25(OH)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w:t>
            </w:r>
          </w:p>
        </w:tc>
        <w:tc>
          <w:tcPr>
            <w:tcW w:type="dxa" w:w="1036"/>
            <w:vAlign w:val="top"/>
          </w:tcPr>
          <w:p>
            <w:pPr>
              <w:spacing w:after="40" w:before="0" w:line="259" w:lineRule="auto"/>
            </w:pPr>
            <w:r>
              <w:rPr>
                <w:rFonts w:ascii="Calibri" w:hAnsi="Calibri"/>
                <w:b w:val="0"/>
                <w:i w:val="0"/>
                <w:color w:val="212121"/>
                <w:sz w:val="16"/>
              </w:rPr>
              <w:t>Deficiency promotes otoconial instability &amp; recurrence</w:t>
            </w:r>
          </w:p>
        </w:tc>
        <w:tc>
          <w:tcPr>
            <w:tcW w:type="dxa" w:w="1036"/>
            <w:vAlign w:val="top"/>
          </w:tcPr>
          <w:p>
            <w:pPr>
              <w:spacing w:after="40" w:before="0" w:line="259" w:lineRule="auto"/>
            </w:pPr>
            <w:r>
              <w:rPr>
                <w:rFonts w:ascii="Calibri" w:hAnsi="Calibri"/>
                <w:b w:val="0"/>
                <w:i w:val="0"/>
                <w:color w:val="212121"/>
                <w:sz w:val="16"/>
              </w:rPr>
              <w:t>Recurrent BPPV, postmenopausal women, elderly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Important for recurrent disease</w:t>
            </w:r>
          </w:p>
        </w:tc>
        <w:tc>
          <w:tcPr>
            <w:tcW w:type="dxa" w:w="720"/>
            <w:vAlign w:val="top"/>
          </w:tcPr>
          <w:p>
            <w:pPr>
              <w:spacing w:after="40" w:before="0" w:line="259" w:lineRule="auto"/>
            </w:pPr>
            <w:r>
              <w:rPr>
                <w:rFonts w:ascii="Calibri" w:hAnsi="Calibri"/>
                <w:b w:val="0"/>
                <w:i w:val="0"/>
                <w:color w:val="212121"/>
                <w:sz w:val="16"/>
              </w:rPr>
              <w:t>Supplement when deficient; very common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(corrected)</w:t>
            </w:r>
          </w:p>
        </w:tc>
        <w:tc>
          <w:tcPr>
            <w:tcW w:type="dxa" w:w="892"/>
            <w:vAlign w:val="top"/>
          </w:tcPr>
          <w:p>
            <w:pPr>
              <w:spacing w:after="40" w:before="0" w:line="259" w:lineRule="auto"/>
            </w:pPr>
            <w:r>
              <w:rPr>
                <w:rFonts w:ascii="Calibri" w:hAnsi="Calibri"/>
                <w:b w:val="0"/>
                <w:i w:val="0"/>
                <w:color w:val="212121"/>
                <w:sz w:val="16"/>
              </w:rPr>
              <w:t>Calcium assay</w:t>
            </w:r>
          </w:p>
        </w:tc>
        <w:tc>
          <w:tcPr>
            <w:tcW w:type="dxa" w:w="950"/>
            <w:vAlign w:val="top"/>
          </w:tcPr>
          <w:p>
            <w:pPr>
              <w:spacing w:after="40" w:before="0" w:line="259" w:lineRule="auto"/>
            </w:pPr>
            <w:r>
              <w:rPr>
                <w:rFonts w:ascii="Calibri" w:hAnsi="Calibri"/>
                <w:b w:val="0"/>
                <w:i w:val="0"/>
                <w:color w:val="212121"/>
                <w:sz w:val="16"/>
              </w:rPr>
              <w:t>8.5–10.5 mg/dL</w:t>
            </w:r>
          </w:p>
        </w:tc>
        <w:tc>
          <w:tcPr>
            <w:tcW w:type="dxa" w:w="950"/>
            <w:vAlign w:val="top"/>
          </w:tcPr>
          <w:p>
            <w:pPr>
              <w:spacing w:after="40" w:before="0" w:line="259" w:lineRule="auto"/>
            </w:pPr>
            <w:r>
              <w:rPr>
                <w:rFonts w:ascii="Calibri" w:hAnsi="Calibri"/>
                <w:b w:val="0"/>
                <w:i w:val="0"/>
                <w:color w:val="212121"/>
                <w:sz w:val="16"/>
              </w:rPr>
              <w:t>Low / abnormal</w:t>
            </w:r>
          </w:p>
        </w:tc>
        <w:tc>
          <w:tcPr>
            <w:tcW w:type="dxa" w:w="1036"/>
            <w:vAlign w:val="top"/>
          </w:tcPr>
          <w:p>
            <w:pPr>
              <w:spacing w:after="40" w:before="0" w:line="259" w:lineRule="auto"/>
            </w:pPr>
            <w:r>
              <w:rPr>
                <w:rFonts w:ascii="Calibri" w:hAnsi="Calibri"/>
                <w:b w:val="0"/>
                <w:i w:val="0"/>
                <w:color w:val="212121"/>
                <w:sz w:val="16"/>
              </w:rPr>
              <w:t>Reflects calcium homeostasis affecting otoconia</w:t>
            </w:r>
          </w:p>
        </w:tc>
        <w:tc>
          <w:tcPr>
            <w:tcW w:type="dxa" w:w="1036"/>
            <w:vAlign w:val="top"/>
          </w:tcPr>
          <w:p>
            <w:pPr>
              <w:spacing w:after="40" w:before="0" w:line="259" w:lineRule="auto"/>
            </w:pPr>
            <w:r>
              <w:rPr>
                <w:rFonts w:ascii="Calibri" w:hAnsi="Calibri"/>
                <w:b w:val="0"/>
                <w:i w:val="0"/>
                <w:color w:val="212121"/>
                <w:sz w:val="16"/>
              </w:rPr>
              <w:t>Recurrent BPPV, low-intake diets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vitamin D and PTH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Densitometry</w:t>
            </w:r>
          </w:p>
        </w:tc>
        <w:tc>
          <w:tcPr>
            <w:tcW w:type="dxa" w:w="1036"/>
            <w:vAlign w:val="top"/>
          </w:tcPr>
          <w:p>
            <w:pPr>
              <w:spacing w:after="40" w:before="0" w:line="259" w:lineRule="auto"/>
            </w:pPr>
            <w:r>
              <w:rPr>
                <w:rFonts w:ascii="Calibri" w:hAnsi="Calibri"/>
                <w:b w:val="0"/>
                <w:i w:val="0"/>
                <w:color w:val="212121"/>
                <w:sz w:val="16"/>
              </w:rPr>
              <w:t>Bone mineral density (DEXA T-score)</w:t>
            </w:r>
          </w:p>
        </w:tc>
        <w:tc>
          <w:tcPr>
            <w:tcW w:type="dxa" w:w="892"/>
            <w:vAlign w:val="top"/>
          </w:tcPr>
          <w:p>
            <w:pPr>
              <w:spacing w:after="40" w:before="0" w:line="259" w:lineRule="auto"/>
            </w:pPr>
            <w:r>
              <w:rPr>
                <w:rFonts w:ascii="Calibri" w:hAnsi="Calibri"/>
                <w:b w:val="0"/>
                <w:i w:val="0"/>
                <w:color w:val="212121"/>
                <w:sz w:val="16"/>
              </w:rPr>
              <w:t>DEXA scan</w:t>
            </w:r>
          </w:p>
        </w:tc>
        <w:tc>
          <w:tcPr>
            <w:tcW w:type="dxa" w:w="950"/>
            <w:vAlign w:val="top"/>
          </w:tcPr>
          <w:p>
            <w:pPr>
              <w:spacing w:after="40" w:before="0" w:line="259" w:lineRule="auto"/>
            </w:pPr>
            <w:r>
              <w:rPr>
                <w:rFonts w:ascii="Calibri" w:hAnsi="Calibri"/>
                <w:b w:val="0"/>
                <w:i w:val="0"/>
                <w:color w:val="212121"/>
                <w:sz w:val="16"/>
              </w:rPr>
              <w:t>≥ –1.0</w:t>
            </w:r>
          </w:p>
        </w:tc>
        <w:tc>
          <w:tcPr>
            <w:tcW w:type="dxa" w:w="950"/>
            <w:vAlign w:val="top"/>
          </w:tcPr>
          <w:p>
            <w:pPr>
              <w:spacing w:after="40" w:before="0" w:line="259" w:lineRule="auto"/>
            </w:pPr>
            <w:r>
              <w:rPr>
                <w:rFonts w:ascii="Calibri" w:hAnsi="Calibri"/>
                <w:b w:val="0"/>
                <w:i w:val="0"/>
                <w:color w:val="212121"/>
                <w:sz w:val="16"/>
              </w:rPr>
              <w:t>≤ –2.5 (osteoporosis)</w:t>
            </w:r>
          </w:p>
        </w:tc>
        <w:tc>
          <w:tcPr>
            <w:tcW w:type="dxa" w:w="1036"/>
            <w:vAlign w:val="top"/>
          </w:tcPr>
          <w:p>
            <w:pPr>
              <w:spacing w:after="40" w:before="0" w:line="259" w:lineRule="auto"/>
            </w:pPr>
            <w:r>
              <w:rPr>
                <w:rFonts w:ascii="Calibri" w:hAnsi="Calibri"/>
                <w:b w:val="0"/>
                <w:i w:val="0"/>
                <w:color w:val="212121"/>
                <w:sz w:val="16"/>
              </w:rPr>
              <w:t>Low BMD associates with BPPV &amp; recurrence</w:t>
            </w:r>
          </w:p>
        </w:tc>
        <w:tc>
          <w:tcPr>
            <w:tcW w:type="dxa" w:w="1036"/>
            <w:vAlign w:val="top"/>
          </w:tcPr>
          <w:p>
            <w:pPr>
              <w:spacing w:after="40" w:before="0" w:line="259" w:lineRule="auto"/>
            </w:pPr>
            <w:r>
              <w:rPr>
                <w:rFonts w:ascii="Calibri" w:hAnsi="Calibri"/>
                <w:b w:val="0"/>
                <w:i w:val="0"/>
                <w:color w:val="212121"/>
                <w:sz w:val="16"/>
              </w:rPr>
              <w:t>Postmenopausal women, elderly</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Osteoporosis pooled OR ≈ 2.49</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Vestibular</w:t>
            </w:r>
          </w:p>
        </w:tc>
        <w:tc>
          <w:tcPr>
            <w:tcW w:type="dxa" w:w="1036"/>
            <w:vAlign w:val="top"/>
          </w:tcPr>
          <w:p>
            <w:pPr>
              <w:spacing w:after="40" w:before="0" w:line="259" w:lineRule="auto"/>
            </w:pPr>
            <w:r>
              <w:rPr>
                <w:rFonts w:ascii="Calibri" w:hAnsi="Calibri"/>
                <w:b w:val="0"/>
                <w:i w:val="0"/>
                <w:color w:val="212121"/>
                <w:sz w:val="16"/>
              </w:rPr>
              <w:t>Positional nystagmus (VNG/videonystagmography)</w:t>
            </w:r>
          </w:p>
        </w:tc>
        <w:tc>
          <w:tcPr>
            <w:tcW w:type="dxa" w:w="892"/>
            <w:vAlign w:val="top"/>
          </w:tcPr>
          <w:p>
            <w:pPr>
              <w:spacing w:after="40" w:before="0" w:line="259" w:lineRule="auto"/>
            </w:pPr>
            <w:r>
              <w:rPr>
                <w:rFonts w:ascii="Calibri" w:hAnsi="Calibri"/>
                <w:b w:val="0"/>
                <w:i w:val="0"/>
                <w:color w:val="212121"/>
                <w:sz w:val="16"/>
              </w:rPr>
              <w:t>Videonystagmography</w:t>
            </w:r>
          </w:p>
        </w:tc>
        <w:tc>
          <w:tcPr>
            <w:tcW w:type="dxa" w:w="950"/>
            <w:vAlign w:val="top"/>
          </w:tcPr>
          <w:p>
            <w:pPr>
              <w:spacing w:after="40" w:before="0" w:line="259" w:lineRule="auto"/>
            </w:pPr>
            <w:r>
              <w:rPr>
                <w:rFonts w:ascii="Calibri" w:hAnsi="Calibri"/>
                <w:b w:val="0"/>
                <w:i w:val="0"/>
                <w:color w:val="212121"/>
                <w:sz w:val="16"/>
              </w:rPr>
              <w:t>No positional nystagmus</w:t>
            </w:r>
          </w:p>
        </w:tc>
        <w:tc>
          <w:tcPr>
            <w:tcW w:type="dxa" w:w="950"/>
            <w:vAlign w:val="top"/>
          </w:tcPr>
          <w:p>
            <w:pPr>
              <w:spacing w:after="40" w:before="0" w:line="259" w:lineRule="auto"/>
            </w:pPr>
            <w:r>
              <w:rPr>
                <w:rFonts w:ascii="Calibri" w:hAnsi="Calibri"/>
                <w:b w:val="0"/>
                <w:i w:val="0"/>
                <w:color w:val="212121"/>
                <w:sz w:val="16"/>
              </w:rPr>
              <w:t>Canal-specific provoked nystagmus</w:t>
            </w:r>
          </w:p>
        </w:tc>
        <w:tc>
          <w:tcPr>
            <w:tcW w:type="dxa" w:w="1036"/>
            <w:vAlign w:val="top"/>
          </w:tcPr>
          <w:p>
            <w:pPr>
              <w:spacing w:after="40" w:before="0" w:line="259" w:lineRule="auto"/>
            </w:pPr>
            <w:r>
              <w:rPr>
                <w:rFonts w:ascii="Calibri" w:hAnsi="Calibri"/>
                <w:b w:val="0"/>
                <w:i w:val="0"/>
                <w:color w:val="212121"/>
                <w:sz w:val="16"/>
              </w:rPr>
              <w:t>Confirms affected canal and side; quantifies latency/duration</w:t>
            </w:r>
          </w:p>
        </w:tc>
        <w:tc>
          <w:tcPr>
            <w:tcW w:type="dxa" w:w="1036"/>
            <w:vAlign w:val="top"/>
          </w:tcPr>
          <w:p>
            <w:pPr>
              <w:spacing w:after="40" w:before="0" w:line="259" w:lineRule="auto"/>
            </w:pPr>
            <w:r>
              <w:rPr>
                <w:rFonts w:ascii="Calibri" w:hAnsi="Calibri"/>
                <w:b w:val="0"/>
                <w:i w:val="0"/>
                <w:color w:val="212121"/>
                <w:sz w:val="16"/>
              </w:rPr>
              <w:t>Atypical, refractory or recurrent BPPV</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Localising / confirmatory</w:t>
            </w:r>
          </w:p>
        </w:tc>
        <w:tc>
          <w:tcPr>
            <w:tcW w:type="dxa" w:w="720"/>
            <w:vAlign w:val="top"/>
          </w:tcPr>
          <w:p>
            <w:pPr>
              <w:spacing w:after="40" w:before="0" w:line="259" w:lineRule="auto"/>
            </w:pPr>
            <w:r>
              <w:rPr>
                <w:rFonts w:ascii="Calibri" w:hAnsi="Calibri"/>
                <w:b w:val="0"/>
                <w:i w:val="0"/>
                <w:color w:val="212121"/>
                <w:sz w:val="16"/>
              </w:rPr>
              <w:t>Not required in typical bedside-diagnosed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Pure tone audiometry</w:t>
            </w:r>
          </w:p>
        </w:tc>
        <w:tc>
          <w:tcPr>
            <w:tcW w:type="dxa" w:w="892"/>
            <w:vAlign w:val="top"/>
          </w:tcPr>
          <w:p>
            <w:pPr>
              <w:spacing w:after="40" w:before="0" w:line="259" w:lineRule="auto"/>
            </w:pPr>
            <w:r>
              <w:rPr>
                <w:rFonts w:ascii="Calibri" w:hAnsi="Calibri"/>
                <w:b w:val="0"/>
                <w:i w:val="0"/>
                <w:color w:val="212121"/>
                <w:sz w:val="16"/>
              </w:rPr>
              <w:t>Audiometry</w:t>
            </w:r>
          </w:p>
        </w:tc>
        <w:tc>
          <w:tcPr>
            <w:tcW w:type="dxa" w:w="950"/>
            <w:vAlign w:val="top"/>
          </w:tcPr>
          <w:p>
            <w:pPr>
              <w:spacing w:after="40" w:before="0" w:line="259" w:lineRule="auto"/>
            </w:pPr>
            <w:r>
              <w:rPr>
                <w:rFonts w:ascii="Calibri" w:hAnsi="Calibri"/>
                <w:b w:val="0"/>
                <w:i w:val="0"/>
                <w:color w:val="212121"/>
                <w:sz w:val="16"/>
              </w:rPr>
              <w:t>Hearing preserved</w:t>
            </w:r>
          </w:p>
        </w:tc>
        <w:tc>
          <w:tcPr>
            <w:tcW w:type="dxa" w:w="950"/>
            <w:vAlign w:val="top"/>
          </w:tcPr>
          <w:p>
            <w:pPr>
              <w:spacing w:after="40" w:before="0" w:line="259" w:lineRule="auto"/>
            </w:pPr>
            <w:r>
              <w:rPr>
                <w:rFonts w:ascii="Calibri" w:hAnsi="Calibri"/>
                <w:b w:val="0"/>
                <w:i w:val="0"/>
                <w:color w:val="212121"/>
                <w:sz w:val="16"/>
              </w:rPr>
              <w:t>Sensorineural hearing loss</w:t>
            </w:r>
          </w:p>
        </w:tc>
        <w:tc>
          <w:tcPr>
            <w:tcW w:type="dxa" w:w="1036"/>
            <w:vAlign w:val="top"/>
          </w:tcPr>
          <w:p>
            <w:pPr>
              <w:spacing w:after="40" w:before="0" w:line="259" w:lineRule="auto"/>
            </w:pPr>
            <w:r>
              <w:rPr>
                <w:rFonts w:ascii="Calibri" w:hAnsi="Calibri"/>
                <w:b w:val="0"/>
                <w:i w:val="0"/>
                <w:color w:val="212121"/>
                <w:sz w:val="16"/>
              </w:rPr>
              <w:t>Hearing loss suggests Ménière/other, not pure BPPV</w:t>
            </w:r>
          </w:p>
        </w:tc>
        <w:tc>
          <w:tcPr>
            <w:tcW w:type="dxa" w:w="1036"/>
            <w:vAlign w:val="top"/>
          </w:tcPr>
          <w:p>
            <w:pPr>
              <w:spacing w:after="40" w:before="0" w:line="259" w:lineRule="auto"/>
            </w:pPr>
            <w:r>
              <w:rPr>
                <w:rFonts w:ascii="Calibri" w:hAnsi="Calibri"/>
                <w:b w:val="0"/>
                <w:i w:val="0"/>
                <w:color w:val="212121"/>
                <w:sz w:val="16"/>
              </w:rPr>
              <w:t>BPPV with aural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To exclude mimics</w:t>
            </w:r>
          </w:p>
        </w:tc>
        <w:tc>
          <w:tcPr>
            <w:tcW w:type="dxa" w:w="720"/>
            <w:vAlign w:val="top"/>
          </w:tcPr>
          <w:p>
            <w:pPr>
              <w:spacing w:after="40" w:before="0" w:line="259" w:lineRule="auto"/>
            </w:pPr>
            <w:r>
              <w:rPr>
                <w:rFonts w:ascii="Calibri" w:hAnsi="Calibri"/>
                <w:b w:val="0"/>
                <w:i w:val="0"/>
                <w:color w:val="212121"/>
                <w:sz w:val="16"/>
              </w:rPr>
              <w:t>Pure BPPV spares hearing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Comorbid diabetes may prolong resolution</w:t>
            </w:r>
          </w:p>
        </w:tc>
        <w:tc>
          <w:tcPr>
            <w:tcW w:type="dxa" w:w="1036"/>
            <w:vAlign w:val="top"/>
          </w:tcPr>
          <w:p>
            <w:pPr>
              <w:spacing w:after="40" w:before="0" w:line="259" w:lineRule="auto"/>
            </w:pPr>
            <w:r>
              <w:rPr>
                <w:rFonts w:ascii="Calibri" w:hAnsi="Calibri"/>
                <w:b w:val="0"/>
                <w:i w:val="0"/>
                <w:color w:val="212121"/>
                <w:sz w:val="16"/>
              </w:rPr>
              <w:t>Diabetic / metabolic-syndrome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~9% of an Indian BPPV series were diabetic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Within target range</w:t>
            </w:r>
          </w:p>
        </w:tc>
        <w:tc>
          <w:tcPr>
            <w:tcW w:type="dxa" w:w="950"/>
            <w:vAlign w:val="top"/>
          </w:tcPr>
          <w:p>
            <w:pPr>
              <w:spacing w:after="40" w:before="0" w:line="259" w:lineRule="auto"/>
            </w:pPr>
            <w:r>
              <w:rPr>
                <w:rFonts w:ascii="Calibri" w:hAnsi="Calibri"/>
                <w:b w:val="0"/>
                <w:i w:val="0"/>
                <w:color w:val="212121"/>
                <w:sz w:val="16"/>
              </w:rPr>
              <w:t>Elevated cholesterol/triglycerides</w:t>
            </w:r>
          </w:p>
        </w:tc>
        <w:tc>
          <w:tcPr>
            <w:tcW w:type="dxa" w:w="1036"/>
            <w:vAlign w:val="top"/>
          </w:tcPr>
          <w:p>
            <w:pPr>
              <w:spacing w:after="40" w:before="0" w:line="259" w:lineRule="auto"/>
            </w:pPr>
            <w:r>
              <w:rPr>
                <w:rFonts w:ascii="Calibri" w:hAnsi="Calibri"/>
                <w:b w:val="0"/>
                <w:i w:val="0"/>
                <w:color w:val="212121"/>
                <w:sz w:val="16"/>
              </w:rPr>
              <w:t>Dyslipidaemia associates with occurrence &amp; slower response</w:t>
            </w:r>
          </w:p>
        </w:tc>
        <w:tc>
          <w:tcPr>
            <w:tcW w:type="dxa" w:w="1036"/>
            <w:vAlign w:val="top"/>
          </w:tcPr>
          <w:p>
            <w:pPr>
              <w:spacing w:after="40" w:before="0" w:line="259" w:lineRule="auto"/>
            </w:pPr>
            <w:r>
              <w:rPr>
                <w:rFonts w:ascii="Calibri" w:hAnsi="Calibri"/>
                <w:b w:val="0"/>
                <w:i w:val="0"/>
                <w:color w:val="212121"/>
                <w:sz w:val="16"/>
              </w:rPr>
              <w:t>Overweight/obese, metabolic-syndrome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Dyslipidaemia positive in 64% of good-quality studies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Brief positional spinning vertigo</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Recurrent vertigo &lt; 1 min on head movement</w:t>
            </w:r>
          </w:p>
        </w:tc>
        <w:tc>
          <w:tcPr>
            <w:tcW w:type="dxa" w:w="1036"/>
            <w:vAlign w:val="top"/>
          </w:tcPr>
          <w:p>
            <w:pPr>
              <w:spacing w:after="40" w:before="0" w:line="259" w:lineRule="auto"/>
            </w:pPr>
            <w:r>
              <w:rPr>
                <w:rFonts w:ascii="Calibri" w:hAnsi="Calibri"/>
                <w:b w:val="0"/>
                <w:i w:val="0"/>
                <w:color w:val="212121"/>
                <w:sz w:val="16"/>
              </w:rPr>
              <w:t>Hallmark history of BPPV</w:t>
            </w:r>
          </w:p>
        </w:tc>
        <w:tc>
          <w:tcPr>
            <w:tcW w:type="dxa" w:w="1036"/>
            <w:vAlign w:val="top"/>
          </w:tcPr>
          <w:p>
            <w:pPr>
              <w:spacing w:after="40" w:before="0" w:line="259" w:lineRule="auto"/>
            </w:pPr>
            <w:r>
              <w:rPr>
                <w:rFonts w:ascii="Calibri" w:hAnsi="Calibri"/>
                <w:b w:val="0"/>
                <w:i w:val="0"/>
                <w:color w:val="212121"/>
                <w:sz w:val="16"/>
              </w:rPr>
              <w:t>Adults &amp; elderly with positional vertigo</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rolling over in bed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 positional pattern</w:t>
            </w:r>
          </w:p>
        </w:tc>
        <w:tc>
          <w:tcPr>
            <w:tcW w:type="dxa" w:w="979"/>
            <w:vAlign w:val="top"/>
          </w:tcPr>
          <w:p>
            <w:pPr>
              <w:spacing w:after="40" w:before="0" w:line="259" w:lineRule="auto"/>
            </w:pPr>
            <w:r>
              <w:rPr>
                <w:rFonts w:ascii="Calibri" w:hAnsi="Calibri"/>
                <w:b w:val="0"/>
                <w:i w:val="0"/>
                <w:color w:val="212121"/>
                <w:sz w:val="16"/>
              </w:rPr>
              <w:t>Rolling in bed, looking up, bending, lying down</w:t>
            </w:r>
          </w:p>
        </w:tc>
        <w:tc>
          <w:tcPr>
            <w:tcW w:type="dxa" w:w="950"/>
            <w:vAlign w:val="top"/>
          </w:tcPr>
          <w:p>
            <w:pPr>
              <w:spacing w:after="40" w:before="0" w:line="259" w:lineRule="auto"/>
            </w:pPr>
            <w:r>
              <w:rPr>
                <w:rFonts w:ascii="Calibri" w:hAnsi="Calibri"/>
                <w:b w:val="0"/>
                <w:i w:val="0"/>
                <w:color w:val="212121"/>
                <w:sz w:val="16"/>
              </w:rPr>
              <w:t>No positional trigger</w:t>
            </w:r>
          </w:p>
        </w:tc>
        <w:tc>
          <w:tcPr>
            <w:tcW w:type="dxa" w:w="950"/>
            <w:vAlign w:val="top"/>
          </w:tcPr>
          <w:p>
            <w:pPr>
              <w:spacing w:after="40" w:before="0" w:line="259" w:lineRule="auto"/>
            </w:pPr>
            <w:r>
              <w:rPr>
                <w:rFonts w:ascii="Calibri" w:hAnsi="Calibri"/>
                <w:b w:val="0"/>
                <w:i w:val="0"/>
                <w:color w:val="212121"/>
                <w:sz w:val="16"/>
              </w:rPr>
              <w:t>Consistent positional provocation</w:t>
            </w:r>
          </w:p>
        </w:tc>
        <w:tc>
          <w:tcPr>
            <w:tcW w:type="dxa" w:w="1036"/>
            <w:vAlign w:val="top"/>
          </w:tcPr>
          <w:p>
            <w:pPr>
              <w:spacing w:after="40" w:before="0" w:line="259" w:lineRule="auto"/>
            </w:pPr>
            <w:r>
              <w:rPr>
                <w:rFonts w:ascii="Calibri" w:hAnsi="Calibri"/>
                <w:b w:val="0"/>
                <w:i w:val="0"/>
                <w:color w:val="212121"/>
                <w:sz w:val="16"/>
              </w:rPr>
              <w:t>Distinguishes BPPV from other vertigo</w:t>
            </w:r>
          </w:p>
        </w:tc>
        <w:tc>
          <w:tcPr>
            <w:tcW w:type="dxa" w:w="1036"/>
            <w:vAlign w:val="top"/>
          </w:tcPr>
          <w:p>
            <w:pPr>
              <w:spacing w:after="40" w:before="0" w:line="259" w:lineRule="auto"/>
            </w:pPr>
            <w:r>
              <w:rPr>
                <w:rFonts w:ascii="Calibri" w:hAnsi="Calibri"/>
                <w:b w:val="0"/>
                <w:i w:val="0"/>
                <w:color w:val="212121"/>
                <w:sz w:val="16"/>
              </w:rPr>
              <w:t>All suspected BPPV</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Episodes are provoked, brief and recurrent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Provocation test</w:t>
            </w:r>
          </w:p>
        </w:tc>
        <w:tc>
          <w:tcPr>
            <w:tcW w:type="dxa" w:w="950"/>
            <w:vAlign w:val="top"/>
          </w:tcPr>
          <w:p>
            <w:pPr>
              <w:spacing w:after="40" w:before="0" w:line="259" w:lineRule="auto"/>
            </w:pPr>
            <w:r>
              <w:rPr>
                <w:rFonts w:ascii="Calibri" w:hAnsi="Calibri"/>
                <w:b w:val="0"/>
                <w:i w:val="0"/>
                <w:color w:val="212121"/>
                <w:sz w:val="16"/>
              </w:rPr>
              <w:t>Dix–Hallpike maneuver</w:t>
            </w:r>
          </w:p>
        </w:tc>
        <w:tc>
          <w:tcPr>
            <w:tcW w:type="dxa" w:w="979"/>
            <w:vAlign w:val="top"/>
          </w:tcPr>
          <w:p>
            <w:pPr>
              <w:spacing w:after="40" w:before="0" w:line="259" w:lineRule="auto"/>
            </w:pPr>
            <w:r>
              <w:rPr>
                <w:rFonts w:ascii="Calibri" w:hAnsi="Calibri"/>
                <w:b w:val="0"/>
                <w:i w:val="0"/>
                <w:color w:val="212121"/>
                <w:sz w:val="16"/>
              </w:rPr>
              <w:t>Torsional up-beating nystagmus + vertigo</w:t>
            </w:r>
          </w:p>
        </w:tc>
        <w:tc>
          <w:tcPr>
            <w:tcW w:type="dxa" w:w="950"/>
            <w:vAlign w:val="top"/>
          </w:tcPr>
          <w:p>
            <w:pPr>
              <w:spacing w:after="40" w:before="0" w:line="259" w:lineRule="auto"/>
            </w:pPr>
            <w:r>
              <w:rPr>
                <w:rFonts w:ascii="Calibri" w:hAnsi="Calibri"/>
                <w:b w:val="0"/>
                <w:i w:val="0"/>
                <w:color w:val="212121"/>
                <w:sz w:val="16"/>
              </w:rPr>
              <w:t>No nystagmus</w:t>
            </w:r>
          </w:p>
        </w:tc>
        <w:tc>
          <w:tcPr>
            <w:tcW w:type="dxa" w:w="950"/>
            <w:vAlign w:val="top"/>
          </w:tcPr>
          <w:p>
            <w:pPr>
              <w:spacing w:after="40" w:before="0" w:line="259" w:lineRule="auto"/>
            </w:pPr>
            <w:r>
              <w:rPr>
                <w:rFonts w:ascii="Calibri" w:hAnsi="Calibri"/>
                <w:b w:val="0"/>
                <w:i w:val="0"/>
                <w:color w:val="212121"/>
                <w:sz w:val="16"/>
              </w:rPr>
              <w:t>Latency 1–20 s, &lt; 60 s, fatigable, crescendo-decrescendo</w:t>
            </w:r>
          </w:p>
        </w:tc>
        <w:tc>
          <w:tcPr>
            <w:tcW w:type="dxa" w:w="1036"/>
            <w:vAlign w:val="top"/>
          </w:tcPr>
          <w:p>
            <w:pPr>
              <w:spacing w:after="40" w:before="0" w:line="259" w:lineRule="auto"/>
            </w:pPr>
            <w:r>
              <w:rPr>
                <w:rFonts w:ascii="Calibri" w:hAnsi="Calibri"/>
                <w:b w:val="0"/>
                <w:i w:val="0"/>
                <w:color w:val="212121"/>
                <w:sz w:val="16"/>
              </w:rPr>
              <w:t>Diagnostic of posterior-canal BPPV; identifies side</w:t>
            </w:r>
          </w:p>
        </w:tc>
        <w:tc>
          <w:tcPr>
            <w:tcW w:type="dxa" w:w="1036"/>
            <w:vAlign w:val="top"/>
          </w:tcPr>
          <w:p>
            <w:pPr>
              <w:spacing w:after="40" w:before="0" w:line="259" w:lineRule="auto"/>
            </w:pPr>
            <w:r>
              <w:rPr>
                <w:rFonts w:ascii="Calibri" w:hAnsi="Calibri"/>
                <w:b w:val="0"/>
                <w:i w:val="0"/>
                <w:color w:val="212121"/>
                <w:sz w:val="16"/>
              </w:rPr>
              <w:t>Suspected posterior-canal BPPV</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Gold-standard bedside test</w:t>
            </w:r>
          </w:p>
        </w:tc>
        <w:tc>
          <w:tcPr>
            <w:tcW w:type="dxa" w:w="720"/>
            <w:vAlign w:val="top"/>
          </w:tcPr>
          <w:p>
            <w:pPr>
              <w:spacing w:after="40" w:before="0" w:line="259" w:lineRule="auto"/>
            </w:pPr>
            <w:r>
              <w:rPr>
                <w:rFonts w:ascii="Calibri" w:hAnsi="Calibri"/>
                <w:b w:val="0"/>
                <w:i w:val="0"/>
                <w:color w:val="212121"/>
                <w:sz w:val="16"/>
              </w:rPr>
              <w:t>Positive test defines the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Provocation test</w:t>
            </w:r>
          </w:p>
        </w:tc>
        <w:tc>
          <w:tcPr>
            <w:tcW w:type="dxa" w:w="950"/>
            <w:vAlign w:val="top"/>
          </w:tcPr>
          <w:p>
            <w:pPr>
              <w:spacing w:after="40" w:before="0" w:line="259" w:lineRule="auto"/>
            </w:pPr>
            <w:r>
              <w:rPr>
                <w:rFonts w:ascii="Calibri" w:hAnsi="Calibri"/>
                <w:b w:val="0"/>
                <w:i w:val="0"/>
                <w:color w:val="212121"/>
                <w:sz w:val="16"/>
              </w:rPr>
              <w:t>Supine head-roll (Pagnini–McClure) test</w:t>
            </w:r>
          </w:p>
        </w:tc>
        <w:tc>
          <w:tcPr>
            <w:tcW w:type="dxa" w:w="979"/>
            <w:vAlign w:val="top"/>
          </w:tcPr>
          <w:p>
            <w:pPr>
              <w:spacing w:after="40" w:before="0" w:line="259" w:lineRule="auto"/>
            </w:pPr>
            <w:r>
              <w:rPr>
                <w:rFonts w:ascii="Calibri" w:hAnsi="Calibri"/>
                <w:b w:val="0"/>
                <w:i w:val="0"/>
                <w:color w:val="212121"/>
                <w:sz w:val="16"/>
              </w:rPr>
              <w:t>Horizontal direction-changing nystagmus</w:t>
            </w:r>
          </w:p>
        </w:tc>
        <w:tc>
          <w:tcPr>
            <w:tcW w:type="dxa" w:w="950"/>
            <w:vAlign w:val="top"/>
          </w:tcPr>
          <w:p>
            <w:pPr>
              <w:spacing w:after="40" w:before="0" w:line="259" w:lineRule="auto"/>
            </w:pPr>
            <w:r>
              <w:rPr>
                <w:rFonts w:ascii="Calibri" w:hAnsi="Calibri"/>
                <w:b w:val="0"/>
                <w:i w:val="0"/>
                <w:color w:val="212121"/>
                <w:sz w:val="16"/>
              </w:rPr>
              <w:t>No nystagmus</w:t>
            </w:r>
          </w:p>
        </w:tc>
        <w:tc>
          <w:tcPr>
            <w:tcW w:type="dxa" w:w="950"/>
            <w:vAlign w:val="top"/>
          </w:tcPr>
          <w:p>
            <w:pPr>
              <w:spacing w:after="40" w:before="0" w:line="259" w:lineRule="auto"/>
            </w:pPr>
            <w:r>
              <w:rPr>
                <w:rFonts w:ascii="Calibri" w:hAnsi="Calibri"/>
                <w:b w:val="0"/>
                <w:i w:val="0"/>
                <w:color w:val="212121"/>
                <w:sz w:val="16"/>
              </w:rPr>
              <w:t>Geotropic or apogeotropic horizontal nystagmus</w:t>
            </w:r>
          </w:p>
        </w:tc>
        <w:tc>
          <w:tcPr>
            <w:tcW w:type="dxa" w:w="1036"/>
            <w:vAlign w:val="top"/>
          </w:tcPr>
          <w:p>
            <w:pPr>
              <w:spacing w:after="40" w:before="0" w:line="259" w:lineRule="auto"/>
            </w:pPr>
            <w:r>
              <w:rPr>
                <w:rFonts w:ascii="Calibri" w:hAnsi="Calibri"/>
                <w:b w:val="0"/>
                <w:i w:val="0"/>
                <w:color w:val="212121"/>
                <w:sz w:val="16"/>
              </w:rPr>
              <w:t>Diagnoses &amp; lateralises horizontal-canal BPPV</w:t>
            </w:r>
          </w:p>
        </w:tc>
        <w:tc>
          <w:tcPr>
            <w:tcW w:type="dxa" w:w="1036"/>
            <w:vAlign w:val="top"/>
          </w:tcPr>
          <w:p>
            <w:pPr>
              <w:spacing w:after="40" w:before="0" w:line="259" w:lineRule="auto"/>
            </w:pPr>
            <w:r>
              <w:rPr>
                <w:rFonts w:ascii="Calibri" w:hAnsi="Calibri"/>
                <w:b w:val="0"/>
                <w:i w:val="0"/>
                <w:color w:val="212121"/>
                <w:sz w:val="16"/>
              </w:rPr>
              <w:t>Dix–Hallpike negative / horizontal nystagmus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Diagnostic (lateral canal)</w:t>
            </w:r>
          </w:p>
        </w:tc>
        <w:tc>
          <w:tcPr>
            <w:tcW w:type="dxa" w:w="720"/>
            <w:vAlign w:val="top"/>
          </w:tcPr>
          <w:p>
            <w:pPr>
              <w:spacing w:after="40" w:before="0" w:line="259" w:lineRule="auto"/>
            </w:pPr>
            <w:r>
              <w:rPr>
                <w:rFonts w:ascii="Calibri" w:hAnsi="Calibri"/>
                <w:b w:val="0"/>
                <w:i w:val="0"/>
                <w:color w:val="212121"/>
                <w:sz w:val="16"/>
              </w:rPr>
              <w:t>Perform when posterior-canal test is negative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Neuro / cerebellar exam</w:t>
            </w:r>
          </w:p>
        </w:tc>
        <w:tc>
          <w:tcPr>
            <w:tcW w:type="dxa" w:w="979"/>
            <w:vAlign w:val="top"/>
          </w:tcPr>
          <w:p>
            <w:pPr>
              <w:spacing w:after="40" w:before="0" w:line="259" w:lineRule="auto"/>
            </w:pPr>
            <w:r>
              <w:rPr>
                <w:rFonts w:ascii="Calibri" w:hAnsi="Calibri"/>
                <w:b w:val="0"/>
                <w:i w:val="0"/>
                <w:color w:val="212121"/>
                <w:sz w:val="16"/>
              </w:rPr>
              <w:t>Focal deficit, gaze-evoked or vertical nystagmus</w:t>
            </w:r>
          </w:p>
        </w:tc>
        <w:tc>
          <w:tcPr>
            <w:tcW w:type="dxa" w:w="950"/>
            <w:vAlign w:val="top"/>
          </w:tcPr>
          <w:p>
            <w:pPr>
              <w:spacing w:after="40" w:before="0" w:line="259" w:lineRule="auto"/>
            </w:pPr>
            <w:r>
              <w:rPr>
                <w:rFonts w:ascii="Calibri" w:hAnsi="Calibri"/>
                <w:b w:val="0"/>
                <w:i w:val="0"/>
                <w:color w:val="212121"/>
                <w:sz w:val="16"/>
              </w:rPr>
              <w:t>Normal exam</w:t>
            </w:r>
          </w:p>
        </w:tc>
        <w:tc>
          <w:tcPr>
            <w:tcW w:type="dxa" w:w="950"/>
            <w:vAlign w:val="top"/>
          </w:tcPr>
          <w:p>
            <w:pPr>
              <w:spacing w:after="40" w:before="0" w:line="259" w:lineRule="auto"/>
            </w:pPr>
            <w:r>
              <w:rPr>
                <w:rFonts w:ascii="Calibri" w:hAnsi="Calibri"/>
                <w:b w:val="0"/>
                <w:i w:val="0"/>
                <w:color w:val="212121"/>
                <w:sz w:val="16"/>
              </w:rPr>
              <w:t>Any central sign</w:t>
            </w:r>
          </w:p>
        </w:tc>
        <w:tc>
          <w:tcPr>
            <w:tcW w:type="dxa" w:w="1036"/>
            <w:vAlign w:val="top"/>
          </w:tcPr>
          <w:p>
            <w:pPr>
              <w:spacing w:after="40" w:before="0" w:line="259" w:lineRule="auto"/>
            </w:pPr>
            <w:r>
              <w:rPr>
                <w:rFonts w:ascii="Calibri" w:hAnsi="Calibri"/>
                <w:b w:val="0"/>
                <w:i w:val="0"/>
                <w:color w:val="212121"/>
                <w:sz w:val="16"/>
              </w:rPr>
              <w:t>Central signs exclude simple BPPV — investigate</w:t>
            </w:r>
          </w:p>
        </w:tc>
        <w:tc>
          <w:tcPr>
            <w:tcW w:type="dxa" w:w="1036"/>
            <w:vAlign w:val="top"/>
          </w:tcPr>
          <w:p>
            <w:pPr>
              <w:spacing w:after="40" w:before="0" w:line="259" w:lineRule="auto"/>
            </w:pPr>
            <w:r>
              <w:rPr>
                <w:rFonts w:ascii="Calibri" w:hAnsi="Calibri"/>
                <w:b w:val="0"/>
                <w:i w:val="0"/>
                <w:color w:val="212121"/>
                <w:sz w:val="16"/>
              </w:rPr>
              <w:t>Atypical features, red flags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screen</w:t>
            </w:r>
          </w:p>
        </w:tc>
        <w:tc>
          <w:tcPr>
            <w:tcW w:type="dxa" w:w="720"/>
            <w:vAlign w:val="top"/>
          </w:tcPr>
          <w:p>
            <w:pPr>
              <w:spacing w:after="40" w:before="0" w:line="259" w:lineRule="auto"/>
            </w:pPr>
            <w:r>
              <w:rPr>
                <w:rFonts w:ascii="Calibri" w:hAnsi="Calibri"/>
                <w:b w:val="0"/>
                <w:i w:val="0"/>
                <w:color w:val="212121"/>
                <w:sz w:val="16"/>
              </w:rPr>
              <w:t>Rules out posterior-fossa mimics (HINTS if acute)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Otological</w:t>
            </w:r>
          </w:p>
        </w:tc>
        <w:tc>
          <w:tcPr>
            <w:tcW w:type="dxa" w:w="950"/>
            <w:vAlign w:val="top"/>
          </w:tcPr>
          <w:p>
            <w:pPr>
              <w:spacing w:after="40" w:before="0" w:line="259" w:lineRule="auto"/>
            </w:pPr>
            <w:r>
              <w:rPr>
                <w:rFonts w:ascii="Calibri" w:hAnsi="Calibri"/>
                <w:b w:val="0"/>
                <w:i w:val="0"/>
                <w:color w:val="212121"/>
                <w:sz w:val="16"/>
              </w:rPr>
              <w:t>Otoscopy &amp; bedside hearing</w:t>
            </w:r>
          </w:p>
        </w:tc>
        <w:tc>
          <w:tcPr>
            <w:tcW w:type="dxa" w:w="979"/>
            <w:vAlign w:val="top"/>
          </w:tcPr>
          <w:p>
            <w:pPr>
              <w:spacing w:after="40" w:before="0" w:line="259" w:lineRule="auto"/>
            </w:pPr>
            <w:r>
              <w:rPr>
                <w:rFonts w:ascii="Calibri" w:hAnsi="Calibri"/>
                <w:b w:val="0"/>
                <w:i w:val="0"/>
                <w:color w:val="212121"/>
                <w:sz w:val="16"/>
              </w:rPr>
              <w:t>Tympanic membrane, Rinne/Weber</w:t>
            </w:r>
          </w:p>
        </w:tc>
        <w:tc>
          <w:tcPr>
            <w:tcW w:type="dxa" w:w="950"/>
            <w:vAlign w:val="top"/>
          </w:tcPr>
          <w:p>
            <w:pPr>
              <w:spacing w:after="40" w:before="0" w:line="259" w:lineRule="auto"/>
            </w:pPr>
            <w:r>
              <w:rPr>
                <w:rFonts w:ascii="Calibri" w:hAnsi="Calibri"/>
                <w:b w:val="0"/>
                <w:i w:val="0"/>
                <w:color w:val="212121"/>
                <w:sz w:val="16"/>
              </w:rPr>
              <w:t>Normal ear, symmetric hearing</w:t>
            </w:r>
          </w:p>
        </w:tc>
        <w:tc>
          <w:tcPr>
            <w:tcW w:type="dxa" w:w="950"/>
            <w:vAlign w:val="top"/>
          </w:tcPr>
          <w:p>
            <w:pPr>
              <w:spacing w:after="40" w:before="0" w:line="259" w:lineRule="auto"/>
            </w:pPr>
            <w:r>
              <w:rPr>
                <w:rFonts w:ascii="Calibri" w:hAnsi="Calibri"/>
                <w:b w:val="0"/>
                <w:i w:val="0"/>
                <w:color w:val="212121"/>
                <w:sz w:val="16"/>
              </w:rPr>
              <w:t>Effusion, asymmetry, hearing loss</w:t>
            </w:r>
          </w:p>
        </w:tc>
        <w:tc>
          <w:tcPr>
            <w:tcW w:type="dxa" w:w="1036"/>
            <w:vAlign w:val="top"/>
          </w:tcPr>
          <w:p>
            <w:pPr>
              <w:spacing w:after="40" w:before="0" w:line="259" w:lineRule="auto"/>
            </w:pPr>
            <w:r>
              <w:rPr>
                <w:rFonts w:ascii="Calibri" w:hAnsi="Calibri"/>
                <w:b w:val="0"/>
                <w:i w:val="0"/>
                <w:color w:val="212121"/>
                <w:sz w:val="16"/>
              </w:rPr>
              <w:t>Abnormal hearing points away from pure BPPV</w:t>
            </w:r>
          </w:p>
        </w:tc>
        <w:tc>
          <w:tcPr>
            <w:tcW w:type="dxa" w:w="1036"/>
            <w:vAlign w:val="top"/>
          </w:tcPr>
          <w:p>
            <w:pPr>
              <w:spacing w:after="40" w:before="0" w:line="259" w:lineRule="auto"/>
            </w:pPr>
            <w:r>
              <w:rPr>
                <w:rFonts w:ascii="Calibri" w:hAnsi="Calibri"/>
                <w:b w:val="0"/>
                <w:i w:val="0"/>
                <w:color w:val="212121"/>
                <w:sz w:val="16"/>
              </w:rPr>
              <w:t>BPPV with aural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To exclude middle-ear/Ménière</w:t>
            </w:r>
          </w:p>
        </w:tc>
        <w:tc>
          <w:tcPr>
            <w:tcW w:type="dxa" w:w="720"/>
            <w:vAlign w:val="top"/>
          </w:tcPr>
          <w:p>
            <w:pPr>
              <w:spacing w:after="40" w:before="0" w:line="259" w:lineRule="auto"/>
            </w:pPr>
            <w:r>
              <w:rPr>
                <w:rFonts w:ascii="Calibri" w:hAnsi="Calibri"/>
                <w:b w:val="0"/>
                <w:i w:val="0"/>
                <w:color w:val="212121"/>
                <w:sz w:val="16"/>
              </w:rPr>
              <w:t>Pure BPPV has a normal ear exam</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Brief positional vertigo (spinning)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spinning triggered by head-position change, lasting seconds to under a minute — the defining symptom.</w:t>
            </w:r>
          </w:p>
        </w:tc>
      </w:tr>
      <w:tr>
        <w:trPr>
          <w:cantSplit/>
        </w:trPr>
        <w:tc>
          <w:tcPr>
            <w:tcW w:type="dxa" w:w="2304"/>
            <w:vAlign w:val="top"/>
          </w:tcPr>
          <w:p>
            <w:pPr>
              <w:spacing w:after="40" w:before="0" w:line="259" w:lineRule="auto"/>
            </w:pPr>
            <w:r>
              <w:rPr>
                <w:rFonts w:ascii="Calibri" w:hAnsi="Calibri"/>
                <w:b/>
                <w:i w:val="0"/>
                <w:color w:val="212121"/>
                <w:sz w:val="19"/>
              </w:rPr>
              <w:t>Vertigo on rolling over in bed / lying down / sitting up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trigger; symptoms often first noticed in bed or on rising in the morning.</w:t>
            </w:r>
          </w:p>
        </w:tc>
      </w:tr>
      <w:tr>
        <w:trPr>
          <w:cantSplit/>
        </w:trPr>
        <w:tc>
          <w:tcPr>
            <w:tcW w:type="dxa" w:w="2304"/>
            <w:vAlign w:val="top"/>
          </w:tcPr>
          <w:p>
            <w:pPr>
              <w:spacing w:after="40" w:before="0" w:line="259" w:lineRule="auto"/>
            </w:pPr>
            <w:r>
              <w:rPr>
                <w:rFonts w:ascii="Calibri" w:hAnsi="Calibri"/>
                <w:b/>
                <w:i w:val="0"/>
                <w:color w:val="212121"/>
                <w:sz w:val="19"/>
              </w:rPr>
              <w:t>Vertigo on looking up or bending forward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'Top-shelf' vertigo when extending the neck to look up, or on stooping.</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Accompanies the vertigo spell via vestibulo-autonomic reflexes.</w:t>
            </w:r>
          </w:p>
        </w:tc>
      </w:tr>
      <w:tr>
        <w:trPr>
          <w:cantSplit/>
        </w:trPr>
        <w:tc>
          <w:tcPr>
            <w:tcW w:type="dxa" w:w="2304"/>
            <w:vAlign w:val="top"/>
          </w:tcPr>
          <w:p>
            <w:pPr>
              <w:spacing w:after="40" w:before="0" w:line="259" w:lineRule="auto"/>
            </w:pPr>
            <w:r>
              <w:rPr>
                <w:rFonts w:ascii="Calibri" w:hAnsi="Calibri"/>
                <w:b/>
                <w:i w:val="0"/>
                <w:color w:val="212121"/>
                <w:sz w:val="19"/>
              </w:rPr>
              <w:t>Imbalance / unsteadiness between episodes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Residual disequilibrium; up to about half of patients report unsteadiness between attacks.</w:t>
            </w:r>
          </w:p>
        </w:tc>
      </w:tr>
      <w:tr>
        <w:trPr>
          <w:cantSplit/>
        </w:trPr>
        <w:tc>
          <w:tcPr>
            <w:tcW w:type="dxa" w:w="2304"/>
            <w:vAlign w:val="top"/>
          </w:tcPr>
          <w:p>
            <w:pPr>
              <w:spacing w:after="40" w:before="0" w:line="259" w:lineRule="auto"/>
            </w:pPr>
            <w:r>
              <w:rPr>
                <w:rFonts w:ascii="Calibri" w:hAnsi="Calibri"/>
                <w:b/>
                <w:i w:val="0"/>
                <w:color w:val="212121"/>
                <w:sz w:val="19"/>
              </w:rPr>
              <w:t>Lightheadedness / floating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Non-spinning dizziness that may persist after the acute spins settle.</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With more intense or repeated positional provocation.</w:t>
            </w:r>
          </w:p>
        </w:tc>
      </w:tr>
      <w:tr>
        <w:trPr>
          <w:cantSplit/>
        </w:trPr>
        <w:tc>
          <w:tcPr>
            <w:tcW w:type="dxa" w:w="2304"/>
            <w:vAlign w:val="top"/>
          </w:tcPr>
          <w:p>
            <w:pPr>
              <w:spacing w:after="40" w:before="0" w:line="259" w:lineRule="auto"/>
            </w:pPr>
            <w:r>
              <w:rPr>
                <w:rFonts w:ascii="Calibri" w:hAnsi="Calibri"/>
                <w:b/>
                <w:i w:val="0"/>
                <w:color w:val="212121"/>
                <w:sz w:val="19"/>
              </w:rPr>
              <w:t>Oscillopsia / visual blurring during attack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Sense of the environment moving, corresponding to the provoked nystagmus.</w:t>
            </w:r>
          </w:p>
        </w:tc>
      </w:tr>
      <w:tr>
        <w:trPr>
          <w:cantSplit/>
        </w:trPr>
        <w:tc>
          <w:tcPr>
            <w:tcW w:type="dxa" w:w="2304"/>
            <w:vAlign w:val="top"/>
          </w:tcPr>
          <w:p>
            <w:pPr>
              <w:spacing w:after="40" w:before="0" w:line="259" w:lineRule="auto"/>
            </w:pPr>
            <w:r>
              <w:rPr>
                <w:rFonts w:ascii="Calibri" w:hAnsi="Calibri"/>
                <w:b/>
                <w:i w:val="0"/>
                <w:color w:val="212121"/>
                <w:sz w:val="19"/>
              </w:rPr>
              <w:t>Anxiety and fear of movement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Anticipatory avoidance of provoking positions; may perpetuate symptoms.</w:t>
            </w:r>
          </w:p>
        </w:tc>
      </w:tr>
      <w:tr>
        <w:trPr>
          <w:cantSplit/>
        </w:trPr>
        <w:tc>
          <w:tcPr>
            <w:tcW w:type="dxa" w:w="2304"/>
            <w:vAlign w:val="top"/>
          </w:tcPr>
          <w:p>
            <w:pPr>
              <w:spacing w:after="40" w:before="0" w:line="259" w:lineRule="auto"/>
            </w:pPr>
            <w:r>
              <w:rPr>
                <w:rFonts w:ascii="Calibri" w:hAnsi="Calibri"/>
                <w:b/>
                <w:i w:val="0"/>
                <w:color w:val="212121"/>
                <w:sz w:val="19"/>
              </w:rPr>
              <w:t>Falls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Sudden positional vertigo can precipitate a fall, especially in older adults.</w:t>
            </w:r>
          </w:p>
        </w:tc>
      </w:tr>
      <w:tr>
        <w:trPr>
          <w:cantSplit/>
        </w:trPr>
        <w:tc>
          <w:tcPr>
            <w:tcW w:type="dxa" w:w="2304"/>
            <w:vAlign w:val="top"/>
          </w:tcPr>
          <w:p>
            <w:pPr>
              <w:spacing w:after="40" w:before="0" w:line="259" w:lineRule="auto"/>
            </w:pPr>
            <w:r>
              <w:rPr>
                <w:rFonts w:ascii="Calibri" w:hAnsi="Calibri"/>
                <w:b/>
                <w:i w:val="0"/>
                <w:color w:val="212121"/>
                <w:sz w:val="19"/>
              </w:rPr>
              <w:t>Persistent non-positional dizziness (PPPD)</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Chronic disequilibrium that can evolve when acute BPPV is untreated or drives fear-avoidance.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Dix–Hallpike with torsional, up-beating nystagmus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of posterior-canal BPPV; provoked when the affected ear is dependent.</w:t>
            </w:r>
          </w:p>
        </w:tc>
      </w:tr>
      <w:tr>
        <w:trPr>
          <w:cantSplit/>
        </w:trPr>
        <w:tc>
          <w:tcPr>
            <w:tcW w:type="dxa" w:w="3456"/>
            <w:vAlign w:val="top"/>
          </w:tcPr>
          <w:p>
            <w:pPr>
              <w:spacing w:after="40" w:before="0" w:line="259" w:lineRule="auto"/>
            </w:pPr>
            <w:r>
              <w:rPr>
                <w:rFonts w:ascii="Calibri" w:hAnsi="Calibri"/>
                <w:b/>
                <w:i w:val="0"/>
                <w:color w:val="212121"/>
                <w:sz w:val="19"/>
              </w:rPr>
              <w:t>Short latency before nystagmus onset (~1–20 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Brief delay between reaching position and onset of nystagmus/vertigo.</w:t>
            </w:r>
          </w:p>
        </w:tc>
      </w:tr>
      <w:tr>
        <w:trPr>
          <w:cantSplit/>
        </w:trPr>
        <w:tc>
          <w:tcPr>
            <w:tcW w:type="dxa" w:w="3456"/>
            <w:vAlign w:val="top"/>
          </w:tcPr>
          <w:p>
            <w:pPr>
              <w:spacing w:after="40" w:before="0" w:line="259" w:lineRule="auto"/>
            </w:pPr>
            <w:r>
              <w:rPr>
                <w:rFonts w:ascii="Calibri" w:hAnsi="Calibri"/>
                <w:b/>
                <w:i w:val="0"/>
                <w:color w:val="212121"/>
                <w:sz w:val="19"/>
              </w:rPr>
              <w:t>Paroxysmal, crescendo-decrescendo nystagmus &lt; 60 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Nystagmus builds then fades and resolves within a minute.</w:t>
            </w:r>
          </w:p>
        </w:tc>
      </w:tr>
      <w:tr>
        <w:trPr>
          <w:cantSplit/>
        </w:trPr>
        <w:tc>
          <w:tcPr>
            <w:tcW w:type="dxa" w:w="3456"/>
            <w:vAlign w:val="top"/>
          </w:tcPr>
          <w:p>
            <w:pPr>
              <w:spacing w:after="40" w:before="0" w:line="259" w:lineRule="auto"/>
            </w:pPr>
            <w:r>
              <w:rPr>
                <w:rFonts w:ascii="Calibri" w:hAnsi="Calibri"/>
                <w:b/>
                <w:i w:val="0"/>
                <w:color w:val="212121"/>
                <w:sz w:val="19"/>
              </w:rPr>
              <w:t>Fatigability on repeat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Response diminishes with repeated maneuvers as otoconia disperse.</w:t>
            </w:r>
          </w:p>
        </w:tc>
      </w:tr>
      <w:tr>
        <w:trPr>
          <w:cantSplit/>
        </w:trPr>
        <w:tc>
          <w:tcPr>
            <w:tcW w:type="dxa" w:w="3456"/>
            <w:vAlign w:val="top"/>
          </w:tcPr>
          <w:p>
            <w:pPr>
              <w:spacing w:after="40" w:before="0" w:line="259" w:lineRule="auto"/>
            </w:pPr>
            <w:r>
              <w:rPr>
                <w:rFonts w:ascii="Calibri" w:hAnsi="Calibri"/>
                <w:b/>
                <w:i w:val="0"/>
                <w:color w:val="212121"/>
                <w:sz w:val="19"/>
              </w:rPr>
              <w:t>Reversal of nystagmus on sitting up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Direction reverses when returning to upright — consistent with canalithiasis.</w:t>
            </w:r>
          </w:p>
        </w:tc>
      </w:tr>
      <w:tr>
        <w:trPr>
          <w:cantSplit/>
        </w:trPr>
        <w:tc>
          <w:tcPr>
            <w:tcW w:type="dxa" w:w="3456"/>
            <w:vAlign w:val="top"/>
          </w:tcPr>
          <w:p>
            <w:pPr>
              <w:spacing w:after="40" w:before="0" w:line="259" w:lineRule="auto"/>
            </w:pPr>
            <w:r>
              <w:rPr>
                <w:rFonts w:ascii="Calibri" w:hAnsi="Calibri"/>
                <w:b/>
                <w:i w:val="0"/>
                <w:color w:val="212121"/>
                <w:sz w:val="19"/>
              </w:rPr>
              <w:t>Horizontal direction-changing nystagmus on supine roll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Geotropic or apogeotropic pattern indicating horizontal-canal BPPV.</w:t>
            </w:r>
          </w:p>
        </w:tc>
      </w:tr>
      <w:tr>
        <w:trPr>
          <w:cantSplit/>
        </w:trPr>
        <w:tc>
          <w:tcPr>
            <w:tcW w:type="dxa" w:w="3456"/>
            <w:vAlign w:val="top"/>
          </w:tcPr>
          <w:p>
            <w:pPr>
              <w:spacing w:after="40" w:before="0" w:line="259" w:lineRule="auto"/>
            </w:pPr>
            <w:r>
              <w:rPr>
                <w:rFonts w:ascii="Calibri" w:hAnsi="Calibri"/>
                <w:b/>
                <w:i w:val="0"/>
                <w:color w:val="212121"/>
                <w:sz w:val="19"/>
              </w:rPr>
              <w:t>Normal seated neurological &amp; cerebellar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Supports a peripheral cause and helps exclude central vertigo.</w:t>
            </w:r>
          </w:p>
        </w:tc>
      </w:tr>
      <w:tr>
        <w:trPr>
          <w:cantSplit/>
        </w:trPr>
        <w:tc>
          <w:tcPr>
            <w:tcW w:type="dxa" w:w="3456"/>
            <w:vAlign w:val="top"/>
          </w:tcPr>
          <w:p>
            <w:pPr>
              <w:spacing w:after="40" w:before="0" w:line="259" w:lineRule="auto"/>
            </w:pPr>
            <w:r>
              <w:rPr>
                <w:rFonts w:ascii="Calibri" w:hAnsi="Calibri"/>
                <w:b/>
                <w:i w:val="0"/>
                <w:color w:val="212121"/>
                <w:sz w:val="19"/>
              </w:rPr>
              <w:t>Preserved hearing and normal otoscopy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Distinguishes pure BPPV from Ménière disease and middle-ear pathology.</w:t>
            </w:r>
          </w:p>
        </w:tc>
      </w:tr>
      <w:tr>
        <w:trPr>
          <w:cantSplit/>
        </w:trPr>
        <w:tc>
          <w:tcPr>
            <w:tcW w:type="dxa" w:w="3456"/>
            <w:vAlign w:val="top"/>
          </w:tcPr>
          <w:p>
            <w:pPr>
              <w:spacing w:after="40" w:before="0" w:line="259" w:lineRule="auto"/>
            </w:pPr>
            <w:r>
              <w:rPr>
                <w:rFonts w:ascii="Calibri" w:hAnsi="Calibri"/>
                <w:b/>
                <w:i w:val="0"/>
                <w:color w:val="212121"/>
                <w:sz w:val="19"/>
              </w:rPr>
              <w:t>Down-beating nystagmus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anterior-canal BPPV, but mandates exclusion of central lesions.</w:t>
            </w:r>
          </w:p>
        </w:tc>
      </w:tr>
      <w:tr>
        <w:trPr>
          <w:cantSplit/>
        </w:trPr>
        <w:tc>
          <w:tcPr>
            <w:tcW w:type="dxa" w:w="3456"/>
            <w:vAlign w:val="top"/>
          </w:tcPr>
          <w:p>
            <w:pPr>
              <w:spacing w:after="40" w:before="0" w:line="259" w:lineRule="auto"/>
            </w:pPr>
            <w:r>
              <w:rPr>
                <w:rFonts w:ascii="Calibri" w:hAnsi="Calibri"/>
                <w:b/>
                <w:i w:val="0"/>
                <w:color w:val="212121"/>
                <w:sz w:val="19"/>
              </w:rPr>
              <w:t>Unsteady tandem gait / positive Romberg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residual disequilibrium, especially in elderly patients.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disabling positional vertigo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Nausea and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imbalance with risk of a sudden fall or injury</w:t>
            </w:r>
          </w:p>
        </w:tc>
        <w:tc>
          <w:tcPr>
            <w:tcW w:type="dxa" w:w="2980"/>
            <w:vAlign w:val="top"/>
          </w:tcPr>
          <w:p>
            <w:pPr>
              <w:spacing w:after="40" w:before="0" w:line="259" w:lineRule="auto"/>
            </w:pPr>
            <w:r>
              <w:rPr>
                <w:rFonts w:ascii="Calibri" w:hAnsi="Calibri"/>
                <w:b w:val="0"/>
                <w:i w:val="0"/>
                <w:color w:val="212121"/>
                <w:sz w:val="19"/>
              </w:rPr>
              <w:t>Direct consequences of paroxysmal, position-triggered vestibular activation.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fall-related injuries, especially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imbalance and gait unsteadiness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fear of movement and activity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postural-perceptual dizziness (PPPD)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Canal switch/conversion or persistent (refractory) BPPV</w:t>
            </w:r>
          </w:p>
        </w:tc>
        <w:tc>
          <w:tcPr>
            <w:tcW w:type="dxa" w:w="2980"/>
            <w:vAlign w:val="top"/>
          </w:tcPr>
          <w:p>
            <w:pPr>
              <w:spacing w:after="40" w:before="0" w:line="259" w:lineRule="auto"/>
            </w:pPr>
            <w:r>
              <w:rPr>
                <w:rFonts w:ascii="Calibri" w:hAnsi="Calibri"/>
                <w:b w:val="0"/>
                <w:i w:val="0"/>
                <w:color w:val="212121"/>
                <w:sz w:val="19"/>
              </w:rPr>
              <w:t>Arise from repeated episodes, ageing, comorbidity and maladaptive behavioural responses.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Hip, wrist or vertebral fractures with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disability and driving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functional decline</w:t>
            </w:r>
          </w:p>
        </w:tc>
        <w:tc>
          <w:tcPr>
            <w:tcW w:type="dxa" w:w="2980"/>
            <w:vAlign w:val="top"/>
          </w:tcPr>
          <w:p>
            <w:pPr>
              <w:spacing w:after="40" w:before="0" w:line="259" w:lineRule="auto"/>
            </w:pPr>
            <w:r>
              <w:rPr>
                <w:rFonts w:ascii="Calibri" w:hAnsi="Calibri"/>
                <w:b w:val="0"/>
                <w:i w:val="0"/>
                <w:color w:val="212121"/>
                <w:sz w:val="19"/>
              </w:rPr>
              <w:t>Long-term disabling outcomes, largely fall- and psychology-mediated, in undertreated or recurrent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Impairs otoconial calcium homeostasis and drives recurrence; in an Indian cohort every BPPV patient had 25(OH)D &lt; 20 ng/mL and supplementation reduced recurrence.</w:t>
            </w:r>
          </w:p>
        </w:tc>
      </w:tr>
      <w:tr>
        <w:trPr>
          <w:cantSplit/>
        </w:trPr>
        <w:tc>
          <w:tcPr>
            <w:tcW w:type="dxa" w:w="2232"/>
            <w:vAlign w:val="top"/>
          </w:tcPr>
          <w:p>
            <w:pPr>
              <w:spacing w:after="40" w:before="0" w:line="259" w:lineRule="auto"/>
            </w:pPr>
            <w:r>
              <w:rPr>
                <w:rFonts w:ascii="Calibri" w:hAnsi="Calibri"/>
                <w:b/>
                <w:i w:val="0"/>
                <w:color w:val="212121"/>
                <w:sz w:val="19"/>
              </w:rPr>
              <w:t>Osteoporosis / osteopenia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bone and otoconial mineral turnover; pooled odds ratio for BPPV about 2.49.</w:t>
            </w:r>
          </w:p>
          <w:p>
            <w:pPr>
              <w:spacing w:after="40" w:before="0" w:line="259" w:lineRule="auto"/>
            </w:pPr>
            <w:r>
              <w:rPr>
                <w:rFonts w:ascii="Calibri" w:hAnsi="Calibri"/>
                <w:b/>
                <w:i w:val="0"/>
                <w:color w:val="212121"/>
                <w:sz w:val="19"/>
              </w:rPr>
              <w:t>~2.5× odds</w:t>
            </w:r>
          </w:p>
        </w:tc>
      </w:tr>
      <w:tr>
        <w:trPr>
          <w:cantSplit/>
        </w:trPr>
        <w:tc>
          <w:tcPr>
            <w:tcW w:type="dxa" w:w="2232"/>
            <w:vAlign w:val="top"/>
          </w:tcPr>
          <w:p>
            <w:pPr>
              <w:spacing w:after="40" w:before="0" w:line="259" w:lineRule="auto"/>
            </w:pPr>
            <w:r>
              <w:rPr>
                <w:rFonts w:ascii="Calibri" w:hAnsi="Calibri"/>
                <w:b/>
                <w:i w:val="0"/>
                <w:color w:val="212121"/>
                <w:sz w:val="19"/>
              </w:rPr>
              <w:t>Migraine / vestibular migraine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One of the strongest comorbid associations (OR ≈ 4.4); prevalence in BPPV roughly double that of controls.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 comorbidity in Indian BPPV series; affects metabolic and possibly otoconial function.</w:t>
            </w:r>
          </w:p>
          <w:p>
            <w:pPr>
              <w:spacing w:after="40" w:before="0" w:line="259" w:lineRule="auto"/>
            </w:pPr>
            <w:r>
              <w:rPr>
                <w:rFonts w:ascii="Calibri" w:hAnsi="Calibri"/>
                <w:b/>
                <w:i w:val="0"/>
                <w:color w:val="212121"/>
                <w:sz w:val="19"/>
              </w:rPr>
              <w:t>~14% (Indian cohort)</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comorbidity; labyrinthine microvascular change is a plausible contributor.</w:t>
            </w:r>
          </w:p>
          <w:p>
            <w:pPr>
              <w:spacing w:after="40" w:before="0" w:line="259" w:lineRule="auto"/>
            </w:pPr>
            <w:r>
              <w:rPr>
                <w:rFonts w:ascii="Calibri" w:hAnsi="Calibri"/>
                <w:b/>
                <w:i w:val="0"/>
                <w:color w:val="212121"/>
                <w:sz w:val="19"/>
              </w:rPr>
              <w:t>~13% (Indian cohort)</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occurrence and slower repositioning response.</w:t>
            </w:r>
          </w:p>
          <w:p>
            <w:pPr>
              <w:spacing w:after="40" w:before="0" w:line="259" w:lineRule="auto"/>
            </w:pPr>
            <w:r>
              <w:rPr>
                <w:rFonts w:ascii="Calibri" w:hAnsi="Calibri"/>
                <w:b/>
                <w:i w:val="0"/>
                <w:color w:val="212121"/>
                <w:sz w:val="19"/>
              </w:rPr>
              <w:t>64% of good-quality studies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Microvascular and neural labyrinthine injury; linked to needing more treatment sessions.</w:t>
            </w:r>
          </w:p>
          <w:p>
            <w:pPr>
              <w:spacing w:after="40" w:before="0" w:line="259" w:lineRule="auto"/>
            </w:pPr>
            <w:r>
              <w:rPr>
                <w:rFonts w:ascii="Calibri" w:hAnsi="Calibri"/>
                <w:b/>
                <w:i w:val="0"/>
                <w:color w:val="212121"/>
                <w:sz w:val="19"/>
              </w:rPr>
              <w:t>~9% (Indian cohort)</w:t>
            </w:r>
          </w:p>
        </w:tc>
      </w:tr>
      <w:tr>
        <w:trPr>
          <w:cantSplit/>
        </w:trPr>
        <w:tc>
          <w:tcPr>
            <w:tcW w:type="dxa" w:w="2232"/>
            <w:vAlign w:val="top"/>
          </w:tcPr>
          <w:p>
            <w:pPr>
              <w:spacing w:after="40" w:before="0" w:line="259" w:lineRule="auto"/>
            </w:pPr>
            <w:r>
              <w:rPr>
                <w:rFonts w:ascii="Calibri" w:hAnsi="Calibri"/>
                <w:b/>
                <w:i w:val="0"/>
                <w:color w:val="212121"/>
                <w:sz w:val="19"/>
              </w:rPr>
              <w:t>Ménière disease / labyrinthitis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Inner-ear disease liberates otoconia, causing recurrent, often refractory secondary BPPV.</w:t>
            </w:r>
          </w:p>
        </w:tc>
      </w:tr>
      <w:tr>
        <w:trPr>
          <w:cantSplit/>
        </w:trPr>
        <w:tc>
          <w:tcPr>
            <w:tcW w:type="dxa" w:w="2232"/>
            <w:vAlign w:val="top"/>
          </w:tcPr>
          <w:p>
            <w:pPr>
              <w:spacing w:after="40" w:before="0" w:line="259" w:lineRule="auto"/>
            </w:pPr>
            <w:r>
              <w:rPr>
                <w:rFonts w:ascii="Calibri" w:hAnsi="Calibri"/>
                <w:b/>
                <w:i w:val="0"/>
                <w:color w:val="212121"/>
                <w:sz w:val="19"/>
              </w:rPr>
              <w:t>Anxiety / PPPD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with BPPV, worsens dizziness handicap and predicts persistence.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BPPV is benign, extremely common and highly treatable — brief position-triggered spinning is the hallmark.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typical triggers (rolling over in bed, looking up, bending, lying down) and move the head slowly and deliberately during acute phases.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repositioning maneuvers (Epley/Sémont) — not long-term medication — are the definitive cure; vestibular suppressants only mask symptoms and are discouraged for routine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for recurrent or atypical vertigo to exclude other causes and to check vitamin D and bone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Fall-proof the home (good lighting, grab-bars, remove loose rugs), especially for older adults.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BPPV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First-time vertigo</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prescribed canalith-repositioning (Epley or Sémont) maneuvers — the first-line, curative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home Brandt–Daroff exercises for residual or mild recurrent symptoms when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head movement early after treatment; post-procedure postural restrictions are not required.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balance and gait training, particularly for elderly patients, to cut fall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vestibular rehabilitation if imbalance or PPPD persists after the canal is cleared.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BPPV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BPPV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PPPD / chronic dizziness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avoid prolonged bed rest; mobilise early after illness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weight-bearing exercise to maintain bone density and otoconial mineral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head during sport and travel to reduce trauma-related (secondary) BPPV.</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Post-surgical / post-illness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through safe sun exposure plus diet/supplementation — crucial given India's very high deficiency rates — to lower occurrence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Meet calcium needs (~1000–1200 mg/day) with dairy or fortified foods, ragi/millets, and green leafy vegetables.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documented vitamin D deficiency with supervised supplementation, especially in recurrent BPPV and 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diet and manage metabolic comorbidities (diabetes, dyslipidaemia, hypertension).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Low-dairy 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BPPV</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poor sleep amplifies dizziness handicap.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and just after an episode, sleep slightly propped up and avoid lying on the affected ear initially.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Change head position slowly on waking and when getting out of 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BPPV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and seek cessation support; this protects labyrinthine and general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control of blood pressure, glucose and lipids to limit microvascular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Vascular-risk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intoxication causes positional nystagmus and impairs balance, raising fall risk during vertigo.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acute vertigo and while performing repositioning exercises.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Fall-risk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that BPPV is benign and curable — this alone reduces anxiety and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depression and persistent postural-perceptual dizziness (PPPD).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vestibular rehabilitation, with cognitive behavioural therapy and/or an SSRI where PPPD is established.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 graded return to normal daily activity rather than protective immobility.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PPPD / chronic dizziness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BPPV</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6383320/" TargetMode="External"/><Relationship Id="rId10" Type="http://schemas.openxmlformats.org/officeDocument/2006/relationships/hyperlink" Target="https://pmc.ncbi.nlm.nih.gov/articles/PMC7324663/" TargetMode="External"/><Relationship Id="rId11" Type="http://schemas.openxmlformats.org/officeDocument/2006/relationships/hyperlink" Target="https://ijmr.org.in/prevalence-of-hypovitaminosis-d-in-india-way-forward/" TargetMode="External"/><Relationship Id="rId12" Type="http://schemas.openxmlformats.org/officeDocument/2006/relationships/hyperlink" Target="https://www.ncbi.nlm.nih.gov/books/NBK470308/" TargetMode="External"/><Relationship Id="rId13" Type="http://schemas.openxmlformats.org/officeDocument/2006/relationships/hyperlink" Target="https://www.frontiersin.org/journals/neurology/articles/10.3389/fneur.2025.1595693/full" TargetMode="External"/><Relationship Id="rId14" Type="http://schemas.openxmlformats.org/officeDocument/2006/relationships/hyperlink" Target="https://link.springer.com/article/10.1007/s12070-021-03070-1" TargetMode="External"/><Relationship Id="rId15" Type="http://schemas.openxmlformats.org/officeDocument/2006/relationships/hyperlink" Target="https://link.springer.com/article/10.1186/s43163-023-00456-6" TargetMode="External"/><Relationship Id="rId16" Type="http://schemas.openxmlformats.org/officeDocument/2006/relationships/hyperlink" Target="http://impactfactor.org/PDF/IJPCR/16/IJPCR,Vol16,Issue12,Article390.pdf" TargetMode="External"/><Relationship Id="rId17" Type="http://schemas.openxmlformats.org/officeDocument/2006/relationships/hyperlink" Target="https://www.entnet.org/resource/aao-hnsf-updated-cpg-bppv-press-release-fac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