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Ménière's Disease</w:t>
      </w:r>
    </w:p>
    <w:p>
      <w:pPr>
        <w:spacing w:before="0" w:after="160"/>
      </w:pPr>
      <w:r>
        <w:rPr>
          <w:rFonts w:ascii="Calibri" w:hAnsi="Calibri"/>
          <w:b/>
          <w:i w:val="0"/>
          <w:color w:val="212121"/>
          <w:sz w:val="22"/>
        </w:rPr>
        <w:t xml:space="preserve">AKA </w:t>
      </w:r>
      <w:r>
        <w:rPr>
          <w:rFonts w:ascii="Calibri" w:hAnsi="Calibri"/>
          <w:b w:val="0"/>
          <w:i w:val="0"/>
          <w:color w:val="212121"/>
          <w:sz w:val="22"/>
        </w:rPr>
        <w:t>i.e., Meniere's disease, Idiopathic endolymphatic hydrops, Meniere's syndrome, Endolymphatic hydrops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Ménière's disease is a chronic disorder of the inner ear (a neuro-otological condition) characterised by recurrent, spontaneous episodes of rotational vertigo, fluctuating sensorineural hearing loss, tinnitus and a sensation of fullness or pressure in the affected ear, which is usually one-sided at onset. The underlying abnormality is endolymphatic hydrops — an abnormal accumulation of endolymph that distends the membranous labyrinth (Reissner's membrane) and mechanically and chemically disrupts the sensory cells of hearing and balance. Individual attacks last from about 20 minutes to 12 hours and recur unpredictably, and over years the hearing loss tends to become progressive and permanent.</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Ménière's disease is an uncommon but disabling neuro-otological disorder. Reported population prevalence varies widely — from roughly 3.5 to over 500 per 100,000 depending on diagnostic criteria — with commonly cited figures around 190–218 per 100,000 and an annual incidence near 15 per 100,000; in the United States about 615,000 people are affected and roughly 45,500 are newly diagnosed each year. Onset is most common between 40 and 60 years of age and it is rare in children. Dedicated nationwide prevalence data for India are limited and the condition is under-recognised outside tertiary ENT and neuro-otology centres, where vertigo is among the most frequent presenting complaints; India's characteristically high dietary salt intake is clinically relevant because low-sodium diets are a cornerstone of management.</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Ménière's disease is a clinical diagnosis based on the Bárány Society / American Academy of Otolaryngology–Head and Neck Surgery (2015) criteria, supported by audiometry and by exclusion of other causes of episodic audiovestibular symptoms: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Definite Ménière's disease — two or more spontaneous episodes of vertigo, each lasting 20 minutes to 12 hours;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audiometrically documented low- to mid-frequency sensorineural hearing loss in the affected ear on at least one occasion (before, during or after an episode of vertigo);</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fluctuating aural symptoms (hearing loss, tinnitus or fullness) in the affected ear;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and symptoms not better accounted for by another vestibular diagnosis.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Probable Ménière's disease — two or more episodes of vertigo or dizziness lasting 20 minutes to 24 hours with fluctuating aural symptoms, but without audiometric confirmation of hearing loss.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 audiogram is mandatory in all suspected cases; MRI of the internal auditory canals (with contrast) is used to exclude retrocochlear pathology such as vestibular schwannoma in asymmetric hearing loss.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Ménière's disease is described both by clinical form and by functional stage, the latter based on the AAO-HNS audiometric hearing threshold:</w:t>
      </w:r>
    </w:p>
    <w:p>
      <w:pPr>
        <w:spacing w:before="0" w:after="80"/>
      </w:pPr>
      <w:r>
        <w:rPr>
          <w:rFonts w:ascii="Calibri" w:hAnsi="Calibri"/>
          <w:b w:val="0"/>
          <w:i w:val="0"/>
          <w:color w:val="212121"/>
          <w:sz w:val="21"/>
        </w:rPr>
        <w:t>(1) Classic (complete) Ménière's disease — the full symptom complex of episodic vertigo, fluctuating sensorineural hearing loss, tinnitus and aural fullness in one (later sometimes both) ear;</w:t>
      </w:r>
    </w:p>
    <w:p>
      <w:pPr>
        <w:spacing w:before="0" w:after="80"/>
      </w:pPr>
      <w:r>
        <w:rPr>
          <w:rFonts w:ascii="Calibri" w:hAnsi="Calibri"/>
          <w:b w:val="0"/>
          <w:i w:val="0"/>
          <w:color w:val="212121"/>
          <w:sz w:val="21"/>
        </w:rPr>
        <w:t>(2) Cochlear and vestibular variants — historically 'cochlear hydrops' (auditory symptoms without vertigo) and 'vestibular hydrops' (vertigo without documented hearing loss); these are now largely captured under 'probable' disease and many evolve into the complete form over time;</w:t>
      </w:r>
    </w:p>
    <w:p>
      <w:pPr>
        <w:spacing w:before="0" w:after="80"/>
      </w:pPr>
      <w:r>
        <w:rPr>
          <w:rFonts w:ascii="Calibri" w:hAnsi="Calibri"/>
          <w:b w:val="0"/>
          <w:i w:val="0"/>
          <w:color w:val="212121"/>
          <w:sz w:val="21"/>
        </w:rPr>
        <w:t>(3) Functional staging (AAO-HNS 1995), by mean low-frequency pure-tone average in the affected ear — Stage 1 (≤ 25 dB), Stage 2 (26–40 dB), Stage 3 (41–70 dB) and Stage 4 (&gt; 70 dB) — reflecting progressive sensorineural loss and guiding management;</w:t>
      </w:r>
    </w:p>
    <w:p>
      <w:pPr>
        <w:spacing w:before="0" w:after="80"/>
      </w:pPr>
      <w:r>
        <w:rPr>
          <w:rFonts w:ascii="Calibri" w:hAnsi="Calibri"/>
          <w:b w:val="0"/>
          <w:i w:val="0"/>
          <w:color w:val="212121"/>
          <w:sz w:val="21"/>
        </w:rPr>
        <w:t>(4) Laterality — unilateral in the majority at presentation, with bilateral involvement developing in roughly 15–47% of patients over years to decades; Tumarkin's otolithic crisis (sudden 'drop attacks' without loss of consciousness) is a distinct severe manifestation of later disease.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Endolymphatic hydrops: An imbalance between production and resorption of endolymph distends the membranous labyrinth and Reissner's membrane, the core pathological substrate that disrupts hair-cell function.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Genetic predisposition: About 7–10% of patients have an affected first-degree relative, with familial (often autosomal dominant) forms and a higher burden in people of European descent.</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Autoimmune / inflammatory mechanisms: Associations with rheumatoid arthritis, systemic lupus erythematosus and ankylosing spondylitis, and raised immune markers, implicate immune-mediated inner-ear injury in a subset.</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Vascular and viral theories: Constriction of labyrinthine blood vessels and prior viral infection (e.g., herpes-family viruses) are proposed as contributory triggers.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Migraine mechanisms: Substantial biological and epidemiological overlap with migraine and vestibular migraine suggests shared trigeminovascular and channel pathways.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Anatomical factors: Hypoplasia of the endolymphatic sac/duct and Eustachian-tube dysfunction predispose to impaired endolymph clearance.</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Dietary and osmotic load: High sodium intake, caffeine, alcohol, stress and fluid shifts can precipitate acute attacks in susceptible individuals.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(40–60 years, peak onset)</w:t>
            </w:r>
          </w:p>
        </w:tc>
        <w:tc>
          <w:tcPr>
            <w:tcW w:type="dxa" w:w="4276"/>
            <w:vAlign w:val="top"/>
          </w:tcPr>
          <w:p>
            <w:pPr>
              <w:spacing w:after="60" w:line="259" w:lineRule="auto"/>
            </w:pPr>
            <w:r>
              <w:rPr>
                <w:rFonts w:ascii="Calibri" w:hAnsi="Calibri"/>
                <w:b w:val="0"/>
                <w:i w:val="0"/>
                <w:color w:val="212121"/>
                <w:sz w:val="19"/>
              </w:rPr>
              <w:t>Ménière's disease characteristically begins in mid-adult life, when cumulative labyrinthine and immune changes combine with lifestyle triggers; it is rare before 18 years.</w:t>
            </w:r>
          </w:p>
          <w:p>
            <w:pPr>
              <w:spacing w:after="40" w:before="60" w:line="259" w:lineRule="auto"/>
            </w:pPr>
            <w:r>
              <w:rPr>
                <w:rFonts w:ascii="Calibri" w:hAnsi="Calibri"/>
                <w:b w:val="0"/>
                <w:i w:val="0"/>
                <w:color w:val="212121"/>
                <w:sz w:val="19"/>
              </w:rPr>
              <w:t>In the United States about 615,000 people are affected with roughly 45,500 newly diagnosed each year; onset most often occurs between 40 and 60 years.</w:t>
            </w:r>
          </w:p>
          <w:p>
            <w:pPr>
              <w:spacing w:after="40" w:line="252" w:lineRule="auto"/>
            </w:pPr>
            <w:hyperlink r:id="rId9">
              <w:r>
                <w:rPr>
                  <w:rFonts w:ascii="Calibri" w:hAnsi="Calibri" w:cs="Calibri"/>
                  <w:sz w:val="18"/>
                  <w:color w:val="1155CC"/>
                  <w:u w:val="single"/>
                </w:rPr>
                <w:t xml:space="preserve">nidcd.nih.gov — Ménière's disease</w:t>
              </w:r>
            </w:hyperlink>
          </w:p>
          <w:p>
            <w:pPr>
              <w:spacing w:before="60" w:after="40"/>
            </w:pPr>
            <w:r>
              <w:rPr>
                <w:rFonts w:ascii="Calibri" w:hAnsi="Calibri"/>
                <w:b w:val="0"/>
                <w:i w:val="0"/>
                <w:color w:val="5A5A5A"/>
                <w:sz w:val="18"/>
              </w:rPr>
              <w:t>#meniere  #vertigo  #endolymphatichydrops  #adultonset  #neurotology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(&gt; 65 years)</w:t>
            </w:r>
          </w:p>
        </w:tc>
        <w:tc>
          <w:tcPr>
            <w:tcW w:type="dxa" w:w="4276"/>
            <w:vAlign w:val="top"/>
          </w:tcPr>
          <w:p>
            <w:pPr>
              <w:spacing w:after="60" w:line="259" w:lineRule="auto"/>
            </w:pPr>
            <w:r>
              <w:rPr>
                <w:rFonts w:ascii="Calibri" w:hAnsi="Calibri"/>
                <w:b w:val="0"/>
                <w:i w:val="0"/>
                <w:color w:val="212121"/>
                <w:sz w:val="19"/>
              </w:rPr>
              <w:t>Older adults carry accumulated disease duration and age-related decline of labyrinthine and auditory function, so hearing loss and imbalance are more advanced and fall risk is greater.</w:t>
            </w:r>
          </w:p>
          <w:p>
            <w:pPr>
              <w:spacing w:after="40" w:before="60" w:line="259" w:lineRule="auto"/>
            </w:pPr>
            <w:r>
              <w:rPr>
                <w:rFonts w:ascii="Calibri" w:hAnsi="Calibri"/>
                <w:b w:val="0"/>
                <w:i w:val="0"/>
                <w:color w:val="212121"/>
                <w:sz w:val="19"/>
              </w:rPr>
              <w:t>About 15% of patients with Ménière's disease are older than 65 years.</w:t>
            </w:r>
          </w:p>
          <w:p>
            <w:pPr>
              <w:spacing w:after="40" w:line="252" w:lineRule="auto"/>
            </w:pPr>
            <w:hyperlink r:id="rId10">
              <w:r>
                <w:rPr>
                  <w:rFonts w:ascii="Calibri" w:hAnsi="Calibri" w:cs="Calibri"/>
                  <w:sz w:val="18"/>
                  <w:color w:val="1155CC"/>
                  <w:u w:val="single"/>
                </w:rPr>
                <w:t xml:space="preserve">en.wikipedia.org — Ménière's disease</w:t>
              </w:r>
            </w:hyperlink>
          </w:p>
          <w:p>
            <w:pPr>
              <w:spacing w:before="60" w:after="40"/>
            </w:pPr>
            <w:r>
              <w:rPr>
                <w:rFonts w:ascii="Calibri" w:hAnsi="Calibri"/>
                <w:b w:val="0"/>
                <w:i w:val="0"/>
                <w:color w:val="5A5A5A"/>
                <w:sz w:val="18"/>
              </w:rPr>
              <w:t>#elderly  #falls  #hearingloss  #imbalance  #ageing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are affected slightly more often than men, and the psychological burden (anxiety and depression) is also higher in affected women; hormonal and autoimmune factors are implicated.</w:t>
            </w:r>
          </w:p>
          <w:p>
            <w:pPr>
              <w:spacing w:after="40" w:before="60" w:line="259" w:lineRule="auto"/>
            </w:pPr>
            <w:r>
              <w:rPr>
                <w:rFonts w:ascii="Calibri" w:hAnsi="Calibri"/>
                <w:b w:val="0"/>
                <w:i w:val="0"/>
                <w:color w:val="212121"/>
                <w:sz w:val="19"/>
              </w:rPr>
              <w:t>Studies show females are slightly more likely to develop Ménière's disease than males.</w:t>
            </w:r>
          </w:p>
          <w:p>
            <w:pPr>
              <w:spacing w:after="40" w:line="252" w:lineRule="auto"/>
            </w:pPr>
            <w:hyperlink r:id="rId11">
              <w:r>
                <w:rPr>
                  <w:rFonts w:ascii="Calibri" w:hAnsi="Calibri" w:cs="Calibri"/>
                  <w:sz w:val="18"/>
                  <w:color w:val="1155CC"/>
                  <w:u w:val="single"/>
                </w:rPr>
                <w:t xml:space="preserve">my.clevelandclinic.org — Ménière's disease</w:t>
              </w:r>
            </w:hyperlink>
          </w:p>
          <w:p>
            <w:pPr>
              <w:spacing w:before="60" w:after="40"/>
            </w:pPr>
            <w:r>
              <w:rPr>
                <w:rFonts w:ascii="Calibri" w:hAnsi="Calibri"/>
                <w:b w:val="0"/>
                <w:i w:val="0"/>
                <w:color w:val="5A5A5A"/>
                <w:sz w:val="18"/>
              </w:rPr>
              <w:t>#female  #hormonal  #autoimmune  #anxiety  #sexdifference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High-stress workers; lower-access populations</w:t>
            </w:r>
          </w:p>
        </w:tc>
        <w:tc>
          <w:tcPr>
            <w:tcW w:type="dxa" w:w="4276"/>
            <w:vAlign w:val="top"/>
          </w:tcPr>
          <w:p>
            <w:pPr>
              <w:spacing w:after="60" w:line="259" w:lineRule="auto"/>
            </w:pPr>
            <w:r>
              <w:rPr>
                <w:rFonts w:ascii="Calibri" w:hAnsi="Calibri"/>
                <w:b w:val="0"/>
                <w:i w:val="0"/>
                <w:color w:val="212121"/>
                <w:sz w:val="19"/>
              </w:rPr>
              <w:t>Psychological stress is a frequently reported precipitant of attacks, while in lower-resource and rural Indian settings limited access to audiology and neuro-otology leads to delayed or missed diagnosis and under-treatment.</w:t>
            </w:r>
          </w:p>
          <w:p>
            <w:pPr>
              <w:spacing w:after="40" w:before="60" w:line="259" w:lineRule="auto"/>
            </w:pPr>
            <w:r>
              <w:rPr>
                <w:rFonts w:ascii="Calibri" w:hAnsi="Calibri"/>
                <w:b w:val="0"/>
                <w:i w:val="0"/>
                <w:color w:val="212121"/>
                <w:sz w:val="19"/>
              </w:rPr>
              <w:t>Stress is a common self-reported trigger; access to formal vestibular testing is concentrated in tertiary centres.</w:t>
            </w:r>
          </w:p>
          <w:p>
            <w:pPr>
              <w:spacing w:before="60" w:after="40"/>
            </w:pPr>
            <w:r>
              <w:rPr>
                <w:rFonts w:ascii="Calibri" w:hAnsi="Calibri"/>
                <w:b w:val="0"/>
                <w:i w:val="0"/>
                <w:color w:val="5A5A5A"/>
                <w:sz w:val="18"/>
              </w:rPr>
              <w:t>#stress  #access  #underdiagnosis  #ruralhealth  #worklife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White / European descent</w:t>
            </w:r>
          </w:p>
        </w:tc>
        <w:tc>
          <w:tcPr>
            <w:tcW w:type="dxa" w:w="4276"/>
            <w:vAlign w:val="top"/>
          </w:tcPr>
          <w:p>
            <w:pPr>
              <w:spacing w:after="60" w:line="259" w:lineRule="auto"/>
            </w:pPr>
            <w:r>
              <w:rPr>
                <w:rFonts w:ascii="Calibri" w:hAnsi="Calibri"/>
                <w:b w:val="0"/>
                <w:i w:val="0"/>
                <w:color w:val="212121"/>
                <w:sz w:val="19"/>
              </w:rPr>
              <w:t>Reported prevalence and familial clustering are highest in older, White, female populations, suggesting genetic and environmental contributions to susceptibility.</w:t>
            </w:r>
          </w:p>
          <w:p>
            <w:pPr>
              <w:spacing w:after="40" w:before="60" w:line="259" w:lineRule="auto"/>
            </w:pPr>
            <w:r>
              <w:rPr>
                <w:rFonts w:ascii="Calibri" w:hAnsi="Calibri"/>
                <w:b w:val="0"/>
                <w:i w:val="0"/>
                <w:color w:val="212121"/>
                <w:sz w:val="19"/>
              </w:rPr>
              <w:t>Prevalence is described as higher in older, white, female patients.</w:t>
            </w:r>
          </w:p>
          <w:p>
            <w:pPr>
              <w:spacing w:after="40" w:line="252" w:lineRule="auto"/>
            </w:pPr>
            <w:hyperlink r:id="rId12">
              <w:r>
                <w:rPr>
                  <w:rFonts w:ascii="Calibri" w:hAnsi="Calibri" w:cs="Calibri"/>
                  <w:sz w:val="18"/>
                  <w:color w:val="1155CC"/>
                  <w:u w:val="single"/>
                </w:rPr>
                <w:t xml:space="preserve">ncbi.nlm.nih.gov — StatPearls: Meniere Disease</w:t>
              </w:r>
            </w:hyperlink>
          </w:p>
          <w:p>
            <w:pPr>
              <w:spacing w:before="60" w:after="40"/>
            </w:pPr>
            <w:r>
              <w:rPr>
                <w:rFonts w:ascii="Calibri" w:hAnsi="Calibri"/>
                <w:b w:val="0"/>
                <w:i w:val="0"/>
                <w:color w:val="5A5A5A"/>
                <w:sz w:val="18"/>
              </w:rPr>
              <w:t>#ethnicity  #european  #familial  #genetics  #prevalence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diet</w:t>
            </w:r>
          </w:p>
        </w:tc>
        <w:tc>
          <w:tcPr>
            <w:tcW w:type="dxa" w:w="2160"/>
            <w:vAlign w:val="top"/>
          </w:tcPr>
          <w:p>
            <w:pPr>
              <w:spacing w:after="40" w:before="0" w:line="259" w:lineRule="auto"/>
            </w:pPr>
            <w:r>
              <w:rPr>
                <w:rFonts w:ascii="Calibri" w:hAnsi="Calibri"/>
                <w:b w:val="0"/>
                <w:i w:val="0"/>
                <w:color w:val="212121"/>
                <w:sz w:val="19"/>
              </w:rPr>
              <w:t>South Asian / Indian population (high-salt diet)</w:t>
            </w:r>
          </w:p>
        </w:tc>
        <w:tc>
          <w:tcPr>
            <w:tcW w:type="dxa" w:w="4276"/>
            <w:vAlign w:val="top"/>
          </w:tcPr>
          <w:p>
            <w:pPr>
              <w:spacing w:after="60" w:line="259" w:lineRule="auto"/>
            </w:pPr>
            <w:r>
              <w:rPr>
                <w:rFonts w:ascii="Calibri" w:hAnsi="Calibri"/>
                <w:b w:val="0"/>
                <w:i w:val="0"/>
                <w:color w:val="212121"/>
                <w:sz w:val="19"/>
              </w:rPr>
              <w:t>Robust India-wide prevalence data are lacking and the condition is under-recognised outside tertiary ENT centres; India's high dietary salt intake is clinically important because sodium load can precipitate hydrops and low-salt diets are first-line management.</w:t>
            </w:r>
          </w:p>
          <w:p>
            <w:pPr>
              <w:spacing w:after="40" w:before="60" w:line="259" w:lineRule="auto"/>
            </w:pPr>
            <w:r>
              <w:rPr>
                <w:rFonts w:ascii="Calibri" w:hAnsi="Calibri"/>
                <w:b w:val="0"/>
                <w:i w:val="0"/>
                <w:color w:val="212121"/>
                <w:sz w:val="19"/>
              </w:rPr>
              <w:t>Global mean salt intake was about 11 g/day in 2021, more than double the WHO recommendation of &lt; 5 g/day salt (&lt; 2000 mg sodium).</w:t>
            </w:r>
          </w:p>
          <w:p>
            <w:pPr>
              <w:spacing w:after="40" w:line="252" w:lineRule="auto"/>
            </w:pPr>
            <w:hyperlink r:id="rId13">
              <w:r>
                <w:rPr>
                  <w:rFonts w:ascii="Calibri" w:hAnsi="Calibri" w:cs="Calibri"/>
                  <w:sz w:val="18"/>
                  <w:color w:val="1155CC"/>
                  <w:u w:val="single"/>
                </w:rPr>
                <w:t xml:space="preserve">who.int — Salt reduction</w:t>
              </w:r>
            </w:hyperlink>
          </w:p>
          <w:p>
            <w:pPr>
              <w:spacing w:before="60" w:after="40"/>
            </w:pPr>
            <w:r>
              <w:rPr>
                <w:rFonts w:ascii="Calibri" w:hAnsi="Calibri"/>
                <w:b w:val="0"/>
                <w:i w:val="0"/>
                <w:color w:val="5A5A5A"/>
                <w:sz w:val="18"/>
              </w:rPr>
              <w:t>#india  #saltintake  #lowsodium  #underdiagnosis  #dietarytrigger</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deconditioned</w:t>
            </w:r>
          </w:p>
        </w:tc>
        <w:tc>
          <w:tcPr>
            <w:tcW w:type="dxa" w:w="2160"/>
            <w:vAlign w:val="top"/>
          </w:tcPr>
          <w:p>
            <w:pPr>
              <w:spacing w:after="40" w:before="0" w:line="259" w:lineRule="auto"/>
            </w:pPr>
            <w:r>
              <w:rPr>
                <w:rFonts w:ascii="Calibri" w:hAnsi="Calibri"/>
                <w:b w:val="0"/>
                <w:i w:val="0"/>
                <w:color w:val="212121"/>
                <w:sz w:val="19"/>
              </w:rPr>
              <w:t>Physically inactive and deconditioned adults, elderly</w:t>
            </w:r>
          </w:p>
        </w:tc>
        <w:tc>
          <w:tcPr>
            <w:tcW w:type="dxa" w:w="4276"/>
            <w:vAlign w:val="top"/>
          </w:tcPr>
          <w:p>
            <w:pPr>
              <w:spacing w:after="60" w:line="259" w:lineRule="auto"/>
            </w:pPr>
            <w:r>
              <w:rPr>
                <w:rFonts w:ascii="Calibri" w:hAnsi="Calibri"/>
                <w:b w:val="0"/>
                <w:i w:val="0"/>
                <w:color w:val="212121"/>
                <w:sz w:val="19"/>
              </w:rPr>
              <w:t>Physical inactivity worsens balance, deconditioning and fear-avoidance between attacks; vestibular rehabilitation and activity improve chronic imbalance, whereas inactivity compounds fall risk in an already unsteady patient.</w:t>
            </w:r>
          </w:p>
          <w:p>
            <w:pPr>
              <w:spacing w:after="40" w:before="60" w:line="259" w:lineRule="auto"/>
            </w:pPr>
            <w:r>
              <w:rPr>
                <w:rFonts w:ascii="Calibri" w:hAnsi="Calibri"/>
                <w:b w:val="0"/>
                <w:i w:val="0"/>
                <w:color w:val="212121"/>
                <w:sz w:val="19"/>
              </w:rPr>
              <w:t>Fall risk in Ménière's disease is approximately double that of the general population; vestibular rehabilitation is recommended for chronic imbalance.</w:t>
            </w:r>
          </w:p>
          <w:p>
            <w:pPr>
              <w:spacing w:after="40" w:line="252" w:lineRule="auto"/>
            </w:pPr>
            <w:hyperlink r:id="rId14">
              <w:r>
                <w:rPr>
                  <w:rFonts w:ascii="Calibri" w:hAnsi="Calibri" w:cs="Calibri"/>
                  <w:sz w:val="18"/>
                  <w:color w:val="1155CC"/>
                  <w:u w:val="single"/>
                </w:rPr>
                <w:t xml:space="preserve">journals.sagepub.com — AAO-HNS CPG: Ménière's disease</w:t>
              </w:r>
            </w:hyperlink>
          </w:p>
          <w:p>
            <w:pPr>
              <w:spacing w:before="60" w:after="40"/>
            </w:pPr>
            <w:r>
              <w:rPr>
                <w:rFonts w:ascii="Calibri" w:hAnsi="Calibri"/>
                <w:b w:val="0"/>
                <w:i w:val="0"/>
                <w:color w:val="5A5A5A"/>
                <w:sz w:val="18"/>
              </w:rPr>
              <w:t>#sedentary  #balance  #vestibularrehab  #falls  #deconditioning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w:t>
            </w:r>
          </w:p>
        </w:tc>
        <w:tc>
          <w:tcPr>
            <w:tcW w:type="dxa" w:w="4276"/>
            <w:vAlign w:val="top"/>
          </w:tcPr>
          <w:p>
            <w:pPr>
              <w:spacing w:after="60" w:line="259" w:lineRule="auto"/>
            </w:pPr>
            <w:r>
              <w:rPr>
                <w:rFonts w:ascii="Calibri" w:hAnsi="Calibri"/>
                <w:b w:val="0"/>
                <w:i w:val="0"/>
                <w:color w:val="212121"/>
                <w:sz w:val="19"/>
              </w:rPr>
              <w:t>Nicotine-induced vasoconstriction may reduce labyrinthine microcirculation and aggravate inner-ear ischaemia; smokers are commonly advised to quit, though high-quality evidence specific to Ménière's disease is limited.</w:t>
            </w:r>
          </w:p>
          <w:p>
            <w:pPr>
              <w:spacing w:after="40" w:before="60" w:line="259" w:lineRule="auto"/>
            </w:pPr>
            <w:r>
              <w:rPr>
                <w:rFonts w:ascii="Calibri" w:hAnsi="Calibri"/>
                <w:b w:val="0"/>
                <w:i w:val="0"/>
                <w:color w:val="212121"/>
                <w:sz w:val="19"/>
              </w:rPr>
              <w:t>Vasoconstriction is one proposed mechanism of inner-ear injury; smoking cessation is generally advised.</w:t>
            </w:r>
          </w:p>
          <w:p>
            <w:pPr>
              <w:spacing w:before="60" w:after="40"/>
            </w:pPr>
            <w:r>
              <w:rPr>
                <w:rFonts w:ascii="Calibri" w:hAnsi="Calibri"/>
                <w:b w:val="0"/>
                <w:i w:val="0"/>
                <w:color w:val="5A5A5A"/>
                <w:sz w:val="18"/>
              </w:rPr>
              <w:t>#smoking  #vasoconstriction  #microcirculation  #cessation  #innerear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 / heavy drinkers</w:t>
            </w:r>
          </w:p>
        </w:tc>
        <w:tc>
          <w:tcPr>
            <w:tcW w:type="dxa" w:w="4276"/>
            <w:vAlign w:val="top"/>
          </w:tcPr>
          <w:p>
            <w:pPr>
              <w:spacing w:after="60" w:line="259" w:lineRule="auto"/>
            </w:pPr>
            <w:r>
              <w:rPr>
                <w:rFonts w:ascii="Calibri" w:hAnsi="Calibri"/>
                <w:b w:val="0"/>
                <w:i w:val="0"/>
                <w:color w:val="212121"/>
                <w:sz w:val="19"/>
              </w:rPr>
              <w:t>Alcohol causes osmotic fluid shifts and dehydration that can destabilise endolymph and precipitate vertigo; limitation is commonly advised as part of trigger control.</w:t>
            </w:r>
          </w:p>
          <w:p>
            <w:pPr>
              <w:spacing w:after="40" w:before="60" w:line="259" w:lineRule="auto"/>
            </w:pPr>
            <w:r>
              <w:rPr>
                <w:rFonts w:ascii="Calibri" w:hAnsi="Calibri"/>
                <w:b w:val="0"/>
                <w:i w:val="0"/>
                <w:color w:val="212121"/>
                <w:sz w:val="19"/>
              </w:rPr>
              <w:t>Alcohol is a commonly reported dietary trigger, though controlled evidence is limited.</w:t>
            </w:r>
          </w:p>
          <w:p>
            <w:pPr>
              <w:spacing w:before="60" w:after="40"/>
            </w:pPr>
            <w:r>
              <w:rPr>
                <w:rFonts w:ascii="Calibri" w:hAnsi="Calibri"/>
                <w:b w:val="0"/>
                <w:i w:val="0"/>
                <w:color w:val="5A5A5A"/>
                <w:sz w:val="18"/>
              </w:rPr>
              <w:t>#alcohol  #fluidshift  #trigger  #dehydration  #moderation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High sodium intake</w:t>
            </w:r>
          </w:p>
        </w:tc>
        <w:tc>
          <w:tcPr>
            <w:tcW w:type="dxa" w:w="2160"/>
            <w:vAlign w:val="top"/>
          </w:tcPr>
          <w:p>
            <w:pPr>
              <w:spacing w:after="40" w:before="0" w:line="259" w:lineRule="auto"/>
            </w:pPr>
            <w:r>
              <w:rPr>
                <w:rFonts w:ascii="Calibri" w:hAnsi="Calibri"/>
                <w:b w:val="0"/>
                <w:i w:val="0"/>
                <w:color w:val="212121"/>
                <w:sz w:val="19"/>
              </w:rPr>
              <w:t>High-salt / processed-food consumers</w:t>
            </w:r>
          </w:p>
        </w:tc>
        <w:tc>
          <w:tcPr>
            <w:tcW w:type="dxa" w:w="4276"/>
            <w:vAlign w:val="top"/>
          </w:tcPr>
          <w:p>
            <w:pPr>
              <w:spacing w:after="60" w:line="259" w:lineRule="auto"/>
            </w:pPr>
            <w:r>
              <w:rPr>
                <w:rFonts w:ascii="Calibri" w:hAnsi="Calibri"/>
                <w:b w:val="0"/>
                <w:i w:val="0"/>
                <w:color w:val="212121"/>
                <w:sz w:val="19"/>
              </w:rPr>
              <w:t>Excess dietary sodium promotes fluid retention and osmotic loading of the endolymphatic space, which can trigger or worsen attacks; a low-sodium diet is a first-line lifestyle measure.</w:t>
            </w:r>
          </w:p>
          <w:p>
            <w:pPr>
              <w:spacing w:after="40" w:before="60" w:line="259" w:lineRule="auto"/>
            </w:pPr>
            <w:r>
              <w:rPr>
                <w:rFonts w:ascii="Calibri" w:hAnsi="Calibri"/>
                <w:b w:val="0"/>
                <w:i w:val="0"/>
                <w:color w:val="212121"/>
                <w:sz w:val="19"/>
              </w:rPr>
              <w:t>A sodium-restricted diet of about 1,500–2,000 mg sodium per day is advised as a dietary modification.</w:t>
            </w:r>
          </w:p>
          <w:p>
            <w:pPr>
              <w:spacing w:after="40" w:line="252" w:lineRule="auto"/>
            </w:pPr>
            <w:hyperlink r:id="rId9">
              <w:r>
                <w:rPr>
                  <w:rFonts w:ascii="Calibri" w:hAnsi="Calibri" w:cs="Calibri"/>
                  <w:sz w:val="18"/>
                  <w:color w:val="1155CC"/>
                  <w:u w:val="single"/>
                </w:rPr>
                <w:t xml:space="preserve">nidcd.nih.gov — Ménière's disease</w:t>
              </w:r>
            </w:hyperlink>
          </w:p>
          <w:p>
            <w:pPr>
              <w:spacing w:before="60" w:after="40"/>
            </w:pPr>
            <w:r>
              <w:rPr>
                <w:rFonts w:ascii="Calibri" w:hAnsi="Calibri"/>
                <w:b w:val="0"/>
                <w:i w:val="0"/>
                <w:color w:val="5A5A5A"/>
                <w:sz w:val="18"/>
              </w:rPr>
              <w:t>#salt  #sodium  #processedfood  #hydrops  #dietarymanagement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Caffeine</w:t>
            </w:r>
          </w:p>
        </w:tc>
        <w:tc>
          <w:tcPr>
            <w:tcW w:type="dxa" w:w="2160"/>
            <w:vAlign w:val="top"/>
          </w:tcPr>
          <w:p>
            <w:pPr>
              <w:spacing w:after="40" w:before="0" w:line="259" w:lineRule="auto"/>
            </w:pPr>
            <w:r>
              <w:rPr>
                <w:rFonts w:ascii="Calibri" w:hAnsi="Calibri"/>
                <w:b w:val="0"/>
                <w:i w:val="0"/>
                <w:color w:val="212121"/>
                <w:sz w:val="19"/>
              </w:rPr>
              <w:t>Heavy coffee / tea consumers</w:t>
            </w:r>
          </w:p>
        </w:tc>
        <w:tc>
          <w:tcPr>
            <w:tcW w:type="dxa" w:w="4276"/>
            <w:vAlign w:val="top"/>
          </w:tcPr>
          <w:p>
            <w:pPr>
              <w:spacing w:after="60" w:line="259" w:lineRule="auto"/>
            </w:pPr>
            <w:r>
              <w:rPr>
                <w:rFonts w:ascii="Calibri" w:hAnsi="Calibri"/>
                <w:b w:val="0"/>
                <w:i w:val="0"/>
                <w:color w:val="212121"/>
                <w:sz w:val="19"/>
              </w:rPr>
              <w:t>Caffeine is a vasoconstrictor and central stimulant frequently reported to precipitate tinnitus and vertigo; moderation is commonly advised as part of trigger avoidance.</w:t>
            </w:r>
          </w:p>
          <w:p>
            <w:pPr>
              <w:spacing w:after="40" w:before="60" w:line="259" w:lineRule="auto"/>
            </w:pPr>
            <w:r>
              <w:rPr>
                <w:rFonts w:ascii="Calibri" w:hAnsi="Calibri"/>
                <w:b w:val="0"/>
                <w:i w:val="0"/>
                <w:color w:val="212121"/>
                <w:sz w:val="19"/>
              </w:rPr>
              <w:t>Caffeine is among the commonly advised triggers to limit, although high-quality evidence is limited.</w:t>
            </w:r>
          </w:p>
          <w:p>
            <w:pPr>
              <w:spacing w:before="60" w:after="40"/>
            </w:pPr>
            <w:r>
              <w:rPr>
                <w:rFonts w:ascii="Calibri" w:hAnsi="Calibri"/>
                <w:b w:val="0"/>
                <w:i w:val="0"/>
                <w:color w:val="5A5A5A"/>
                <w:sz w:val="18"/>
              </w:rPr>
              <w:t>#caffeine  #coffee  #tea  #vasoconstrictor  #trigger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Adults with severe obesity</w:t>
            </w:r>
          </w:p>
        </w:tc>
        <w:tc>
          <w:tcPr>
            <w:tcW w:type="dxa" w:w="4276"/>
            <w:vAlign w:val="top"/>
          </w:tcPr>
          <w:p>
            <w:pPr>
              <w:spacing w:after="60" w:line="259" w:lineRule="auto"/>
            </w:pPr>
            <w:r>
              <w:rPr>
                <w:rFonts w:ascii="Calibri" w:hAnsi="Calibri"/>
                <w:b w:val="0"/>
                <w:i w:val="0"/>
                <w:color w:val="212121"/>
                <w:sz w:val="19"/>
              </w:rPr>
              <w:t>Severe obesity is reported among the risk factors for Ménière's disease, likely through metabolic, vascular and inflammatory pathways affecting the inner ear.</w:t>
            </w:r>
          </w:p>
          <w:p>
            <w:pPr>
              <w:spacing w:after="40" w:before="60" w:line="259" w:lineRule="auto"/>
            </w:pPr>
            <w:r>
              <w:rPr>
                <w:rFonts w:ascii="Calibri" w:hAnsi="Calibri"/>
                <w:b w:val="0"/>
                <w:i w:val="0"/>
                <w:color w:val="212121"/>
                <w:sz w:val="19"/>
              </w:rPr>
              <w:t>Severe obesity is listed among the demographic risk factors associated with Ménière's disease.</w:t>
            </w:r>
          </w:p>
          <w:p>
            <w:pPr>
              <w:spacing w:after="40" w:line="252" w:lineRule="auto"/>
            </w:pPr>
            <w:hyperlink r:id="rId10">
              <w:r>
                <w:rPr>
                  <w:rFonts w:ascii="Calibri" w:hAnsi="Calibri" w:cs="Calibri"/>
                  <w:sz w:val="18"/>
                  <w:color w:val="1155CC"/>
                  <w:u w:val="single"/>
                </w:rPr>
                <w:t xml:space="preserve">en.wikipedia.org — Ménière's disease</w:t>
              </w:r>
            </w:hyperlink>
          </w:p>
          <w:p>
            <w:pPr>
              <w:spacing w:before="60" w:after="40"/>
            </w:pPr>
            <w:r>
              <w:rPr>
                <w:rFonts w:ascii="Calibri" w:hAnsi="Calibri"/>
                <w:b w:val="0"/>
                <w:i w:val="0"/>
                <w:color w:val="5A5A5A"/>
                <w:sz w:val="18"/>
              </w:rPr>
              <w:t>#obesity  #metabolic  #vascular  #inflammation  #riskfactor</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 with Ménière's disease</w:t>
            </w:r>
          </w:p>
        </w:tc>
        <w:tc>
          <w:tcPr>
            <w:tcW w:type="dxa" w:w="4276"/>
            <w:vAlign w:val="top"/>
          </w:tcPr>
          <w:p>
            <w:pPr>
              <w:spacing w:after="60" w:line="259" w:lineRule="auto"/>
            </w:pPr>
            <w:r>
              <w:rPr>
                <w:rFonts w:ascii="Calibri" w:hAnsi="Calibri"/>
                <w:b w:val="0"/>
                <w:i w:val="0"/>
                <w:color w:val="212121"/>
                <w:sz w:val="19"/>
              </w:rPr>
              <w:t>Inherited susceptibility increases risk; familial forms with autosomal dominant patterns are recognised, and clustering is stronger in people of European descent.</w:t>
            </w:r>
          </w:p>
          <w:p>
            <w:pPr>
              <w:spacing w:after="40" w:before="60" w:line="259" w:lineRule="auto"/>
            </w:pPr>
            <w:r>
              <w:rPr>
                <w:rFonts w:ascii="Calibri" w:hAnsi="Calibri"/>
                <w:b w:val="0"/>
                <w:i w:val="0"/>
                <w:color w:val="212121"/>
                <w:sz w:val="19"/>
              </w:rPr>
              <w:t>About 7–10% of patients have an affected family member.</w:t>
            </w:r>
          </w:p>
          <w:p>
            <w:pPr>
              <w:spacing w:after="40" w:line="252" w:lineRule="auto"/>
            </w:pPr>
            <w:hyperlink r:id="rId11">
              <w:r>
                <w:rPr>
                  <w:rFonts w:ascii="Calibri" w:hAnsi="Calibri" w:cs="Calibri"/>
                  <w:sz w:val="18"/>
                  <w:color w:val="1155CC"/>
                  <w:u w:val="single"/>
                </w:rPr>
                <w:t xml:space="preserve">my.clevelandclinic.org — Ménière's disease</w:t>
              </w:r>
            </w:hyperlink>
          </w:p>
          <w:p>
            <w:pPr>
              <w:spacing w:before="60" w:after="40"/>
            </w:pPr>
            <w:r>
              <w:rPr>
                <w:rFonts w:ascii="Calibri" w:hAnsi="Calibri"/>
                <w:b w:val="0"/>
                <w:i w:val="0"/>
                <w:color w:val="5A5A5A"/>
                <w:sz w:val="18"/>
              </w:rPr>
              <w:t>#familyhistory  #genetics  #inherited  #autosomaldominant  #susceptibility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Migraine / Vestibular migraine</w:t>
            </w:r>
          </w:p>
        </w:tc>
        <w:tc>
          <w:tcPr>
            <w:tcW w:type="dxa" w:w="2160"/>
            <w:vAlign w:val="top"/>
          </w:tcPr>
          <w:p>
            <w:pPr>
              <w:spacing w:after="40" w:before="0" w:line="259" w:lineRule="auto"/>
            </w:pPr>
            <w:r>
              <w:rPr>
                <w:rFonts w:ascii="Calibri" w:hAnsi="Calibri"/>
                <w:b w:val="0"/>
                <w:i w:val="0"/>
                <w:color w:val="212121"/>
                <w:sz w:val="19"/>
              </w:rPr>
              <w:t>Patients with migraine</w:t>
            </w:r>
          </w:p>
        </w:tc>
        <w:tc>
          <w:tcPr>
            <w:tcW w:type="dxa" w:w="4276"/>
            <w:vAlign w:val="top"/>
          </w:tcPr>
          <w:p>
            <w:pPr>
              <w:spacing w:after="60" w:line="259" w:lineRule="auto"/>
            </w:pPr>
            <w:r>
              <w:rPr>
                <w:rFonts w:ascii="Calibri" w:hAnsi="Calibri"/>
                <w:b w:val="0"/>
                <w:i w:val="0"/>
                <w:color w:val="212121"/>
                <w:sz w:val="19"/>
              </w:rPr>
              <w:t>Migraine occurs more frequently in Ménière's patients and shares mechanisms and symptom overlap with vestibular migraine, complicating diagnosis and management.</w:t>
            </w:r>
          </w:p>
          <w:p>
            <w:pPr>
              <w:spacing w:after="40" w:before="60" w:line="259" w:lineRule="auto"/>
            </w:pPr>
            <w:r>
              <w:rPr>
                <w:rFonts w:ascii="Calibri" w:hAnsi="Calibri"/>
                <w:b w:val="0"/>
                <w:i w:val="0"/>
                <w:color w:val="212121"/>
                <w:sz w:val="19"/>
              </w:rPr>
              <w:t>Migraine occurs more frequently in Ménière's disease patients, with significant overlap and potential misclassification with vestibular migraine.</w:t>
            </w:r>
          </w:p>
          <w:p>
            <w:pPr>
              <w:spacing w:after="40" w:line="252" w:lineRule="auto"/>
            </w:pPr>
            <w:hyperlink r:id="rId14">
              <w:r>
                <w:rPr>
                  <w:rFonts w:ascii="Calibri" w:hAnsi="Calibri" w:cs="Calibri"/>
                  <w:sz w:val="18"/>
                  <w:color w:val="1155CC"/>
                  <w:u w:val="single"/>
                </w:rPr>
                <w:t xml:space="preserve">journals.sagepub.com — AAO-HNS CPG: Ménière's disease</w:t>
              </w:r>
            </w:hyperlink>
          </w:p>
          <w:p>
            <w:pPr>
              <w:spacing w:before="60" w:after="40"/>
            </w:pPr>
            <w:r>
              <w:rPr>
                <w:rFonts w:ascii="Calibri" w:hAnsi="Calibri"/>
                <w:b w:val="0"/>
                <w:i w:val="0"/>
                <w:color w:val="5A5A5A"/>
                <w:sz w:val="18"/>
              </w:rPr>
              <w:t>#migraine  #vestibularmigraine  #overlap  #differential  #comorbidity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Autoimmune disease</w:t>
            </w:r>
          </w:p>
        </w:tc>
        <w:tc>
          <w:tcPr>
            <w:tcW w:type="dxa" w:w="2160"/>
            <w:vAlign w:val="top"/>
          </w:tcPr>
          <w:p>
            <w:pPr>
              <w:spacing w:after="40" w:before="0" w:line="259" w:lineRule="auto"/>
            </w:pPr>
            <w:r>
              <w:rPr>
                <w:rFonts w:ascii="Calibri" w:hAnsi="Calibri"/>
                <w:b w:val="0"/>
                <w:i w:val="0"/>
                <w:color w:val="212121"/>
                <w:sz w:val="19"/>
              </w:rPr>
              <w:t>Patients with RA, SLE or ankylosing spondylitis</w:t>
            </w:r>
          </w:p>
        </w:tc>
        <w:tc>
          <w:tcPr>
            <w:tcW w:type="dxa" w:w="4276"/>
            <w:vAlign w:val="top"/>
          </w:tcPr>
          <w:p>
            <w:pPr>
              <w:spacing w:after="60" w:line="259" w:lineRule="auto"/>
            </w:pPr>
            <w:r>
              <w:rPr>
                <w:rFonts w:ascii="Calibri" w:hAnsi="Calibri"/>
                <w:b w:val="0"/>
                <w:i w:val="0"/>
                <w:color w:val="212121"/>
                <w:sz w:val="19"/>
              </w:rPr>
              <w:t>An increased association with systemic autoimmune disease supports an immune-mediated component of inner-ear injury in a subset of patients.</w:t>
            </w:r>
          </w:p>
          <w:p>
            <w:pPr>
              <w:spacing w:after="40" w:before="60" w:line="259" w:lineRule="auto"/>
            </w:pPr>
            <w:r>
              <w:rPr>
                <w:rFonts w:ascii="Calibri" w:hAnsi="Calibri"/>
                <w:b w:val="0"/>
                <w:i w:val="0"/>
                <w:color w:val="212121"/>
                <w:sz w:val="19"/>
              </w:rPr>
              <w:t>Increased association reported with rheumatoid arthritis, systemic lupus erythematosus and ankylosing spondylitis.</w:t>
            </w:r>
          </w:p>
          <w:p>
            <w:pPr>
              <w:spacing w:after="40" w:line="252" w:lineRule="auto"/>
            </w:pPr>
            <w:hyperlink r:id="rId12">
              <w:r>
                <w:rPr>
                  <w:rFonts w:ascii="Calibri" w:hAnsi="Calibri" w:cs="Calibri"/>
                  <w:sz w:val="18"/>
                  <w:color w:val="1155CC"/>
                  <w:u w:val="single"/>
                </w:rPr>
                <w:t xml:space="preserve">ncbi.nlm.nih.gov — StatPearls: Meniere Disease</w:t>
              </w:r>
            </w:hyperlink>
          </w:p>
          <w:p>
            <w:pPr>
              <w:spacing w:before="60" w:after="40"/>
            </w:pPr>
            <w:r>
              <w:rPr>
                <w:rFonts w:ascii="Calibri" w:hAnsi="Calibri"/>
                <w:b w:val="0"/>
                <w:i w:val="0"/>
                <w:color w:val="5A5A5A"/>
                <w:sz w:val="18"/>
              </w:rPr>
              <w:t>#autoimmune  #rheumatoidarthritis  #lupus  #ankylosingspondylitis  #immunemediated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Anxiety / Depression</w:t>
            </w:r>
          </w:p>
        </w:tc>
        <w:tc>
          <w:tcPr>
            <w:tcW w:type="dxa" w:w="2160"/>
            <w:vAlign w:val="top"/>
          </w:tcPr>
          <w:p>
            <w:pPr>
              <w:spacing w:after="40" w:before="0" w:line="259" w:lineRule="auto"/>
            </w:pPr>
            <w:r>
              <w:rPr>
                <w:rFonts w:ascii="Calibri" w:hAnsi="Calibri"/>
                <w:b w:val="0"/>
                <w:i w:val="0"/>
                <w:color w:val="212121"/>
                <w:sz w:val="19"/>
              </w:rPr>
              <w:t>Patients with mood or anxiety disorders</w:t>
            </w:r>
          </w:p>
        </w:tc>
        <w:tc>
          <w:tcPr>
            <w:tcW w:type="dxa" w:w="4276"/>
            <w:vAlign w:val="top"/>
          </w:tcPr>
          <w:p>
            <w:pPr>
              <w:spacing w:after="60" w:line="259" w:lineRule="auto"/>
            </w:pPr>
            <w:r>
              <w:rPr>
                <w:rFonts w:ascii="Calibri" w:hAnsi="Calibri"/>
                <w:b w:val="0"/>
                <w:i w:val="0"/>
                <w:color w:val="212121"/>
                <w:sz w:val="19"/>
              </w:rPr>
              <w:t>Unpredictable, incapacitating attacks and chronic imbalance drive a strong bidirectional relationship with anxiety and depression, which in turn amplify symptom perception.</w:t>
            </w:r>
          </w:p>
          <w:p>
            <w:pPr>
              <w:spacing w:after="40" w:before="60" w:line="259" w:lineRule="auto"/>
            </w:pPr>
            <w:r>
              <w:rPr>
                <w:rFonts w:ascii="Calibri" w:hAnsi="Calibri"/>
                <w:b w:val="0"/>
                <w:i w:val="0"/>
                <w:color w:val="212121"/>
                <w:sz w:val="19"/>
              </w:rPr>
              <w:t>Depression affects about 33% of men and 41% of women with Ménière's disease.</w:t>
            </w:r>
          </w:p>
          <w:p>
            <w:pPr>
              <w:spacing w:after="40" w:line="252" w:lineRule="auto"/>
            </w:pPr>
            <w:hyperlink r:id="rId14">
              <w:r>
                <w:rPr>
                  <w:rFonts w:ascii="Calibri" w:hAnsi="Calibri" w:cs="Calibri"/>
                  <w:sz w:val="18"/>
                  <w:color w:val="1155CC"/>
                  <w:u w:val="single"/>
                </w:rPr>
                <w:t xml:space="preserve">journals.sagepub.com — AAO-HNS CPG: Ménière's disease</w:t>
              </w:r>
            </w:hyperlink>
          </w:p>
          <w:p>
            <w:pPr>
              <w:spacing w:before="60" w:after="40"/>
            </w:pPr>
            <w:r>
              <w:rPr>
                <w:rFonts w:ascii="Calibri" w:hAnsi="Calibri"/>
                <w:b w:val="0"/>
                <w:i w:val="0"/>
                <w:color w:val="5A5A5A"/>
                <w:sz w:val="18"/>
              </w:rPr>
              <w:t>#anxiety  #depression  #mentalhealth  #bidirectional  #qualityoflife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Allergy</w:t>
            </w:r>
          </w:p>
        </w:tc>
        <w:tc>
          <w:tcPr>
            <w:tcW w:type="dxa" w:w="2160"/>
            <w:vAlign w:val="top"/>
          </w:tcPr>
          <w:p>
            <w:pPr>
              <w:spacing w:after="40" w:before="0" w:line="259" w:lineRule="auto"/>
            </w:pPr>
            <w:r>
              <w:rPr>
                <w:rFonts w:ascii="Calibri" w:hAnsi="Calibri"/>
                <w:b w:val="0"/>
                <w:i w:val="0"/>
                <w:color w:val="212121"/>
                <w:sz w:val="19"/>
              </w:rPr>
              <w:t>Patients with allergic disease</w:t>
            </w:r>
          </w:p>
        </w:tc>
        <w:tc>
          <w:tcPr>
            <w:tcW w:type="dxa" w:w="4276"/>
            <w:vAlign w:val="top"/>
          </w:tcPr>
          <w:p>
            <w:pPr>
              <w:spacing w:after="60" w:line="259" w:lineRule="auto"/>
            </w:pPr>
            <w:r>
              <w:rPr>
                <w:rFonts w:ascii="Calibri" w:hAnsi="Calibri"/>
                <w:b w:val="0"/>
                <w:i w:val="0"/>
                <w:color w:val="212121"/>
                <w:sz w:val="19"/>
              </w:rPr>
              <w:t>Allergies are cited among contributing and associated conditions; allergic inflammation and mediator release may aggravate endolymphatic hydrops in some patients.</w:t>
            </w:r>
          </w:p>
          <w:p>
            <w:pPr>
              <w:spacing w:after="40" w:before="60" w:line="259" w:lineRule="auto"/>
            </w:pPr>
            <w:r>
              <w:rPr>
                <w:rFonts w:ascii="Calibri" w:hAnsi="Calibri"/>
                <w:b w:val="0"/>
                <w:i w:val="0"/>
                <w:color w:val="212121"/>
                <w:sz w:val="19"/>
              </w:rPr>
              <w:t>Allergies are listed among the conditions contributing to or associated with Ménière's disease.</w:t>
            </w:r>
          </w:p>
          <w:p>
            <w:pPr>
              <w:spacing w:after="40" w:line="252" w:lineRule="auto"/>
            </w:pPr>
            <w:hyperlink r:id="rId11">
              <w:r>
                <w:rPr>
                  <w:rFonts w:ascii="Calibri" w:hAnsi="Calibri" w:cs="Calibri"/>
                  <w:sz w:val="18"/>
                  <w:color w:val="1155CC"/>
                  <w:u w:val="single"/>
                </w:rPr>
                <w:t xml:space="preserve">my.clevelandclinic.org — Ménière's disease</w:t>
              </w:r>
            </w:hyperlink>
          </w:p>
          <w:p>
            <w:pPr>
              <w:spacing w:before="60" w:after="40"/>
            </w:pPr>
            <w:r>
              <w:rPr>
                <w:rFonts w:ascii="Calibri" w:hAnsi="Calibri"/>
                <w:b w:val="0"/>
                <w:i w:val="0"/>
                <w:color w:val="5A5A5A"/>
                <w:sz w:val="18"/>
              </w:rPr>
              <w:t>#allergy  #inflammation  #hydrops  #immune  #trigger</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Inactivity worsens deconditioning, balance and fall risk between attacks; supervised vestibular rehabilitation/physical therapy improves chronic imbalance, although exercise does not prevent the acute attacks themselves.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High dietary sodium and osmotic load can precipitate attacks, and a low-salt diet (about 1,500–2,000 mg sodium/day) is a management cornerstone; formal high-quality trial evidence for salt restriction is nonetheless limited.</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Fatigue, sleep loss and disrupted routines are frequently reported attack triggers, and sleep disturbance is common due to tinnitus and anxiety.</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Nicotine-induced vasoconstriction may impair labyrinthine microcirculation; cessation is advised, but disease-specific evidence is limited.</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causes osmotic fluid shifts and dehydration that can trigger vertigo; limitation is commonly recommended, though high-quality evidence is lacking.</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There is a strong bidirectional link: stress precipitates attacks, and anxiety and depression are markedly more common (depression ~33% of men and ~41% of women) and worsen quality of life.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Consistent, even fluid intake to avoid osmotic swings is often advised as part of trigger control, but direct evidence for hydration strategies is weak.</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Caffeine, a vasoconstrictor and stimulant, is a commonly reported trigger for tinnitus and vertigo; moderation is advised though controlled evidence is limited.</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General aural hygiene has little direct role in disease activity; it matters mainly for safe use of hearing aids and for excluding other otological causes.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Recognised precipitants include high salt load, caffeine, alcohol, psychological stress, fatigue/poor sleep, hormonal changes, monosodium glutamate and barometric/weather changes; identifying and avoiding personal triggers reduces attack frequency.</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Positional change is far less central than in BPPV, but sudden head movements and rapid position changes can aggravate acute vertigo and provoke falls during an attack.</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sodium (mg/day)</w:t>
            </w:r>
          </w:p>
        </w:tc>
        <w:tc>
          <w:tcPr>
            <w:tcW w:type="dxa" w:w="1655"/>
            <w:vAlign w:val="top"/>
          </w:tcPr>
          <w:p>
            <w:pPr>
              <w:spacing w:after="40" w:before="0" w:line="259" w:lineRule="auto"/>
            </w:pPr>
            <w:r>
              <w:rPr>
                <w:rFonts w:ascii="Calibri" w:hAnsi="Calibri"/>
                <w:b w:val="0"/>
                <w:i w:val="0"/>
                <w:color w:val="212121"/>
                <w:sz w:val="19"/>
              </w:rPr>
              <w:t>All patients, especially hypertensives</w:t>
            </w:r>
          </w:p>
        </w:tc>
        <w:tc>
          <w:tcPr>
            <w:tcW w:type="dxa" w:w="1512"/>
            <w:vAlign w:val="top"/>
          </w:tcPr>
          <w:p>
            <w:pPr>
              <w:spacing w:after="40" w:before="0" w:line="259" w:lineRule="auto"/>
            </w:pPr>
            <w:r>
              <w:rPr>
                <w:rFonts w:ascii="Calibri" w:hAnsi="Calibri"/>
                <w:b w:val="0"/>
                <w:i w:val="0"/>
                <w:color w:val="212121"/>
                <w:sz w:val="19"/>
              </w:rPr>
              <w:t>&lt; 1,500–2,000 mg sodium/day (WHO &lt; 2,000 mg)</w:t>
            </w:r>
          </w:p>
        </w:tc>
        <w:tc>
          <w:tcPr>
            <w:tcW w:type="dxa" w:w="1512"/>
            <w:vAlign w:val="top"/>
          </w:tcPr>
          <w:p>
            <w:pPr>
              <w:spacing w:after="40" w:before="0" w:line="259" w:lineRule="auto"/>
            </w:pPr>
            <w:r>
              <w:rPr>
                <w:rFonts w:ascii="Calibri" w:hAnsi="Calibri"/>
                <w:b w:val="0"/>
                <w:i w:val="0"/>
                <w:color w:val="212121"/>
                <w:sz w:val="19"/>
              </w:rPr>
              <w:t>&gt; 2,300 mg/day</w:t>
            </w:r>
          </w:p>
        </w:tc>
        <w:tc>
          <w:tcPr>
            <w:tcW w:type="dxa" w:w="1468"/>
            <w:vAlign w:val="top"/>
          </w:tcPr>
          <w:p>
            <w:pPr>
              <w:spacing w:after="60" w:line="259" w:lineRule="auto"/>
            </w:pPr>
            <w:r>
              <w:rPr>
                <w:rFonts w:ascii="Calibri" w:hAnsi="Calibri"/>
                <w:b w:val="0"/>
                <w:i w:val="0"/>
                <w:color w:val="212121"/>
                <w:sz w:val="19"/>
              </w:rPr>
              <w:t>High salt load promotes fluid retention and endolymphatic distension, precipitating attacks</w:t>
            </w:r>
          </w:p>
          <w:p>
            <w:pPr>
              <w:spacing w:after="40" w:line="252" w:lineRule="auto"/>
            </w:pPr>
            <w:hyperlink r:id="rId13">
              <w:r>
                <w:rPr>
                  <w:rFonts w:ascii="Calibri" w:hAnsi="Calibri" w:cs="Calibri"/>
                  <w:sz w:val="18"/>
                  <w:color w:val="1155CC"/>
                  <w:u w:val="single"/>
                </w:rPr>
                <w:t xml:space="preserve">https://www.who.int/news-room/fact-sheets/detail/salt-reduction</w:t>
              </w:r>
            </w:hyperlink>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(mg/day)</w:t>
            </w:r>
          </w:p>
        </w:tc>
        <w:tc>
          <w:tcPr>
            <w:tcW w:type="dxa" w:w="1655"/>
            <w:vAlign w:val="top"/>
          </w:tcPr>
          <w:p>
            <w:pPr>
              <w:spacing w:after="40" w:before="0" w:line="259" w:lineRule="auto"/>
            </w:pPr>
            <w:r>
              <w:rPr>
                <w:rFonts w:ascii="Calibri" w:hAnsi="Calibri"/>
                <w:b w:val="0"/>
                <w:i w:val="0"/>
                <w:color w:val="212121"/>
                <w:sz w:val="19"/>
              </w:rPr>
              <w:t>Heavy coffee/tea drinkers</w:t>
            </w:r>
          </w:p>
        </w:tc>
        <w:tc>
          <w:tcPr>
            <w:tcW w:type="dxa" w:w="1512"/>
            <w:vAlign w:val="top"/>
          </w:tcPr>
          <w:p>
            <w:pPr>
              <w:spacing w:after="40" w:before="0" w:line="259" w:lineRule="auto"/>
            </w:pPr>
            <w:r>
              <w:rPr>
                <w:rFonts w:ascii="Calibri" w:hAnsi="Calibri"/>
                <w:b w:val="0"/>
                <w:i w:val="0"/>
                <w:color w:val="212121"/>
                <w:sz w:val="19"/>
              </w:rPr>
              <w:t>&lt; 100–200 mg/day</w:t>
            </w:r>
          </w:p>
        </w:tc>
        <w:tc>
          <w:tcPr>
            <w:tcW w:type="dxa" w:w="1512"/>
            <w:vAlign w:val="top"/>
          </w:tcPr>
          <w:p>
            <w:pPr>
              <w:spacing w:after="40" w:before="0" w:line="259" w:lineRule="auto"/>
            </w:pPr>
            <w:r>
              <w:rPr>
                <w:rFonts w:ascii="Calibri" w:hAnsi="Calibri"/>
                <w:b w:val="0"/>
                <w:i w:val="0"/>
                <w:color w:val="212121"/>
                <w:sz w:val="19"/>
              </w:rPr>
              <w:t>&gt; 200 mg/day</w:t>
            </w:r>
          </w:p>
        </w:tc>
        <w:tc>
          <w:tcPr>
            <w:tcW w:type="dxa" w:w="1468"/>
            <w:vAlign w:val="top"/>
          </w:tcPr>
          <w:p>
            <w:pPr>
              <w:spacing w:after="40" w:before="0" w:line="259" w:lineRule="auto"/>
            </w:pPr>
            <w:r>
              <w:rPr>
                <w:rFonts w:ascii="Calibri" w:hAnsi="Calibri"/>
                <w:b w:val="0"/>
                <w:i w:val="0"/>
                <w:color w:val="212121"/>
                <w:sz w:val="19"/>
              </w:rPr>
              <w:t>Vasoconstrictor and stimulant; common self-reported trigger for tinnitus and vertigo</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(units/week)</w:t>
            </w:r>
          </w:p>
        </w:tc>
        <w:tc>
          <w:tcPr>
            <w:tcW w:type="dxa" w:w="1655"/>
            <w:vAlign w:val="top"/>
          </w:tcPr>
          <w:p>
            <w:pPr>
              <w:spacing w:after="40" w:before="0" w:line="259" w:lineRule="auto"/>
            </w:pPr>
            <w:r>
              <w:rPr>
                <w:rFonts w:ascii="Calibri" w:hAnsi="Calibri"/>
                <w:b w:val="0"/>
                <w:i w:val="0"/>
                <w:color w:val="212121"/>
                <w:sz w:val="19"/>
              </w:rPr>
              <w:t>Adults who drink</w:t>
            </w:r>
          </w:p>
        </w:tc>
        <w:tc>
          <w:tcPr>
            <w:tcW w:type="dxa" w:w="1512"/>
            <w:vAlign w:val="top"/>
          </w:tcPr>
          <w:p>
            <w:pPr>
              <w:spacing w:after="40" w:before="0" w:line="259" w:lineRule="auto"/>
            </w:pPr>
            <w:r>
              <w:rPr>
                <w:rFonts w:ascii="Calibri" w:hAnsi="Calibri"/>
                <w:b w:val="0"/>
                <w:i w:val="0"/>
                <w:color w:val="212121"/>
                <w:sz w:val="19"/>
              </w:rPr>
              <w:t>0 to ≤ 7 units/week</w:t>
            </w:r>
          </w:p>
        </w:tc>
        <w:tc>
          <w:tcPr>
            <w:tcW w:type="dxa" w:w="1512"/>
            <w:vAlign w:val="top"/>
          </w:tcPr>
          <w:p>
            <w:pPr>
              <w:spacing w:after="40" w:before="0" w:line="259" w:lineRule="auto"/>
            </w:pPr>
            <w:r>
              <w:rPr>
                <w:rFonts w:ascii="Calibri" w:hAnsi="Calibri"/>
                <w:b w:val="0"/>
                <w:i w:val="0"/>
                <w:color w:val="212121"/>
                <w:sz w:val="19"/>
              </w:rPr>
              <w:t>&gt; 7 units/week or binge drinking</w:t>
            </w:r>
          </w:p>
        </w:tc>
        <w:tc>
          <w:tcPr>
            <w:tcW w:type="dxa" w:w="1468"/>
            <w:vAlign w:val="top"/>
          </w:tcPr>
          <w:p>
            <w:pPr>
              <w:spacing w:after="40" w:before="0" w:line="259" w:lineRule="auto"/>
            </w:pPr>
            <w:r>
              <w:rPr>
                <w:rFonts w:ascii="Calibri" w:hAnsi="Calibri"/>
                <w:b w:val="0"/>
                <w:i w:val="0"/>
                <w:color w:val="212121"/>
                <w:sz w:val="19"/>
              </w:rPr>
              <w:t>Osmotic fluid shifts and dehydration can trigger vertigo</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hours or poor quality</w:t>
            </w:r>
          </w:p>
        </w:tc>
        <w:tc>
          <w:tcPr>
            <w:tcW w:type="dxa" w:w="1468"/>
            <w:vAlign w:val="top"/>
          </w:tcPr>
          <w:p>
            <w:pPr>
              <w:spacing w:after="40" w:before="0" w:line="259" w:lineRule="auto"/>
            </w:pPr>
            <w:r>
              <w:rPr>
                <w:rFonts w:ascii="Calibri" w:hAnsi="Calibri"/>
                <w:b w:val="0"/>
                <w:i w:val="0"/>
                <w:color w:val="212121"/>
                <w:sz w:val="19"/>
              </w:rPr>
              <w:t>Fatigue and sleep loss are frequently reported attack precipitants</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Perceived stress / anxiety burden</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Low and well-managed</w:t>
            </w:r>
          </w:p>
        </w:tc>
        <w:tc>
          <w:tcPr>
            <w:tcW w:type="dxa" w:w="1512"/>
            <w:vAlign w:val="top"/>
          </w:tcPr>
          <w:p>
            <w:pPr>
              <w:spacing w:after="40" w:before="0" w:line="259" w:lineRule="auto"/>
            </w:pPr>
            <w:r>
              <w:rPr>
                <w:rFonts w:ascii="Calibri" w:hAnsi="Calibri"/>
                <w:b w:val="0"/>
                <w:i w:val="0"/>
                <w:color w:val="212121"/>
                <w:sz w:val="19"/>
              </w:rPr>
              <w:t>High, chronic, unmanaged stress</w:t>
            </w:r>
          </w:p>
        </w:tc>
        <w:tc>
          <w:tcPr>
            <w:tcW w:type="dxa" w:w="1468"/>
            <w:vAlign w:val="top"/>
          </w:tcPr>
          <w:p>
            <w:pPr>
              <w:spacing w:after="40" w:before="0" w:line="259" w:lineRule="auto"/>
            </w:pPr>
            <w:r>
              <w:rPr>
                <w:rFonts w:ascii="Calibri" w:hAnsi="Calibri"/>
                <w:b w:val="0"/>
                <w:i w:val="0"/>
                <w:color w:val="212121"/>
                <w:sz w:val="19"/>
              </w:rPr>
              <w:t>Stress is a frequent precipitant; anxiety/depression are common and worsen outcomes</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Low-frequency pure-tone average (dB HL, affected ear)</w:t>
            </w:r>
          </w:p>
        </w:tc>
        <w:tc>
          <w:tcPr>
            <w:tcW w:type="dxa" w:w="1655"/>
            <w:vAlign w:val="top"/>
          </w:tcPr>
          <w:p>
            <w:pPr>
              <w:spacing w:after="40" w:before="0" w:line="259" w:lineRule="auto"/>
            </w:pPr>
            <w:r>
              <w:rPr>
                <w:rFonts w:ascii="Calibri" w:hAnsi="Calibri"/>
                <w:b w:val="0"/>
                <w:i w:val="0"/>
                <w:color w:val="212121"/>
                <w:sz w:val="19"/>
              </w:rPr>
              <w:t>Affected ear staging</w:t>
            </w:r>
          </w:p>
        </w:tc>
        <w:tc>
          <w:tcPr>
            <w:tcW w:type="dxa" w:w="1512"/>
            <w:vAlign w:val="top"/>
          </w:tcPr>
          <w:p>
            <w:pPr>
              <w:spacing w:after="40" w:before="0" w:line="259" w:lineRule="auto"/>
            </w:pPr>
            <w:r>
              <w:rPr>
                <w:rFonts w:ascii="Calibri" w:hAnsi="Calibri"/>
                <w:b w:val="0"/>
                <w:i w:val="0"/>
                <w:color w:val="212121"/>
                <w:sz w:val="19"/>
              </w:rPr>
              <w:t>≤ 25 dB (Stage 1)</w:t>
            </w:r>
          </w:p>
        </w:tc>
        <w:tc>
          <w:tcPr>
            <w:tcW w:type="dxa" w:w="1512"/>
            <w:vAlign w:val="top"/>
          </w:tcPr>
          <w:p>
            <w:pPr>
              <w:spacing w:after="40" w:before="0" w:line="259" w:lineRule="auto"/>
            </w:pPr>
            <w:r>
              <w:rPr>
                <w:rFonts w:ascii="Calibri" w:hAnsi="Calibri"/>
                <w:b w:val="0"/>
                <w:i w:val="0"/>
                <w:color w:val="212121"/>
                <w:sz w:val="19"/>
              </w:rPr>
              <w:t>&gt; 40 dB (Stage 3–4)</w:t>
            </w:r>
          </w:p>
        </w:tc>
        <w:tc>
          <w:tcPr>
            <w:tcW w:type="dxa" w:w="1468"/>
            <w:vAlign w:val="top"/>
          </w:tcPr>
          <w:p>
            <w:pPr>
              <w:spacing w:after="60" w:line="259" w:lineRule="auto"/>
            </w:pPr>
            <w:r>
              <w:rPr>
                <w:rFonts w:ascii="Calibri" w:hAnsi="Calibri"/>
                <w:b w:val="0"/>
                <w:i w:val="0"/>
                <w:color w:val="212121"/>
                <w:sz w:val="19"/>
              </w:rPr>
              <w:t>Defines AAO-HNS functional stage; rising threshold indicates progression</w:t>
            </w:r>
          </w:p>
          <w:p>
            <w:pPr>
              <w:spacing w:after="40" w:line="252" w:lineRule="auto"/>
            </w:pPr>
            <w:hyperlink r:id="rId14">
              <w:r>
                <w:rPr>
                  <w:rFonts w:ascii="Calibri" w:hAnsi="Calibri" w:cs="Calibri"/>
                  <w:sz w:val="18"/>
                  <w:color w:val="1155CC"/>
                  <w:u w:val="single"/>
                </w:rPr>
                <w:t xml:space="preserve">https://journals.sagepub.com/doi/10.1177/0194599820909438</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Word recognition / speech discrimination (%)</w:t>
            </w:r>
          </w:p>
        </w:tc>
        <w:tc>
          <w:tcPr>
            <w:tcW w:type="dxa" w:w="1655"/>
            <w:vAlign w:val="top"/>
          </w:tcPr>
          <w:p>
            <w:pPr>
              <w:spacing w:after="40" w:before="0" w:line="259" w:lineRule="auto"/>
            </w:pPr>
            <w:r>
              <w:rPr>
                <w:rFonts w:ascii="Calibri" w:hAnsi="Calibri"/>
                <w:b w:val="0"/>
                <w:i w:val="0"/>
                <w:color w:val="212121"/>
                <w:sz w:val="19"/>
              </w:rPr>
              <w:t>Affected ear</w:t>
            </w:r>
          </w:p>
        </w:tc>
        <w:tc>
          <w:tcPr>
            <w:tcW w:type="dxa" w:w="1512"/>
            <w:vAlign w:val="top"/>
          </w:tcPr>
          <w:p>
            <w:pPr>
              <w:spacing w:after="40" w:before="0" w:line="259" w:lineRule="auto"/>
            </w:pPr>
            <w:r>
              <w:rPr>
                <w:rFonts w:ascii="Calibri" w:hAnsi="Calibri"/>
                <w:b w:val="0"/>
                <w:i w:val="0"/>
                <w:color w:val="212121"/>
                <w:sz w:val="19"/>
              </w:rPr>
              <w:t>70–100% (usable hearing)</w:t>
            </w:r>
          </w:p>
        </w:tc>
        <w:tc>
          <w:tcPr>
            <w:tcW w:type="dxa" w:w="1512"/>
            <w:vAlign w:val="top"/>
          </w:tcPr>
          <w:p>
            <w:pPr>
              <w:spacing w:after="40" w:before="0" w:line="259" w:lineRule="auto"/>
            </w:pPr>
            <w:r>
              <w:rPr>
                <w:rFonts w:ascii="Calibri" w:hAnsi="Calibri"/>
                <w:b w:val="0"/>
                <w:i w:val="0"/>
                <w:color w:val="212121"/>
                <w:sz w:val="19"/>
              </w:rPr>
              <w:t>&lt; 50% (non-serviceable)</w:t>
            </w:r>
          </w:p>
        </w:tc>
        <w:tc>
          <w:tcPr>
            <w:tcW w:type="dxa" w:w="1468"/>
            <w:vAlign w:val="top"/>
          </w:tcPr>
          <w:p>
            <w:pPr>
              <w:spacing w:after="60" w:line="259" w:lineRule="auto"/>
            </w:pPr>
            <w:r>
              <w:rPr>
                <w:rFonts w:ascii="Calibri" w:hAnsi="Calibri"/>
                <w:b w:val="0"/>
                <w:i w:val="0"/>
                <w:color w:val="212121"/>
                <w:sz w:val="19"/>
              </w:rPr>
              <w:t>Guides amplification and surgical decision-making</w:t>
            </w:r>
          </w:p>
          <w:p>
            <w:pPr>
              <w:spacing w:after="40" w:line="252" w:lineRule="auto"/>
            </w:pPr>
            <w:hyperlink r:id="rId14">
              <w:r>
                <w:rPr>
                  <w:rFonts w:ascii="Calibri" w:hAnsi="Calibri" w:cs="Calibri"/>
                  <w:sz w:val="18"/>
                  <w:color w:val="1155CC"/>
                  <w:u w:val="single"/>
                </w:rPr>
                <w:t xml:space="preserve">https://journals.sagepub.com/doi/10.1177/0194599820909438</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Caloric canal paresis (% asymmetry)</w:t>
            </w:r>
          </w:p>
        </w:tc>
        <w:tc>
          <w:tcPr>
            <w:tcW w:type="dxa" w:w="1655"/>
            <w:vAlign w:val="top"/>
          </w:tcPr>
          <w:p>
            <w:pPr>
              <w:spacing w:after="40" w:before="0" w:line="259" w:lineRule="auto"/>
            </w:pPr>
            <w:r>
              <w:rPr>
                <w:rFonts w:ascii="Calibri" w:hAnsi="Calibri"/>
                <w:b w:val="0"/>
                <w:i w:val="0"/>
                <w:color w:val="212121"/>
                <w:sz w:val="19"/>
              </w:rPr>
              <w:t>Affected labyrinth</w:t>
            </w:r>
          </w:p>
        </w:tc>
        <w:tc>
          <w:tcPr>
            <w:tcW w:type="dxa" w:w="1512"/>
            <w:vAlign w:val="top"/>
          </w:tcPr>
          <w:p>
            <w:pPr>
              <w:spacing w:after="40" w:before="0" w:line="259" w:lineRule="auto"/>
            </w:pPr>
            <w:r>
              <w:rPr>
                <w:rFonts w:ascii="Calibri" w:hAnsi="Calibri"/>
                <w:b w:val="0"/>
                <w:i w:val="0"/>
                <w:color w:val="212121"/>
                <w:sz w:val="19"/>
              </w:rPr>
              <w:t>&lt; 25%</w:t>
            </w:r>
          </w:p>
        </w:tc>
        <w:tc>
          <w:tcPr>
            <w:tcW w:type="dxa" w:w="1512"/>
            <w:vAlign w:val="top"/>
          </w:tcPr>
          <w:p>
            <w:pPr>
              <w:spacing w:after="40" w:before="0" w:line="259" w:lineRule="auto"/>
            </w:pPr>
            <w:r>
              <w:rPr>
                <w:rFonts w:ascii="Calibri" w:hAnsi="Calibri"/>
                <w:b w:val="0"/>
                <w:i w:val="0"/>
                <w:color w:val="212121"/>
                <w:sz w:val="19"/>
              </w:rPr>
              <w:t>≥ 25% (reduced response in 42–74% of patients)</w:t>
            </w:r>
          </w:p>
        </w:tc>
        <w:tc>
          <w:tcPr>
            <w:tcW w:type="dxa" w:w="1468"/>
            <w:vAlign w:val="top"/>
          </w:tcPr>
          <w:p>
            <w:pPr>
              <w:spacing w:after="60" w:line="259" w:lineRule="auto"/>
            </w:pPr>
            <w:r>
              <w:rPr>
                <w:rFonts w:ascii="Calibri" w:hAnsi="Calibri"/>
                <w:b w:val="0"/>
                <w:i w:val="0"/>
                <w:color w:val="212121"/>
                <w:sz w:val="19"/>
              </w:rPr>
              <w:t>Quantifies vestibular hypofunction on the affected side</w:t>
            </w:r>
          </w:p>
          <w:p>
            <w:pPr>
              <w:spacing w:after="40" w:line="252" w:lineRule="auto"/>
            </w:pPr>
            <w:hyperlink r:id="rId12">
              <w:r>
                <w:rPr>
                  <w:rFonts w:ascii="Calibri" w:hAnsi="Calibri" w:cs="Calibri"/>
                  <w:sz w:val="18"/>
                  <w:color w:val="1155CC"/>
                  <w:u w:val="single"/>
                </w:rPr>
                <w:t xml:space="preserve">https://www.ncbi.nlm.nih.gov/books/NBK536955/</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 25 (overweight); ≥ 30 (obese; severe obesity a risk factor)</w:t>
            </w:r>
          </w:p>
        </w:tc>
        <w:tc>
          <w:tcPr>
            <w:tcW w:type="dxa" w:w="1468"/>
            <w:vAlign w:val="top"/>
          </w:tcPr>
          <w:p>
            <w:pPr>
              <w:spacing w:after="60" w:line="259" w:lineRule="auto"/>
            </w:pPr>
            <w:r>
              <w:rPr>
                <w:rFonts w:ascii="Calibri" w:hAnsi="Calibri"/>
                <w:b w:val="0"/>
                <w:i w:val="0"/>
                <w:color w:val="212121"/>
                <w:sz w:val="19"/>
              </w:rPr>
              <w:t>Severe obesity is associated with higher Ménière's disease risk</w:t>
            </w:r>
          </w:p>
          <w:p>
            <w:pPr>
              <w:spacing w:after="40" w:line="252" w:lineRule="auto"/>
            </w:pPr>
            <w:hyperlink r:id="rId10">
              <w:r>
                <w:rPr>
                  <w:rFonts w:ascii="Calibri" w:hAnsi="Calibri" w:cs="Calibri"/>
                  <w:sz w:val="18"/>
                  <w:color w:val="1155CC"/>
                  <w:u w:val="single"/>
                </w:rPr>
                <w:t xml:space="preserve">https://en.wikipedia.org/wiki/M%C3%A9ni%C3%A8re%27s_disease</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Audiometric</w:t>
            </w:r>
          </w:p>
        </w:tc>
        <w:tc>
          <w:tcPr>
            <w:tcW w:type="dxa" w:w="1036"/>
            <w:vAlign w:val="top"/>
          </w:tcPr>
          <w:p>
            <w:pPr>
              <w:spacing w:after="40" w:before="0" w:line="259" w:lineRule="auto"/>
            </w:pPr>
            <w:r>
              <w:rPr>
                <w:rFonts w:ascii="Calibri" w:hAnsi="Calibri"/>
                <w:b w:val="0"/>
                <w:i w:val="0"/>
                <w:color w:val="212121"/>
                <w:sz w:val="16"/>
              </w:rPr>
              <w:t>Low- to mid-frequency SNHL</w:t>
            </w:r>
          </w:p>
        </w:tc>
        <w:tc>
          <w:tcPr>
            <w:tcW w:type="dxa" w:w="892"/>
            <w:vAlign w:val="top"/>
          </w:tcPr>
          <w:p>
            <w:pPr>
              <w:spacing w:after="40" w:before="0" w:line="259" w:lineRule="auto"/>
            </w:pPr>
            <w:r>
              <w:rPr>
                <w:rFonts w:ascii="Calibri" w:hAnsi="Calibri"/>
                <w:b w:val="0"/>
                <w:i w:val="0"/>
                <w:color w:val="212121"/>
                <w:sz w:val="16"/>
              </w:rPr>
              <w:t>Pure-tone audiogram</w:t>
            </w:r>
          </w:p>
        </w:tc>
        <w:tc>
          <w:tcPr>
            <w:tcW w:type="dxa" w:w="950"/>
            <w:vAlign w:val="top"/>
          </w:tcPr>
          <w:p>
            <w:pPr>
              <w:spacing w:after="40" w:before="0" w:line="259" w:lineRule="auto"/>
            </w:pPr>
            <w:r>
              <w:rPr>
                <w:rFonts w:ascii="Calibri" w:hAnsi="Calibri"/>
                <w:b w:val="0"/>
                <w:i w:val="0"/>
                <w:color w:val="212121"/>
                <w:sz w:val="16"/>
              </w:rPr>
              <w:t>Thresholds ≤ 25 dB, symmetric</w:t>
            </w:r>
          </w:p>
        </w:tc>
        <w:tc>
          <w:tcPr>
            <w:tcW w:type="dxa" w:w="950"/>
            <w:vAlign w:val="top"/>
          </w:tcPr>
          <w:p>
            <w:pPr>
              <w:spacing w:after="40" w:before="0" w:line="259" w:lineRule="auto"/>
            </w:pPr>
            <w:r>
              <w:rPr>
                <w:rFonts w:ascii="Calibri" w:hAnsi="Calibri"/>
                <w:b w:val="0"/>
                <w:i w:val="0"/>
                <w:color w:val="212121"/>
                <w:sz w:val="16"/>
              </w:rPr>
              <w:t>Fluctuating unilateral low-frequency sensorineural loss ≥ 30 dB</w:t>
            </w:r>
          </w:p>
        </w:tc>
        <w:tc>
          <w:tcPr>
            <w:tcW w:type="dxa" w:w="1036"/>
            <w:vAlign w:val="top"/>
          </w:tcPr>
          <w:p>
            <w:pPr>
              <w:spacing w:after="40" w:before="0" w:line="259" w:lineRule="auto"/>
            </w:pPr>
            <w:r>
              <w:rPr>
                <w:rFonts w:ascii="Calibri" w:hAnsi="Calibri"/>
                <w:b w:val="0"/>
                <w:i w:val="0"/>
                <w:color w:val="212121"/>
                <w:sz w:val="16"/>
              </w:rPr>
              <w:t>Mandatory; confirms the characteristic hearing loss and assigns AAO-HNS stage</w:t>
            </w:r>
          </w:p>
        </w:tc>
        <w:tc>
          <w:tcPr>
            <w:tcW w:type="dxa" w:w="1036"/>
            <w:vAlign w:val="top"/>
          </w:tcPr>
          <w:p>
            <w:pPr>
              <w:spacing w:after="40" w:before="0" w:line="259" w:lineRule="auto"/>
            </w:pPr>
            <w:r>
              <w:rPr>
                <w:rFonts w:ascii="Calibri" w:hAnsi="Calibri"/>
                <w:b w:val="0"/>
                <w:i w:val="0"/>
                <w:color w:val="212121"/>
                <w:sz w:val="16"/>
              </w:rPr>
              <w:t>All suspected Ménière's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 / mandatory</w:t>
            </w:r>
          </w:p>
        </w:tc>
        <w:tc>
          <w:tcPr>
            <w:tcW w:type="dxa" w:w="720"/>
            <w:vAlign w:val="top"/>
          </w:tcPr>
          <w:p>
            <w:pPr>
              <w:spacing w:after="40" w:before="0" w:line="259" w:lineRule="auto"/>
            </w:pPr>
            <w:r>
              <w:rPr>
                <w:rFonts w:ascii="Calibri" w:hAnsi="Calibri"/>
                <w:b w:val="0"/>
                <w:i w:val="0"/>
                <w:color w:val="212121"/>
                <w:sz w:val="16"/>
              </w:rPr>
              <w:t>Repeat during and between attacks to capture fluctuation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Audiometric</w:t>
            </w:r>
          </w:p>
        </w:tc>
        <w:tc>
          <w:tcPr>
            <w:tcW w:type="dxa" w:w="1036"/>
            <w:vAlign w:val="top"/>
          </w:tcPr>
          <w:p>
            <w:pPr>
              <w:spacing w:after="40" w:before="0" w:line="259" w:lineRule="auto"/>
            </w:pPr>
            <w:r>
              <w:rPr>
                <w:rFonts w:ascii="Calibri" w:hAnsi="Calibri"/>
                <w:b w:val="0"/>
                <w:i w:val="0"/>
                <w:color w:val="212121"/>
                <w:sz w:val="16"/>
              </w:rPr>
              <w:t>Word recognition score</w:t>
            </w:r>
          </w:p>
        </w:tc>
        <w:tc>
          <w:tcPr>
            <w:tcW w:type="dxa" w:w="892"/>
            <w:vAlign w:val="top"/>
          </w:tcPr>
          <w:p>
            <w:pPr>
              <w:spacing w:after="40" w:before="0" w:line="259" w:lineRule="auto"/>
            </w:pPr>
            <w:r>
              <w:rPr>
                <w:rFonts w:ascii="Calibri" w:hAnsi="Calibri"/>
                <w:b w:val="0"/>
                <w:i w:val="0"/>
                <w:color w:val="212121"/>
                <w:sz w:val="16"/>
              </w:rPr>
              <w:t>Speech audiometry</w:t>
            </w:r>
          </w:p>
        </w:tc>
        <w:tc>
          <w:tcPr>
            <w:tcW w:type="dxa" w:w="950"/>
            <w:vAlign w:val="top"/>
          </w:tcPr>
          <w:p>
            <w:pPr>
              <w:spacing w:after="40" w:before="0" w:line="259" w:lineRule="auto"/>
            </w:pPr>
            <w:r>
              <w:rPr>
                <w:rFonts w:ascii="Calibri" w:hAnsi="Calibri"/>
                <w:b w:val="0"/>
                <w:i w:val="0"/>
                <w:color w:val="212121"/>
                <w:sz w:val="16"/>
              </w:rPr>
              <w:t>70–100% (usable)</w:t>
            </w:r>
          </w:p>
        </w:tc>
        <w:tc>
          <w:tcPr>
            <w:tcW w:type="dxa" w:w="950"/>
            <w:vAlign w:val="top"/>
          </w:tcPr>
          <w:p>
            <w:pPr>
              <w:spacing w:after="40" w:before="0" w:line="259" w:lineRule="auto"/>
            </w:pPr>
            <w:r>
              <w:rPr>
                <w:rFonts w:ascii="Calibri" w:hAnsi="Calibri"/>
                <w:b w:val="0"/>
                <w:i w:val="0"/>
                <w:color w:val="212121"/>
                <w:sz w:val="16"/>
              </w:rPr>
              <w:t>&lt; 50% (non-serviceable)</w:t>
            </w:r>
          </w:p>
        </w:tc>
        <w:tc>
          <w:tcPr>
            <w:tcW w:type="dxa" w:w="1036"/>
            <w:vAlign w:val="top"/>
          </w:tcPr>
          <w:p>
            <w:pPr>
              <w:spacing w:after="40" w:before="0" w:line="259" w:lineRule="auto"/>
            </w:pPr>
            <w:r>
              <w:rPr>
                <w:rFonts w:ascii="Calibri" w:hAnsi="Calibri"/>
                <w:b w:val="0"/>
                <w:i w:val="0"/>
                <w:color w:val="212121"/>
                <w:sz w:val="16"/>
              </w:rPr>
              <w:t>Grades functional hearing; informs amplification and ablative decisions</w:t>
            </w:r>
          </w:p>
        </w:tc>
        <w:tc>
          <w:tcPr>
            <w:tcW w:type="dxa" w:w="1036"/>
            <w:vAlign w:val="top"/>
          </w:tcPr>
          <w:p>
            <w:pPr>
              <w:spacing w:after="40" w:before="0" w:line="259" w:lineRule="auto"/>
            </w:pPr>
            <w:r>
              <w:rPr>
                <w:rFonts w:ascii="Calibri" w:hAnsi="Calibri"/>
                <w:b w:val="0"/>
                <w:i w:val="0"/>
                <w:color w:val="212121"/>
                <w:sz w:val="16"/>
              </w:rPr>
              <w:t>Patients with progressive hearing loss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 / prognostic</w:t>
            </w:r>
          </w:p>
        </w:tc>
        <w:tc>
          <w:tcPr>
            <w:tcW w:type="dxa" w:w="720"/>
            <w:vAlign w:val="top"/>
          </w:tcPr>
          <w:p>
            <w:pPr>
              <w:spacing w:after="40" w:before="0" w:line="259" w:lineRule="auto"/>
            </w:pPr>
            <w:r>
              <w:rPr>
                <w:rFonts w:ascii="Calibri" w:hAnsi="Calibri"/>
                <w:b w:val="0"/>
                <w:i w:val="0"/>
                <w:color w:val="212121"/>
                <w:sz w:val="16"/>
              </w:rPr>
              <w:t>Assessed alongside pure-tone thresholds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Electrophysiology</w:t>
            </w:r>
          </w:p>
        </w:tc>
        <w:tc>
          <w:tcPr>
            <w:tcW w:type="dxa" w:w="1036"/>
            <w:vAlign w:val="top"/>
          </w:tcPr>
          <w:p>
            <w:pPr>
              <w:spacing w:after="40" w:before="0" w:line="259" w:lineRule="auto"/>
            </w:pPr>
            <w:r>
              <w:rPr>
                <w:rFonts w:ascii="Calibri" w:hAnsi="Calibri"/>
                <w:b w:val="0"/>
                <w:i w:val="0"/>
                <w:color w:val="212121"/>
                <w:sz w:val="16"/>
              </w:rPr>
              <w:t>SP/AP ratio</w:t>
            </w:r>
          </w:p>
        </w:tc>
        <w:tc>
          <w:tcPr>
            <w:tcW w:type="dxa" w:w="892"/>
            <w:vAlign w:val="top"/>
          </w:tcPr>
          <w:p>
            <w:pPr>
              <w:spacing w:after="40" w:before="0" w:line="259" w:lineRule="auto"/>
            </w:pPr>
            <w:r>
              <w:rPr>
                <w:rFonts w:ascii="Calibri" w:hAnsi="Calibri"/>
                <w:b w:val="0"/>
                <w:i w:val="0"/>
                <w:color w:val="212121"/>
                <w:sz w:val="16"/>
              </w:rPr>
              <w:t>Electrocochleography (ECochG)</w:t>
            </w:r>
          </w:p>
        </w:tc>
        <w:tc>
          <w:tcPr>
            <w:tcW w:type="dxa" w:w="950"/>
            <w:vAlign w:val="top"/>
          </w:tcPr>
          <w:p>
            <w:pPr>
              <w:spacing w:after="40" w:before="0" w:line="259" w:lineRule="auto"/>
            </w:pPr>
            <w:r>
              <w:rPr>
                <w:rFonts w:ascii="Calibri" w:hAnsi="Calibri"/>
                <w:b w:val="0"/>
                <w:i w:val="0"/>
                <w:color w:val="212121"/>
                <w:sz w:val="16"/>
              </w:rPr>
              <w:t>SP/AP within normal limits</w:t>
            </w:r>
          </w:p>
        </w:tc>
        <w:tc>
          <w:tcPr>
            <w:tcW w:type="dxa" w:w="950"/>
            <w:vAlign w:val="top"/>
          </w:tcPr>
          <w:p>
            <w:pPr>
              <w:spacing w:after="40" w:before="0" w:line="259" w:lineRule="auto"/>
            </w:pPr>
            <w:r>
              <w:rPr>
                <w:rFonts w:ascii="Calibri" w:hAnsi="Calibri"/>
                <w:b w:val="0"/>
                <w:i w:val="0"/>
                <w:color w:val="212121"/>
                <w:sz w:val="16"/>
              </w:rPr>
              <w:t>Elevated summating-to-action-potential ratio</w:t>
            </w:r>
          </w:p>
        </w:tc>
        <w:tc>
          <w:tcPr>
            <w:tcW w:type="dxa" w:w="1036"/>
            <w:vAlign w:val="top"/>
          </w:tcPr>
          <w:p>
            <w:pPr>
              <w:spacing w:after="40" w:before="0" w:line="259" w:lineRule="auto"/>
            </w:pPr>
            <w:r>
              <w:rPr>
                <w:rFonts w:ascii="Calibri" w:hAnsi="Calibri"/>
                <w:b w:val="0"/>
                <w:i w:val="0"/>
                <w:color w:val="212121"/>
                <w:sz w:val="16"/>
              </w:rPr>
              <w:t>Supports endolymphatic hydrops; adjunctive, not diagnostic</w:t>
            </w:r>
          </w:p>
        </w:tc>
        <w:tc>
          <w:tcPr>
            <w:tcW w:type="dxa" w:w="1036"/>
            <w:vAlign w:val="top"/>
          </w:tcPr>
          <w:p>
            <w:pPr>
              <w:spacing w:after="40" w:before="0" w:line="259" w:lineRule="auto"/>
            </w:pPr>
            <w:r>
              <w:rPr>
                <w:rFonts w:ascii="Calibri" w:hAnsi="Calibri"/>
                <w:b w:val="0"/>
                <w:i w:val="0"/>
                <w:color w:val="212121"/>
                <w:sz w:val="16"/>
              </w:rPr>
              <w:t>Diagnostically uncertain cases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Operator- and protocol-dependent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Vestibular</w:t>
            </w:r>
          </w:p>
        </w:tc>
        <w:tc>
          <w:tcPr>
            <w:tcW w:type="dxa" w:w="1036"/>
            <w:vAlign w:val="top"/>
          </w:tcPr>
          <w:p>
            <w:pPr>
              <w:spacing w:after="40" w:before="0" w:line="259" w:lineRule="auto"/>
            </w:pPr>
            <w:r>
              <w:rPr>
                <w:rFonts w:ascii="Calibri" w:hAnsi="Calibri"/>
                <w:b w:val="0"/>
                <w:i w:val="0"/>
                <w:color w:val="212121"/>
                <w:sz w:val="16"/>
              </w:rPr>
              <w:t>Canal paresis (caloric asymmetry)</w:t>
            </w:r>
          </w:p>
        </w:tc>
        <w:tc>
          <w:tcPr>
            <w:tcW w:type="dxa" w:w="892"/>
            <w:vAlign w:val="top"/>
          </w:tcPr>
          <w:p>
            <w:pPr>
              <w:spacing w:after="40" w:before="0" w:line="259" w:lineRule="auto"/>
            </w:pPr>
            <w:r>
              <w:rPr>
                <w:rFonts w:ascii="Calibri" w:hAnsi="Calibri"/>
                <w:b w:val="0"/>
                <w:i w:val="0"/>
                <w:color w:val="212121"/>
                <w:sz w:val="16"/>
              </w:rPr>
              <w:t>Bithermal caloric testing</w:t>
            </w:r>
          </w:p>
        </w:tc>
        <w:tc>
          <w:tcPr>
            <w:tcW w:type="dxa" w:w="950"/>
            <w:vAlign w:val="top"/>
          </w:tcPr>
          <w:p>
            <w:pPr>
              <w:spacing w:after="40" w:before="0" w:line="259" w:lineRule="auto"/>
            </w:pPr>
            <w:r>
              <w:rPr>
                <w:rFonts w:ascii="Calibri" w:hAnsi="Calibri"/>
                <w:b w:val="0"/>
                <w:i w:val="0"/>
                <w:color w:val="212121"/>
                <w:sz w:val="16"/>
              </w:rPr>
              <w:t>&lt; 25% asymmetry</w:t>
            </w:r>
          </w:p>
        </w:tc>
        <w:tc>
          <w:tcPr>
            <w:tcW w:type="dxa" w:w="950"/>
            <w:vAlign w:val="top"/>
          </w:tcPr>
          <w:p>
            <w:pPr>
              <w:spacing w:after="40" w:before="0" w:line="259" w:lineRule="auto"/>
            </w:pPr>
            <w:r>
              <w:rPr>
                <w:rFonts w:ascii="Calibri" w:hAnsi="Calibri"/>
                <w:b w:val="0"/>
                <w:i w:val="0"/>
                <w:color w:val="212121"/>
                <w:sz w:val="16"/>
              </w:rPr>
              <w:t>≥ 25% unilateral weakness</w:t>
            </w:r>
          </w:p>
        </w:tc>
        <w:tc>
          <w:tcPr>
            <w:tcW w:type="dxa" w:w="1036"/>
            <w:vAlign w:val="top"/>
          </w:tcPr>
          <w:p>
            <w:pPr>
              <w:spacing w:after="40" w:before="0" w:line="259" w:lineRule="auto"/>
            </w:pPr>
            <w:r>
              <w:rPr>
                <w:rFonts w:ascii="Calibri" w:hAnsi="Calibri"/>
                <w:b w:val="0"/>
                <w:i w:val="0"/>
                <w:color w:val="212121"/>
                <w:sz w:val="16"/>
              </w:rPr>
              <w:t>Documents vestibular hypofunction on the affected side (reduced in 42–74%)</w:t>
            </w:r>
          </w:p>
        </w:tc>
        <w:tc>
          <w:tcPr>
            <w:tcW w:type="dxa" w:w="1036"/>
            <w:vAlign w:val="top"/>
          </w:tcPr>
          <w:p>
            <w:pPr>
              <w:spacing w:after="40" w:before="0" w:line="259" w:lineRule="auto"/>
            </w:pPr>
            <w:r>
              <w:rPr>
                <w:rFonts w:ascii="Calibri" w:hAnsi="Calibri"/>
                <w:b w:val="0"/>
                <w:i w:val="0"/>
                <w:color w:val="212121"/>
                <w:sz w:val="16"/>
              </w:rPr>
              <w:t>Patients with recurrent vertigo</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Not required routinely to make the diagnosis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Vestibular</w:t>
            </w:r>
          </w:p>
        </w:tc>
        <w:tc>
          <w:tcPr>
            <w:tcW w:type="dxa" w:w="1036"/>
            <w:vAlign w:val="top"/>
          </w:tcPr>
          <w:p>
            <w:pPr>
              <w:spacing w:after="40" w:before="0" w:line="259" w:lineRule="auto"/>
            </w:pPr>
            <w:r>
              <w:rPr>
                <w:rFonts w:ascii="Calibri" w:hAnsi="Calibri"/>
                <w:b w:val="0"/>
                <w:i w:val="0"/>
                <w:color w:val="212121"/>
                <w:sz w:val="16"/>
              </w:rPr>
              <w:t>cVEMP / oVEMP amplitude &amp; threshold</w:t>
            </w:r>
          </w:p>
        </w:tc>
        <w:tc>
          <w:tcPr>
            <w:tcW w:type="dxa" w:w="892"/>
            <w:vAlign w:val="top"/>
          </w:tcPr>
          <w:p>
            <w:pPr>
              <w:spacing w:after="40" w:before="0" w:line="259" w:lineRule="auto"/>
            </w:pPr>
            <w:r>
              <w:rPr>
                <w:rFonts w:ascii="Calibri" w:hAnsi="Calibri"/>
                <w:b w:val="0"/>
                <w:i w:val="0"/>
                <w:color w:val="212121"/>
                <w:sz w:val="16"/>
              </w:rPr>
              <w:t>Vestibular evoked myogenic potentials</w:t>
            </w:r>
          </w:p>
        </w:tc>
        <w:tc>
          <w:tcPr>
            <w:tcW w:type="dxa" w:w="950"/>
            <w:vAlign w:val="top"/>
          </w:tcPr>
          <w:p>
            <w:pPr>
              <w:spacing w:after="40" w:before="0" w:line="259" w:lineRule="auto"/>
            </w:pPr>
            <w:r>
              <w:rPr>
                <w:rFonts w:ascii="Calibri" w:hAnsi="Calibri"/>
                <w:b w:val="0"/>
                <w:i w:val="0"/>
                <w:color w:val="212121"/>
                <w:sz w:val="16"/>
              </w:rPr>
              <w:t>Symmetric responses</w:t>
            </w:r>
          </w:p>
        </w:tc>
        <w:tc>
          <w:tcPr>
            <w:tcW w:type="dxa" w:w="950"/>
            <w:vAlign w:val="top"/>
          </w:tcPr>
          <w:p>
            <w:pPr>
              <w:spacing w:after="40" w:before="0" w:line="259" w:lineRule="auto"/>
            </w:pPr>
            <w:r>
              <w:rPr>
                <w:rFonts w:ascii="Calibri" w:hAnsi="Calibri"/>
                <w:b w:val="0"/>
                <w:i w:val="0"/>
                <w:color w:val="212121"/>
                <w:sz w:val="16"/>
              </w:rPr>
              <w:t>Reduced/absent or altered thresholds on affected side</w:t>
            </w:r>
          </w:p>
        </w:tc>
        <w:tc>
          <w:tcPr>
            <w:tcW w:type="dxa" w:w="1036"/>
            <w:vAlign w:val="top"/>
          </w:tcPr>
          <w:p>
            <w:pPr>
              <w:spacing w:after="40" w:before="0" w:line="259" w:lineRule="auto"/>
            </w:pPr>
            <w:r>
              <w:rPr>
                <w:rFonts w:ascii="Calibri" w:hAnsi="Calibri"/>
                <w:b w:val="0"/>
                <w:i w:val="0"/>
                <w:color w:val="212121"/>
                <w:sz w:val="16"/>
              </w:rPr>
              <w:t>Assesses saccular/utricular (otolith) function</w:t>
            </w:r>
          </w:p>
        </w:tc>
        <w:tc>
          <w:tcPr>
            <w:tcW w:type="dxa" w:w="1036"/>
            <w:vAlign w:val="top"/>
          </w:tcPr>
          <w:p>
            <w:pPr>
              <w:spacing w:after="40" w:before="0" w:line="259" w:lineRule="auto"/>
            </w:pPr>
            <w:r>
              <w:rPr>
                <w:rFonts w:ascii="Calibri" w:hAnsi="Calibri"/>
                <w:b w:val="0"/>
                <w:i w:val="0"/>
                <w:color w:val="212121"/>
                <w:sz w:val="16"/>
              </w:rPr>
              <w:t>Selected cases, research/monitoring</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Findings not specific to Ménière's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Retrocochlear pathology / endolymphatic hydrops</w:t>
            </w:r>
          </w:p>
        </w:tc>
        <w:tc>
          <w:tcPr>
            <w:tcW w:type="dxa" w:w="892"/>
            <w:vAlign w:val="top"/>
          </w:tcPr>
          <w:p>
            <w:pPr>
              <w:spacing w:after="40" w:before="0" w:line="259" w:lineRule="auto"/>
            </w:pPr>
            <w:r>
              <w:rPr>
                <w:rFonts w:ascii="Calibri" w:hAnsi="Calibri"/>
                <w:b w:val="0"/>
                <w:i w:val="0"/>
                <w:color w:val="212121"/>
                <w:sz w:val="16"/>
              </w:rPr>
              <w:t>MRI internal auditory canals (± delayed gadolinium)</w:t>
            </w:r>
          </w:p>
        </w:tc>
        <w:tc>
          <w:tcPr>
            <w:tcW w:type="dxa" w:w="950"/>
            <w:vAlign w:val="top"/>
          </w:tcPr>
          <w:p>
            <w:pPr>
              <w:spacing w:after="40" w:before="0" w:line="259" w:lineRule="auto"/>
            </w:pPr>
            <w:r>
              <w:rPr>
                <w:rFonts w:ascii="Calibri" w:hAnsi="Calibri"/>
                <w:b w:val="0"/>
                <w:i w:val="0"/>
                <w:color w:val="212121"/>
                <w:sz w:val="16"/>
              </w:rPr>
              <w:t>No mass; normal labyrinth</w:t>
            </w:r>
          </w:p>
        </w:tc>
        <w:tc>
          <w:tcPr>
            <w:tcW w:type="dxa" w:w="950"/>
            <w:vAlign w:val="top"/>
          </w:tcPr>
          <w:p>
            <w:pPr>
              <w:spacing w:after="40" w:before="0" w:line="259" w:lineRule="auto"/>
            </w:pPr>
            <w:r>
              <w:rPr>
                <w:rFonts w:ascii="Calibri" w:hAnsi="Calibri"/>
                <w:b w:val="0"/>
                <w:i w:val="0"/>
                <w:color w:val="212121"/>
                <w:sz w:val="16"/>
              </w:rPr>
              <w:t>Excludes vestibular schwannoma; delayed-gadolinium MRI may directly show hydrops</w:t>
            </w:r>
          </w:p>
        </w:tc>
        <w:tc>
          <w:tcPr>
            <w:tcW w:type="dxa" w:w="1036"/>
            <w:vAlign w:val="top"/>
          </w:tcPr>
          <w:p>
            <w:pPr>
              <w:spacing w:after="40" w:before="0" w:line="259" w:lineRule="auto"/>
            </w:pPr>
            <w:r>
              <w:rPr>
                <w:rFonts w:ascii="Calibri" w:hAnsi="Calibri"/>
                <w:b w:val="0"/>
                <w:i w:val="0"/>
                <w:color w:val="212121"/>
                <w:sz w:val="16"/>
              </w:rPr>
              <w:t>Excludes mimics and can visualise hydrops in the affected labyrinth</w:t>
            </w:r>
          </w:p>
        </w:tc>
        <w:tc>
          <w:tcPr>
            <w:tcW w:type="dxa" w:w="1036"/>
            <w:vAlign w:val="top"/>
          </w:tcPr>
          <w:p>
            <w:pPr>
              <w:spacing w:after="40" w:before="0" w:line="259" w:lineRule="auto"/>
            </w:pPr>
            <w:r>
              <w:rPr>
                <w:rFonts w:ascii="Calibri" w:hAnsi="Calibri"/>
                <w:b w:val="0"/>
                <w:i w:val="0"/>
                <w:color w:val="212121"/>
                <w:sz w:val="16"/>
              </w:rPr>
              <w:t>Asymmetric/unilateral hearing loss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Exclusionary / confirmatory</w:t>
            </w:r>
          </w:p>
        </w:tc>
        <w:tc>
          <w:tcPr>
            <w:tcW w:type="dxa" w:w="720"/>
            <w:vAlign w:val="top"/>
          </w:tcPr>
          <w:p>
            <w:pPr>
              <w:spacing w:after="40" w:before="0" w:line="259" w:lineRule="auto"/>
            </w:pPr>
            <w:r>
              <w:rPr>
                <w:rFonts w:ascii="Calibri" w:hAnsi="Calibri"/>
                <w:b w:val="0"/>
                <w:i w:val="0"/>
                <w:color w:val="212121"/>
                <w:sz w:val="16"/>
              </w:rPr>
              <w:t>Indicated especially for unilateral loss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TFTs, glucose, syphilis serology, autoimmune screen</w:t>
            </w:r>
          </w:p>
        </w:tc>
        <w:tc>
          <w:tcPr>
            <w:tcW w:type="dxa" w:w="892"/>
            <w:vAlign w:val="top"/>
          </w:tcPr>
          <w:p>
            <w:pPr>
              <w:spacing w:after="40" w:before="0" w:line="259" w:lineRule="auto"/>
            </w:pPr>
            <w:r>
              <w:rPr>
                <w:rFonts w:ascii="Calibri" w:hAnsi="Calibri"/>
                <w:b w:val="0"/>
                <w:i w:val="0"/>
                <w:color w:val="212121"/>
                <w:sz w:val="16"/>
              </w:rPr>
              <w:t>Blood tests to exclude mimics</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Identifies thyroid disease, diabetes, syphilis or autoimmune inner-ear disease</w:t>
            </w:r>
          </w:p>
        </w:tc>
        <w:tc>
          <w:tcPr>
            <w:tcW w:type="dxa" w:w="1036"/>
            <w:vAlign w:val="top"/>
          </w:tcPr>
          <w:p>
            <w:pPr>
              <w:spacing w:after="40" w:before="0" w:line="259" w:lineRule="auto"/>
            </w:pPr>
            <w:r>
              <w:rPr>
                <w:rFonts w:ascii="Calibri" w:hAnsi="Calibri"/>
                <w:b w:val="0"/>
                <w:i w:val="0"/>
                <w:color w:val="212121"/>
                <w:sz w:val="16"/>
              </w:rPr>
              <w:t>Excludes systemic causes of audiovestibular symptoms</w:t>
            </w:r>
          </w:p>
        </w:tc>
        <w:tc>
          <w:tcPr>
            <w:tcW w:type="dxa" w:w="1036"/>
            <w:vAlign w:val="top"/>
          </w:tcPr>
          <w:p>
            <w:pPr>
              <w:spacing w:after="40" w:before="0" w:line="259" w:lineRule="auto"/>
            </w:pPr>
            <w:r>
              <w:rPr>
                <w:rFonts w:ascii="Calibri" w:hAnsi="Calibri"/>
                <w:b w:val="0"/>
                <w:i w:val="0"/>
                <w:color w:val="212121"/>
                <w:sz w:val="16"/>
              </w:rPr>
              <w:t>Atypical or bilateral presentations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Ancillary</w:t>
            </w:r>
          </w:p>
        </w:tc>
        <w:tc>
          <w:tcPr>
            <w:tcW w:type="dxa" w:w="720"/>
            <w:vAlign w:val="top"/>
          </w:tcPr>
          <w:p>
            <w:pPr>
              <w:spacing w:after="40" w:before="0" w:line="259" w:lineRule="auto"/>
            </w:pPr>
            <w:r>
              <w:rPr>
                <w:rFonts w:ascii="Calibri" w:hAnsi="Calibri"/>
                <w:b w:val="0"/>
                <w:i w:val="0"/>
                <w:color w:val="212121"/>
                <w:sz w:val="16"/>
              </w:rPr>
              <w:t>Guided by clinical suspicion</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Episodic vertigo profile</w:t>
            </w:r>
          </w:p>
        </w:tc>
        <w:tc>
          <w:tcPr>
            <w:tcW w:type="dxa" w:w="979"/>
            <w:vAlign w:val="top"/>
          </w:tcPr>
          <w:p>
            <w:pPr>
              <w:spacing w:after="40" w:before="0" w:line="259" w:lineRule="auto"/>
            </w:pPr>
            <w:r>
              <w:rPr>
                <w:rFonts w:ascii="Calibri" w:hAnsi="Calibri"/>
                <w:b w:val="0"/>
                <w:i w:val="0"/>
                <w:color w:val="212121"/>
                <w:sz w:val="16"/>
              </w:rPr>
              <w:t>Spontaneous vertigo 20 min–12 h, recurrent</w:t>
            </w:r>
          </w:p>
        </w:tc>
        <w:tc>
          <w:tcPr>
            <w:tcW w:type="dxa" w:w="950"/>
            <w:vAlign w:val="top"/>
          </w:tcPr>
          <w:p>
            <w:pPr>
              <w:spacing w:after="40" w:before="0" w:line="259" w:lineRule="auto"/>
            </w:pPr>
            <w:r>
              <w:rPr>
                <w:rFonts w:ascii="Calibri" w:hAnsi="Calibri"/>
                <w:b w:val="0"/>
                <w:i w:val="0"/>
                <w:color w:val="212121"/>
                <w:sz w:val="16"/>
              </w:rPr>
              <w:t>No spontaneous vertigo</w:t>
            </w:r>
          </w:p>
        </w:tc>
        <w:tc>
          <w:tcPr>
            <w:tcW w:type="dxa" w:w="950"/>
            <w:vAlign w:val="top"/>
          </w:tcPr>
          <w:p>
            <w:pPr>
              <w:spacing w:after="40" w:before="0" w:line="259" w:lineRule="auto"/>
            </w:pPr>
            <w:r>
              <w:rPr>
                <w:rFonts w:ascii="Calibri" w:hAnsi="Calibri"/>
                <w:b w:val="0"/>
                <w:i w:val="0"/>
                <w:color w:val="212121"/>
                <w:sz w:val="16"/>
              </w:rPr>
              <w:t>≥ 2 spontaneous episodes lasting 20 min–12 h</w:t>
            </w:r>
          </w:p>
        </w:tc>
        <w:tc>
          <w:tcPr>
            <w:tcW w:type="dxa" w:w="1036"/>
            <w:vAlign w:val="top"/>
          </w:tcPr>
          <w:p>
            <w:pPr>
              <w:spacing w:after="40" w:before="0" w:line="259" w:lineRule="auto"/>
            </w:pPr>
            <w:r>
              <w:rPr>
                <w:rFonts w:ascii="Calibri" w:hAnsi="Calibri"/>
                <w:b w:val="0"/>
                <w:i w:val="0"/>
                <w:color w:val="212121"/>
                <w:sz w:val="16"/>
              </w:rPr>
              <w:t>Core diagnostic criterion for definite disease</w:t>
            </w:r>
          </w:p>
        </w:tc>
        <w:tc>
          <w:tcPr>
            <w:tcW w:type="dxa" w:w="1036"/>
            <w:vAlign w:val="top"/>
          </w:tcPr>
          <w:p>
            <w:pPr>
              <w:spacing w:after="40" w:before="0" w:line="259" w:lineRule="auto"/>
            </w:pPr>
            <w:r>
              <w:rPr>
                <w:rFonts w:ascii="Calibri" w:hAnsi="Calibri"/>
                <w:b w:val="0"/>
                <w:i w:val="0"/>
                <w:color w:val="212121"/>
                <w:sz w:val="16"/>
              </w:rPr>
              <w:t>All suspected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Distinguish from seconds-long BPPV and days-long neuronitis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Fluctuating aural symptoms</w:t>
            </w:r>
          </w:p>
        </w:tc>
        <w:tc>
          <w:tcPr>
            <w:tcW w:type="dxa" w:w="979"/>
            <w:vAlign w:val="top"/>
          </w:tcPr>
          <w:p>
            <w:pPr>
              <w:spacing w:after="40" w:before="0" w:line="259" w:lineRule="auto"/>
            </w:pPr>
            <w:r>
              <w:rPr>
                <w:rFonts w:ascii="Calibri" w:hAnsi="Calibri"/>
                <w:b w:val="0"/>
                <w:i w:val="0"/>
                <w:color w:val="212121"/>
                <w:sz w:val="16"/>
              </w:rPr>
              <w:t>Unilateral hearing loss, tinnitus, aural fullness</w:t>
            </w:r>
          </w:p>
        </w:tc>
        <w:tc>
          <w:tcPr>
            <w:tcW w:type="dxa" w:w="950"/>
            <w:vAlign w:val="top"/>
          </w:tcPr>
          <w:p>
            <w:pPr>
              <w:spacing w:after="40" w:before="0" w:line="259" w:lineRule="auto"/>
            </w:pPr>
            <w:r>
              <w:rPr>
                <w:rFonts w:ascii="Calibri" w:hAnsi="Calibri"/>
                <w:b w:val="0"/>
                <w:i w:val="0"/>
                <w:color w:val="212121"/>
                <w:sz w:val="16"/>
              </w:rPr>
              <w:t>No aural symptoms</w:t>
            </w:r>
          </w:p>
        </w:tc>
        <w:tc>
          <w:tcPr>
            <w:tcW w:type="dxa" w:w="950"/>
            <w:vAlign w:val="top"/>
          </w:tcPr>
          <w:p>
            <w:pPr>
              <w:spacing w:after="40" w:before="0" w:line="259" w:lineRule="auto"/>
            </w:pPr>
            <w:r>
              <w:rPr>
                <w:rFonts w:ascii="Calibri" w:hAnsi="Calibri"/>
                <w:b w:val="0"/>
                <w:i w:val="0"/>
                <w:color w:val="212121"/>
                <w:sz w:val="16"/>
              </w:rPr>
              <w:t>Fluctuating hearing loss/tinnitus/fullness in one ear</w:t>
            </w:r>
          </w:p>
        </w:tc>
        <w:tc>
          <w:tcPr>
            <w:tcW w:type="dxa" w:w="1036"/>
            <w:vAlign w:val="top"/>
          </w:tcPr>
          <w:p>
            <w:pPr>
              <w:spacing w:after="40" w:before="0" w:line="259" w:lineRule="auto"/>
            </w:pPr>
            <w:r>
              <w:rPr>
                <w:rFonts w:ascii="Calibri" w:hAnsi="Calibri"/>
                <w:b w:val="0"/>
                <w:i w:val="0"/>
                <w:color w:val="212121"/>
                <w:sz w:val="16"/>
              </w:rPr>
              <w:t>Cochlear component; helps localise the affected ear</w:t>
            </w:r>
          </w:p>
        </w:tc>
        <w:tc>
          <w:tcPr>
            <w:tcW w:type="dxa" w:w="1036"/>
            <w:vAlign w:val="top"/>
          </w:tcPr>
          <w:p>
            <w:pPr>
              <w:spacing w:after="40" w:before="0" w:line="259" w:lineRule="auto"/>
            </w:pPr>
            <w:r>
              <w:rPr>
                <w:rFonts w:ascii="Calibri" w:hAnsi="Calibri"/>
                <w:b w:val="0"/>
                <w:i w:val="0"/>
                <w:color w:val="212121"/>
                <w:sz w:val="16"/>
              </w:rPr>
              <w:t>Patients reporting ear symptoms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Fullness often precedes an attack</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Trigger and dietary history</w:t>
            </w:r>
          </w:p>
        </w:tc>
        <w:tc>
          <w:tcPr>
            <w:tcW w:type="dxa" w:w="979"/>
            <w:vAlign w:val="top"/>
          </w:tcPr>
          <w:p>
            <w:pPr>
              <w:spacing w:after="40" w:before="0" w:line="259" w:lineRule="auto"/>
            </w:pPr>
            <w:r>
              <w:rPr>
                <w:rFonts w:ascii="Calibri" w:hAnsi="Calibri"/>
                <w:b w:val="0"/>
                <w:i w:val="0"/>
                <w:color w:val="212121"/>
                <w:sz w:val="16"/>
              </w:rPr>
              <w:t>Salt, caffeine, alcohol, stress, sleep, MSG, weather</w:t>
            </w:r>
          </w:p>
        </w:tc>
        <w:tc>
          <w:tcPr>
            <w:tcW w:type="dxa" w:w="950"/>
            <w:vAlign w:val="top"/>
          </w:tcPr>
          <w:p>
            <w:pPr>
              <w:spacing w:after="40" w:before="0" w:line="259" w:lineRule="auto"/>
            </w:pPr>
            <w:r>
              <w:rPr>
                <w:rFonts w:ascii="Calibri" w:hAnsi="Calibri"/>
                <w:b w:val="0"/>
                <w:i w:val="0"/>
                <w:color w:val="212121"/>
                <w:sz w:val="16"/>
              </w:rPr>
              <w:t>No identifiable triggers</w:t>
            </w:r>
          </w:p>
        </w:tc>
        <w:tc>
          <w:tcPr>
            <w:tcW w:type="dxa" w:w="950"/>
            <w:vAlign w:val="top"/>
          </w:tcPr>
          <w:p>
            <w:pPr>
              <w:spacing w:after="40" w:before="0" w:line="259" w:lineRule="auto"/>
            </w:pPr>
            <w:r>
              <w:rPr>
                <w:rFonts w:ascii="Calibri" w:hAnsi="Calibri"/>
                <w:b w:val="0"/>
                <w:i w:val="0"/>
                <w:color w:val="212121"/>
                <w:sz w:val="16"/>
              </w:rPr>
              <w:t>Clear precipitant pattern</w:t>
            </w:r>
          </w:p>
        </w:tc>
        <w:tc>
          <w:tcPr>
            <w:tcW w:type="dxa" w:w="1036"/>
            <w:vAlign w:val="top"/>
          </w:tcPr>
          <w:p>
            <w:pPr>
              <w:spacing w:after="40" w:before="0" w:line="259" w:lineRule="auto"/>
            </w:pPr>
            <w:r>
              <w:rPr>
                <w:rFonts w:ascii="Calibri" w:hAnsi="Calibri"/>
                <w:b w:val="0"/>
                <w:i w:val="0"/>
                <w:color w:val="212121"/>
                <w:sz w:val="16"/>
              </w:rPr>
              <w:t>Guides individualised lifestyle and dietary management</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Food; Caffeine; Alcohol; Mental health; Sleep</w:t>
            </w:r>
          </w:p>
        </w:tc>
        <w:tc>
          <w:tcPr>
            <w:tcW w:type="dxa" w:w="720"/>
            <w:vAlign w:val="top"/>
          </w:tcPr>
          <w:p>
            <w:pPr>
              <w:spacing w:after="40" w:before="0" w:line="259" w:lineRule="auto"/>
            </w:pPr>
            <w:r>
              <w:rPr>
                <w:rFonts w:ascii="Calibri" w:hAnsi="Calibri"/>
                <w:b w:val="0"/>
                <w:i w:val="0"/>
                <w:color w:val="212121"/>
                <w:sz w:val="16"/>
              </w:rPr>
              <w:t>Management</w:t>
            </w:r>
          </w:p>
        </w:tc>
        <w:tc>
          <w:tcPr>
            <w:tcW w:type="dxa" w:w="720"/>
            <w:vAlign w:val="top"/>
          </w:tcPr>
          <w:p>
            <w:pPr>
              <w:spacing w:after="40" w:before="0" w:line="259" w:lineRule="auto"/>
            </w:pPr>
            <w:r>
              <w:rPr>
                <w:rFonts w:ascii="Calibri" w:hAnsi="Calibri"/>
                <w:b w:val="0"/>
                <w:i w:val="0"/>
                <w:color w:val="212121"/>
                <w:sz w:val="16"/>
              </w:rPr>
              <w:t>An attack diary helps identify personal triggers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autoimmune and migraine history</w:t>
            </w:r>
          </w:p>
        </w:tc>
        <w:tc>
          <w:tcPr>
            <w:tcW w:type="dxa" w:w="979"/>
            <w:vAlign w:val="top"/>
          </w:tcPr>
          <w:p>
            <w:pPr>
              <w:spacing w:after="40" w:before="0" w:line="259" w:lineRule="auto"/>
            </w:pPr>
            <w:r>
              <w:rPr>
                <w:rFonts w:ascii="Calibri" w:hAnsi="Calibri"/>
                <w:b w:val="0"/>
                <w:i w:val="0"/>
                <w:color w:val="212121"/>
                <w:sz w:val="16"/>
              </w:rPr>
              <w:t>First-degree relative (7–10%); autoimmune disease; migraine</w:t>
            </w:r>
          </w:p>
        </w:tc>
        <w:tc>
          <w:tcPr>
            <w:tcW w:type="dxa" w:w="950"/>
            <w:vAlign w:val="top"/>
          </w:tcPr>
          <w:p>
            <w:pPr>
              <w:spacing w:after="40" w:before="0" w:line="259" w:lineRule="auto"/>
            </w:pPr>
            <w:r>
              <w:rPr>
                <w:rFonts w:ascii="Calibri" w:hAnsi="Calibri"/>
                <w:b w:val="0"/>
                <w:i w:val="0"/>
                <w:color w:val="212121"/>
                <w:sz w:val="16"/>
              </w:rPr>
              <w:t>No relevant history</w:t>
            </w:r>
          </w:p>
        </w:tc>
        <w:tc>
          <w:tcPr>
            <w:tcW w:type="dxa" w:w="950"/>
            <w:vAlign w:val="top"/>
          </w:tcPr>
          <w:p>
            <w:pPr>
              <w:spacing w:after="40" w:before="0" w:line="259" w:lineRule="auto"/>
            </w:pPr>
            <w:r>
              <w:rPr>
                <w:rFonts w:ascii="Calibri" w:hAnsi="Calibri"/>
                <w:b w:val="0"/>
                <w:i w:val="0"/>
                <w:color w:val="212121"/>
                <w:sz w:val="16"/>
              </w:rPr>
              <w:t>Positive family, autoimmune or migraine history</w:t>
            </w:r>
          </w:p>
        </w:tc>
        <w:tc>
          <w:tcPr>
            <w:tcW w:type="dxa" w:w="1036"/>
            <w:vAlign w:val="top"/>
          </w:tcPr>
          <w:p>
            <w:pPr>
              <w:spacing w:after="40" w:before="0" w:line="259" w:lineRule="auto"/>
            </w:pPr>
            <w:r>
              <w:rPr>
                <w:rFonts w:ascii="Calibri" w:hAnsi="Calibri"/>
                <w:b w:val="0"/>
                <w:i w:val="0"/>
                <w:color w:val="212121"/>
                <w:sz w:val="16"/>
              </w:rPr>
              <w:t>Indicates genetic/immune predisposition and differential with vestibular migraine</w:t>
            </w:r>
          </w:p>
        </w:tc>
        <w:tc>
          <w:tcPr>
            <w:tcW w:type="dxa" w:w="1036"/>
            <w:vAlign w:val="top"/>
          </w:tcPr>
          <w:p>
            <w:pPr>
              <w:spacing w:after="40" w:before="0" w:line="259" w:lineRule="auto"/>
            </w:pPr>
            <w:r>
              <w:rPr>
                <w:rFonts w:ascii="Calibri" w:hAnsi="Calibri"/>
                <w:b w:val="0"/>
                <w:i w:val="0"/>
                <w:color w:val="212121"/>
                <w:sz w:val="16"/>
              </w:rPr>
              <w:t>Patients with positive history</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Prognostic / differential</w:t>
            </w:r>
          </w:p>
        </w:tc>
        <w:tc>
          <w:tcPr>
            <w:tcW w:type="dxa" w:w="720"/>
            <w:vAlign w:val="top"/>
          </w:tcPr>
          <w:p>
            <w:pPr>
              <w:spacing w:after="40" w:before="0" w:line="259" w:lineRule="auto"/>
            </w:pPr>
            <w:r>
              <w:rPr>
                <w:rFonts w:ascii="Calibri" w:hAnsi="Calibri"/>
                <w:b w:val="0"/>
                <w:i w:val="0"/>
                <w:color w:val="212121"/>
                <w:sz w:val="16"/>
              </w:rPr>
              <w:t>Screen for vestibular migraine overlap</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Otoscopy</w:t>
            </w:r>
          </w:p>
        </w:tc>
        <w:tc>
          <w:tcPr>
            <w:tcW w:type="dxa" w:w="979"/>
            <w:vAlign w:val="top"/>
          </w:tcPr>
          <w:p>
            <w:pPr>
              <w:spacing w:after="40" w:before="0" w:line="259" w:lineRule="auto"/>
            </w:pPr>
            <w:r>
              <w:rPr>
                <w:rFonts w:ascii="Calibri" w:hAnsi="Calibri"/>
                <w:b w:val="0"/>
                <w:i w:val="0"/>
                <w:color w:val="212121"/>
                <w:sz w:val="16"/>
              </w:rPr>
              <w:t>Tympanic membrane and ear canal</w:t>
            </w:r>
          </w:p>
        </w:tc>
        <w:tc>
          <w:tcPr>
            <w:tcW w:type="dxa" w:w="950"/>
            <w:vAlign w:val="top"/>
          </w:tcPr>
          <w:p>
            <w:pPr>
              <w:spacing w:after="40" w:before="0" w:line="259" w:lineRule="auto"/>
            </w:pPr>
            <w:r>
              <w:rPr>
                <w:rFonts w:ascii="Calibri" w:hAnsi="Calibri"/>
                <w:b w:val="0"/>
                <w:i w:val="0"/>
                <w:color w:val="212121"/>
                <w:sz w:val="16"/>
              </w:rPr>
              <w:t>Normal tympanic membrane</w:t>
            </w:r>
          </w:p>
        </w:tc>
        <w:tc>
          <w:tcPr>
            <w:tcW w:type="dxa" w:w="950"/>
            <w:vAlign w:val="top"/>
          </w:tcPr>
          <w:p>
            <w:pPr>
              <w:spacing w:after="40" w:before="0" w:line="259" w:lineRule="auto"/>
            </w:pPr>
            <w:r>
              <w:rPr>
                <w:rFonts w:ascii="Calibri" w:hAnsi="Calibri"/>
                <w:b w:val="0"/>
                <w:i w:val="0"/>
                <w:color w:val="212121"/>
                <w:sz w:val="16"/>
              </w:rPr>
              <w:t>Normal (excludes middle-ear/other otological cause)</w:t>
            </w:r>
          </w:p>
        </w:tc>
        <w:tc>
          <w:tcPr>
            <w:tcW w:type="dxa" w:w="1036"/>
            <w:vAlign w:val="top"/>
          </w:tcPr>
          <w:p>
            <w:pPr>
              <w:spacing w:after="40" w:before="0" w:line="259" w:lineRule="auto"/>
            </w:pPr>
            <w:r>
              <w:rPr>
                <w:rFonts w:ascii="Calibri" w:hAnsi="Calibri"/>
                <w:b w:val="0"/>
                <w:i w:val="0"/>
                <w:color w:val="212121"/>
                <w:sz w:val="16"/>
              </w:rPr>
              <w:t>Rules out otitis media, effusion and cholesteatoma</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 normal exam supports an inner-ear cause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Tuning-fork tests (Rinne &amp; Weber)</w:t>
            </w:r>
          </w:p>
        </w:tc>
        <w:tc>
          <w:tcPr>
            <w:tcW w:type="dxa" w:w="979"/>
            <w:vAlign w:val="top"/>
          </w:tcPr>
          <w:p>
            <w:pPr>
              <w:spacing w:after="40" w:before="0" w:line="259" w:lineRule="auto"/>
            </w:pPr>
            <w:r>
              <w:rPr>
                <w:rFonts w:ascii="Calibri" w:hAnsi="Calibri"/>
                <w:b w:val="0"/>
                <w:i w:val="0"/>
                <w:color w:val="212121"/>
                <w:sz w:val="16"/>
              </w:rPr>
              <w:t>Air/bone conduction and lateralisation</w:t>
            </w:r>
          </w:p>
        </w:tc>
        <w:tc>
          <w:tcPr>
            <w:tcW w:type="dxa" w:w="950"/>
            <w:vAlign w:val="top"/>
          </w:tcPr>
          <w:p>
            <w:pPr>
              <w:spacing w:after="40" w:before="0" w:line="259" w:lineRule="auto"/>
            </w:pPr>
            <w:r>
              <w:rPr>
                <w:rFonts w:ascii="Calibri" w:hAnsi="Calibri"/>
                <w:b w:val="0"/>
                <w:i w:val="0"/>
                <w:color w:val="212121"/>
                <w:sz w:val="16"/>
              </w:rPr>
              <w:t>Rinne AC &gt; BC; Weber central</w:t>
            </w:r>
          </w:p>
        </w:tc>
        <w:tc>
          <w:tcPr>
            <w:tcW w:type="dxa" w:w="950"/>
            <w:vAlign w:val="top"/>
          </w:tcPr>
          <w:p>
            <w:pPr>
              <w:spacing w:after="40" w:before="0" w:line="259" w:lineRule="auto"/>
            </w:pPr>
            <w:r>
              <w:rPr>
                <w:rFonts w:ascii="Calibri" w:hAnsi="Calibri"/>
                <w:b w:val="0"/>
                <w:i w:val="0"/>
                <w:color w:val="212121"/>
                <w:sz w:val="16"/>
              </w:rPr>
              <w:t>Weber lateralises to the better (unaffected) ear</w:t>
            </w:r>
          </w:p>
        </w:tc>
        <w:tc>
          <w:tcPr>
            <w:tcW w:type="dxa" w:w="1036"/>
            <w:vAlign w:val="top"/>
          </w:tcPr>
          <w:p>
            <w:pPr>
              <w:spacing w:after="40" w:before="0" w:line="259" w:lineRule="auto"/>
            </w:pPr>
            <w:r>
              <w:rPr>
                <w:rFonts w:ascii="Calibri" w:hAnsi="Calibri"/>
                <w:b w:val="0"/>
                <w:i w:val="0"/>
                <w:color w:val="212121"/>
                <w:sz w:val="16"/>
              </w:rPr>
              <w:t>Confirms a sensorineural pattern of hearing loss</w:t>
            </w:r>
          </w:p>
        </w:tc>
        <w:tc>
          <w:tcPr>
            <w:tcW w:type="dxa" w:w="1036"/>
            <w:vAlign w:val="top"/>
          </w:tcPr>
          <w:p>
            <w:pPr>
              <w:spacing w:after="40" w:before="0" w:line="259" w:lineRule="auto"/>
            </w:pPr>
            <w:r>
              <w:rPr>
                <w:rFonts w:ascii="Calibri" w:hAnsi="Calibri"/>
                <w:b w:val="0"/>
                <w:i w:val="0"/>
                <w:color w:val="212121"/>
                <w:sz w:val="16"/>
              </w:rPr>
              <w:t>Patients with hearing loss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Bedside screening</w:t>
            </w:r>
          </w:p>
        </w:tc>
        <w:tc>
          <w:tcPr>
            <w:tcW w:type="dxa" w:w="720"/>
            <w:vAlign w:val="top"/>
          </w:tcPr>
          <w:p>
            <w:pPr>
              <w:spacing w:after="40" w:before="0" w:line="259" w:lineRule="auto"/>
            </w:pPr>
            <w:r>
              <w:rPr>
                <w:rFonts w:ascii="Calibri" w:hAnsi="Calibri"/>
                <w:b w:val="0"/>
                <w:i w:val="0"/>
                <w:color w:val="212121"/>
                <w:sz w:val="16"/>
              </w:rPr>
              <w:t>Confirmed by formal audiometry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Nystagmus assessment (Frenzel/video goggles)</w:t>
            </w:r>
          </w:p>
        </w:tc>
        <w:tc>
          <w:tcPr>
            <w:tcW w:type="dxa" w:w="979"/>
            <w:vAlign w:val="top"/>
          </w:tcPr>
          <w:p>
            <w:pPr>
              <w:spacing w:after="40" w:before="0" w:line="259" w:lineRule="auto"/>
            </w:pPr>
            <w:r>
              <w:rPr>
                <w:rFonts w:ascii="Calibri" w:hAnsi="Calibri"/>
                <w:b w:val="0"/>
                <w:i w:val="0"/>
                <w:color w:val="212121"/>
                <w:sz w:val="16"/>
              </w:rPr>
              <w:t>Spontaneous horizontal nystagmus</w:t>
            </w:r>
          </w:p>
        </w:tc>
        <w:tc>
          <w:tcPr>
            <w:tcW w:type="dxa" w:w="950"/>
            <w:vAlign w:val="top"/>
          </w:tcPr>
          <w:p>
            <w:pPr>
              <w:spacing w:after="40" w:before="0" w:line="259" w:lineRule="auto"/>
            </w:pPr>
            <w:r>
              <w:rPr>
                <w:rFonts w:ascii="Calibri" w:hAnsi="Calibri"/>
                <w:b w:val="0"/>
                <w:i w:val="0"/>
                <w:color w:val="212121"/>
                <w:sz w:val="16"/>
              </w:rPr>
              <w:t>No nystagmus</w:t>
            </w:r>
          </w:p>
        </w:tc>
        <w:tc>
          <w:tcPr>
            <w:tcW w:type="dxa" w:w="950"/>
            <w:vAlign w:val="top"/>
          </w:tcPr>
          <w:p>
            <w:pPr>
              <w:spacing w:after="40" w:before="0" w:line="259" w:lineRule="auto"/>
            </w:pPr>
            <w:r>
              <w:rPr>
                <w:rFonts w:ascii="Calibri" w:hAnsi="Calibri"/>
                <w:b w:val="0"/>
                <w:i w:val="0"/>
                <w:color w:val="212121"/>
                <w:sz w:val="16"/>
              </w:rPr>
              <w:t>Horizontal nystagmus, fast phase beating away from the affected ear during an attack</w:t>
            </w:r>
          </w:p>
        </w:tc>
        <w:tc>
          <w:tcPr>
            <w:tcW w:type="dxa" w:w="1036"/>
            <w:vAlign w:val="top"/>
          </w:tcPr>
          <w:p>
            <w:pPr>
              <w:spacing w:after="40" w:before="0" w:line="259" w:lineRule="auto"/>
            </w:pPr>
            <w:r>
              <w:rPr>
                <w:rFonts w:ascii="Calibri" w:hAnsi="Calibri"/>
                <w:b w:val="0"/>
                <w:i w:val="0"/>
                <w:color w:val="212121"/>
                <w:sz w:val="16"/>
              </w:rPr>
              <w:t>Peripheral vestibular sign supporting the diagnosis</w:t>
            </w:r>
          </w:p>
        </w:tc>
        <w:tc>
          <w:tcPr>
            <w:tcW w:type="dxa" w:w="1036"/>
            <w:vAlign w:val="top"/>
          </w:tcPr>
          <w:p>
            <w:pPr>
              <w:spacing w:after="40" w:before="0" w:line="259" w:lineRule="auto"/>
            </w:pPr>
            <w:r>
              <w:rPr>
                <w:rFonts w:ascii="Calibri" w:hAnsi="Calibri"/>
                <w:b w:val="0"/>
                <w:i w:val="0"/>
                <w:color w:val="212121"/>
                <w:sz w:val="16"/>
              </w:rPr>
              <w:t>Patients examined during/after an attack</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Direction can reverse across attack phases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Bedside vestibular &amp; gait exam</w:t>
            </w:r>
          </w:p>
        </w:tc>
        <w:tc>
          <w:tcPr>
            <w:tcW w:type="dxa" w:w="979"/>
            <w:vAlign w:val="top"/>
          </w:tcPr>
          <w:p>
            <w:pPr>
              <w:spacing w:after="40" w:before="0" w:line="259" w:lineRule="auto"/>
            </w:pPr>
            <w:r>
              <w:rPr>
                <w:rFonts w:ascii="Calibri" w:hAnsi="Calibri"/>
                <w:b w:val="0"/>
                <w:i w:val="0"/>
                <w:color w:val="212121"/>
                <w:sz w:val="16"/>
              </w:rPr>
              <w:t>Head-impulse test, Romberg, tandem gait</w:t>
            </w:r>
          </w:p>
        </w:tc>
        <w:tc>
          <w:tcPr>
            <w:tcW w:type="dxa" w:w="950"/>
            <w:vAlign w:val="top"/>
          </w:tcPr>
          <w:p>
            <w:pPr>
              <w:spacing w:after="40" w:before="0" w:line="259" w:lineRule="auto"/>
            </w:pPr>
            <w:r>
              <w:rPr>
                <w:rFonts w:ascii="Calibri" w:hAnsi="Calibri"/>
                <w:b w:val="0"/>
                <w:i w:val="0"/>
                <w:color w:val="212121"/>
                <w:sz w:val="16"/>
              </w:rPr>
              <w:t>Negative HIT; steady Romberg and gait</w:t>
            </w:r>
          </w:p>
        </w:tc>
        <w:tc>
          <w:tcPr>
            <w:tcW w:type="dxa" w:w="950"/>
            <w:vAlign w:val="top"/>
          </w:tcPr>
          <w:p>
            <w:pPr>
              <w:spacing w:after="40" w:before="0" w:line="259" w:lineRule="auto"/>
            </w:pPr>
            <w:r>
              <w:rPr>
                <w:rFonts w:ascii="Calibri" w:hAnsi="Calibri"/>
                <w:b w:val="0"/>
                <w:i w:val="0"/>
                <w:color w:val="212121"/>
                <w:sz w:val="16"/>
              </w:rPr>
              <w:t>Positive HIT to affected side; unsteady tandem gait</w:t>
            </w:r>
          </w:p>
        </w:tc>
        <w:tc>
          <w:tcPr>
            <w:tcW w:type="dxa" w:w="1036"/>
            <w:vAlign w:val="top"/>
          </w:tcPr>
          <w:p>
            <w:pPr>
              <w:spacing w:after="40" w:before="0" w:line="259" w:lineRule="auto"/>
            </w:pPr>
            <w:r>
              <w:rPr>
                <w:rFonts w:ascii="Calibri" w:hAnsi="Calibri"/>
                <w:b w:val="0"/>
                <w:i w:val="0"/>
                <w:color w:val="212121"/>
                <w:sz w:val="16"/>
              </w:rPr>
              <w:t>Detects vestibular hypofunction and imbalance, especially in advanced disease</w:t>
            </w:r>
          </w:p>
        </w:tc>
        <w:tc>
          <w:tcPr>
            <w:tcW w:type="dxa" w:w="1036"/>
            <w:vAlign w:val="top"/>
          </w:tcPr>
          <w:p>
            <w:pPr>
              <w:spacing w:after="40" w:before="0" w:line="259" w:lineRule="auto"/>
            </w:pPr>
            <w:r>
              <w:rPr>
                <w:rFonts w:ascii="Calibri" w:hAnsi="Calibri"/>
                <w:b w:val="0"/>
                <w:i w:val="0"/>
                <w:color w:val="212121"/>
                <w:sz w:val="16"/>
              </w:rPr>
              <w:t>Patients with chronic imbalance</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Also informs fall-risk assessment</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Episodic rotational vertigo</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Spontaneous spinning sensation lasting 20 minutes to 12 hours, often with nausea and vomiting; the hallmark symptom.</w:t>
            </w:r>
          </w:p>
        </w:tc>
      </w:tr>
      <w:tr>
        <w:trPr>
          <w:cantSplit/>
        </w:trPr>
        <w:tc>
          <w:tcPr>
            <w:tcW w:type="dxa" w:w="2304"/>
            <w:vAlign w:val="top"/>
          </w:tcPr>
          <w:p>
            <w:pPr>
              <w:spacing w:after="40" w:before="0" w:line="259" w:lineRule="auto"/>
            </w:pPr>
            <w:r>
              <w:rPr>
                <w:rFonts w:ascii="Calibri" w:hAnsi="Calibri"/>
                <w:b/>
                <w:i w:val="0"/>
                <w:color w:val="212121"/>
                <w:sz w:val="19"/>
              </w:rPr>
              <w:t>Fluctuating hearing loss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Low- to mid-frequency sensorineural loss in one ear that fluctuates early and becomes permanent over years.</w:t>
            </w:r>
          </w:p>
        </w:tc>
      </w:tr>
      <w:tr>
        <w:trPr>
          <w:cantSplit/>
        </w:trPr>
        <w:tc>
          <w:tcPr>
            <w:tcW w:type="dxa" w:w="2304"/>
            <w:vAlign w:val="top"/>
          </w:tcPr>
          <w:p>
            <w:pPr>
              <w:spacing w:after="40" w:before="0" w:line="259" w:lineRule="auto"/>
            </w:pPr>
            <w:r>
              <w:rPr>
                <w:rFonts w:ascii="Calibri" w:hAnsi="Calibri"/>
                <w:b/>
                <w:i w:val="0"/>
                <w:color w:val="212121"/>
                <w:sz w:val="19"/>
              </w:rPr>
              <w:t>Tinnitus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Ipsilateral low-pitched roaring, buzzing or whistling, often intensifying before an attack.</w:t>
            </w:r>
          </w:p>
        </w:tc>
      </w:tr>
      <w:tr>
        <w:trPr>
          <w:cantSplit/>
        </w:trPr>
        <w:tc>
          <w:tcPr>
            <w:tcW w:type="dxa" w:w="2304"/>
            <w:vAlign w:val="top"/>
          </w:tcPr>
          <w:p>
            <w:pPr>
              <w:spacing w:after="40" w:before="0" w:line="259" w:lineRule="auto"/>
            </w:pPr>
            <w:r>
              <w:rPr>
                <w:rFonts w:ascii="Calibri" w:hAnsi="Calibri"/>
                <w:b/>
                <w:i w:val="0"/>
                <w:color w:val="212121"/>
                <w:sz w:val="19"/>
              </w:rPr>
              <w:t>Aural fullness / pressure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Sensation of a blocked or pressured ear, frequently a prodrome to an acute attack.</w:t>
            </w:r>
          </w:p>
        </w:tc>
      </w:tr>
      <w:tr>
        <w:trPr>
          <w:cantSplit/>
        </w:trPr>
        <w:tc>
          <w:tcPr>
            <w:tcW w:type="dxa" w:w="2304"/>
            <w:vAlign w:val="top"/>
          </w:tcPr>
          <w:p>
            <w:pPr>
              <w:spacing w:after="40" w:before="0" w:line="259" w:lineRule="auto"/>
            </w:pPr>
            <w:r>
              <w:rPr>
                <w:rFonts w:ascii="Calibri" w:hAnsi="Calibri"/>
                <w:b/>
                <w:i w:val="0"/>
                <w:color w:val="212121"/>
                <w:sz w:val="19"/>
              </w:rPr>
              <w:t>Nausea and vomiting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Autonomic accompaniment of acute vertigo; may cause dehydration.</w:t>
            </w:r>
          </w:p>
        </w:tc>
      </w:tr>
      <w:tr>
        <w:trPr>
          <w:cantSplit/>
        </w:trPr>
        <w:tc>
          <w:tcPr>
            <w:tcW w:type="dxa" w:w="2304"/>
            <w:vAlign w:val="top"/>
          </w:tcPr>
          <w:p>
            <w:pPr>
              <w:spacing w:after="40" w:before="0" w:line="259" w:lineRule="auto"/>
            </w:pPr>
            <w:r>
              <w:rPr>
                <w:rFonts w:ascii="Calibri" w:hAnsi="Calibri"/>
                <w:b/>
                <w:i w:val="0"/>
                <w:color w:val="212121"/>
                <w:sz w:val="19"/>
              </w:rPr>
              <w:t>Imbalance / unsteadiness between attacks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Chronic disequilibrium that increases as vestibular function declines with disease progression.</w:t>
            </w:r>
          </w:p>
        </w:tc>
      </w:tr>
      <w:tr>
        <w:trPr>
          <w:cantSplit/>
        </w:trPr>
        <w:tc>
          <w:tcPr>
            <w:tcW w:type="dxa" w:w="2304"/>
            <w:vAlign w:val="top"/>
          </w:tcPr>
          <w:p>
            <w:pPr>
              <w:spacing w:after="40" w:before="0" w:line="259" w:lineRule="auto"/>
            </w:pPr>
            <w:r>
              <w:rPr>
                <w:rFonts w:ascii="Calibri" w:hAnsi="Calibri"/>
                <w:b/>
                <w:i w:val="0"/>
                <w:color w:val="212121"/>
                <w:sz w:val="19"/>
              </w:rPr>
              <w:t>Hypersensitivity to sound (phonophobia) and sound distortion (diplacusis)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Distorted perception of pitch or loudness, and discomfort with loud sounds.</w:t>
            </w:r>
          </w:p>
        </w:tc>
      </w:tr>
      <w:tr>
        <w:trPr>
          <w:cantSplit/>
        </w:trPr>
        <w:tc>
          <w:tcPr>
            <w:tcW w:type="dxa" w:w="2304"/>
            <w:vAlign w:val="top"/>
          </w:tcPr>
          <w:p>
            <w:pPr>
              <w:spacing w:after="40" w:before="0" w:line="259" w:lineRule="auto"/>
            </w:pPr>
            <w:r>
              <w:rPr>
                <w:rFonts w:ascii="Calibri" w:hAnsi="Calibri"/>
                <w:b/>
                <w:i w:val="0"/>
                <w:color w:val="212121"/>
                <w:sz w:val="19"/>
              </w:rPr>
              <w:t>Headache / migrainous features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Reflects the frequent overlap with migraine and vestibular migraine.</w:t>
            </w:r>
          </w:p>
        </w:tc>
      </w:tr>
      <w:tr>
        <w:trPr>
          <w:cantSplit/>
        </w:trPr>
        <w:tc>
          <w:tcPr>
            <w:tcW w:type="dxa" w:w="2304"/>
            <w:vAlign w:val="top"/>
          </w:tcPr>
          <w:p>
            <w:pPr>
              <w:spacing w:after="40" w:before="0" w:line="259" w:lineRule="auto"/>
            </w:pPr>
            <w:r>
              <w:rPr>
                <w:rFonts w:ascii="Calibri" w:hAnsi="Calibri"/>
                <w:b/>
                <w:i w:val="0"/>
                <w:color w:val="212121"/>
                <w:sz w:val="19"/>
              </w:rPr>
              <w:t>Anxiety or panic around attacks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Fear of unpredictable, incapacitating episodes; part of the strong mental-health association.</w:t>
            </w:r>
          </w:p>
        </w:tc>
      </w:tr>
      <w:tr>
        <w:trPr>
          <w:cantSplit/>
        </w:trPr>
        <w:tc>
          <w:tcPr>
            <w:tcW w:type="dxa" w:w="2304"/>
            <w:vAlign w:val="top"/>
          </w:tcPr>
          <w:p>
            <w:pPr>
              <w:spacing w:after="40" w:before="0" w:line="259" w:lineRule="auto"/>
            </w:pPr>
            <w:r>
              <w:rPr>
                <w:rFonts w:ascii="Calibri" w:hAnsi="Calibri"/>
                <w:b/>
                <w:i w:val="0"/>
                <w:color w:val="212121"/>
                <w:sz w:val="19"/>
              </w:rPr>
              <w:t>Drop attacks (Tumarkin's otolithic crisis)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Sudden falls without loss of consciousness in later disease, with high injury risk.</w:t>
            </w:r>
          </w:p>
        </w:tc>
      </w:tr>
      <w:tr>
        <w:trPr>
          <w:cantSplit/>
        </w:trPr>
        <w:tc>
          <w:tcPr>
            <w:tcW w:type="dxa" w:w="2304"/>
            <w:vAlign w:val="top"/>
          </w:tcPr>
          <w:p>
            <w:pPr>
              <w:spacing w:after="40" w:before="0" w:line="259" w:lineRule="auto"/>
            </w:pPr>
            <w:r>
              <w:rPr>
                <w:rFonts w:ascii="Calibri" w:hAnsi="Calibri"/>
                <w:b/>
                <w:i w:val="0"/>
                <w:color w:val="212121"/>
                <w:sz w:val="19"/>
              </w:rPr>
              <w:t>Bilateral symptoms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Second-ear involvement develops in roughly 15–47% of patients over years to decades.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Spontaneous horizontal nystagmus during an attack</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Fast phase beats away from the affected ear (irritative) or toward it (paretic) depending on the attack phase.</w:t>
            </w:r>
          </w:p>
        </w:tc>
      </w:tr>
      <w:tr>
        <w:trPr>
          <w:cantSplit/>
        </w:trPr>
        <w:tc>
          <w:tcPr>
            <w:tcW w:type="dxa" w:w="3456"/>
            <w:vAlign w:val="top"/>
          </w:tcPr>
          <w:p>
            <w:pPr>
              <w:spacing w:after="40" w:before="0" w:line="259" w:lineRule="auto"/>
            </w:pPr>
            <w:r>
              <w:rPr>
                <w:rFonts w:ascii="Calibri" w:hAnsi="Calibri"/>
                <w:b/>
                <w:i w:val="0"/>
                <w:color w:val="212121"/>
                <w:sz w:val="19"/>
              </w:rPr>
              <w:t>Low- to mid-frequency sensorineural hearing loss on audiogram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Characteristic fluctuating unilateral loss; defines diagnosis and AAO-HNS stage.</w:t>
            </w:r>
          </w:p>
        </w:tc>
      </w:tr>
      <w:tr>
        <w:trPr>
          <w:cantSplit/>
        </w:trPr>
        <w:tc>
          <w:tcPr>
            <w:tcW w:type="dxa" w:w="3456"/>
            <w:vAlign w:val="top"/>
          </w:tcPr>
          <w:p>
            <w:pPr>
              <w:spacing w:after="40" w:before="0" w:line="259" w:lineRule="auto"/>
            </w:pPr>
            <w:r>
              <w:rPr>
                <w:rFonts w:ascii="Calibri" w:hAnsi="Calibri"/>
                <w:b/>
                <w:i w:val="0"/>
                <w:color w:val="212121"/>
                <w:sz w:val="19"/>
              </w:rPr>
              <w:t>Weber lateralisation to the unaffected ear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Tuning-fork pattern consistent with sensorineural loss in the affected ear.</w:t>
            </w:r>
          </w:p>
        </w:tc>
      </w:tr>
      <w:tr>
        <w:trPr>
          <w:cantSplit/>
        </w:trPr>
        <w:tc>
          <w:tcPr>
            <w:tcW w:type="dxa" w:w="3456"/>
            <w:vAlign w:val="top"/>
          </w:tcPr>
          <w:p>
            <w:pPr>
              <w:spacing w:after="40" w:before="0" w:line="259" w:lineRule="auto"/>
            </w:pPr>
            <w:r>
              <w:rPr>
                <w:rFonts w:ascii="Calibri" w:hAnsi="Calibri"/>
                <w:b/>
                <w:i w:val="0"/>
                <w:color w:val="212121"/>
                <w:sz w:val="19"/>
              </w:rPr>
              <w:t>Reduced caloric response (canal paresis) on the affected side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Vestibular hypofunction demonstrable in 42–74% of patients.</w:t>
            </w:r>
          </w:p>
        </w:tc>
      </w:tr>
      <w:tr>
        <w:trPr>
          <w:cantSplit/>
        </w:trPr>
        <w:tc>
          <w:tcPr>
            <w:tcW w:type="dxa" w:w="3456"/>
            <w:vAlign w:val="top"/>
          </w:tcPr>
          <w:p>
            <w:pPr>
              <w:spacing w:after="40" w:before="0" w:line="259" w:lineRule="auto"/>
            </w:pPr>
            <w:r>
              <w:rPr>
                <w:rFonts w:ascii="Calibri" w:hAnsi="Calibri"/>
                <w:b/>
                <w:i w:val="0"/>
                <w:color w:val="212121"/>
                <w:sz w:val="19"/>
              </w:rPr>
              <w:t>Positive Romberg / unsteady tandem gait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Reflects vestibular imbalance, more marked in advanced disease.</w:t>
            </w:r>
          </w:p>
        </w:tc>
      </w:tr>
      <w:tr>
        <w:trPr>
          <w:cantSplit/>
        </w:trPr>
        <w:tc>
          <w:tcPr>
            <w:tcW w:type="dxa" w:w="3456"/>
            <w:vAlign w:val="top"/>
          </w:tcPr>
          <w:p>
            <w:pPr>
              <w:spacing w:after="40" w:before="0" w:line="259" w:lineRule="auto"/>
            </w:pPr>
            <w:r>
              <w:rPr>
                <w:rFonts w:ascii="Calibri" w:hAnsi="Calibri"/>
                <w:b/>
                <w:i w:val="0"/>
                <w:color w:val="212121"/>
                <w:sz w:val="19"/>
              </w:rPr>
              <w:t>Normal otoscopy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Normal tympanic membrane, excluding middle-ear disease and pointing to an inner-ear cause.</w:t>
            </w:r>
          </w:p>
        </w:tc>
      </w:tr>
      <w:tr>
        <w:trPr>
          <w:cantSplit/>
        </w:trPr>
        <w:tc>
          <w:tcPr>
            <w:tcW w:type="dxa" w:w="3456"/>
            <w:vAlign w:val="top"/>
          </w:tcPr>
          <w:p>
            <w:pPr>
              <w:spacing w:after="40" w:before="0" w:line="259" w:lineRule="auto"/>
            </w:pPr>
            <w:r>
              <w:rPr>
                <w:rFonts w:ascii="Calibri" w:hAnsi="Calibri"/>
                <w:b/>
                <w:i w:val="0"/>
                <w:color w:val="212121"/>
                <w:sz w:val="19"/>
              </w:rPr>
              <w:t>Elevated SP/AP ratio on electrocochleography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Adjunctive electrophysiological marker supporting endolymphatic hydrops.</w:t>
            </w:r>
          </w:p>
        </w:tc>
      </w:tr>
      <w:tr>
        <w:trPr>
          <w:cantSplit/>
        </w:trPr>
        <w:tc>
          <w:tcPr>
            <w:tcW w:type="dxa" w:w="3456"/>
            <w:vAlign w:val="top"/>
          </w:tcPr>
          <w:p>
            <w:pPr>
              <w:spacing w:after="40" w:before="0" w:line="259" w:lineRule="auto"/>
            </w:pPr>
            <w:r>
              <w:rPr>
                <w:rFonts w:ascii="Calibri" w:hAnsi="Calibri"/>
                <w:b/>
                <w:i w:val="0"/>
                <w:color w:val="212121"/>
                <w:sz w:val="19"/>
              </w:rPr>
              <w:t>Reduced or absent VEMP on the affected side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Indicates otolith (saccular/utricular) involvement; not specific.</w:t>
            </w:r>
          </w:p>
        </w:tc>
      </w:tr>
      <w:tr>
        <w:trPr>
          <w:cantSplit/>
        </w:trPr>
        <w:tc>
          <w:tcPr>
            <w:tcW w:type="dxa" w:w="3456"/>
            <w:vAlign w:val="top"/>
          </w:tcPr>
          <w:p>
            <w:pPr>
              <w:spacing w:after="40" w:before="0" w:line="259" w:lineRule="auto"/>
            </w:pPr>
            <w:r>
              <w:rPr>
                <w:rFonts w:ascii="Calibri" w:hAnsi="Calibri"/>
                <w:b/>
                <w:i w:val="0"/>
                <w:color w:val="212121"/>
                <w:sz w:val="19"/>
              </w:rPr>
              <w:t>Positive head-impulse test to the affected side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Bedside sign of vestibular hypofunction, typically in advanced disease.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incapacitating vertigo with nausea and vomiting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dehydration and electrolyte disturbance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Tumarkin's otolithic crisis (drop attacks) with fall-related injury</w:t>
            </w:r>
          </w:p>
        </w:tc>
        <w:tc>
          <w:tcPr>
            <w:tcW w:type="dxa" w:w="2980"/>
            <w:vAlign w:val="top"/>
          </w:tcPr>
          <w:p>
            <w:pPr>
              <w:spacing w:after="40" w:before="0" w:line="259" w:lineRule="auto"/>
            </w:pPr>
            <w:r>
              <w:rPr>
                <w:rFonts w:ascii="Calibri" w:hAnsi="Calibri"/>
                <w:b w:val="0"/>
                <w:i w:val="0"/>
                <w:color w:val="212121"/>
                <w:sz w:val="19"/>
              </w:rPr>
              <w:t>Direct consequences of acute endolymphatic-hydrops attacks disrupting vestibular function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permanent sensorineural hearing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(often constant) tinnitus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imbalance and disequilibrium between attacks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Bilateral involvement developing in ~15–47% over years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falls with roughly doubled fall risk</w:t>
            </w:r>
          </w:p>
        </w:tc>
        <w:tc>
          <w:tcPr>
            <w:tcW w:type="dxa" w:w="2980"/>
            <w:vAlign w:val="top"/>
          </w:tcPr>
          <w:p>
            <w:pPr>
              <w:spacing w:after="40" w:before="0" w:line="259" w:lineRule="auto"/>
            </w:pPr>
            <w:r>
              <w:rPr>
                <w:rFonts w:ascii="Calibri" w:hAnsi="Calibri"/>
                <w:b w:val="0"/>
                <w:i w:val="0"/>
                <w:color w:val="212121"/>
                <w:sz w:val="19"/>
              </w:rPr>
              <w:t>Result from repeated attacks and cumulative labyrinthine damage over time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Profound hearing loss / functional deafness in the affected ear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Disabling chronic vestibular dysfunction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Anxiety, depression, social isolation and impaired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Loss of employment and driving restriction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Fall-related fractures, especially in the elderly</w:t>
            </w:r>
          </w:p>
        </w:tc>
        <w:tc>
          <w:tcPr>
            <w:tcW w:type="dxa" w:w="2980"/>
            <w:vAlign w:val="top"/>
          </w:tcPr>
          <w:p>
            <w:pPr>
              <w:spacing w:after="40" w:before="0" w:line="259" w:lineRule="auto"/>
            </w:pPr>
            <w:r>
              <w:rPr>
                <w:rFonts w:ascii="Calibri" w:hAnsi="Calibri"/>
                <w:b w:val="0"/>
                <w:i w:val="0"/>
                <w:color w:val="212121"/>
                <w:sz w:val="19"/>
              </w:rPr>
              <w:t>Irreversible, disabling outcomes of longstanding disease; acute attacks rank among the most disabling of health states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Vestibular migraine / migraine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Occurs more often in Ménière's patients and shares mechanisms and symptoms, causing diagnostic overlap and requiring combined management.</w:t>
            </w:r>
          </w:p>
        </w:tc>
      </w:tr>
      <w:tr>
        <w:trPr>
          <w:cantSplit/>
        </w:trPr>
        <w:tc>
          <w:tcPr>
            <w:tcW w:type="dxa" w:w="2232"/>
            <w:vAlign w:val="top"/>
          </w:tcPr>
          <w:p>
            <w:pPr>
              <w:spacing w:after="40" w:before="0" w:line="259" w:lineRule="auto"/>
            </w:pPr>
            <w:r>
              <w:rPr>
                <w:rFonts w:ascii="Calibri" w:hAnsi="Calibri"/>
                <w:b/>
                <w:i w:val="0"/>
                <w:color w:val="212121"/>
                <w:sz w:val="19"/>
              </w:rPr>
              <w:t>Anxiety and depression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Unpredictable, disabling attacks drive a strong bidirectional relationship with mood and anxiety disorders, which amplify symptom perception and reduce quality of life.</w:t>
            </w:r>
          </w:p>
          <w:p>
            <w:pPr>
              <w:spacing w:after="40" w:before="0" w:line="259" w:lineRule="auto"/>
            </w:pPr>
            <w:r>
              <w:rPr>
                <w:rFonts w:ascii="Calibri" w:hAnsi="Calibri"/>
                <w:b/>
                <w:i w:val="0"/>
                <w:color w:val="212121"/>
                <w:sz w:val="19"/>
              </w:rPr>
              <w:t>~33–41%</w:t>
            </w:r>
          </w:p>
        </w:tc>
      </w:tr>
      <w:tr>
        <w:trPr>
          <w:cantSplit/>
        </w:trPr>
        <w:tc>
          <w:tcPr>
            <w:tcW w:type="dxa" w:w="2232"/>
            <w:vAlign w:val="top"/>
          </w:tcPr>
          <w:p>
            <w:pPr>
              <w:spacing w:after="40" w:before="0" w:line="259" w:lineRule="auto"/>
            </w:pPr>
            <w:r>
              <w:rPr>
                <w:rFonts w:ascii="Calibri" w:hAnsi="Calibri"/>
                <w:b/>
                <w:i w:val="0"/>
                <w:color w:val="212121"/>
                <w:sz w:val="19"/>
              </w:rPr>
              <w:t>Sensorineural hearing loss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Progressive, often permanent hearing loss is an intrinsic consequence of the disease and shapes amplification and surgical decisions.</w:t>
            </w:r>
          </w:p>
          <w:p>
            <w:pPr>
              <w:spacing w:after="40" w:before="0" w:line="259" w:lineRule="auto"/>
            </w:pPr>
            <w:r>
              <w:rPr>
                <w:rFonts w:ascii="Calibri" w:hAnsi="Calibri"/>
                <w:b/>
                <w:i w:val="0"/>
                <w:color w:val="212121"/>
                <w:sz w:val="19"/>
              </w:rPr>
              <w:t>Up to 82% moderate–severe over 20 years</w:t>
            </w:r>
          </w:p>
        </w:tc>
      </w:tr>
      <w:tr>
        <w:trPr>
          <w:cantSplit/>
        </w:trPr>
        <w:tc>
          <w:tcPr>
            <w:tcW w:type="dxa" w:w="2232"/>
            <w:vAlign w:val="top"/>
          </w:tcPr>
          <w:p>
            <w:pPr>
              <w:spacing w:after="40" w:before="0" w:line="259" w:lineRule="auto"/>
            </w:pPr>
            <w:r>
              <w:rPr>
                <w:rFonts w:ascii="Calibri" w:hAnsi="Calibri"/>
                <w:b/>
                <w:i w:val="0"/>
                <w:color w:val="212121"/>
                <w:sz w:val="19"/>
              </w:rPr>
              <w:t>Autoimmune disease (rheumatoid arthritis, SLE, ankylosing spondylitis)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Increased association supports an immune-mediated component of inner-ear injury in a subset of patients.</w:t>
            </w:r>
          </w:p>
        </w:tc>
      </w:tr>
      <w:tr>
        <w:trPr>
          <w:cantSplit/>
        </w:trPr>
        <w:tc>
          <w:tcPr>
            <w:tcW w:type="dxa" w:w="2232"/>
            <w:vAlign w:val="top"/>
          </w:tcPr>
          <w:p>
            <w:pPr>
              <w:spacing w:after="40" w:before="0" w:line="259" w:lineRule="auto"/>
            </w:pPr>
            <w:r>
              <w:rPr>
                <w:rFonts w:ascii="Calibri" w:hAnsi="Calibri"/>
                <w:b/>
                <w:i w:val="0"/>
                <w:color w:val="212121"/>
                <w:sz w:val="19"/>
              </w:rPr>
              <w:t>Allergic rhinitis / allergy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Allergic inflammation and mediator release may aggravate endolymphatic hydrops; allergy control is sometimes part of management.</w:t>
            </w:r>
          </w:p>
        </w:tc>
      </w:tr>
      <w:tr>
        <w:trPr>
          <w:cantSplit/>
        </w:trPr>
        <w:tc>
          <w:tcPr>
            <w:tcW w:type="dxa" w:w="2232"/>
            <w:vAlign w:val="top"/>
          </w:tcPr>
          <w:p>
            <w:pPr>
              <w:spacing w:after="40" w:before="0" w:line="259" w:lineRule="auto"/>
            </w:pPr>
            <w:r>
              <w:rPr>
                <w:rFonts w:ascii="Calibri" w:hAnsi="Calibri"/>
                <w:b/>
                <w:i w:val="0"/>
                <w:color w:val="212121"/>
                <w:sz w:val="19"/>
              </w:rPr>
              <w:t>Gastro-oesophageal reflux disease (GERD)</w:t>
            </w:r>
          </w:p>
        </w:tc>
        <w:tc>
          <w:tcPr>
            <w:tcW w:type="dxa" w:w="2520"/>
            <w:vAlign w:val="top"/>
          </w:tcPr>
          <w:p>
            <w:pPr>
              <w:spacing w:after="40" w:before="0" w:line="259" w:lineRule="auto"/>
            </w:pPr>
            <w:r>
              <w:rPr>
                <w:rFonts w:ascii="Calibri" w:hAnsi="Calibri"/>
                <w:b w:val="0"/>
                <w:i w:val="0"/>
                <w:color w:val="212121"/>
                <w:sz w:val="18"/>
              </w:rPr>
              <w:t>Bidirectional Association</w:t>
            </w:r>
          </w:p>
        </w:tc>
        <w:tc>
          <w:tcPr>
            <w:tcW w:type="dxa" w:w="4852"/>
            <w:vAlign w:val="top"/>
          </w:tcPr>
          <w:p>
            <w:pPr>
              <w:spacing w:after="40" w:before="0" w:line="259" w:lineRule="auto"/>
            </w:pPr>
            <w:r>
              <w:rPr>
                <w:rFonts w:ascii="Calibri" w:hAnsi="Calibri"/>
                <w:b w:val="0"/>
                <w:i w:val="0"/>
                <w:color w:val="212121"/>
                <w:sz w:val="19"/>
              </w:rPr>
              <w:t>Recognised among conditions that co-occur with Ménière's disease.</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 in the same mid-life adults; the low-sodium diet and diuretics used for Ménière's disease also affect blood-pressure control, so the two are managed together.</w:t>
            </w:r>
          </w:p>
        </w:tc>
      </w:tr>
      <w:tr>
        <w:trPr>
          <w:cantSplit/>
        </w:trPr>
        <w:tc>
          <w:tcPr>
            <w:tcW w:type="dxa" w:w="2232"/>
            <w:vAlign w:val="top"/>
          </w:tcPr>
          <w:p>
            <w:pPr>
              <w:spacing w:after="40" w:before="0" w:line="259" w:lineRule="auto"/>
            </w:pPr>
            <w:r>
              <w:rPr>
                <w:rFonts w:ascii="Calibri" w:hAnsi="Calibri"/>
                <w:b/>
                <w:i w:val="0"/>
                <w:color w:val="212121"/>
                <w:sz w:val="19"/>
              </w:rPr>
              <w:t>Severe obesity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Reported among risk factors, plausibly via metabolic, vascular and inflammatory effects on the inner ear.</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to recognise the prodrome (increasing aural fullness, tinnitus or hearing change) so you can sit or lie down safely before vertigo peaks.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an attack diary of timing, duration and possible triggers (salt, caffeine, alcohol, stress, poor sleep, weather) to identify and avoid personal precipitants.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Adopt a consistent low-sodium diet and even daily fluid intake, and read food labels for hidden salt in processed and restaurant foods.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the condition is chronic and manageable but not curable, and that most patients improve with lifestyle change, medication or minimally invasive procedures.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fall-safety precautions (avoid ladders/heights, be cautious swimming or driving during active disease) because of unpredictable drop attacks.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prompt review for new asymmetric hearing loss, worsening imbalance, or attacks that change in pattern.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 with Ménière's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frequent attacks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patients at fall risk</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Restrict sodium to about 1,500–2,000 mg/day (well below the high salt intake typical of Indian diets), spreading intake evenly across meals to avoid osmotic swings.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processed foods, papads, pickles, packaged snacks and added table salt, which are major hidden sources of sodium.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caffeine (coffee, strong tea, cola, energy drinks) and monosodium glutamate, which are common triggers.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or avoid alcohol to reduce fluid-shift-related attacks.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consistent meals and hydration rather than large fluctuations in salt and fluid.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High-salt / processed-food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Hypertensive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frequent attacks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Caffeine and alcohol users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Sustain sodium restriction alongside prescribed diuretic or betahistine therapy for maintenance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on a diuretic, include potassium-rich foods (as advised) and attend electrolyte monitoring.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 with a dietitian to make the low-salt diet culturally acceptable and sustainable long term.</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diuretic maintenance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betahistine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recurrent attacks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Engage in vestibular rehabilitation / physical therapy for chronic imbalance and unsteadiness between attacks.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prescribed gaze-stabilisation and balance-retraining exercises regularly to promote central compensation.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Rebuild general fitness and confidence gradually to counter deconditioning and fear-avoidance.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supervised balance and strength work for fall prevention, particularly in older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vigorous activity, heights and swimming alone during periods of active, unpredictable attacks.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imbalance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Deconditioned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between attacks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 schedule of 7–9 hours to reduce fatigue-related attacks.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tinnitus- or anxiety-related insomnia (sound therapy, relaxation, sleep hygiene).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excessive caffeine and alcohol close to bedtime.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sleep disturbance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prominent tinnitus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avoid nicotine-induced vasoconstriction that may impair inner-ear blood flow.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(counselling, nicotine replacement) as needed.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exposed to second-hand smoke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or avoid alcohol, which causes fluid shifts and dehydration that can trigger vertigo.</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drinking, keep well within low-risk limits and stay hydrated.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Track whether alcohol reliably precedes attacks and eliminate it if so.</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 / 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alcohol-triggered attacks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stress-reduction techniques (relaxation, breathing, mindfulness, yoga) since stress is a frequent precipitant.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Access cognitive behavioural therapy and, where indicated, pharmacotherapy for the anxiety and depression that commonly accompany the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Join patient support groups to reduce isolation and share coping strategies.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health anxiety and fear-avoidance that can worsen disability out of proportion to vestibular findings.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routinely for depression and anxiety, which affect roughly a third to two-fifths of patients.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anxiety or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frequent disabling attacks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Socially isolated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(higher depression burden)</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idcd.nih.gov/health/menieres-disease" TargetMode="External"/><Relationship Id="rId10" Type="http://schemas.openxmlformats.org/officeDocument/2006/relationships/hyperlink" Target="https://en.wikipedia.org/wiki/M%C3%A9ni%C3%A8re%27s_disease" TargetMode="External"/><Relationship Id="rId11" Type="http://schemas.openxmlformats.org/officeDocument/2006/relationships/hyperlink" Target="https://my.clevelandclinic.org/health/diseases/15167-menieres-disease" TargetMode="External"/><Relationship Id="rId12" Type="http://schemas.openxmlformats.org/officeDocument/2006/relationships/hyperlink" Target="https://www.ncbi.nlm.nih.gov/books/NBK536955/" TargetMode="External"/><Relationship Id="rId13" Type="http://schemas.openxmlformats.org/officeDocument/2006/relationships/hyperlink" Target="https://www.who.int/news-room/fact-sheets/detail/salt-reduction" TargetMode="External"/><Relationship Id="rId14" Type="http://schemas.openxmlformats.org/officeDocument/2006/relationships/hyperlink" Target="https://journals.sagepub.com/doi/10.1177/01945998209094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