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Vestibular Neuritis / Labyrinthitis</w:t>
      </w:r>
    </w:p>
    <w:p>
      <w:pPr>
        <w:spacing w:before="0" w:after="160"/>
      </w:pPr>
      <w:r>
        <w:rPr>
          <w:rFonts w:ascii="Calibri" w:hAnsi="Calibri"/>
          <w:b/>
          <w:i w:val="0"/>
          <w:color w:val="212121"/>
          <w:sz w:val="22"/>
        </w:rPr>
        <w:t xml:space="preserve">AKA </w:t>
      </w:r>
      <w:r>
        <w:rPr>
          <w:rFonts w:ascii="Calibri" w:hAnsi="Calibri"/>
          <w:b w:val="0"/>
          <w:i w:val="0"/>
          <w:color w:val="212121"/>
          <w:sz w:val="22"/>
        </w:rPr>
        <w:t>i.e., Vestibular neuronitis, Acute peripheral vestibulopathy, Acute unilateral vestibulopathy (AUVP), Neurolabyrinthitis, Labyrinthitis (when hearing is also affected)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Vestibular neuritis is an acute inflammation of the vestibular (balance) division of the eighth cranial (vestibulocochlear) nerve, presumed to be viral or post-viral in origin, producing the sudden onset of severe, sustained spinning vertigo with nausea, vomiting and imbalance but WITHOUT hearing loss or other neurological signs. Labyrinthitis is inflammation of the whole membranous labyrinth (both the vestibular and the cochlear parts), so it presents with the same vertigo PLUS hearing loss and/or tinnitus. Both are leading causes of the acute vestibular syndrome; they are usually self-limiting over days to weeks as the brain compensates, but a substantial minority are left with residual imbalance, secondary positional vertigo or chronic dizziness.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Vertigo and dizziness are common but under-recognised in India: a community survey of rural adults estimated the overall prevalence of vertigo at about 0.71%, and vestibular ('spinning') vertigo has a 12-month population prevalence of roughly 5% and a lifetime prevalence of about 7–8% in general-population surveys. Vestibular neuritis specifically has an estimated annual incidence of around 3.5 per 100,000 people, accounts for roughly 6% of patients presenting to emergency departments with dizziness, and is the third most common cause of peripheral vertigo after benign paroxysmal positional vertigo (BPPV) and Menière disease.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Vestibular neuritis and labyrinthitis are diagnosed clinically as an acute vestibular syndrome, supported by bedside oculomotor testing and, where needed, vestibular and imaging studies.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acute or sub-acute onset of continuous spinning vertigo lasting 24 hours or more (often several days), with nausea, vomiting and gait unsteadiness;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spontaneous, unidirectional, horizontal-torsional nystagmus that beats toward the healthy ear and is suppressed by visual fixation;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abnormal (positive) horizontal head-impulse test with a corrective 'catch-up' saccade toward the affected side, indicating peripheral vestibular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reassuring HINTS examination (positive head-impulse, unidirectional nystagmus, no skew deviation) that points to a peripheral rather than a central (stroke)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hearing loss and of other focal neurological signs in vestibular neuritis; presence of new sensorineural hearing loss and/or tinnitus reclassifies the illness as labyrinthitis;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caloric testing and/or video head-impulse test demonstrating unilateral vestibular hypofunction (canal paresis) on the affected side;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pure-tone audiometry — normal in vestibular neuritis, showing sensorineural loss in labyrinthitis;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MRI of the brain and internal auditory canals with contrast when central 'red flags' are present, to exclude posterior-circulation stroke, schwannoma or labyrinthine enhancement.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Vestibular neuritis and labyrinthitis form a spectrum of acute inflammatory peripheral vestibulopathy that can be grouped in several complementary ways:</w:t>
      </w:r>
    </w:p>
    <w:p>
      <w:pPr>
        <w:spacing w:before="0" w:after="80"/>
      </w:pPr>
      <w:r>
        <w:rPr>
          <w:rFonts w:ascii="Calibri" w:hAnsi="Calibri"/>
          <w:b w:val="0"/>
          <w:i w:val="0"/>
          <w:color w:val="212121"/>
          <w:sz w:val="21"/>
        </w:rPr>
        <w:t>(1) Vestibular neuritis (vestibular neuronitis) — acute vertigo WITHOUT cochlear symptoms. Depending on which vestibular nerve fibres are involved it is subdivided into superior (the commonest), inferior, or total vestibular neuritis, each with a characteristic pattern of caloric and vestibular-evoked-myogenic-potential loss;</w:t>
      </w:r>
    </w:p>
    <w:p>
      <w:pPr>
        <w:spacing w:before="0" w:after="80"/>
      </w:pPr>
      <w:r>
        <w:rPr>
          <w:rFonts w:ascii="Calibri" w:hAnsi="Calibri"/>
          <w:b w:val="0"/>
          <w:i w:val="0"/>
          <w:color w:val="212121"/>
          <w:sz w:val="21"/>
        </w:rPr>
        <w:t>(2) Labyrinthitis — acute vertigo WITH cochlear involvement (sensorineural hearing loss, tinnitus, aural fullness), reflecting inflammation of the whole labyrinth; clinically graded as serous (toxic/reactive), suppurative (bacterial), or viral labyrinthitis;</w:t>
      </w:r>
    </w:p>
    <w:p>
      <w:pPr>
        <w:spacing w:before="0" w:after="80"/>
      </w:pPr>
      <w:r>
        <w:rPr>
          <w:rFonts w:ascii="Calibri" w:hAnsi="Calibri"/>
          <w:b w:val="0"/>
          <w:i w:val="0"/>
          <w:color w:val="212121"/>
          <w:sz w:val="21"/>
        </w:rPr>
        <w:t>(3) By aetiology — viral/post-viral (the great majority), bacterial (otogenic spread from otitis media or cholesteatoma, or meningogenic spread from meningitis), autoimmune/inflammatory, and vascular (labyrinthine or vestibular-nerve ischaemia, typically in the elderly);</w:t>
      </w:r>
    </w:p>
    <w:p>
      <w:pPr>
        <w:spacing w:before="0" w:after="80"/>
      </w:pPr>
      <w:r>
        <w:rPr>
          <w:rFonts w:ascii="Calibri" w:hAnsi="Calibri"/>
          <w:b w:val="0"/>
          <w:i w:val="0"/>
          <w:color w:val="212121"/>
          <w:sz w:val="21"/>
        </w:rPr>
        <w:t>(4) By course — acute (single self-limiting episode), and complicated/chronic forms with secondary BPPV, persistent unilateral vestibular hypofunction, or persistent postural-perceptual dizziness (PPPD).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Viral / post-viral inflammation: The leading presumed cause is reactivation of latent herpes-simplex-virus type 1 within the vestibular ganglion, frequently following an upper respiratory tract infection; a similar mechanism underlies most 'idiopathic' labyrinthitis.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Bacterial (otogenic) spread: Acute or chronic suppurative otitis media, cholesteatoma or mastoiditis can extend into the labyrinth, causing suppurative labyrinthitis — an important and preventable cause in settings with a high untreated-ear-infection burden such as parts of India.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Bacterial (meningogenic) spread: Bacterial meningitis can invade the labyrinth via the cochlear aqueduct, particularly in young children, producing labyrinthitis with hearing loss.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Vascular ischaemia: Occlusion or hypoperfusion of the labyrinthine artery (an AICA branch) can infarct the labyrinth or vestibular nerve, especially in older adults with vascular risk factors.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Autoimmune / inflammatory: Systemic autoimmune inner-ear disease and post-infectious immune responses can trigger inflammation of the vestibular nerve or labyrinth.</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and trigger factors: Physical or psychological stress, fatigue and immune suppression favour viral reactivation, while recent viral illness is the single most consistent antecedent.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(30–60 years)</w:t>
            </w:r>
          </w:p>
        </w:tc>
        <w:tc>
          <w:tcPr>
            <w:tcW w:type="dxa" w:w="4276"/>
            <w:vAlign w:val="top"/>
          </w:tcPr>
          <w:p>
            <w:pPr>
              <w:spacing w:after="60" w:line="259" w:lineRule="auto"/>
            </w:pPr>
            <w:r>
              <w:rPr>
                <w:rFonts w:ascii="Calibri" w:hAnsi="Calibri"/>
                <w:b w:val="0"/>
                <w:i w:val="0"/>
                <w:color w:val="212121"/>
                <w:sz w:val="19"/>
              </w:rPr>
              <w:t>Vestibular neuritis clusters in working-age and middle-aged adults, the period of greatest exposure to viral upper-respiratory infections that can reactivate latent herpes virus in the vestibular ganglion.</w:t>
            </w:r>
          </w:p>
          <w:p>
            <w:pPr>
              <w:spacing w:after="40" w:before="60" w:line="259" w:lineRule="auto"/>
            </w:pPr>
            <w:r>
              <w:rPr>
                <w:rFonts w:ascii="Calibri" w:hAnsi="Calibri"/>
                <w:b w:val="0"/>
                <w:i w:val="0"/>
                <w:color w:val="212121"/>
                <w:sz w:val="19"/>
              </w:rPr>
              <w:t>Vestibular neuritis typically occurs between the ages of 30 and 60 and usually affects people in their middle years.</w:t>
            </w:r>
          </w:p>
          <w:p>
            <w:pPr>
              <w:spacing w:after="40" w:line="252" w:lineRule="auto"/>
            </w:pPr>
            <w:hyperlink r:id="rId9">
              <w:r>
                <w:rPr>
                  <w:rFonts w:ascii="Calibri" w:hAnsi="Calibri" w:cs="Calibri"/>
                  <w:sz w:val="18"/>
                  <w:color w:val="1155CC"/>
                  <w:u w:val="single"/>
                </w:rPr>
                <w:t xml:space="preserve">vestibular.org — labyrinthitis &amp; vestibular neuritis</w:t>
              </w:r>
            </w:hyperlink>
          </w:p>
          <w:p>
            <w:pPr>
              <w:spacing w:before="60" w:after="40"/>
            </w:pPr>
            <w:r>
              <w:rPr>
                <w:rFonts w:ascii="Calibri" w:hAnsi="Calibri"/>
                <w:b w:val="0"/>
                <w:i w:val="0"/>
                <w:color w:val="5A5A5A"/>
                <w:sz w:val="18"/>
              </w:rPr>
              <w:t>#vestibularneuritis  #middleage  #viralreactivation  #acutevertigo</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Older adults are more prone to vascular (ischaemic) labyrinthitis, compensate more slowly, and are far more likely to fall or fracture during the acute vertiginous phase; residual imbalance readily becomes chronic.</w:t>
            </w:r>
          </w:p>
          <w:p>
            <w:pPr>
              <w:spacing w:after="40" w:before="60" w:line="259" w:lineRule="auto"/>
            </w:pPr>
            <w:r>
              <w:rPr>
                <w:rFonts w:ascii="Calibri" w:hAnsi="Calibri"/>
                <w:b w:val="0"/>
                <w:i w:val="0"/>
                <w:color w:val="212121"/>
                <w:sz w:val="19"/>
              </w:rPr>
              <w:t>Falls are a major geriatric problem in India, and dizziness/vestibular dysfunction is a well-recognised, potentially modifiable risk factor for falls in the elderly.</w:t>
            </w:r>
          </w:p>
          <w:p>
            <w:pPr>
              <w:spacing w:after="40" w:line="252" w:lineRule="auto"/>
            </w:pPr>
            <w:hyperlink r:id="rId10">
              <w:r>
                <w:rPr>
                  <w:rFonts w:ascii="Calibri" w:hAnsi="Calibri" w:cs="Calibri"/>
                  <w:sz w:val="18"/>
                  <w:color w:val="1155CC"/>
                  <w:u w:val="single"/>
                </w:rPr>
                <w:t xml:space="preserve">pubmed — falls among elderly in India (Joseph 2019)</w:t>
              </w:r>
            </w:hyperlink>
          </w:p>
          <w:p>
            <w:pPr>
              <w:spacing w:before="60" w:after="40"/>
            </w:pPr>
            <w:r>
              <w:rPr>
                <w:rFonts w:ascii="Calibri" w:hAnsi="Calibri"/>
                <w:b w:val="0"/>
                <w:i w:val="0"/>
                <w:color w:val="5A5A5A"/>
                <w:sz w:val="18"/>
              </w:rPr>
              <w:t>#elderly  #falls  #vascularlabyrinthitis  #slowcompensation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Acute vestibular neuritis itself shows no clear sex preference, but women carry a higher overall burden of vestibular vertigo and of secondary BPPV, which commonly follows an attack of neuritis, so women are over-represented in vestibular clinics.</w:t>
            </w:r>
          </w:p>
          <w:p>
            <w:pPr>
              <w:spacing w:after="40" w:before="60" w:line="259" w:lineRule="auto"/>
            </w:pPr>
            <w:r>
              <w:rPr>
                <w:rFonts w:ascii="Calibri" w:hAnsi="Calibri"/>
                <w:b w:val="0"/>
                <w:i w:val="0"/>
                <w:color w:val="212121"/>
                <w:sz w:val="19"/>
              </w:rPr>
              <w:t>In an Indian series of positional-vertigo patients, 67.3% were female and BPPV was more common among middle-aged women.</w:t>
            </w:r>
          </w:p>
          <w:p>
            <w:pPr>
              <w:spacing w:after="40" w:line="252" w:lineRule="auto"/>
            </w:pPr>
            <w:hyperlink r:id="rId11">
              <w:r>
                <w:rPr>
                  <w:rFonts w:ascii="Calibri" w:hAnsi="Calibri" w:cs="Calibri"/>
                  <w:sz w:val="18"/>
                  <w:color w:val="1155CC"/>
                  <w:u w:val="single"/>
                </w:rPr>
                <w:t xml:space="preserve">pubmed — serum Ca/vitamin D &amp; BPPV (Thomas 2021)</w:t>
              </w:r>
            </w:hyperlink>
          </w:p>
          <w:p>
            <w:pPr>
              <w:spacing w:before="60" w:after="40"/>
            </w:pPr>
            <w:r>
              <w:rPr>
                <w:rFonts w:ascii="Calibri" w:hAnsi="Calibri"/>
                <w:b w:val="0"/>
                <w:i w:val="0"/>
                <w:color w:val="5A5A5A"/>
                <w:sz w:val="18"/>
              </w:rPr>
              <w:t>#female  #BPPV  #vestibularvertigo  #hormonal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limited ENT access</w:t>
            </w:r>
          </w:p>
        </w:tc>
        <w:tc>
          <w:tcPr>
            <w:tcW w:type="dxa" w:w="4276"/>
            <w:vAlign w:val="top"/>
          </w:tcPr>
          <w:p>
            <w:pPr>
              <w:spacing w:after="60" w:line="259" w:lineRule="auto"/>
            </w:pPr>
            <w:r>
              <w:rPr>
                <w:rFonts w:ascii="Calibri" w:hAnsi="Calibri"/>
                <w:b w:val="0"/>
                <w:i w:val="0"/>
                <w:color w:val="212121"/>
                <w:sz w:val="19"/>
              </w:rPr>
              <w:t>Where ear infections go untreated because of cost or distance from care, chronic suppurative otitis media and cholesteatoma can progress to suppurative labyrinthitis; delayed presentation also worsens outcomes and rehabilitation.</w:t>
            </w:r>
          </w:p>
          <w:p>
            <w:pPr>
              <w:spacing w:after="40" w:before="60" w:line="259" w:lineRule="auto"/>
            </w:pPr>
            <w:r>
              <w:rPr>
                <w:rFonts w:ascii="Calibri" w:hAnsi="Calibri"/>
                <w:b w:val="0"/>
                <w:i w:val="0"/>
                <w:color w:val="212121"/>
                <w:sz w:val="19"/>
              </w:rPr>
              <w:t>Chronic suppurative otitis media remains a major public-health problem in India and is a leading preventable cause of otogenic labyrinthine complications.</w:t>
            </w:r>
          </w:p>
          <w:p>
            <w:pPr>
              <w:spacing w:before="60" w:after="40"/>
            </w:pPr>
            <w:r>
              <w:rPr>
                <w:rFonts w:ascii="Calibri" w:hAnsi="Calibri"/>
                <w:b w:val="0"/>
                <w:i w:val="0"/>
                <w:color w:val="5A5A5A"/>
                <w:sz w:val="18"/>
              </w:rPr>
              <w:t>#healthaccess  #CSOM  #untreatedinfection  #preventable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Rural Indian communities</w:t>
            </w:r>
          </w:p>
        </w:tc>
        <w:tc>
          <w:tcPr>
            <w:tcW w:type="dxa" w:w="4276"/>
            <w:vAlign w:val="top"/>
          </w:tcPr>
          <w:p>
            <w:pPr>
              <w:spacing w:after="60" w:line="259" w:lineRule="auto"/>
            </w:pPr>
            <w:r>
              <w:rPr>
                <w:rFonts w:ascii="Calibri" w:hAnsi="Calibri"/>
                <w:b w:val="0"/>
                <w:i w:val="0"/>
                <w:color w:val="212121"/>
                <w:sz w:val="19"/>
              </w:rPr>
              <w:t>Vertigo is common yet under-diagnosed in rural India, where vestibular disorders are frequently mislabelled as generic 'chakkar' or weakness and go unevaluated, delaying specific diagnosis and vestibular rehabilitation.</w:t>
            </w:r>
          </w:p>
          <w:p>
            <w:pPr>
              <w:spacing w:after="40" w:before="60" w:line="259" w:lineRule="auto"/>
            </w:pPr>
            <w:r>
              <w:rPr>
                <w:rFonts w:ascii="Calibri" w:hAnsi="Calibri"/>
                <w:b w:val="0"/>
                <w:i w:val="0"/>
                <w:color w:val="212121"/>
                <w:sz w:val="19"/>
              </w:rPr>
              <w:t>A community study estimated the overall prevalence of vertigo in a rural Indian adult population at about 0.71%.</w:t>
            </w:r>
          </w:p>
          <w:p>
            <w:pPr>
              <w:spacing w:after="40" w:line="252" w:lineRule="auto"/>
            </w:pPr>
            <w:hyperlink r:id="rId12">
              <w:r>
                <w:rPr>
                  <w:rFonts w:ascii="Calibri" w:hAnsi="Calibri" w:cs="Calibri"/>
                  <w:sz w:val="18"/>
                  <w:color w:val="1155CC"/>
                  <w:u w:val="single"/>
                </w:rPr>
                <w:t xml:space="preserve">pubmed — vertigo in rural India (Abrol)</w:t>
              </w:r>
            </w:hyperlink>
          </w:p>
          <w:p>
            <w:pPr>
              <w:spacing w:before="60" w:after="40"/>
            </w:pPr>
            <w:r>
              <w:rPr>
                <w:rFonts w:ascii="Calibri" w:hAnsi="Calibri"/>
                <w:b w:val="0"/>
                <w:i w:val="0"/>
                <w:color w:val="5A5A5A"/>
                <w:sz w:val="18"/>
              </w:rPr>
              <w:t>#ruralIndia  #underdiagnosed  #chakkar  #accessgap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Ear-disease burden</w:t>
            </w:r>
          </w:p>
        </w:tc>
        <w:tc>
          <w:tcPr>
            <w:tcW w:type="dxa" w:w="2160"/>
            <w:vAlign w:val="top"/>
          </w:tcPr>
          <w:p>
            <w:pPr>
              <w:spacing w:after="40" w:before="0" w:line="259" w:lineRule="auto"/>
            </w:pPr>
            <w:r>
              <w:rPr>
                <w:rFonts w:ascii="Calibri" w:hAnsi="Calibri"/>
                <w:b w:val="0"/>
                <w:i w:val="0"/>
                <w:color w:val="212121"/>
                <w:sz w:val="19"/>
              </w:rPr>
              <w:t>Areas with high otitis-media prevalence</w:t>
            </w:r>
          </w:p>
        </w:tc>
        <w:tc>
          <w:tcPr>
            <w:tcW w:type="dxa" w:w="4276"/>
            <w:vAlign w:val="top"/>
          </w:tcPr>
          <w:p>
            <w:pPr>
              <w:spacing w:after="60" w:line="259" w:lineRule="auto"/>
            </w:pPr>
            <w:r>
              <w:rPr>
                <w:rFonts w:ascii="Calibri" w:hAnsi="Calibri"/>
                <w:b w:val="0"/>
                <w:i w:val="0"/>
                <w:color w:val="212121"/>
                <w:sz w:val="19"/>
              </w:rPr>
              <w:t>Regions with a heavy burden of untreated middle-ear disease see more otogenic (bacterial) labyrinthitis, as infection spreads from the middle ear into the inner ear.</w:t>
            </w:r>
          </w:p>
          <w:p>
            <w:pPr>
              <w:spacing w:after="40" w:before="60" w:line="259" w:lineRule="auto"/>
            </w:pPr>
            <w:r>
              <w:rPr>
                <w:rFonts w:ascii="Calibri" w:hAnsi="Calibri"/>
                <w:b w:val="0"/>
                <w:i w:val="0"/>
                <w:color w:val="212121"/>
                <w:sz w:val="19"/>
              </w:rPr>
              <w:t>Bacterial labyrinthitis characteristically arises as a complication of acute or chronic otitis media, cholesteatoma or meningitis.</w:t>
            </w:r>
          </w:p>
          <w:p>
            <w:pPr>
              <w:spacing w:after="40" w:line="252" w:lineRule="auto"/>
            </w:pPr>
            <w:hyperlink r:id="rId13">
              <w:r>
                <w:rPr>
                  <w:rFonts w:ascii="Calibri" w:hAnsi="Calibri" w:cs="Calibri"/>
                  <w:sz w:val="18"/>
                  <w:color w:val="1155CC"/>
                  <w:u w:val="single"/>
                </w:rPr>
                <w:t xml:space="preserve">ncbi.nlm.nih.gov — Labyrinthitis (StatPearls)</w:t>
              </w:r>
            </w:hyperlink>
          </w:p>
          <w:p>
            <w:pPr>
              <w:spacing w:before="60" w:after="40"/>
            </w:pPr>
            <w:r>
              <w:rPr>
                <w:rFonts w:ascii="Calibri" w:hAnsi="Calibri"/>
                <w:b w:val="0"/>
                <w:i w:val="0"/>
                <w:color w:val="5A5A5A"/>
                <w:sz w:val="18"/>
              </w:rPr>
              <w:t>#otitismedia  #otogenic  #suppurative  #innerear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deconditioned</w:t>
            </w:r>
          </w:p>
        </w:tc>
        <w:tc>
          <w:tcPr>
            <w:tcW w:type="dxa" w:w="2160"/>
            <w:vAlign w:val="top"/>
          </w:tcPr>
          <w:p>
            <w:pPr>
              <w:spacing w:after="40" w:before="0" w:line="259" w:lineRule="auto"/>
            </w:pPr>
            <w:r>
              <w:rPr>
                <w:rFonts w:ascii="Calibri" w:hAnsi="Calibri"/>
                <w:b w:val="0"/>
                <w:i w:val="0"/>
                <w:color w:val="212121"/>
                <w:sz w:val="19"/>
              </w:rPr>
              <w:t>Physically inactive adults</w:t>
            </w:r>
          </w:p>
        </w:tc>
        <w:tc>
          <w:tcPr>
            <w:tcW w:type="dxa" w:w="4276"/>
            <w:vAlign w:val="top"/>
          </w:tcPr>
          <w:p>
            <w:pPr>
              <w:spacing w:after="60" w:line="259" w:lineRule="auto"/>
            </w:pPr>
            <w:r>
              <w:rPr>
                <w:rFonts w:ascii="Calibri" w:hAnsi="Calibri"/>
                <w:b w:val="0"/>
                <w:i w:val="0"/>
                <w:color w:val="212121"/>
                <w:sz w:val="19"/>
              </w:rPr>
              <w:t>After an acute attack, staying still and avoiding head movement feels better but delays the brain's central compensation; deconditioned and immobile patients recover more slowly and are prone to lingering imbalance.</w:t>
            </w:r>
          </w:p>
          <w:p>
            <w:pPr>
              <w:spacing w:after="40" w:before="60" w:line="259" w:lineRule="auto"/>
            </w:pPr>
            <w:r>
              <w:rPr>
                <w:rFonts w:ascii="Calibri" w:hAnsi="Calibri"/>
                <w:b w:val="0"/>
                <w:i w:val="0"/>
                <w:color w:val="212121"/>
                <w:sz w:val="19"/>
              </w:rPr>
              <w:t>Vestibular rehabilitation (graded movement and gaze/balance exercises) is supported by moderate-to-strong evidence for recovery from unilateral peripheral vestibular dysfunction.</w:t>
            </w:r>
          </w:p>
          <w:p>
            <w:pPr>
              <w:spacing w:after="40" w:line="252" w:lineRule="auto"/>
            </w:pPr>
            <w:hyperlink r:id="rId14">
              <w:r>
                <w:rPr>
                  <w:rFonts w:ascii="Calibri" w:hAnsi="Calibri" w:cs="Calibri"/>
                  <w:sz w:val="18"/>
                  <w:color w:val="1155CC"/>
                  <w:u w:val="single"/>
                </w:rPr>
                <w:t xml:space="preserve">pubmed — Cochrane vestibular rehabilitation</w:t>
              </w:r>
            </w:hyperlink>
          </w:p>
          <w:p>
            <w:pPr>
              <w:spacing w:before="60" w:after="40"/>
            </w:pPr>
            <w:r>
              <w:rPr>
                <w:rFonts w:ascii="Calibri" w:hAnsi="Calibri"/>
                <w:b w:val="0"/>
                <w:i w:val="0"/>
                <w:color w:val="5A5A5A"/>
                <w:sz w:val="18"/>
              </w:rPr>
              <w:t>#sedentary  #compensation  #deconditioning  #immobility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Nicotine causes vasoconstriction and impairs labyrinthine microcirculation, which can aggravate vascular inner-ear injury and slow vestibular compensation and recovery.</w:t>
            </w:r>
          </w:p>
          <w:p>
            <w:pPr>
              <w:spacing w:after="40" w:before="60" w:line="259" w:lineRule="auto"/>
            </w:pPr>
            <w:r>
              <w:rPr>
                <w:rFonts w:ascii="Calibri" w:hAnsi="Calibri"/>
                <w:b w:val="0"/>
                <w:i w:val="0"/>
                <w:color w:val="212121"/>
                <w:sz w:val="19"/>
              </w:rPr>
              <w:t>Vascular compromise of the labyrinthine (AICA) circulation is a recognised mechanism of inner-ear injury, particularly relevant in those with vascular risk factors such as smoking.</w:t>
            </w:r>
          </w:p>
          <w:p>
            <w:pPr>
              <w:spacing w:before="60" w:after="40"/>
            </w:pPr>
            <w:r>
              <w:rPr>
                <w:rFonts w:ascii="Calibri" w:hAnsi="Calibri"/>
                <w:b w:val="0"/>
                <w:i w:val="0"/>
                <w:color w:val="5A5A5A"/>
                <w:sz w:val="18"/>
              </w:rPr>
              <w:t>#smoking  #vasoconstriction  #microcirculation  #vascularrisk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Alcohol directly alters vestibular function (positional alcohol nystagmus), impairs central compensation and worsens balance, magnifying unsteadiness and fall risk during and after an attack.</w:t>
            </w:r>
          </w:p>
          <w:p>
            <w:pPr>
              <w:spacing w:after="40" w:before="60" w:line="259" w:lineRule="auto"/>
            </w:pPr>
            <w:r>
              <w:rPr>
                <w:rFonts w:ascii="Calibri" w:hAnsi="Calibri"/>
                <w:b w:val="0"/>
                <w:i w:val="0"/>
                <w:color w:val="212121"/>
                <w:sz w:val="19"/>
              </w:rPr>
              <w:t>Alcohol transiently changes the specific gravity of the cupula and endolymph, producing positional nystagmus and vertigo and degrading balance.</w:t>
            </w:r>
          </w:p>
          <w:p>
            <w:pPr>
              <w:spacing w:before="60" w:after="40"/>
            </w:pPr>
            <w:r>
              <w:rPr>
                <w:rFonts w:ascii="Calibri" w:hAnsi="Calibri"/>
                <w:b w:val="0"/>
                <w:i w:val="0"/>
                <w:color w:val="5A5A5A"/>
                <w:sz w:val="18"/>
              </w:rPr>
              <w:t>#alcohol  #positionalnystagmus  #imbalance  #fallrisk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Stress / sleep deprivation</w:t>
            </w:r>
          </w:p>
        </w:tc>
        <w:tc>
          <w:tcPr>
            <w:tcW w:type="dxa" w:w="2160"/>
            <w:vAlign w:val="top"/>
          </w:tcPr>
          <w:p>
            <w:pPr>
              <w:spacing w:after="40" w:before="0" w:line="259" w:lineRule="auto"/>
            </w:pPr>
            <w:r>
              <w:rPr>
                <w:rFonts w:ascii="Calibri" w:hAnsi="Calibri"/>
                <w:b w:val="0"/>
                <w:i w:val="0"/>
                <w:color w:val="212121"/>
                <w:sz w:val="19"/>
              </w:rPr>
              <w:t>Chronically stressed, sleep-deprived adults</w:t>
            </w:r>
          </w:p>
        </w:tc>
        <w:tc>
          <w:tcPr>
            <w:tcW w:type="dxa" w:w="4276"/>
            <w:vAlign w:val="top"/>
          </w:tcPr>
          <w:p>
            <w:pPr>
              <w:spacing w:after="60" w:line="259" w:lineRule="auto"/>
            </w:pPr>
            <w:r>
              <w:rPr>
                <w:rFonts w:ascii="Calibri" w:hAnsi="Calibri"/>
                <w:b w:val="0"/>
                <w:i w:val="0"/>
                <w:color w:val="212121"/>
                <w:sz w:val="19"/>
              </w:rPr>
              <w:t>Physical and psychological stress and poor sleep suppress immunity and favour reactivation of latent herpes virus; high anxiety after an attack also strongly predicts progression to chronic postural-perceptual dizziness.</w:t>
            </w:r>
          </w:p>
          <w:p>
            <w:pPr>
              <w:spacing w:after="40" w:before="60" w:line="259" w:lineRule="auto"/>
            </w:pPr>
            <w:r>
              <w:rPr>
                <w:rFonts w:ascii="Calibri" w:hAnsi="Calibri"/>
                <w:b w:val="0"/>
                <w:i w:val="0"/>
                <w:color w:val="212121"/>
                <w:sz w:val="19"/>
              </w:rPr>
              <w:t>Persistent postural-perceptual dizziness (PPPD) frequently follows an acute vestibular insult and is a leading cause of chronic vestibular symptoms.</w:t>
            </w:r>
          </w:p>
          <w:p>
            <w:pPr>
              <w:spacing w:after="40" w:line="252" w:lineRule="auto"/>
            </w:pPr>
            <w:hyperlink r:id="rId15">
              <w:r>
                <w:rPr>
                  <w:rFonts w:ascii="Calibri" w:hAnsi="Calibri" w:cs="Calibri"/>
                  <w:sz w:val="18"/>
                  <w:color w:val="1155CC"/>
                  <w:u w:val="single"/>
                </w:rPr>
                <w:t xml:space="preserve">pubmed — PPPD in clinical practice (Das 2023)</w:t>
              </w:r>
            </w:hyperlink>
          </w:p>
          <w:p>
            <w:pPr>
              <w:spacing w:before="60" w:after="40"/>
            </w:pPr>
            <w:r>
              <w:rPr>
                <w:rFonts w:ascii="Calibri" w:hAnsi="Calibri"/>
                <w:b w:val="0"/>
                <w:i w:val="0"/>
                <w:color w:val="5A5A5A"/>
                <w:sz w:val="18"/>
              </w:rPr>
              <w:t>#stress  #sleep  #HSVreactivation  #PPPD</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Micronutrient status</w:t>
            </w:r>
          </w:p>
        </w:tc>
        <w:tc>
          <w:tcPr>
            <w:tcW w:type="dxa" w:w="2160"/>
            <w:vAlign w:val="top"/>
          </w:tcPr>
          <w:p>
            <w:pPr>
              <w:spacing w:after="40" w:before="0" w:line="259" w:lineRule="auto"/>
            </w:pPr>
            <w:r>
              <w:rPr>
                <w:rFonts w:ascii="Calibri" w:hAnsi="Calibri"/>
                <w:b w:val="0"/>
                <w:i w:val="0"/>
                <w:color w:val="212121"/>
                <w:sz w:val="19"/>
              </w:rPr>
              <w:t>Vitamin-D deficient adults</w:t>
            </w:r>
          </w:p>
        </w:tc>
        <w:tc>
          <w:tcPr>
            <w:tcW w:type="dxa" w:w="4276"/>
            <w:vAlign w:val="top"/>
          </w:tcPr>
          <w:p>
            <w:pPr>
              <w:spacing w:after="60" w:line="259" w:lineRule="auto"/>
            </w:pPr>
            <w:r>
              <w:rPr>
                <w:rFonts w:ascii="Calibri" w:hAnsi="Calibri"/>
                <w:b w:val="0"/>
                <w:i w:val="0"/>
                <w:color w:val="212121"/>
                <w:sz w:val="19"/>
              </w:rPr>
              <w:t>Low vitamin D and calcium impair otoconial metabolism and are linked to positional vertigo, the commonest sequela after vestibular neuritis; deficiency is highly prevalent in India across all ages.</w:t>
            </w:r>
          </w:p>
          <w:p>
            <w:pPr>
              <w:spacing w:after="40" w:before="60" w:line="259" w:lineRule="auto"/>
            </w:pPr>
            <w:r>
              <w:rPr>
                <w:rFonts w:ascii="Calibri" w:hAnsi="Calibri"/>
                <w:b w:val="0"/>
                <w:i w:val="0"/>
                <w:color w:val="212121"/>
                <w:sz w:val="19"/>
              </w:rPr>
              <w:t>Indian studies report an association between low serum calcium and vitamin D and benign paroxysmal positional vertigo, with most affected patients being middle-aged women.</w:t>
            </w:r>
          </w:p>
          <w:p>
            <w:pPr>
              <w:spacing w:after="40" w:line="252" w:lineRule="auto"/>
            </w:pPr>
            <w:hyperlink r:id="rId11">
              <w:r>
                <w:rPr>
                  <w:rFonts w:ascii="Calibri" w:hAnsi="Calibri" w:cs="Calibri"/>
                  <w:sz w:val="18"/>
                  <w:color w:val="1155CC"/>
                  <w:u w:val="single"/>
                </w:rPr>
                <w:t xml:space="preserve">pubmed — serum Ca/vitamin D &amp; BPPV (Thomas 2021)</w:t>
              </w:r>
            </w:hyperlink>
          </w:p>
          <w:p>
            <w:pPr>
              <w:spacing w:before="60" w:after="40"/>
            </w:pPr>
            <w:r>
              <w:rPr>
                <w:rFonts w:ascii="Calibri" w:hAnsi="Calibri"/>
                <w:b w:val="0"/>
                <w:i w:val="0"/>
                <w:color w:val="5A5A5A"/>
                <w:sz w:val="18"/>
              </w:rPr>
              <w:t>#vitaminD  #calcium  #otoconia  #BPPV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Salt / caffeine / hydration</w:t>
            </w:r>
          </w:p>
        </w:tc>
        <w:tc>
          <w:tcPr>
            <w:tcW w:type="dxa" w:w="2160"/>
            <w:vAlign w:val="top"/>
          </w:tcPr>
          <w:p>
            <w:pPr>
              <w:spacing w:after="40" w:before="0" w:line="259" w:lineRule="auto"/>
            </w:pPr>
            <w:r>
              <w:rPr>
                <w:rFonts w:ascii="Calibri" w:hAnsi="Calibri"/>
                <w:b w:val="0"/>
                <w:i w:val="0"/>
                <w:color w:val="212121"/>
                <w:sz w:val="19"/>
              </w:rPr>
              <w:t>High-salt, high-caffeine, poorly hydrated adults</w:t>
            </w:r>
          </w:p>
        </w:tc>
        <w:tc>
          <w:tcPr>
            <w:tcW w:type="dxa" w:w="4276"/>
            <w:vAlign w:val="top"/>
          </w:tcPr>
          <w:p>
            <w:pPr>
              <w:spacing w:after="60" w:line="259" w:lineRule="auto"/>
            </w:pPr>
            <w:r>
              <w:rPr>
                <w:rFonts w:ascii="Calibri" w:hAnsi="Calibri"/>
                <w:b w:val="0"/>
                <w:i w:val="0"/>
                <w:color w:val="212121"/>
                <w:sz w:val="19"/>
              </w:rPr>
              <w:t>Excess salt and caffeine and inadequate hydration can heighten inner-ear symptom perception and general light-headedness, aggravating dizziness during recovery even though they do not cause the neuritis itself.</w:t>
            </w:r>
          </w:p>
          <w:p>
            <w:pPr>
              <w:spacing w:after="40" w:before="60" w:line="259" w:lineRule="auto"/>
            </w:pPr>
            <w:r>
              <w:rPr>
                <w:rFonts w:ascii="Calibri" w:hAnsi="Calibri"/>
                <w:b w:val="0"/>
                <w:i w:val="0"/>
                <w:color w:val="212121"/>
                <w:sz w:val="19"/>
              </w:rPr>
              <w:t>Adequate hydration and moderation of salt and caffeine are standard supportive advice for patients with vestibular symptoms.</w:t>
            </w:r>
          </w:p>
          <w:p>
            <w:pPr>
              <w:spacing w:before="60" w:after="40"/>
            </w:pPr>
            <w:r>
              <w:rPr>
                <w:rFonts w:ascii="Calibri" w:hAnsi="Calibri"/>
                <w:b w:val="0"/>
                <w:i w:val="0"/>
                <w:color w:val="5A5A5A"/>
                <w:sz w:val="18"/>
              </w:rPr>
              <w:t>#salt  #caffeine  #hydration  #symptomtrigger</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 personal history of migraine</w:t>
            </w:r>
          </w:p>
        </w:tc>
        <w:tc>
          <w:tcPr>
            <w:tcW w:type="dxa" w:w="2160"/>
            <w:vAlign w:val="top"/>
          </w:tcPr>
          <w:p>
            <w:pPr>
              <w:spacing w:after="40" w:before="0" w:line="259" w:lineRule="auto"/>
            </w:pPr>
            <w:r>
              <w:rPr>
                <w:rFonts w:ascii="Calibri" w:hAnsi="Calibri"/>
                <w:b w:val="0"/>
                <w:i w:val="0"/>
                <w:color w:val="212121"/>
                <w:sz w:val="19"/>
              </w:rPr>
              <w:t>Migraine-prone individuals</w:t>
            </w:r>
          </w:p>
        </w:tc>
        <w:tc>
          <w:tcPr>
            <w:tcW w:type="dxa" w:w="4276"/>
            <w:vAlign w:val="top"/>
          </w:tcPr>
          <w:p>
            <w:pPr>
              <w:spacing w:after="60" w:line="259" w:lineRule="auto"/>
            </w:pPr>
            <w:r>
              <w:rPr>
                <w:rFonts w:ascii="Calibri" w:hAnsi="Calibri"/>
                <w:b w:val="0"/>
                <w:i w:val="0"/>
                <w:color w:val="212121"/>
                <w:sz w:val="19"/>
              </w:rPr>
              <w:t>A personal or family history of migraine predisposes to vestibular migraine, which overlaps clinically with acute vestibulopathy and markedly raises the risk of chronic dizziness after an acute vestibular event.</w:t>
            </w:r>
          </w:p>
          <w:p>
            <w:pPr>
              <w:spacing w:after="40" w:before="60" w:line="259" w:lineRule="auto"/>
            </w:pPr>
            <w:r>
              <w:rPr>
                <w:rFonts w:ascii="Calibri" w:hAnsi="Calibri"/>
                <w:b w:val="0"/>
                <w:i w:val="0"/>
                <w:color w:val="212121"/>
                <w:sz w:val="19"/>
              </w:rPr>
              <w:t>Migraine is common in India and is closely associated with positional vertigo in Indian patients, linking migraine biology to vestibular symptoms.</w:t>
            </w:r>
          </w:p>
          <w:p>
            <w:pPr>
              <w:spacing w:after="40" w:line="252" w:lineRule="auto"/>
            </w:pPr>
            <w:hyperlink r:id="rId16">
              <w:r>
                <w:rPr>
                  <w:rFonts w:ascii="Calibri" w:hAnsi="Calibri" w:cs="Calibri"/>
                  <w:sz w:val="18"/>
                  <w:color w:val="1155CC"/>
                  <w:u w:val="single"/>
                </w:rPr>
                <w:t xml:space="preserve">pubmed — BPPV &amp; migraine, India (Gupta 2022)</w:t>
              </w:r>
            </w:hyperlink>
          </w:p>
          <w:p>
            <w:pPr>
              <w:spacing w:before="60" w:after="40"/>
            </w:pPr>
            <w:r>
              <w:rPr>
                <w:rFonts w:ascii="Calibri" w:hAnsi="Calibri"/>
                <w:b w:val="0"/>
                <w:i w:val="0"/>
                <w:color w:val="5A5A5A"/>
                <w:sz w:val="18"/>
              </w:rPr>
              <w:t>#migraine  #familyhistory  #vestibularmigraine  #PPPDrisk</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Recent viral URI</w:t>
            </w:r>
          </w:p>
        </w:tc>
        <w:tc>
          <w:tcPr>
            <w:tcW w:type="dxa" w:w="2160"/>
            <w:vAlign w:val="top"/>
          </w:tcPr>
          <w:p>
            <w:pPr>
              <w:spacing w:after="40" w:before="0" w:line="259" w:lineRule="auto"/>
            </w:pPr>
            <w:r>
              <w:rPr>
                <w:rFonts w:ascii="Calibri" w:hAnsi="Calibri"/>
                <w:b w:val="0"/>
                <w:i w:val="0"/>
                <w:color w:val="212121"/>
                <w:sz w:val="19"/>
              </w:rPr>
              <w:t>Patients recovering from a recent upper-respiratory infection</w:t>
            </w:r>
          </w:p>
        </w:tc>
        <w:tc>
          <w:tcPr>
            <w:tcW w:type="dxa" w:w="4276"/>
            <w:vAlign w:val="top"/>
          </w:tcPr>
          <w:p>
            <w:pPr>
              <w:spacing w:after="60" w:line="259" w:lineRule="auto"/>
            </w:pPr>
            <w:r>
              <w:rPr>
                <w:rFonts w:ascii="Calibri" w:hAnsi="Calibri"/>
                <w:b w:val="0"/>
                <w:i w:val="0"/>
                <w:color w:val="212121"/>
                <w:sz w:val="19"/>
              </w:rPr>
              <w:t>A preceding or concurrent viral upper-respiratory illness is the most consistent antecedent, presumed to reactivate latent herpes virus in the vestibular ganglion.</w:t>
            </w:r>
          </w:p>
          <w:p>
            <w:pPr>
              <w:spacing w:after="40" w:before="60" w:line="259" w:lineRule="auto"/>
            </w:pPr>
            <w:r>
              <w:rPr>
                <w:rFonts w:ascii="Calibri" w:hAnsi="Calibri"/>
                <w:b w:val="0"/>
                <w:i w:val="0"/>
                <w:color w:val="212121"/>
                <w:sz w:val="19"/>
              </w:rPr>
              <w:t>Vestibular neuritis is presumed to be viral in origin, commonly attributed to reactivation of latent herpes-simplex-virus infection following a viral illness.</w:t>
            </w:r>
          </w:p>
          <w:p>
            <w:pPr>
              <w:spacing w:after="40" w:line="252" w:lineRule="auto"/>
            </w:pPr>
            <w:hyperlink r:id="rId17">
              <w:r>
                <w:rPr>
                  <w:rFonts w:ascii="Calibri" w:hAnsi="Calibri" w:cs="Calibri"/>
                  <w:sz w:val="18"/>
                  <w:color w:val="1155CC"/>
                  <w:u w:val="single"/>
                </w:rPr>
                <w:t xml:space="preserve">ncbi.nlm.nih.gov — Vestibular Neuronitis (StatPearls)</w:t>
              </w:r>
            </w:hyperlink>
          </w:p>
          <w:p>
            <w:pPr>
              <w:spacing w:before="60" w:after="40"/>
            </w:pPr>
            <w:r>
              <w:rPr>
                <w:rFonts w:ascii="Calibri" w:hAnsi="Calibri"/>
                <w:b w:val="0"/>
                <w:i w:val="0"/>
                <w:color w:val="5A5A5A"/>
                <w:sz w:val="18"/>
              </w:rPr>
              <w:t>#viralURI  #HSV1  #postviral  #antecedent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suppurative otitis media / cholesteatoma</w:t>
            </w:r>
          </w:p>
        </w:tc>
        <w:tc>
          <w:tcPr>
            <w:tcW w:type="dxa" w:w="2160"/>
            <w:vAlign w:val="top"/>
          </w:tcPr>
          <w:p>
            <w:pPr>
              <w:spacing w:after="40" w:before="0" w:line="259" w:lineRule="auto"/>
            </w:pPr>
            <w:r>
              <w:rPr>
                <w:rFonts w:ascii="Calibri" w:hAnsi="Calibri"/>
                <w:b w:val="0"/>
                <w:i w:val="0"/>
                <w:color w:val="212121"/>
                <w:sz w:val="19"/>
              </w:rPr>
              <w:t>Patients with untreated middle-ear disease</w:t>
            </w:r>
          </w:p>
        </w:tc>
        <w:tc>
          <w:tcPr>
            <w:tcW w:type="dxa" w:w="4276"/>
            <w:vAlign w:val="top"/>
          </w:tcPr>
          <w:p>
            <w:pPr>
              <w:spacing w:after="60" w:line="259" w:lineRule="auto"/>
            </w:pPr>
            <w:r>
              <w:rPr>
                <w:rFonts w:ascii="Calibri" w:hAnsi="Calibri"/>
                <w:b w:val="0"/>
                <w:i w:val="0"/>
                <w:color w:val="212121"/>
                <w:sz w:val="19"/>
              </w:rPr>
              <w:t>Longstanding middle-ear infection or cholesteatoma can erode into the labyrinth, producing suppurative labyrinthitis with vertigo and hearing loss and risking intracranial spread.</w:t>
            </w:r>
          </w:p>
          <w:p>
            <w:pPr>
              <w:spacing w:after="40" w:before="60" w:line="259" w:lineRule="auto"/>
            </w:pPr>
            <w:r>
              <w:rPr>
                <w:rFonts w:ascii="Calibri" w:hAnsi="Calibri"/>
                <w:b w:val="0"/>
                <w:i w:val="0"/>
                <w:color w:val="212121"/>
                <w:sz w:val="19"/>
              </w:rPr>
              <w:t>Bacterial labyrinthitis most often results from spread of infection from acute or chronic otitis media, cholesteatoma or meningitis.</w:t>
            </w:r>
          </w:p>
          <w:p>
            <w:pPr>
              <w:spacing w:after="40" w:line="252" w:lineRule="auto"/>
            </w:pPr>
            <w:hyperlink r:id="rId13">
              <w:r>
                <w:rPr>
                  <w:rFonts w:ascii="Calibri" w:hAnsi="Calibri" w:cs="Calibri"/>
                  <w:sz w:val="18"/>
                  <w:color w:val="1155CC"/>
                  <w:u w:val="single"/>
                </w:rPr>
                <w:t xml:space="preserve">ncbi.nlm.nih.gov — Labyrinthitis (StatPearls)</w:t>
              </w:r>
            </w:hyperlink>
          </w:p>
          <w:p>
            <w:pPr>
              <w:spacing w:before="60" w:after="40"/>
            </w:pPr>
            <w:r>
              <w:rPr>
                <w:rFonts w:ascii="Calibri" w:hAnsi="Calibri"/>
                <w:b w:val="0"/>
                <w:i w:val="0"/>
                <w:color w:val="5A5A5A"/>
                <w:sz w:val="18"/>
              </w:rPr>
              <w:t>#CSOM  #cholesteatoma  #suppurative  #hearingloss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 / vascular disease</w:t>
            </w:r>
          </w:p>
        </w:tc>
        <w:tc>
          <w:tcPr>
            <w:tcW w:type="dxa" w:w="2160"/>
            <w:vAlign w:val="top"/>
          </w:tcPr>
          <w:p>
            <w:pPr>
              <w:spacing w:after="40" w:before="0" w:line="259" w:lineRule="auto"/>
            </w:pPr>
            <w:r>
              <w:rPr>
                <w:rFonts w:ascii="Calibri" w:hAnsi="Calibri"/>
                <w:b w:val="0"/>
                <w:i w:val="0"/>
                <w:color w:val="212121"/>
                <w:sz w:val="19"/>
              </w:rPr>
              <w:t>Adults with diabetes or vascular risk factors</w:t>
            </w:r>
          </w:p>
        </w:tc>
        <w:tc>
          <w:tcPr>
            <w:tcW w:type="dxa" w:w="4276"/>
            <w:vAlign w:val="top"/>
          </w:tcPr>
          <w:p>
            <w:pPr>
              <w:spacing w:after="60" w:line="259" w:lineRule="auto"/>
            </w:pPr>
            <w:r>
              <w:rPr>
                <w:rFonts w:ascii="Calibri" w:hAnsi="Calibri"/>
                <w:b w:val="0"/>
                <w:i w:val="0"/>
                <w:color w:val="212121"/>
                <w:sz w:val="19"/>
              </w:rPr>
              <w:t>Diabetes and atherosclerosis compromise the microcirculation of the labyrinth and vestibular nerve, predisposing to ischaemic labyrinthitis and slowing recovery of vestibular function.</w:t>
            </w:r>
          </w:p>
          <w:p>
            <w:pPr>
              <w:spacing w:after="40" w:before="60" w:line="259" w:lineRule="auto"/>
            </w:pPr>
            <w:r>
              <w:rPr>
                <w:rFonts w:ascii="Calibri" w:hAnsi="Calibri"/>
                <w:b w:val="0"/>
                <w:i w:val="0"/>
                <w:color w:val="212121"/>
                <w:sz w:val="19"/>
              </w:rPr>
              <w:t>Vascular occlusion of the labyrinthine artery is an established mechanism of acute inner-ear injury, especially in older adults with vascular risk factors.</w:t>
            </w:r>
          </w:p>
          <w:p>
            <w:pPr>
              <w:spacing w:after="40" w:line="252" w:lineRule="auto"/>
            </w:pPr>
            <w:hyperlink r:id="rId13">
              <w:r>
                <w:rPr>
                  <w:rFonts w:ascii="Calibri" w:hAnsi="Calibri" w:cs="Calibri"/>
                  <w:sz w:val="18"/>
                  <w:color w:val="1155CC"/>
                  <w:u w:val="single"/>
                </w:rPr>
                <w:t xml:space="preserve">ncbi.nlm.nih.gov — Labyrinthitis (StatPearls)</w:t>
              </w:r>
            </w:hyperlink>
          </w:p>
          <w:p>
            <w:pPr>
              <w:spacing w:before="60" w:after="40"/>
            </w:pPr>
            <w:r>
              <w:rPr>
                <w:rFonts w:ascii="Calibri" w:hAnsi="Calibri"/>
                <w:b w:val="0"/>
                <w:i w:val="0"/>
                <w:color w:val="5A5A5A"/>
                <w:sz w:val="18"/>
              </w:rPr>
              <w:t>#diabetes  #microvascular  #ischaemia  #delayedrecovery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Bacterial meningitis</w:t>
            </w:r>
          </w:p>
        </w:tc>
        <w:tc>
          <w:tcPr>
            <w:tcW w:type="dxa" w:w="2160"/>
            <w:vAlign w:val="top"/>
          </w:tcPr>
          <w:p>
            <w:pPr>
              <w:spacing w:after="40" w:before="0" w:line="259" w:lineRule="auto"/>
            </w:pPr>
            <w:r>
              <w:rPr>
                <w:rFonts w:ascii="Calibri" w:hAnsi="Calibri"/>
                <w:b w:val="0"/>
                <w:i w:val="0"/>
                <w:color w:val="212121"/>
                <w:sz w:val="19"/>
              </w:rPr>
              <w:t>Children and adults with meningitis</w:t>
            </w:r>
          </w:p>
        </w:tc>
        <w:tc>
          <w:tcPr>
            <w:tcW w:type="dxa" w:w="4276"/>
            <w:vAlign w:val="top"/>
          </w:tcPr>
          <w:p>
            <w:pPr>
              <w:spacing w:after="60" w:line="259" w:lineRule="auto"/>
            </w:pPr>
            <w:r>
              <w:rPr>
                <w:rFonts w:ascii="Calibri" w:hAnsi="Calibri"/>
                <w:b w:val="0"/>
                <w:i w:val="0"/>
                <w:color w:val="212121"/>
                <w:sz w:val="19"/>
              </w:rPr>
              <w:t>Meningitis can spread to the labyrinth through the cochlear aqueduct, producing labyrinthitis with vertigo and often permanent sensorineural hearing loss, particularly in young children.</w:t>
            </w:r>
          </w:p>
          <w:p>
            <w:pPr>
              <w:spacing w:after="40" w:before="60" w:line="259" w:lineRule="auto"/>
            </w:pPr>
            <w:r>
              <w:rPr>
                <w:rFonts w:ascii="Calibri" w:hAnsi="Calibri"/>
                <w:b w:val="0"/>
                <w:i w:val="0"/>
                <w:color w:val="212121"/>
                <w:sz w:val="19"/>
              </w:rPr>
              <w:t>About 20% of children with bacterial meningitis develop auditory or vestibular symptoms from labyrinthine involvement.</w:t>
            </w:r>
          </w:p>
          <w:p>
            <w:pPr>
              <w:spacing w:after="40" w:line="252" w:lineRule="auto"/>
            </w:pPr>
            <w:hyperlink r:id="rId13">
              <w:r>
                <w:rPr>
                  <w:rFonts w:ascii="Calibri" w:hAnsi="Calibri" w:cs="Calibri"/>
                  <w:sz w:val="18"/>
                  <w:color w:val="1155CC"/>
                  <w:u w:val="single"/>
                </w:rPr>
                <w:t xml:space="preserve">ncbi.nlm.nih.gov — Labyrinthitis (StatPearls)</w:t>
              </w:r>
            </w:hyperlink>
          </w:p>
          <w:p>
            <w:pPr>
              <w:spacing w:before="60" w:after="40"/>
            </w:pPr>
            <w:r>
              <w:rPr>
                <w:rFonts w:ascii="Calibri" w:hAnsi="Calibri"/>
                <w:b w:val="0"/>
                <w:i w:val="0"/>
                <w:color w:val="5A5A5A"/>
                <w:sz w:val="18"/>
              </w:rPr>
              <w:t>#meningitis  #children  #meningogenic  #SNHL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Early graded movement and vestibular rehabilitation (gaze-stabilisation, balance and gait exercises) are the cornerstone of recovery; prolonged bed rest and immobility delay central compensation. Cochrane and clinical practice guidelines report moderate-to-strong evidence that vestibular exercises improve symptoms and postural stability in unilateral peripheral vestibular dysfunction.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does not cause the neuritis, but adequate vitamin D and calcium support otoconial health (relevant to secondary BPPV) and moderating salt and caffeine can ease residual symptoms; overall nutrition supports recovery.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deprivation and fatigue suppress immunity and can favour viral reactivation, while poor sleep and exhaustion worsen dizziness perception and the transition to chronic postural-perceptual dizziness.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Nicotine-induced vasoconstriction impairs labyrinthine microcirculation and may aggravate vascular inner-ear injury and slow vestibular compensation.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alters cupular/endolymph density (positional alcohol nystagmus), impairs central compensation and degrades balance, increasing unsteadiness and falls.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Anxiety, health-related fear and depression during and after the acute attack are the strongest predictors of progression to persistent postural-perceptual dizziness; fear-avoidance of movement perpetuates symptoms.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Dehydration worsens orthostatic light-headedness and general dizziness; adequate hydration is a simple supportive measure, though it does not affect the underlying inflammation.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Excess caffeine can heighten anxiety and the perception of vestibular symptoms; evidence for a direct effect on the disease course is limited.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Prompt treatment of ear infections and good ear hygiene prevent otogenic (suppurative) labyrinthitis, and hand/respiratory hygiene reduces the viral upper-respiratory infections that precede vestibular neuritis.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Rapid head turns, positional changes, visually busy or moving environments and a recent viral illness provoke or unmask vertigo; identifying and gradually re-exposing to these triggers is part of rehabilitation.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Sudden postural and head-position changes provoke vertigo in the acute phase, and over-reliance on vision with a stiff, guarded posture perpetuates imbalance; posture and balance retraining are therapeutic.</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Vestibular rehabilitation exercise sessions</w:t>
            </w:r>
          </w:p>
        </w:tc>
        <w:tc>
          <w:tcPr>
            <w:tcW w:type="dxa" w:w="1655"/>
            <w:vAlign w:val="top"/>
          </w:tcPr>
          <w:p>
            <w:pPr>
              <w:spacing w:after="40" w:before="0" w:line="259" w:lineRule="auto"/>
            </w:pPr>
            <w:r>
              <w:rPr>
                <w:rFonts w:ascii="Calibri" w:hAnsi="Calibri"/>
                <w:b w:val="0"/>
                <w:i w:val="0"/>
                <w:color w:val="212121"/>
                <w:sz w:val="19"/>
              </w:rPr>
              <w:t>Patients recovering from acute vestibulopathy</w:t>
            </w:r>
          </w:p>
        </w:tc>
        <w:tc>
          <w:tcPr>
            <w:tcW w:type="dxa" w:w="1512"/>
            <w:vAlign w:val="top"/>
          </w:tcPr>
          <w:p>
            <w:pPr>
              <w:spacing w:after="40" w:before="0" w:line="259" w:lineRule="auto"/>
            </w:pPr>
            <w:r>
              <w:rPr>
                <w:rFonts w:ascii="Calibri" w:hAnsi="Calibri"/>
                <w:b w:val="0"/>
                <w:i w:val="0"/>
                <w:color w:val="212121"/>
                <w:sz w:val="19"/>
              </w:rPr>
              <w:t>Gaze/balance exercises 3–5 times per day</w:t>
            </w:r>
          </w:p>
        </w:tc>
        <w:tc>
          <w:tcPr>
            <w:tcW w:type="dxa" w:w="1512"/>
            <w:vAlign w:val="top"/>
          </w:tcPr>
          <w:p>
            <w:pPr>
              <w:spacing w:after="40" w:before="0" w:line="259" w:lineRule="auto"/>
            </w:pPr>
            <w:r>
              <w:rPr>
                <w:rFonts w:ascii="Calibri" w:hAnsi="Calibri"/>
                <w:b w:val="0"/>
                <w:i w:val="0"/>
                <w:color w:val="212121"/>
                <w:sz w:val="19"/>
              </w:rPr>
              <w:t>Prolonged bed rest / no exercises</w:t>
            </w:r>
          </w:p>
        </w:tc>
        <w:tc>
          <w:tcPr>
            <w:tcW w:type="dxa" w:w="1468"/>
            <w:vAlign w:val="top"/>
          </w:tcPr>
          <w:p>
            <w:pPr>
              <w:spacing w:after="60" w:line="259" w:lineRule="auto"/>
            </w:pPr>
            <w:r>
              <w:rPr>
                <w:rFonts w:ascii="Calibri" w:hAnsi="Calibri"/>
                <w:b w:val="0"/>
                <w:i w:val="0"/>
                <w:color w:val="212121"/>
                <w:sz w:val="19"/>
              </w:rPr>
              <w:t>Early graded movement accelerates central compensation</w:t>
            </w:r>
          </w:p>
          <w:p>
            <w:pPr>
              <w:spacing w:after="40" w:line="252" w:lineRule="auto"/>
            </w:pPr>
            <w:hyperlink r:id="rId18">
              <w:r>
                <w:rPr>
                  <w:rFonts w:ascii="Calibri" w:hAnsi="Calibri" w:cs="Calibri"/>
                  <w:sz w:val="18"/>
                  <w:color w:val="1155CC"/>
                  <w:u w:val="single"/>
                </w:rPr>
                <w:t xml:space="preserve">https://pubmed.ncbi.nlm.nih.gov/34864777/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Timed Up-and-Go (fall-risk gait test)</w:t>
            </w:r>
          </w:p>
        </w:tc>
        <w:tc>
          <w:tcPr>
            <w:tcW w:type="dxa" w:w="1655"/>
            <w:vAlign w:val="top"/>
          </w:tcPr>
          <w:p>
            <w:pPr>
              <w:spacing w:after="40" w:before="0" w:line="259" w:lineRule="auto"/>
            </w:pPr>
            <w:r>
              <w:rPr>
                <w:rFonts w:ascii="Calibri" w:hAnsi="Calibri"/>
                <w:b w:val="0"/>
                <w:i w:val="0"/>
                <w:color w:val="212121"/>
                <w:sz w:val="19"/>
              </w:rPr>
              <w:t>Elderly, unsteady patients</w:t>
            </w:r>
          </w:p>
        </w:tc>
        <w:tc>
          <w:tcPr>
            <w:tcW w:type="dxa" w:w="1512"/>
            <w:vAlign w:val="top"/>
          </w:tcPr>
          <w:p>
            <w:pPr>
              <w:spacing w:after="40" w:before="0" w:line="259" w:lineRule="auto"/>
            </w:pPr>
            <w:r>
              <w:rPr>
                <w:rFonts w:ascii="Calibri" w:hAnsi="Calibri"/>
                <w:b w:val="0"/>
                <w:i w:val="0"/>
                <w:color w:val="212121"/>
                <w:sz w:val="19"/>
              </w:rPr>
              <w:t>&lt; 12 seconds</w:t>
            </w:r>
          </w:p>
        </w:tc>
        <w:tc>
          <w:tcPr>
            <w:tcW w:type="dxa" w:w="1512"/>
            <w:vAlign w:val="top"/>
          </w:tcPr>
          <w:p>
            <w:pPr>
              <w:spacing w:after="40" w:before="0" w:line="259" w:lineRule="auto"/>
            </w:pPr>
            <w:r>
              <w:rPr>
                <w:rFonts w:ascii="Calibri" w:hAnsi="Calibri"/>
                <w:b w:val="0"/>
                <w:i w:val="0"/>
                <w:color w:val="212121"/>
                <w:sz w:val="19"/>
              </w:rPr>
              <w:t>≥ 12–14 seconds (elevated fall risk)</w:t>
            </w:r>
          </w:p>
        </w:tc>
        <w:tc>
          <w:tcPr>
            <w:tcW w:type="dxa" w:w="1468"/>
            <w:vAlign w:val="top"/>
          </w:tcPr>
          <w:p>
            <w:pPr>
              <w:spacing w:after="40" w:before="0" w:line="259" w:lineRule="auto"/>
            </w:pPr>
            <w:r>
              <w:rPr>
                <w:rFonts w:ascii="Calibri" w:hAnsi="Calibri"/>
                <w:b w:val="0"/>
                <w:i w:val="0"/>
                <w:color w:val="212121"/>
                <w:sz w:val="19"/>
              </w:rPr>
              <w:t>Screens for imbalance and fall risk during recovery</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Dizziness Handicap Inventory (DHI, 0–100)</w:t>
            </w:r>
          </w:p>
        </w:tc>
        <w:tc>
          <w:tcPr>
            <w:tcW w:type="dxa" w:w="1655"/>
            <w:vAlign w:val="top"/>
          </w:tcPr>
          <w:p>
            <w:pPr>
              <w:spacing w:after="40" w:before="0" w:line="259" w:lineRule="auto"/>
            </w:pPr>
            <w:r>
              <w:rPr>
                <w:rFonts w:ascii="Calibri" w:hAnsi="Calibri"/>
                <w:b w:val="0"/>
                <w:i w:val="0"/>
                <w:color w:val="212121"/>
                <w:sz w:val="19"/>
              </w:rPr>
              <w:t>Patients with ongoing dizziness</w:t>
            </w:r>
          </w:p>
        </w:tc>
        <w:tc>
          <w:tcPr>
            <w:tcW w:type="dxa" w:w="1512"/>
            <w:vAlign w:val="top"/>
          </w:tcPr>
          <w:p>
            <w:pPr>
              <w:spacing w:after="40" w:before="0" w:line="259" w:lineRule="auto"/>
            </w:pPr>
            <w:r>
              <w:rPr>
                <w:rFonts w:ascii="Calibri" w:hAnsi="Calibri"/>
                <w:b w:val="0"/>
                <w:i w:val="0"/>
                <w:color w:val="212121"/>
                <w:sz w:val="19"/>
              </w:rPr>
              <w:t>&lt; 30 (mild handicap)</w:t>
            </w:r>
          </w:p>
        </w:tc>
        <w:tc>
          <w:tcPr>
            <w:tcW w:type="dxa" w:w="1512"/>
            <w:vAlign w:val="top"/>
          </w:tcPr>
          <w:p>
            <w:pPr>
              <w:spacing w:after="40" w:before="0" w:line="259" w:lineRule="auto"/>
            </w:pPr>
            <w:r>
              <w:rPr>
                <w:rFonts w:ascii="Calibri" w:hAnsi="Calibri"/>
                <w:b w:val="0"/>
                <w:i w:val="0"/>
                <w:color w:val="212121"/>
                <w:sz w:val="19"/>
              </w:rPr>
              <w:t>&gt; 60 (severe handicap)</w:t>
            </w:r>
          </w:p>
        </w:tc>
        <w:tc>
          <w:tcPr>
            <w:tcW w:type="dxa" w:w="1468"/>
            <w:vAlign w:val="top"/>
          </w:tcPr>
          <w:p>
            <w:pPr>
              <w:spacing w:after="60" w:line="259" w:lineRule="auto"/>
            </w:pPr>
            <w:r>
              <w:rPr>
                <w:rFonts w:ascii="Calibri" w:hAnsi="Calibri"/>
                <w:b w:val="0"/>
                <w:i w:val="0"/>
                <w:color w:val="212121"/>
                <w:sz w:val="19"/>
              </w:rPr>
              <w:t>High scores flag risk of chronic PPPD and need for combined therapy</w:t>
            </w:r>
          </w:p>
          <w:p>
            <w:pPr>
              <w:spacing w:after="40" w:line="252" w:lineRule="auto"/>
            </w:pPr>
            <w:hyperlink r:id="rId15">
              <w:r>
                <w:rPr>
                  <w:rFonts w:ascii="Calibri" w:hAnsi="Calibri" w:cs="Calibri"/>
                  <w:sz w:val="18"/>
                  <w:color w:val="1155CC"/>
                  <w:u w:val="single"/>
                </w:rPr>
                <w:t xml:space="preserve">https://pubmed.ncbi.nlm.nih.gov/35994134/</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Poor sleep worsens dizziness and favours viral reactivation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Smoking impairs labyrinthine microcirculation and recovery</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14 units/week (ideally none in acute phase)</w:t>
            </w:r>
          </w:p>
        </w:tc>
        <w:tc>
          <w:tcPr>
            <w:tcW w:type="dxa" w:w="1512"/>
            <w:vAlign w:val="top"/>
          </w:tcPr>
          <w:p>
            <w:pPr>
              <w:spacing w:after="40" w:before="0" w:line="259" w:lineRule="auto"/>
            </w:pPr>
            <w:r>
              <w:rPr>
                <w:rFonts w:ascii="Calibri" w:hAnsi="Calibri"/>
                <w:b w:val="0"/>
                <w:i w:val="0"/>
                <w:color w:val="212121"/>
                <w:sz w:val="19"/>
              </w:rPr>
              <w:t>Heavy or binge drinking</w:t>
            </w:r>
          </w:p>
        </w:tc>
        <w:tc>
          <w:tcPr>
            <w:tcW w:type="dxa" w:w="1468"/>
            <w:vAlign w:val="top"/>
          </w:tcPr>
          <w:p>
            <w:pPr>
              <w:spacing w:after="40" w:before="0" w:line="259" w:lineRule="auto"/>
            </w:pPr>
            <w:r>
              <w:rPr>
                <w:rFonts w:ascii="Calibri" w:hAnsi="Calibri"/>
                <w:b w:val="0"/>
                <w:i w:val="0"/>
                <w:color w:val="212121"/>
                <w:sz w:val="19"/>
              </w:rPr>
              <w:t>Alcohol causes positional nystagmus and worsens balance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Adults, especially women with positional vertigo</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60" w:line="259" w:lineRule="auto"/>
            </w:pPr>
            <w:r>
              <w:rPr>
                <w:rFonts w:ascii="Calibri" w:hAnsi="Calibri"/>
                <w:b w:val="0"/>
                <w:i w:val="0"/>
                <w:color w:val="212121"/>
                <w:sz w:val="19"/>
              </w:rPr>
              <w:t>Low vitamin D is linked to positional vertigo (secondary BPPV)</w:t>
            </w:r>
          </w:p>
          <w:p>
            <w:pPr>
              <w:spacing w:after="40" w:line="252" w:lineRule="auto"/>
            </w:pPr>
            <w:hyperlink r:id="rId11">
              <w:r>
                <w:rPr>
                  <w:rFonts w:ascii="Calibri" w:hAnsi="Calibri" w:cs="Calibri"/>
                  <w:sz w:val="18"/>
                  <w:color w:val="1155CC"/>
                  <w:u w:val="single"/>
                </w:rPr>
                <w:t xml:space="preserve">https://pubmed.ncbi.nlm.nih.gov/35846804/</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Caloric canal paresis (bithermal caloric test)</w:t>
            </w:r>
          </w:p>
        </w:tc>
        <w:tc>
          <w:tcPr>
            <w:tcW w:type="dxa" w:w="1655"/>
            <w:vAlign w:val="top"/>
          </w:tcPr>
          <w:p>
            <w:pPr>
              <w:spacing w:after="40" w:before="0" w:line="259" w:lineRule="auto"/>
            </w:pPr>
            <w:r>
              <w:rPr>
                <w:rFonts w:ascii="Calibri" w:hAnsi="Calibri"/>
                <w:b w:val="0"/>
                <w:i w:val="0"/>
                <w:color w:val="212121"/>
                <w:sz w:val="19"/>
              </w:rPr>
              <w:t>Patients with suspected unilateral vestibular loss</w:t>
            </w:r>
          </w:p>
        </w:tc>
        <w:tc>
          <w:tcPr>
            <w:tcW w:type="dxa" w:w="1512"/>
            <w:vAlign w:val="top"/>
          </w:tcPr>
          <w:p>
            <w:pPr>
              <w:spacing w:after="40" w:before="0" w:line="259" w:lineRule="auto"/>
            </w:pPr>
            <w:r>
              <w:rPr>
                <w:rFonts w:ascii="Calibri" w:hAnsi="Calibri"/>
                <w:b w:val="0"/>
                <w:i w:val="0"/>
                <w:color w:val="212121"/>
                <w:sz w:val="19"/>
              </w:rPr>
              <w:t>&lt; 25% asymmetry</w:t>
            </w:r>
          </w:p>
        </w:tc>
        <w:tc>
          <w:tcPr>
            <w:tcW w:type="dxa" w:w="1512"/>
            <w:vAlign w:val="top"/>
          </w:tcPr>
          <w:p>
            <w:pPr>
              <w:spacing w:after="40" w:before="0" w:line="259" w:lineRule="auto"/>
            </w:pPr>
            <w:r>
              <w:rPr>
                <w:rFonts w:ascii="Calibri" w:hAnsi="Calibri"/>
                <w:b w:val="0"/>
                <w:i w:val="0"/>
                <w:color w:val="212121"/>
                <w:sz w:val="19"/>
              </w:rPr>
              <w:t>≥ 25% unilateral weakness</w:t>
            </w:r>
          </w:p>
        </w:tc>
        <w:tc>
          <w:tcPr>
            <w:tcW w:type="dxa" w:w="1468"/>
            <w:vAlign w:val="top"/>
          </w:tcPr>
          <w:p>
            <w:pPr>
              <w:spacing w:after="40" w:before="0" w:line="259" w:lineRule="auto"/>
            </w:pPr>
            <w:r>
              <w:rPr>
                <w:rFonts w:ascii="Calibri" w:hAnsi="Calibri"/>
                <w:b w:val="0"/>
                <w:i w:val="0"/>
                <w:color w:val="212121"/>
                <w:sz w:val="19"/>
              </w:rPr>
              <w:t>Confirms and quantifies unilateral vestibular hypofunction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Video head-impulse test VOR gain</w:t>
            </w:r>
          </w:p>
        </w:tc>
        <w:tc>
          <w:tcPr>
            <w:tcW w:type="dxa" w:w="1655"/>
            <w:vAlign w:val="top"/>
          </w:tcPr>
          <w:p>
            <w:pPr>
              <w:spacing w:after="40" w:before="0" w:line="259" w:lineRule="auto"/>
            </w:pPr>
            <w:r>
              <w:rPr>
                <w:rFonts w:ascii="Calibri" w:hAnsi="Calibri"/>
                <w:b w:val="0"/>
                <w:i w:val="0"/>
                <w:color w:val="212121"/>
                <w:sz w:val="19"/>
              </w:rPr>
              <w:t>Patients with acute vestibular syndrome</w:t>
            </w:r>
          </w:p>
        </w:tc>
        <w:tc>
          <w:tcPr>
            <w:tcW w:type="dxa" w:w="1512"/>
            <w:vAlign w:val="top"/>
          </w:tcPr>
          <w:p>
            <w:pPr>
              <w:spacing w:after="40" w:before="0" w:line="259" w:lineRule="auto"/>
            </w:pPr>
            <w:r>
              <w:rPr>
                <w:rFonts w:ascii="Calibri" w:hAnsi="Calibri"/>
                <w:b w:val="0"/>
                <w:i w:val="0"/>
                <w:color w:val="212121"/>
                <w:sz w:val="19"/>
              </w:rPr>
              <w:t>≥ 0.8 (normal)</w:t>
            </w:r>
          </w:p>
        </w:tc>
        <w:tc>
          <w:tcPr>
            <w:tcW w:type="dxa" w:w="1512"/>
            <w:vAlign w:val="top"/>
          </w:tcPr>
          <w:p>
            <w:pPr>
              <w:spacing w:after="40" w:before="0" w:line="259" w:lineRule="auto"/>
            </w:pPr>
            <w:r>
              <w:rPr>
                <w:rFonts w:ascii="Calibri" w:hAnsi="Calibri"/>
                <w:b w:val="0"/>
                <w:i w:val="0"/>
                <w:color w:val="212121"/>
                <w:sz w:val="19"/>
              </w:rPr>
              <w:t>&lt; 0.8 with catch-up saccades</w:t>
            </w:r>
          </w:p>
        </w:tc>
        <w:tc>
          <w:tcPr>
            <w:tcW w:type="dxa" w:w="1468"/>
            <w:vAlign w:val="top"/>
          </w:tcPr>
          <w:p>
            <w:pPr>
              <w:spacing w:after="40" w:before="0" w:line="259" w:lineRule="auto"/>
            </w:pPr>
            <w:r>
              <w:rPr>
                <w:rFonts w:ascii="Calibri" w:hAnsi="Calibri"/>
                <w:b w:val="0"/>
                <w:i w:val="0"/>
                <w:color w:val="212121"/>
                <w:sz w:val="19"/>
              </w:rPr>
              <w:t>Low gain indicates peripheral vestibular loss, supporting a benign cause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Pure-tone audiometry threshold</w:t>
            </w:r>
          </w:p>
        </w:tc>
        <w:tc>
          <w:tcPr>
            <w:tcW w:type="dxa" w:w="1655"/>
            <w:vAlign w:val="top"/>
          </w:tcPr>
          <w:p>
            <w:pPr>
              <w:spacing w:after="40" w:before="0" w:line="259" w:lineRule="auto"/>
            </w:pPr>
            <w:r>
              <w:rPr>
                <w:rFonts w:ascii="Calibri" w:hAnsi="Calibri"/>
                <w:b w:val="0"/>
                <w:i w:val="0"/>
                <w:color w:val="212121"/>
                <w:sz w:val="19"/>
              </w:rPr>
              <w:t>Patients with vertigo (to separate neuritis vs labyrinthitis)</w:t>
            </w:r>
          </w:p>
        </w:tc>
        <w:tc>
          <w:tcPr>
            <w:tcW w:type="dxa" w:w="1512"/>
            <w:vAlign w:val="top"/>
          </w:tcPr>
          <w:p>
            <w:pPr>
              <w:spacing w:after="40" w:before="0" w:line="259" w:lineRule="auto"/>
            </w:pPr>
            <w:r>
              <w:rPr>
                <w:rFonts w:ascii="Calibri" w:hAnsi="Calibri"/>
                <w:b w:val="0"/>
                <w:i w:val="0"/>
                <w:color w:val="212121"/>
                <w:sz w:val="19"/>
              </w:rPr>
              <w:t>≤ 25 dB HL (normal)</w:t>
            </w:r>
          </w:p>
        </w:tc>
        <w:tc>
          <w:tcPr>
            <w:tcW w:type="dxa" w:w="1512"/>
            <w:vAlign w:val="top"/>
          </w:tcPr>
          <w:p>
            <w:pPr>
              <w:spacing w:after="40" w:before="0" w:line="259" w:lineRule="auto"/>
            </w:pPr>
            <w:r>
              <w:rPr>
                <w:rFonts w:ascii="Calibri" w:hAnsi="Calibri"/>
                <w:b w:val="0"/>
                <w:i w:val="0"/>
                <w:color w:val="212121"/>
                <w:sz w:val="19"/>
              </w:rPr>
              <w:t>New sensorineural loss &gt; 25 dB HL</w:t>
            </w:r>
          </w:p>
        </w:tc>
        <w:tc>
          <w:tcPr>
            <w:tcW w:type="dxa" w:w="1468"/>
            <w:vAlign w:val="top"/>
          </w:tcPr>
          <w:p>
            <w:pPr>
              <w:spacing w:after="40" w:before="0" w:line="259" w:lineRule="auto"/>
            </w:pPr>
            <w:r>
              <w:rPr>
                <w:rFonts w:ascii="Calibri" w:hAnsi="Calibri"/>
                <w:b w:val="0"/>
                <w:i w:val="0"/>
                <w:color w:val="212121"/>
                <w:sz w:val="19"/>
              </w:rPr>
              <w:t>Hearing loss reclassifies neuritis as labyrinthitis and prompts otologic work-up</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Vestibular</w:t>
            </w:r>
          </w:p>
        </w:tc>
        <w:tc>
          <w:tcPr>
            <w:tcW w:type="dxa" w:w="1036"/>
            <w:vAlign w:val="top"/>
          </w:tcPr>
          <w:p>
            <w:pPr>
              <w:spacing w:after="40" w:before="0" w:line="259" w:lineRule="auto"/>
            </w:pPr>
            <w:r>
              <w:rPr>
                <w:rFonts w:ascii="Calibri" w:hAnsi="Calibri"/>
                <w:b w:val="0"/>
                <w:i w:val="0"/>
                <w:color w:val="212121"/>
                <w:sz w:val="16"/>
              </w:rPr>
              <w:t>Caloric canal paresis</w:t>
            </w:r>
          </w:p>
        </w:tc>
        <w:tc>
          <w:tcPr>
            <w:tcW w:type="dxa" w:w="892"/>
            <w:vAlign w:val="top"/>
          </w:tcPr>
          <w:p>
            <w:pPr>
              <w:spacing w:after="40" w:before="0" w:line="259" w:lineRule="auto"/>
            </w:pPr>
            <w:r>
              <w:rPr>
                <w:rFonts w:ascii="Calibri" w:hAnsi="Calibri"/>
                <w:b w:val="0"/>
                <w:i w:val="0"/>
                <w:color w:val="212121"/>
                <w:sz w:val="16"/>
              </w:rPr>
              <w:t>Bithermal caloric test (VNG/ENG)</w:t>
            </w:r>
          </w:p>
        </w:tc>
        <w:tc>
          <w:tcPr>
            <w:tcW w:type="dxa" w:w="950"/>
            <w:vAlign w:val="top"/>
          </w:tcPr>
          <w:p>
            <w:pPr>
              <w:spacing w:after="40" w:before="0" w:line="259" w:lineRule="auto"/>
            </w:pPr>
            <w:r>
              <w:rPr>
                <w:rFonts w:ascii="Calibri" w:hAnsi="Calibri"/>
                <w:b w:val="0"/>
                <w:i w:val="0"/>
                <w:color w:val="212121"/>
                <w:sz w:val="16"/>
              </w:rPr>
              <w:t>&lt; 25% asymmetry</w:t>
            </w:r>
          </w:p>
        </w:tc>
        <w:tc>
          <w:tcPr>
            <w:tcW w:type="dxa" w:w="950"/>
            <w:vAlign w:val="top"/>
          </w:tcPr>
          <w:p>
            <w:pPr>
              <w:spacing w:after="40" w:before="0" w:line="259" w:lineRule="auto"/>
            </w:pPr>
            <w:r>
              <w:rPr>
                <w:rFonts w:ascii="Calibri" w:hAnsi="Calibri"/>
                <w:b w:val="0"/>
                <w:i w:val="0"/>
                <w:color w:val="212121"/>
                <w:sz w:val="16"/>
              </w:rPr>
              <w:t>≥ 25% unilateral weakness</w:t>
            </w:r>
          </w:p>
        </w:tc>
        <w:tc>
          <w:tcPr>
            <w:tcW w:type="dxa" w:w="1036"/>
            <w:vAlign w:val="top"/>
          </w:tcPr>
          <w:p>
            <w:pPr>
              <w:spacing w:after="40" w:before="0" w:line="259" w:lineRule="auto"/>
            </w:pPr>
            <w:r>
              <w:rPr>
                <w:rFonts w:ascii="Calibri" w:hAnsi="Calibri"/>
                <w:b w:val="0"/>
                <w:i w:val="0"/>
                <w:color w:val="212121"/>
                <w:sz w:val="16"/>
              </w:rPr>
              <w:t>Confirms and quantifies unilateral peripheral vestibular hypofunction</w:t>
            </w:r>
          </w:p>
        </w:tc>
        <w:tc>
          <w:tcPr>
            <w:tcW w:type="dxa" w:w="1036"/>
            <w:vAlign w:val="top"/>
          </w:tcPr>
          <w:p>
            <w:pPr>
              <w:spacing w:after="40" w:before="0" w:line="259" w:lineRule="auto"/>
            </w:pPr>
            <w:r>
              <w:rPr>
                <w:rFonts w:ascii="Calibri" w:hAnsi="Calibri"/>
                <w:b w:val="0"/>
                <w:i w:val="0"/>
                <w:color w:val="212121"/>
                <w:sz w:val="16"/>
              </w:rPr>
              <w:t>Adults with acute vestibular syndrome, unclear cases</w:t>
            </w:r>
          </w:p>
        </w:tc>
        <w:tc>
          <w:tcPr>
            <w:tcW w:type="dxa" w:w="720"/>
            <w:vAlign w:val="top"/>
          </w:tcPr>
          <w:p>
            <w:pPr>
              <w:spacing w:after="40" w:before="0" w:line="259" w:lineRule="auto"/>
            </w:pPr>
            <w:r>
              <w:rPr>
                <w:rFonts w:ascii="Calibri" w:hAnsi="Calibri"/>
                <w:b w:val="0"/>
                <w:i w:val="0"/>
                <w:color w:val="212121"/>
                <w:sz w:val="16"/>
              </w:rPr>
              <w:t>Provoking factors; Physical activity</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Caloric loss may persist after symptoms resolve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Vestibular</w:t>
            </w:r>
          </w:p>
        </w:tc>
        <w:tc>
          <w:tcPr>
            <w:tcW w:type="dxa" w:w="1036"/>
            <w:vAlign w:val="top"/>
          </w:tcPr>
          <w:p>
            <w:pPr>
              <w:spacing w:after="40" w:before="0" w:line="259" w:lineRule="auto"/>
            </w:pPr>
            <w:r>
              <w:rPr>
                <w:rFonts w:ascii="Calibri" w:hAnsi="Calibri"/>
                <w:b w:val="0"/>
                <w:i w:val="0"/>
                <w:color w:val="212121"/>
                <w:sz w:val="16"/>
              </w:rPr>
              <w:t>VOR gain / catch-up saccades</w:t>
            </w:r>
          </w:p>
        </w:tc>
        <w:tc>
          <w:tcPr>
            <w:tcW w:type="dxa" w:w="892"/>
            <w:vAlign w:val="top"/>
          </w:tcPr>
          <w:p>
            <w:pPr>
              <w:spacing w:after="40" w:before="0" w:line="259" w:lineRule="auto"/>
            </w:pPr>
            <w:r>
              <w:rPr>
                <w:rFonts w:ascii="Calibri" w:hAnsi="Calibri"/>
                <w:b w:val="0"/>
                <w:i w:val="0"/>
                <w:color w:val="212121"/>
                <w:sz w:val="16"/>
              </w:rPr>
              <w:t>Video head-impulse test (vHIT)</w:t>
            </w:r>
          </w:p>
        </w:tc>
        <w:tc>
          <w:tcPr>
            <w:tcW w:type="dxa" w:w="950"/>
            <w:vAlign w:val="top"/>
          </w:tcPr>
          <w:p>
            <w:pPr>
              <w:spacing w:after="40" w:before="0" w:line="259" w:lineRule="auto"/>
            </w:pPr>
            <w:r>
              <w:rPr>
                <w:rFonts w:ascii="Calibri" w:hAnsi="Calibri"/>
                <w:b w:val="0"/>
                <w:i w:val="0"/>
                <w:color w:val="212121"/>
                <w:sz w:val="16"/>
              </w:rPr>
              <w:t>Gain ≥ 0.8, no saccades</w:t>
            </w:r>
          </w:p>
        </w:tc>
        <w:tc>
          <w:tcPr>
            <w:tcW w:type="dxa" w:w="950"/>
            <w:vAlign w:val="top"/>
          </w:tcPr>
          <w:p>
            <w:pPr>
              <w:spacing w:after="40" w:before="0" w:line="259" w:lineRule="auto"/>
            </w:pPr>
            <w:r>
              <w:rPr>
                <w:rFonts w:ascii="Calibri" w:hAnsi="Calibri"/>
                <w:b w:val="0"/>
                <w:i w:val="0"/>
                <w:color w:val="212121"/>
                <w:sz w:val="16"/>
              </w:rPr>
              <w:t>Gain &lt; 0.8 with corrective saccades toward lesion</w:t>
            </w:r>
          </w:p>
        </w:tc>
        <w:tc>
          <w:tcPr>
            <w:tcW w:type="dxa" w:w="1036"/>
            <w:vAlign w:val="top"/>
          </w:tcPr>
          <w:p>
            <w:pPr>
              <w:spacing w:after="40" w:before="0" w:line="259" w:lineRule="auto"/>
            </w:pPr>
            <w:r>
              <w:rPr>
                <w:rFonts w:ascii="Calibri" w:hAnsi="Calibri"/>
                <w:b w:val="0"/>
                <w:i w:val="0"/>
                <w:color w:val="212121"/>
                <w:sz w:val="16"/>
              </w:rPr>
              <w:t>Bedside/instrumented confirmation of peripheral vestibular loss</w:t>
            </w:r>
          </w:p>
        </w:tc>
        <w:tc>
          <w:tcPr>
            <w:tcW w:type="dxa" w:w="1036"/>
            <w:vAlign w:val="top"/>
          </w:tcPr>
          <w:p>
            <w:pPr>
              <w:spacing w:after="40" w:before="0" w:line="259" w:lineRule="auto"/>
            </w:pPr>
            <w:r>
              <w:rPr>
                <w:rFonts w:ascii="Calibri" w:hAnsi="Calibri"/>
                <w:b w:val="0"/>
                <w:i w:val="0"/>
                <w:color w:val="212121"/>
                <w:sz w:val="16"/>
              </w:rPr>
              <w:t>Acutely dizzy patients, ED triage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Normal head-impulse in acute vertigo raises concern for stroke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w:t>
            </w:r>
          </w:p>
        </w:tc>
        <w:tc>
          <w:tcPr>
            <w:tcW w:type="dxa" w:w="1036"/>
            <w:vAlign w:val="top"/>
          </w:tcPr>
          <w:p>
            <w:pPr>
              <w:spacing w:after="40" w:before="0" w:line="259" w:lineRule="auto"/>
            </w:pPr>
            <w:r>
              <w:rPr>
                <w:rFonts w:ascii="Calibri" w:hAnsi="Calibri"/>
                <w:b w:val="0"/>
                <w:i w:val="0"/>
                <w:color w:val="212121"/>
                <w:sz w:val="16"/>
              </w:rPr>
              <w:t>Pure-tone hearing threshold</w:t>
            </w:r>
          </w:p>
        </w:tc>
        <w:tc>
          <w:tcPr>
            <w:tcW w:type="dxa" w:w="892"/>
            <w:vAlign w:val="top"/>
          </w:tcPr>
          <w:p>
            <w:pPr>
              <w:spacing w:after="40" w:before="0" w:line="259" w:lineRule="auto"/>
            </w:pPr>
            <w:r>
              <w:rPr>
                <w:rFonts w:ascii="Calibri" w:hAnsi="Calibri"/>
                <w:b w:val="0"/>
                <w:i w:val="0"/>
                <w:color w:val="212121"/>
                <w:sz w:val="16"/>
              </w:rPr>
              <w:t>Pure-tone audiometry</w:t>
            </w:r>
          </w:p>
        </w:tc>
        <w:tc>
          <w:tcPr>
            <w:tcW w:type="dxa" w:w="950"/>
            <w:vAlign w:val="top"/>
          </w:tcPr>
          <w:p>
            <w:pPr>
              <w:spacing w:after="40" w:before="0" w:line="259" w:lineRule="auto"/>
            </w:pPr>
            <w:r>
              <w:rPr>
                <w:rFonts w:ascii="Calibri" w:hAnsi="Calibri"/>
                <w:b w:val="0"/>
                <w:i w:val="0"/>
                <w:color w:val="212121"/>
                <w:sz w:val="16"/>
              </w:rPr>
              <w:t>≤ 25 dB HL</w:t>
            </w:r>
          </w:p>
        </w:tc>
        <w:tc>
          <w:tcPr>
            <w:tcW w:type="dxa" w:w="950"/>
            <w:vAlign w:val="top"/>
          </w:tcPr>
          <w:p>
            <w:pPr>
              <w:spacing w:after="40" w:before="0" w:line="259" w:lineRule="auto"/>
            </w:pPr>
            <w:r>
              <w:rPr>
                <w:rFonts w:ascii="Calibri" w:hAnsi="Calibri"/>
                <w:b w:val="0"/>
                <w:i w:val="0"/>
                <w:color w:val="212121"/>
                <w:sz w:val="16"/>
              </w:rPr>
              <w:t>New sensorineural hearing loss</w:t>
            </w:r>
          </w:p>
        </w:tc>
        <w:tc>
          <w:tcPr>
            <w:tcW w:type="dxa" w:w="1036"/>
            <w:vAlign w:val="top"/>
          </w:tcPr>
          <w:p>
            <w:pPr>
              <w:spacing w:after="40" w:before="0" w:line="259" w:lineRule="auto"/>
            </w:pPr>
            <w:r>
              <w:rPr>
                <w:rFonts w:ascii="Calibri" w:hAnsi="Calibri"/>
                <w:b w:val="0"/>
                <w:i w:val="0"/>
                <w:color w:val="212121"/>
                <w:sz w:val="16"/>
              </w:rPr>
              <w:t>Normal in vestibular neuritis; sensorineural loss indicates labyrinthitis</w:t>
            </w:r>
          </w:p>
        </w:tc>
        <w:tc>
          <w:tcPr>
            <w:tcW w:type="dxa" w:w="1036"/>
            <w:vAlign w:val="top"/>
          </w:tcPr>
          <w:p>
            <w:pPr>
              <w:spacing w:after="40" w:before="0" w:line="259" w:lineRule="auto"/>
            </w:pPr>
            <w:r>
              <w:rPr>
                <w:rFonts w:ascii="Calibri" w:hAnsi="Calibri"/>
                <w:b w:val="0"/>
                <w:i w:val="0"/>
                <w:color w:val="212121"/>
                <w:sz w:val="16"/>
              </w:rPr>
              <w:t>All patients with acute vertigo</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Differentiating</w:t>
            </w:r>
          </w:p>
        </w:tc>
        <w:tc>
          <w:tcPr>
            <w:tcW w:type="dxa" w:w="720"/>
            <w:vAlign w:val="top"/>
          </w:tcPr>
          <w:p>
            <w:pPr>
              <w:spacing w:after="40" w:before="0" w:line="259" w:lineRule="auto"/>
            </w:pPr>
            <w:r>
              <w:rPr>
                <w:rFonts w:ascii="Calibri" w:hAnsi="Calibri"/>
                <w:b w:val="0"/>
                <w:i w:val="0"/>
                <w:color w:val="212121"/>
                <w:sz w:val="16"/>
              </w:rPr>
              <w:t>Key test separating neuritis from labyrinthitis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Vestibular</w:t>
            </w:r>
          </w:p>
        </w:tc>
        <w:tc>
          <w:tcPr>
            <w:tcW w:type="dxa" w:w="1036"/>
            <w:vAlign w:val="top"/>
          </w:tcPr>
          <w:p>
            <w:pPr>
              <w:spacing w:after="40" w:before="0" w:line="259" w:lineRule="auto"/>
            </w:pPr>
            <w:r>
              <w:rPr>
                <w:rFonts w:ascii="Calibri" w:hAnsi="Calibri"/>
                <w:b w:val="0"/>
                <w:i w:val="0"/>
                <w:color w:val="212121"/>
                <w:sz w:val="16"/>
              </w:rPr>
              <w:t>Otolith / nerve-branch function</w:t>
            </w:r>
          </w:p>
        </w:tc>
        <w:tc>
          <w:tcPr>
            <w:tcW w:type="dxa" w:w="892"/>
            <w:vAlign w:val="top"/>
          </w:tcPr>
          <w:p>
            <w:pPr>
              <w:spacing w:after="40" w:before="0" w:line="259" w:lineRule="auto"/>
            </w:pPr>
            <w:r>
              <w:rPr>
                <w:rFonts w:ascii="Calibri" w:hAnsi="Calibri"/>
                <w:b w:val="0"/>
                <w:i w:val="0"/>
                <w:color w:val="212121"/>
                <w:sz w:val="16"/>
              </w:rPr>
              <w:t>Vestibular-evoked myogenic potentials (VEMP)</w:t>
            </w:r>
          </w:p>
        </w:tc>
        <w:tc>
          <w:tcPr>
            <w:tcW w:type="dxa" w:w="950"/>
            <w:vAlign w:val="top"/>
          </w:tcPr>
          <w:p>
            <w:pPr>
              <w:spacing w:after="40" w:before="0" w:line="259" w:lineRule="auto"/>
            </w:pPr>
            <w:r>
              <w:rPr>
                <w:rFonts w:ascii="Calibri" w:hAnsi="Calibri"/>
                <w:b w:val="0"/>
                <w:i w:val="0"/>
                <w:color w:val="212121"/>
                <w:sz w:val="16"/>
              </w:rPr>
              <w:t>Present, symmetric</w:t>
            </w:r>
          </w:p>
        </w:tc>
        <w:tc>
          <w:tcPr>
            <w:tcW w:type="dxa" w:w="950"/>
            <w:vAlign w:val="top"/>
          </w:tcPr>
          <w:p>
            <w:pPr>
              <w:spacing w:after="40" w:before="0" w:line="259" w:lineRule="auto"/>
            </w:pPr>
            <w:r>
              <w:rPr>
                <w:rFonts w:ascii="Calibri" w:hAnsi="Calibri"/>
                <w:b w:val="0"/>
                <w:i w:val="0"/>
                <w:color w:val="212121"/>
                <w:sz w:val="16"/>
              </w:rPr>
              <w:t>Absent/asymmetric responses</w:t>
            </w:r>
          </w:p>
        </w:tc>
        <w:tc>
          <w:tcPr>
            <w:tcW w:type="dxa" w:w="1036"/>
            <w:vAlign w:val="top"/>
          </w:tcPr>
          <w:p>
            <w:pPr>
              <w:spacing w:after="40" w:before="0" w:line="259" w:lineRule="auto"/>
            </w:pPr>
            <w:r>
              <w:rPr>
                <w:rFonts w:ascii="Calibri" w:hAnsi="Calibri"/>
                <w:b w:val="0"/>
                <w:i w:val="0"/>
                <w:color w:val="212121"/>
                <w:sz w:val="16"/>
              </w:rPr>
              <w:t>Helps localise superior vs inferior vestibular nerve involvement</w:t>
            </w:r>
          </w:p>
        </w:tc>
        <w:tc>
          <w:tcPr>
            <w:tcW w:type="dxa" w:w="1036"/>
            <w:vAlign w:val="top"/>
          </w:tcPr>
          <w:p>
            <w:pPr>
              <w:spacing w:after="40" w:before="0" w:line="259" w:lineRule="auto"/>
            </w:pPr>
            <w:r>
              <w:rPr>
                <w:rFonts w:ascii="Calibri" w:hAnsi="Calibri"/>
                <w:b w:val="0"/>
                <w:i w:val="0"/>
                <w:color w:val="212121"/>
                <w:sz w:val="16"/>
              </w:rPr>
              <w:t>Selected/atypical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Refines the pattern of nerve involvement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Posterior fossa / labyrinth</w:t>
            </w:r>
          </w:p>
        </w:tc>
        <w:tc>
          <w:tcPr>
            <w:tcW w:type="dxa" w:w="892"/>
            <w:vAlign w:val="top"/>
          </w:tcPr>
          <w:p>
            <w:pPr>
              <w:spacing w:after="40" w:before="0" w:line="259" w:lineRule="auto"/>
            </w:pPr>
            <w:r>
              <w:rPr>
                <w:rFonts w:ascii="Calibri" w:hAnsi="Calibri"/>
                <w:b w:val="0"/>
                <w:i w:val="0"/>
                <w:color w:val="212121"/>
                <w:sz w:val="16"/>
              </w:rPr>
              <w:t>MRI brain &amp; internal auditory canals with contrast</w:t>
            </w:r>
          </w:p>
        </w:tc>
        <w:tc>
          <w:tcPr>
            <w:tcW w:type="dxa" w:w="950"/>
            <w:vAlign w:val="top"/>
          </w:tcPr>
          <w:p>
            <w:pPr>
              <w:spacing w:after="40" w:before="0" w:line="259" w:lineRule="auto"/>
            </w:pPr>
            <w:r>
              <w:rPr>
                <w:rFonts w:ascii="Calibri" w:hAnsi="Calibri"/>
                <w:b w:val="0"/>
                <w:i w:val="0"/>
                <w:color w:val="212121"/>
                <w:sz w:val="16"/>
              </w:rPr>
              <w:t>No infarct, mass or abnormal enhancement</w:t>
            </w:r>
          </w:p>
        </w:tc>
        <w:tc>
          <w:tcPr>
            <w:tcW w:type="dxa" w:w="950"/>
            <w:vAlign w:val="top"/>
          </w:tcPr>
          <w:p>
            <w:pPr>
              <w:spacing w:after="40" w:before="0" w:line="259" w:lineRule="auto"/>
            </w:pPr>
            <w:r>
              <w:rPr>
                <w:rFonts w:ascii="Calibri" w:hAnsi="Calibri"/>
                <w:b w:val="0"/>
                <w:i w:val="0"/>
                <w:color w:val="212121"/>
                <w:sz w:val="16"/>
              </w:rPr>
              <w:t>Stroke, schwannoma, or labyrinthine enhancement</w:t>
            </w:r>
          </w:p>
        </w:tc>
        <w:tc>
          <w:tcPr>
            <w:tcW w:type="dxa" w:w="1036"/>
            <w:vAlign w:val="top"/>
          </w:tcPr>
          <w:p>
            <w:pPr>
              <w:spacing w:after="40" w:before="0" w:line="259" w:lineRule="auto"/>
            </w:pPr>
            <w:r>
              <w:rPr>
                <w:rFonts w:ascii="Calibri" w:hAnsi="Calibri"/>
                <w:b w:val="0"/>
                <w:i w:val="0"/>
                <w:color w:val="212121"/>
                <w:sz w:val="16"/>
              </w:rPr>
              <w:t>Excludes central mimics; labyrinthine enhancement supports labyrinthitis</w:t>
            </w:r>
          </w:p>
        </w:tc>
        <w:tc>
          <w:tcPr>
            <w:tcW w:type="dxa" w:w="1036"/>
            <w:vAlign w:val="top"/>
          </w:tcPr>
          <w:p>
            <w:pPr>
              <w:spacing w:after="40" w:before="0" w:line="259" w:lineRule="auto"/>
            </w:pPr>
            <w:r>
              <w:rPr>
                <w:rFonts w:ascii="Calibri" w:hAnsi="Calibri"/>
                <w:b w:val="0"/>
                <w:i w:val="0"/>
                <w:color w:val="212121"/>
                <w:sz w:val="16"/>
              </w:rPr>
              <w:t>Patients with red flags, elderly, vascular risk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Rule-out</w:t>
            </w:r>
          </w:p>
        </w:tc>
        <w:tc>
          <w:tcPr>
            <w:tcW w:type="dxa" w:w="720"/>
            <w:vAlign w:val="top"/>
          </w:tcPr>
          <w:p>
            <w:pPr>
              <w:spacing w:after="40" w:before="0" w:line="259" w:lineRule="auto"/>
            </w:pPr>
            <w:r>
              <w:rPr>
                <w:rFonts w:ascii="Calibri" w:hAnsi="Calibri"/>
                <w:b w:val="0"/>
                <w:i w:val="0"/>
                <w:color w:val="212121"/>
                <w:sz w:val="16"/>
              </w:rPr>
              <w:t>Early DWI can miss small strokes; HINTS often more sensitive acutely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CBC, CRP/ESR, blood glucose</w:t>
            </w:r>
          </w:p>
        </w:tc>
        <w:tc>
          <w:tcPr>
            <w:tcW w:type="dxa" w:w="892"/>
            <w:vAlign w:val="top"/>
          </w:tcPr>
          <w:p>
            <w:pPr>
              <w:spacing w:after="40" w:before="0" w:line="259" w:lineRule="auto"/>
            </w:pPr>
            <w:r>
              <w:rPr>
                <w:rFonts w:ascii="Calibri" w:hAnsi="Calibri"/>
                <w:b w:val="0"/>
                <w:i w:val="0"/>
                <w:color w:val="212121"/>
                <w:sz w:val="16"/>
              </w:rPr>
              <w:t>Baseline blood panel</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Leukocytosis/raised CRP (infection); hyperglycaemia</w:t>
            </w:r>
          </w:p>
        </w:tc>
        <w:tc>
          <w:tcPr>
            <w:tcW w:type="dxa" w:w="1036"/>
            <w:vAlign w:val="top"/>
          </w:tcPr>
          <w:p>
            <w:pPr>
              <w:spacing w:after="40" w:before="0" w:line="259" w:lineRule="auto"/>
            </w:pPr>
            <w:r>
              <w:rPr>
                <w:rFonts w:ascii="Calibri" w:hAnsi="Calibri"/>
                <w:b w:val="0"/>
                <w:i w:val="0"/>
                <w:color w:val="212121"/>
                <w:sz w:val="16"/>
              </w:rPr>
              <w:t>Flags bacterial/suppurative cause and vascular comorbidity (diabetes)</w:t>
            </w:r>
          </w:p>
        </w:tc>
        <w:tc>
          <w:tcPr>
            <w:tcW w:type="dxa" w:w="1036"/>
            <w:vAlign w:val="top"/>
          </w:tcPr>
          <w:p>
            <w:pPr>
              <w:spacing w:after="40" w:before="0" w:line="259" w:lineRule="auto"/>
            </w:pPr>
            <w:r>
              <w:rPr>
                <w:rFonts w:ascii="Calibri" w:hAnsi="Calibri"/>
                <w:b w:val="0"/>
                <w:i w:val="0"/>
                <w:color w:val="212121"/>
                <w:sz w:val="16"/>
              </w:rPr>
              <w:t>Suspected suppurative labyrinthitis, diabetics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antibiotic need and comorbidity management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Acute continuous vertigo, nausea, vomiting, imbalance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Sustained spinning vertigo ≥ 24 h</w:t>
            </w:r>
          </w:p>
        </w:tc>
        <w:tc>
          <w:tcPr>
            <w:tcW w:type="dxa" w:w="1036"/>
            <w:vAlign w:val="top"/>
          </w:tcPr>
          <w:p>
            <w:pPr>
              <w:spacing w:after="40" w:before="0" w:line="259" w:lineRule="auto"/>
            </w:pPr>
            <w:r>
              <w:rPr>
                <w:rFonts w:ascii="Calibri" w:hAnsi="Calibri"/>
                <w:b w:val="0"/>
                <w:i w:val="0"/>
                <w:color w:val="212121"/>
                <w:sz w:val="16"/>
              </w:rPr>
              <w:t>Defines an acute vestibular syndrome</w:t>
            </w:r>
          </w:p>
        </w:tc>
        <w:tc>
          <w:tcPr>
            <w:tcW w:type="dxa" w:w="1036"/>
            <w:vAlign w:val="top"/>
          </w:tcPr>
          <w:p>
            <w:pPr>
              <w:spacing w:after="40" w:before="0" w:line="259" w:lineRule="auto"/>
            </w:pPr>
            <w:r>
              <w:rPr>
                <w:rFonts w:ascii="Calibri" w:hAnsi="Calibri"/>
                <w:b w:val="0"/>
                <w:i w:val="0"/>
                <w:color w:val="212121"/>
                <w:sz w:val="16"/>
              </w:rPr>
              <w:t>Adults with sudden vertigo</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Continuous (not brief positional) vertigo suggests neuritis/labyrinthitis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Antecedent illness</w:t>
            </w:r>
          </w:p>
        </w:tc>
        <w:tc>
          <w:tcPr>
            <w:tcW w:type="dxa" w:w="979"/>
            <w:vAlign w:val="top"/>
          </w:tcPr>
          <w:p>
            <w:pPr>
              <w:spacing w:after="40" w:before="0" w:line="259" w:lineRule="auto"/>
            </w:pPr>
            <w:r>
              <w:rPr>
                <w:rFonts w:ascii="Calibri" w:hAnsi="Calibri"/>
                <w:b w:val="0"/>
                <w:i w:val="0"/>
                <w:color w:val="212121"/>
                <w:sz w:val="16"/>
              </w:rPr>
              <w:t>Recent viral upper-respiratory infection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URI in preceding days–weeks</w:t>
            </w:r>
          </w:p>
        </w:tc>
        <w:tc>
          <w:tcPr>
            <w:tcW w:type="dxa" w:w="1036"/>
            <w:vAlign w:val="top"/>
          </w:tcPr>
          <w:p>
            <w:pPr>
              <w:spacing w:after="40" w:before="0" w:line="259" w:lineRule="auto"/>
            </w:pPr>
            <w:r>
              <w:rPr>
                <w:rFonts w:ascii="Calibri" w:hAnsi="Calibri"/>
                <w:b w:val="0"/>
                <w:i w:val="0"/>
                <w:color w:val="212121"/>
                <w:sz w:val="16"/>
              </w:rPr>
              <w:t>Supports viral/post-viral aetiology</w:t>
            </w:r>
          </w:p>
        </w:tc>
        <w:tc>
          <w:tcPr>
            <w:tcW w:type="dxa" w:w="1036"/>
            <w:vAlign w:val="top"/>
          </w:tcPr>
          <w:p>
            <w:pPr>
              <w:spacing w:after="40" w:before="0" w:line="259" w:lineRule="auto"/>
            </w:pPr>
            <w:r>
              <w:rPr>
                <w:rFonts w:ascii="Calibri" w:hAnsi="Calibri"/>
                <w:b w:val="0"/>
                <w:i w:val="0"/>
                <w:color w:val="212121"/>
                <w:sz w:val="16"/>
              </w:rPr>
              <w:t>Patients with preceding cold/flu</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Aetiologic</w:t>
            </w:r>
          </w:p>
        </w:tc>
        <w:tc>
          <w:tcPr>
            <w:tcW w:type="dxa" w:w="720"/>
            <w:vAlign w:val="top"/>
          </w:tcPr>
          <w:p>
            <w:pPr>
              <w:spacing w:after="40" w:before="0" w:line="259" w:lineRule="auto"/>
            </w:pPr>
            <w:r>
              <w:rPr>
                <w:rFonts w:ascii="Calibri" w:hAnsi="Calibri"/>
                <w:b w:val="0"/>
                <w:i w:val="0"/>
                <w:color w:val="212121"/>
                <w:sz w:val="16"/>
              </w:rPr>
              <w:t>Also ask about ear discharge (otogenic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Bedside oculomotor</w:t>
            </w:r>
          </w:p>
        </w:tc>
        <w:tc>
          <w:tcPr>
            <w:tcW w:type="dxa" w:w="950"/>
            <w:vAlign w:val="top"/>
          </w:tcPr>
          <w:p>
            <w:pPr>
              <w:spacing w:after="40" w:before="0" w:line="259" w:lineRule="auto"/>
            </w:pPr>
            <w:r>
              <w:rPr>
                <w:rFonts w:ascii="Calibri" w:hAnsi="Calibri"/>
                <w:b w:val="0"/>
                <w:i w:val="0"/>
                <w:color w:val="212121"/>
                <w:sz w:val="16"/>
              </w:rPr>
              <w:t>HINTS examination</w:t>
            </w:r>
          </w:p>
        </w:tc>
        <w:tc>
          <w:tcPr>
            <w:tcW w:type="dxa" w:w="979"/>
            <w:vAlign w:val="top"/>
          </w:tcPr>
          <w:p>
            <w:pPr>
              <w:spacing w:after="40" w:before="0" w:line="259" w:lineRule="auto"/>
            </w:pPr>
            <w:r>
              <w:rPr>
                <w:rFonts w:ascii="Calibri" w:hAnsi="Calibri"/>
                <w:b w:val="0"/>
                <w:i w:val="0"/>
                <w:color w:val="212121"/>
                <w:sz w:val="16"/>
              </w:rPr>
              <w:t>Head-Impulse, Nystagmus, Test-of-Skew</w:t>
            </w:r>
          </w:p>
        </w:tc>
        <w:tc>
          <w:tcPr>
            <w:tcW w:type="dxa" w:w="950"/>
            <w:vAlign w:val="top"/>
          </w:tcPr>
          <w:p>
            <w:pPr>
              <w:spacing w:after="40" w:before="0" w:line="259" w:lineRule="auto"/>
            </w:pPr>
            <w:r>
              <w:rPr>
                <w:rFonts w:ascii="Calibri" w:hAnsi="Calibri"/>
                <w:b w:val="0"/>
                <w:i w:val="0"/>
                <w:color w:val="212121"/>
                <w:sz w:val="16"/>
              </w:rPr>
              <w:t>Peripheral pattern: abnormal head-impulse, unidirectional nystagmus, no skew</w:t>
            </w:r>
          </w:p>
        </w:tc>
        <w:tc>
          <w:tcPr>
            <w:tcW w:type="dxa" w:w="950"/>
            <w:vAlign w:val="top"/>
          </w:tcPr>
          <w:p>
            <w:pPr>
              <w:spacing w:after="40" w:before="0" w:line="259" w:lineRule="auto"/>
            </w:pPr>
            <w:r>
              <w:rPr>
                <w:rFonts w:ascii="Calibri" w:hAnsi="Calibri"/>
                <w:b w:val="0"/>
                <w:i w:val="0"/>
                <w:color w:val="212121"/>
                <w:sz w:val="16"/>
              </w:rPr>
              <w:t>Central pattern: normal head-impulse, direction-changing nystagmus, or skew</w:t>
            </w:r>
          </w:p>
        </w:tc>
        <w:tc>
          <w:tcPr>
            <w:tcW w:type="dxa" w:w="1036"/>
            <w:vAlign w:val="top"/>
          </w:tcPr>
          <w:p>
            <w:pPr>
              <w:spacing w:after="40" w:before="0" w:line="259" w:lineRule="auto"/>
            </w:pPr>
            <w:r>
              <w:rPr>
                <w:rFonts w:ascii="Calibri" w:hAnsi="Calibri"/>
                <w:b w:val="0"/>
                <w:i w:val="0"/>
                <w:color w:val="212121"/>
                <w:sz w:val="16"/>
              </w:rPr>
              <w:t>Separates benign peripheral cause from posterior-circulation stroke</w:t>
            </w:r>
          </w:p>
        </w:tc>
        <w:tc>
          <w:tcPr>
            <w:tcW w:type="dxa" w:w="1036"/>
            <w:vAlign w:val="top"/>
          </w:tcPr>
          <w:p>
            <w:pPr>
              <w:spacing w:after="40" w:before="0" w:line="259" w:lineRule="auto"/>
            </w:pPr>
            <w:r>
              <w:rPr>
                <w:rFonts w:ascii="Calibri" w:hAnsi="Calibri"/>
                <w:b w:val="0"/>
                <w:i w:val="0"/>
                <w:color w:val="212121"/>
                <w:sz w:val="16"/>
              </w:rPr>
              <w:t>All acute vestibular syndrome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A three-step bedside exam that can out-perform early MRI for stroke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Oculomotor</w:t>
            </w:r>
          </w:p>
        </w:tc>
        <w:tc>
          <w:tcPr>
            <w:tcW w:type="dxa" w:w="950"/>
            <w:vAlign w:val="top"/>
          </w:tcPr>
          <w:p>
            <w:pPr>
              <w:spacing w:after="40" w:before="0" w:line="259" w:lineRule="auto"/>
            </w:pPr>
            <w:r>
              <w:rPr>
                <w:rFonts w:ascii="Calibri" w:hAnsi="Calibri"/>
                <w:b w:val="0"/>
                <w:i w:val="0"/>
                <w:color w:val="212121"/>
                <w:sz w:val="16"/>
              </w:rPr>
              <w:t>Nystagmus assessment</w:t>
            </w:r>
          </w:p>
        </w:tc>
        <w:tc>
          <w:tcPr>
            <w:tcW w:type="dxa" w:w="979"/>
            <w:vAlign w:val="top"/>
          </w:tcPr>
          <w:p>
            <w:pPr>
              <w:spacing w:after="40" w:before="0" w:line="259" w:lineRule="auto"/>
            </w:pPr>
            <w:r>
              <w:rPr>
                <w:rFonts w:ascii="Calibri" w:hAnsi="Calibri"/>
                <w:b w:val="0"/>
                <w:i w:val="0"/>
                <w:color w:val="212121"/>
                <w:sz w:val="16"/>
              </w:rPr>
              <w:t>Spontaneous nystagmus with/without fixation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Unidirectional horizontal-torsional nystagmus, suppressed by fixation</w:t>
            </w:r>
          </w:p>
        </w:tc>
        <w:tc>
          <w:tcPr>
            <w:tcW w:type="dxa" w:w="1036"/>
            <w:vAlign w:val="top"/>
          </w:tcPr>
          <w:p>
            <w:pPr>
              <w:spacing w:after="40" w:before="0" w:line="259" w:lineRule="auto"/>
            </w:pPr>
            <w:r>
              <w:rPr>
                <w:rFonts w:ascii="Calibri" w:hAnsi="Calibri"/>
                <w:b w:val="0"/>
                <w:i w:val="0"/>
                <w:color w:val="212121"/>
                <w:sz w:val="16"/>
              </w:rPr>
              <w:t>Peripheral vestibular nystagmus beats toward the healthy ear</w:t>
            </w:r>
          </w:p>
        </w:tc>
        <w:tc>
          <w:tcPr>
            <w:tcW w:type="dxa" w:w="1036"/>
            <w:vAlign w:val="top"/>
          </w:tcPr>
          <w:p>
            <w:pPr>
              <w:spacing w:after="40" w:before="0" w:line="259" w:lineRule="auto"/>
            </w:pPr>
            <w:r>
              <w:rPr>
                <w:rFonts w:ascii="Calibri" w:hAnsi="Calibri"/>
                <w:b w:val="0"/>
                <w:i w:val="0"/>
                <w:color w:val="212121"/>
                <w:sz w:val="16"/>
              </w:rPr>
              <w:t>Acutely vertiginous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 Frenzel lenses / cover test to remove fixation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Otologic</w:t>
            </w:r>
          </w:p>
        </w:tc>
        <w:tc>
          <w:tcPr>
            <w:tcW w:type="dxa" w:w="950"/>
            <w:vAlign w:val="top"/>
          </w:tcPr>
          <w:p>
            <w:pPr>
              <w:spacing w:after="40" w:before="0" w:line="259" w:lineRule="auto"/>
            </w:pPr>
            <w:r>
              <w:rPr>
                <w:rFonts w:ascii="Calibri" w:hAnsi="Calibri"/>
                <w:b w:val="0"/>
                <w:i w:val="0"/>
                <w:color w:val="212121"/>
                <w:sz w:val="16"/>
              </w:rPr>
              <w:t>Otoscopy &amp; hearing</w:t>
            </w:r>
          </w:p>
        </w:tc>
        <w:tc>
          <w:tcPr>
            <w:tcW w:type="dxa" w:w="979"/>
            <w:vAlign w:val="top"/>
          </w:tcPr>
          <w:p>
            <w:pPr>
              <w:spacing w:after="40" w:before="0" w:line="259" w:lineRule="auto"/>
            </w:pPr>
            <w:r>
              <w:rPr>
                <w:rFonts w:ascii="Calibri" w:hAnsi="Calibri"/>
                <w:b w:val="0"/>
                <w:i w:val="0"/>
                <w:color w:val="212121"/>
                <w:sz w:val="16"/>
              </w:rPr>
              <w:t>Ear canal/drum and bedside hearing</w:t>
            </w:r>
          </w:p>
        </w:tc>
        <w:tc>
          <w:tcPr>
            <w:tcW w:type="dxa" w:w="950"/>
            <w:vAlign w:val="top"/>
          </w:tcPr>
          <w:p>
            <w:pPr>
              <w:spacing w:after="40" w:before="0" w:line="259" w:lineRule="auto"/>
            </w:pPr>
            <w:r>
              <w:rPr>
                <w:rFonts w:ascii="Calibri" w:hAnsi="Calibri"/>
                <w:b w:val="0"/>
                <w:i w:val="0"/>
                <w:color w:val="212121"/>
                <w:sz w:val="16"/>
              </w:rPr>
              <w:t>Normal drum, normal hearing</w:t>
            </w:r>
          </w:p>
        </w:tc>
        <w:tc>
          <w:tcPr>
            <w:tcW w:type="dxa" w:w="950"/>
            <w:vAlign w:val="top"/>
          </w:tcPr>
          <w:p>
            <w:pPr>
              <w:spacing w:after="40" w:before="0" w:line="259" w:lineRule="auto"/>
            </w:pPr>
            <w:r>
              <w:rPr>
                <w:rFonts w:ascii="Calibri" w:hAnsi="Calibri"/>
                <w:b w:val="0"/>
                <w:i w:val="0"/>
                <w:color w:val="212121"/>
                <w:sz w:val="16"/>
              </w:rPr>
              <w:t>Discharge/perforation/cholesteatoma; new hearing loss</w:t>
            </w:r>
          </w:p>
        </w:tc>
        <w:tc>
          <w:tcPr>
            <w:tcW w:type="dxa" w:w="1036"/>
            <w:vAlign w:val="top"/>
          </w:tcPr>
          <w:p>
            <w:pPr>
              <w:spacing w:after="40" w:before="0" w:line="259" w:lineRule="auto"/>
            </w:pPr>
            <w:r>
              <w:rPr>
                <w:rFonts w:ascii="Calibri" w:hAnsi="Calibri"/>
                <w:b w:val="0"/>
                <w:i w:val="0"/>
                <w:color w:val="212121"/>
                <w:sz w:val="16"/>
              </w:rPr>
              <w:t>Detects otogenic labyrinthitis and cochlear involvement</w:t>
            </w:r>
          </w:p>
        </w:tc>
        <w:tc>
          <w:tcPr>
            <w:tcW w:type="dxa" w:w="1036"/>
            <w:vAlign w:val="top"/>
          </w:tcPr>
          <w:p>
            <w:pPr>
              <w:spacing w:after="40" w:before="0" w:line="259" w:lineRule="auto"/>
            </w:pPr>
            <w:r>
              <w:rPr>
                <w:rFonts w:ascii="Calibri" w:hAnsi="Calibri"/>
                <w:b w:val="0"/>
                <w:i w:val="0"/>
                <w:color w:val="212121"/>
                <w:sz w:val="16"/>
              </w:rPr>
              <w:t>Patients with ear symptoms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Differentiating</w:t>
            </w:r>
          </w:p>
        </w:tc>
        <w:tc>
          <w:tcPr>
            <w:tcW w:type="dxa" w:w="720"/>
            <w:vAlign w:val="top"/>
          </w:tcPr>
          <w:p>
            <w:pPr>
              <w:spacing w:after="40" w:before="0" w:line="259" w:lineRule="auto"/>
            </w:pPr>
            <w:r>
              <w:rPr>
                <w:rFonts w:ascii="Calibri" w:hAnsi="Calibri"/>
                <w:b w:val="0"/>
                <w:i w:val="0"/>
                <w:color w:val="212121"/>
                <w:sz w:val="16"/>
              </w:rPr>
              <w:t>Weber lateralises away from affected ear in SNHL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Balance / positional</w:t>
            </w:r>
          </w:p>
        </w:tc>
        <w:tc>
          <w:tcPr>
            <w:tcW w:type="dxa" w:w="950"/>
            <w:vAlign w:val="top"/>
          </w:tcPr>
          <w:p>
            <w:pPr>
              <w:spacing w:after="40" w:before="0" w:line="259" w:lineRule="auto"/>
            </w:pPr>
            <w:r>
              <w:rPr>
                <w:rFonts w:ascii="Calibri" w:hAnsi="Calibri"/>
                <w:b w:val="0"/>
                <w:i w:val="0"/>
                <w:color w:val="212121"/>
                <w:sz w:val="16"/>
              </w:rPr>
              <w:t>Romberg, gait &amp; Dix–Hallpike</w:t>
            </w:r>
          </w:p>
        </w:tc>
        <w:tc>
          <w:tcPr>
            <w:tcW w:type="dxa" w:w="979"/>
            <w:vAlign w:val="top"/>
          </w:tcPr>
          <w:p>
            <w:pPr>
              <w:spacing w:after="40" w:before="0" w:line="259" w:lineRule="auto"/>
            </w:pPr>
            <w:r>
              <w:rPr>
                <w:rFonts w:ascii="Calibri" w:hAnsi="Calibri"/>
                <w:b w:val="0"/>
                <w:i w:val="0"/>
                <w:color w:val="212121"/>
                <w:sz w:val="16"/>
              </w:rPr>
              <w:t>Postural stability and positional testing</w:t>
            </w:r>
          </w:p>
        </w:tc>
        <w:tc>
          <w:tcPr>
            <w:tcW w:type="dxa" w:w="950"/>
            <w:vAlign w:val="top"/>
          </w:tcPr>
          <w:p>
            <w:pPr>
              <w:spacing w:after="40" w:before="0" w:line="259" w:lineRule="auto"/>
            </w:pPr>
            <w:r>
              <w:rPr>
                <w:rFonts w:ascii="Calibri" w:hAnsi="Calibri"/>
                <w:b w:val="0"/>
                <w:i w:val="0"/>
                <w:color w:val="212121"/>
                <w:sz w:val="16"/>
              </w:rPr>
              <w:t>Steady stance/gait; negative Dix–Hallpike</w:t>
            </w:r>
          </w:p>
        </w:tc>
        <w:tc>
          <w:tcPr>
            <w:tcW w:type="dxa" w:w="950"/>
            <w:vAlign w:val="top"/>
          </w:tcPr>
          <w:p>
            <w:pPr>
              <w:spacing w:after="40" w:before="0" w:line="259" w:lineRule="auto"/>
            </w:pPr>
            <w:r>
              <w:rPr>
                <w:rFonts w:ascii="Calibri" w:hAnsi="Calibri"/>
                <w:b w:val="0"/>
                <w:i w:val="0"/>
                <w:color w:val="212121"/>
                <w:sz w:val="16"/>
              </w:rPr>
              <w:t>Falls toward affected side; positional nystagmus (secondary BPPV)</w:t>
            </w:r>
          </w:p>
        </w:tc>
        <w:tc>
          <w:tcPr>
            <w:tcW w:type="dxa" w:w="1036"/>
            <w:vAlign w:val="top"/>
          </w:tcPr>
          <w:p>
            <w:pPr>
              <w:spacing w:after="40" w:before="0" w:line="259" w:lineRule="auto"/>
            </w:pPr>
            <w:r>
              <w:rPr>
                <w:rFonts w:ascii="Calibri" w:hAnsi="Calibri"/>
                <w:b w:val="0"/>
                <w:i w:val="0"/>
                <w:color w:val="212121"/>
                <w:sz w:val="16"/>
              </w:rPr>
              <w:t>Gauges imbalance and detects secondary BPPV</w:t>
            </w:r>
          </w:p>
        </w:tc>
        <w:tc>
          <w:tcPr>
            <w:tcW w:type="dxa" w:w="1036"/>
            <w:vAlign w:val="top"/>
          </w:tcPr>
          <w:p>
            <w:pPr>
              <w:spacing w:after="40" w:before="0" w:line="259" w:lineRule="auto"/>
            </w:pPr>
            <w:r>
              <w:rPr>
                <w:rFonts w:ascii="Calibri" w:hAnsi="Calibri"/>
                <w:b w:val="0"/>
                <w:i w:val="0"/>
                <w:color w:val="212121"/>
                <w:sz w:val="16"/>
              </w:rPr>
              <w:t>Recovering patients, fall-risk elderly</w:t>
            </w:r>
          </w:p>
        </w:tc>
        <w:tc>
          <w:tcPr>
            <w:tcW w:type="dxa" w:w="720"/>
            <w:vAlign w:val="top"/>
          </w:tcPr>
          <w:p>
            <w:pPr>
              <w:spacing w:after="40" w:before="0" w:line="259" w:lineRule="auto"/>
            </w:pPr>
            <w:r>
              <w:rPr>
                <w:rFonts w:ascii="Calibri" w:hAnsi="Calibri"/>
                <w:b w:val="0"/>
                <w:i w:val="0"/>
                <w:color w:val="212121"/>
                <w:sz w:val="16"/>
              </w:rPr>
              <w:t>Posture; Physical activity</w:t>
            </w:r>
          </w:p>
        </w:tc>
        <w:tc>
          <w:tcPr>
            <w:tcW w:type="dxa" w:w="720"/>
            <w:vAlign w:val="top"/>
          </w:tcPr>
          <w:p>
            <w:pPr>
              <w:spacing w:after="40" w:before="0" w:line="259" w:lineRule="auto"/>
            </w:pPr>
            <w:r>
              <w:rPr>
                <w:rFonts w:ascii="Calibri" w:hAnsi="Calibri"/>
                <w:b w:val="0"/>
                <w:i w:val="0"/>
                <w:color w:val="212121"/>
                <w:sz w:val="16"/>
              </w:rPr>
              <w:t>Functional</w:t>
            </w:r>
          </w:p>
        </w:tc>
        <w:tc>
          <w:tcPr>
            <w:tcW w:type="dxa" w:w="720"/>
            <w:vAlign w:val="top"/>
          </w:tcPr>
          <w:p>
            <w:pPr>
              <w:spacing w:after="40" w:before="0" w:line="259" w:lineRule="auto"/>
            </w:pPr>
            <w:r>
              <w:rPr>
                <w:rFonts w:ascii="Calibri" w:hAnsi="Calibri"/>
                <w:b w:val="0"/>
                <w:i w:val="0"/>
                <w:color w:val="212121"/>
                <w:sz w:val="16"/>
              </w:rPr>
              <w:t>Guides rehabilitation and canalith-repositioning if BPPV present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w:t>
            </w:r>
          </w:p>
        </w:tc>
        <w:tc>
          <w:tcPr>
            <w:tcW w:type="dxa" w:w="950"/>
            <w:vAlign w:val="top"/>
          </w:tcPr>
          <w:p>
            <w:pPr>
              <w:spacing w:after="40" w:before="0" w:line="259" w:lineRule="auto"/>
            </w:pPr>
            <w:r>
              <w:rPr>
                <w:rFonts w:ascii="Calibri" w:hAnsi="Calibri"/>
                <w:b w:val="0"/>
                <w:i w:val="0"/>
                <w:color w:val="212121"/>
                <w:sz w:val="16"/>
              </w:rPr>
              <w:t>Focal neurology screen</w:t>
            </w:r>
          </w:p>
        </w:tc>
        <w:tc>
          <w:tcPr>
            <w:tcW w:type="dxa" w:w="979"/>
            <w:vAlign w:val="top"/>
          </w:tcPr>
          <w:p>
            <w:pPr>
              <w:spacing w:after="40" w:before="0" w:line="259" w:lineRule="auto"/>
            </w:pPr>
            <w:r>
              <w:rPr>
                <w:rFonts w:ascii="Calibri" w:hAnsi="Calibri"/>
                <w:b w:val="0"/>
                <w:i w:val="0"/>
                <w:color w:val="212121"/>
                <w:sz w:val="16"/>
              </w:rPr>
              <w:t>Cranial nerves, limb power, coordination, speech</w:t>
            </w:r>
          </w:p>
        </w:tc>
        <w:tc>
          <w:tcPr>
            <w:tcW w:type="dxa" w:w="950"/>
            <w:vAlign w:val="top"/>
          </w:tcPr>
          <w:p>
            <w:pPr>
              <w:spacing w:after="40" w:before="0" w:line="259" w:lineRule="auto"/>
            </w:pPr>
            <w:r>
              <w:rPr>
                <w:rFonts w:ascii="Calibri" w:hAnsi="Calibri"/>
                <w:b w:val="0"/>
                <w:i w:val="0"/>
                <w:color w:val="212121"/>
                <w:sz w:val="16"/>
              </w:rPr>
              <w:t>No focal deficit</w:t>
            </w:r>
          </w:p>
        </w:tc>
        <w:tc>
          <w:tcPr>
            <w:tcW w:type="dxa" w:w="950"/>
            <w:vAlign w:val="top"/>
          </w:tcPr>
          <w:p>
            <w:pPr>
              <w:spacing w:after="40" w:before="0" w:line="259" w:lineRule="auto"/>
            </w:pPr>
            <w:r>
              <w:rPr>
                <w:rFonts w:ascii="Calibri" w:hAnsi="Calibri"/>
                <w:b w:val="0"/>
                <w:i w:val="0"/>
                <w:color w:val="212121"/>
                <w:sz w:val="16"/>
              </w:rPr>
              <w:t>Any focal sign (dysarthria, diplopia, weakness, ataxia)</w:t>
            </w:r>
          </w:p>
        </w:tc>
        <w:tc>
          <w:tcPr>
            <w:tcW w:type="dxa" w:w="1036"/>
            <w:vAlign w:val="top"/>
          </w:tcPr>
          <w:p>
            <w:pPr>
              <w:spacing w:after="40" w:before="0" w:line="259" w:lineRule="auto"/>
            </w:pPr>
            <w:r>
              <w:rPr>
                <w:rFonts w:ascii="Calibri" w:hAnsi="Calibri"/>
                <w:b w:val="0"/>
                <w:i w:val="0"/>
                <w:color w:val="212121"/>
                <w:sz w:val="16"/>
              </w:rPr>
              <w:t>Focal signs indicate a central cause requiring urgent imaging</w:t>
            </w:r>
          </w:p>
        </w:tc>
        <w:tc>
          <w:tcPr>
            <w:tcW w:type="dxa" w:w="1036"/>
            <w:vAlign w:val="top"/>
          </w:tcPr>
          <w:p>
            <w:pPr>
              <w:spacing w:after="40" w:before="0" w:line="259" w:lineRule="auto"/>
            </w:pPr>
            <w:r>
              <w:rPr>
                <w:rFonts w:ascii="Calibri" w:hAnsi="Calibri"/>
                <w:b w:val="0"/>
                <w:i w:val="0"/>
                <w:color w:val="212121"/>
                <w:sz w:val="16"/>
              </w:rPr>
              <w:t>All acute vertigo, elderly with vascular risk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Red flags override a peripheral diagnosis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Acute severe spinning vertigo</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sustained rotational vertigo lasting hours to days, the hallmark of the acute vestibular syndrome.</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Intense nausea accompanies the vertigo owing to vestibulo-autonomic activation.</w:t>
            </w:r>
          </w:p>
        </w:tc>
      </w:tr>
      <w:tr>
        <w:trPr>
          <w:cantSplit/>
        </w:trPr>
        <w:tc>
          <w:tcPr>
            <w:tcW w:type="dxa" w:w="2304"/>
            <w:vAlign w:val="top"/>
          </w:tcPr>
          <w:p>
            <w:pPr>
              <w:spacing w:after="40" w:before="0" w:line="259" w:lineRule="auto"/>
            </w:pPr>
            <w:r>
              <w:rPr>
                <w:rFonts w:ascii="Calibri" w:hAnsi="Calibri"/>
                <w:b/>
                <w:i w:val="0"/>
                <w:color w:val="212121"/>
                <w:sz w:val="19"/>
              </w:rPr>
              <w:t>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profuse in the first 24–48 hours; can cause dehydration.</w:t>
            </w:r>
          </w:p>
        </w:tc>
      </w:tr>
      <w:tr>
        <w:trPr>
          <w:cantSplit/>
        </w:trPr>
        <w:tc>
          <w:tcPr>
            <w:tcW w:type="dxa" w:w="2304"/>
            <w:vAlign w:val="top"/>
          </w:tcPr>
          <w:p>
            <w:pPr>
              <w:spacing w:after="40" w:before="0" w:line="259" w:lineRule="auto"/>
            </w:pPr>
            <w:r>
              <w:rPr>
                <w:rFonts w:ascii="Calibri" w:hAnsi="Calibri"/>
                <w:b/>
                <w:i w:val="0"/>
                <w:color w:val="212121"/>
                <w:sz w:val="19"/>
              </w:rPr>
              <w:t>Imbalance / unsteadiness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standing and walking, with a tendency to veer toward the affected side.</w:t>
            </w:r>
          </w:p>
        </w:tc>
      </w:tr>
      <w:tr>
        <w:trPr>
          <w:cantSplit/>
        </w:trPr>
        <w:tc>
          <w:tcPr>
            <w:tcW w:type="dxa" w:w="2304"/>
            <w:vAlign w:val="top"/>
          </w:tcPr>
          <w:p>
            <w:pPr>
              <w:spacing w:after="40" w:before="0" w:line="259" w:lineRule="auto"/>
            </w:pPr>
            <w:r>
              <w:rPr>
                <w:rFonts w:ascii="Calibri" w:hAnsi="Calibri"/>
                <w:b/>
                <w:i w:val="0"/>
                <w:color w:val="212121"/>
                <w:sz w:val="19"/>
              </w:rPr>
              <w:t>Gait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Wide-based, cautious gait during the acute phase and early recovery.</w:t>
            </w:r>
          </w:p>
        </w:tc>
      </w:tr>
      <w:tr>
        <w:trPr>
          <w:cantSplit/>
        </w:trPr>
        <w:tc>
          <w:tcPr>
            <w:tcW w:type="dxa" w:w="2304"/>
            <w:vAlign w:val="top"/>
          </w:tcPr>
          <w:p>
            <w:pPr>
              <w:spacing w:after="40" w:before="0" w:line="259" w:lineRule="auto"/>
            </w:pPr>
            <w:r>
              <w:rPr>
                <w:rFonts w:ascii="Calibri" w:hAnsi="Calibri"/>
                <w:b/>
                <w:i w:val="0"/>
                <w:color w:val="212121"/>
                <w:sz w:val="19"/>
              </w:rPr>
              <w:t>Oscillopsia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Blurred or bouncing vision with head movement due to loss of the vestibulo-ocular reflex.</w:t>
            </w:r>
          </w:p>
        </w:tc>
      </w:tr>
      <w:tr>
        <w:trPr>
          <w:cantSplit/>
        </w:trPr>
        <w:tc>
          <w:tcPr>
            <w:tcW w:type="dxa" w:w="2304"/>
            <w:vAlign w:val="top"/>
          </w:tcPr>
          <w:p>
            <w:pPr>
              <w:spacing w:after="40" w:before="0" w:line="259" w:lineRule="auto"/>
            </w:pPr>
            <w:r>
              <w:rPr>
                <w:rFonts w:ascii="Calibri" w:hAnsi="Calibri"/>
                <w:b/>
                <w:i w:val="0"/>
                <w:color w:val="212121"/>
                <w:sz w:val="19"/>
              </w:rPr>
              <w:t>Hearing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Present in labyrinthitis (cochlear involvement) and absent in pure vestibular neuritis; a key distinguishing symptom.</w:t>
            </w:r>
          </w:p>
        </w:tc>
      </w:tr>
      <w:tr>
        <w:trPr>
          <w:cantSplit/>
        </w:trPr>
        <w:tc>
          <w:tcPr>
            <w:tcW w:type="dxa" w:w="2304"/>
            <w:vAlign w:val="top"/>
          </w:tcPr>
          <w:p>
            <w:pPr>
              <w:spacing w:after="40" w:before="0" w:line="259" w:lineRule="auto"/>
            </w:pPr>
            <w:r>
              <w:rPr>
                <w:rFonts w:ascii="Calibri" w:hAnsi="Calibri"/>
                <w:b/>
                <w:i w:val="0"/>
                <w:color w:val="212121"/>
                <w:sz w:val="19"/>
              </w:rPr>
              <w:t>Tinnitus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Ringing or buzzing, seen with labyrinthine (cochlear) involvement.</w:t>
            </w:r>
          </w:p>
        </w:tc>
      </w:tr>
      <w:tr>
        <w:trPr>
          <w:cantSplit/>
        </w:trPr>
        <w:tc>
          <w:tcPr>
            <w:tcW w:type="dxa" w:w="2304"/>
            <w:vAlign w:val="top"/>
          </w:tcPr>
          <w:p>
            <w:pPr>
              <w:spacing w:after="40" w:before="0" w:line="259" w:lineRule="auto"/>
            </w:pPr>
            <w:r>
              <w:rPr>
                <w:rFonts w:ascii="Calibri" w:hAnsi="Calibri"/>
                <w:b/>
                <w:i w:val="0"/>
                <w:color w:val="212121"/>
                <w:sz w:val="19"/>
              </w:rPr>
              <w:t>Aural fullness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sensation of pressure in the affected ear in labyrinthitis.</w:t>
            </w:r>
          </w:p>
        </w:tc>
      </w:tr>
      <w:tr>
        <w:trPr>
          <w:cantSplit/>
        </w:trPr>
        <w:tc>
          <w:tcPr>
            <w:tcW w:type="dxa" w:w="2304"/>
            <w:vAlign w:val="top"/>
          </w:tcPr>
          <w:p>
            <w:pPr>
              <w:spacing w:after="40" w:before="0" w:line="259" w:lineRule="auto"/>
            </w:pPr>
            <w:r>
              <w:rPr>
                <w:rFonts w:ascii="Calibri" w:hAnsi="Calibri"/>
                <w:b/>
                <w:i w:val="0"/>
                <w:color w:val="212121"/>
                <w:sz w:val="19"/>
              </w:rPr>
              <w:t>Anxiety / panic</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frightening, disabling vertigo commonly provokes acute anxiety, which can perpetuate dizziness.</w:t>
            </w:r>
          </w:p>
        </w:tc>
      </w:tr>
      <w:tr>
        <w:trPr>
          <w:cantSplit/>
        </w:trPr>
        <w:tc>
          <w:tcPr>
            <w:tcW w:type="dxa" w:w="2304"/>
            <w:vAlign w:val="top"/>
          </w:tcPr>
          <w:p>
            <w:pPr>
              <w:spacing w:after="40" w:before="0" w:line="259" w:lineRule="auto"/>
            </w:pPr>
            <w:r>
              <w:rPr>
                <w:rFonts w:ascii="Calibri" w:hAnsi="Calibri"/>
                <w:b/>
                <w:i w:val="0"/>
                <w:color w:val="212121"/>
                <w:sz w:val="19"/>
              </w:rPr>
              <w:t>Persistent light-headedness / chronic dizziness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non-spinning, movement-provoked unsteadiness that may persist for weeks (evolving toward PPPD).</w:t>
            </w:r>
          </w:p>
        </w:tc>
      </w:tr>
      <w:tr>
        <w:trPr>
          <w:cantSplit/>
        </w:trPr>
        <w:tc>
          <w:tcPr>
            <w:tcW w:type="dxa" w:w="2304"/>
            <w:vAlign w:val="top"/>
          </w:tcPr>
          <w:p>
            <w:pPr>
              <w:spacing w:after="40" w:before="0" w:line="259" w:lineRule="auto"/>
            </w:pPr>
            <w:r>
              <w:rPr>
                <w:rFonts w:ascii="Calibri" w:hAnsi="Calibri"/>
                <w:b/>
                <w:i w:val="0"/>
                <w:color w:val="212121"/>
                <w:sz w:val="19"/>
              </w:rPr>
              <w:t>Difficulty concentrating ('brain fog')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Cognitive fatigue and poor concentration during prolonged recovery.</w:t>
            </w:r>
          </w:p>
        </w:tc>
      </w:tr>
      <w:tr>
        <w:trPr>
          <w:cantSplit/>
        </w:trPr>
        <w:tc>
          <w:tcPr>
            <w:tcW w:type="dxa" w:w="2304"/>
            <w:vAlign w:val="top"/>
          </w:tcPr>
          <w:p>
            <w:pPr>
              <w:spacing w:after="40" w:before="0" w:line="259" w:lineRule="auto"/>
            </w:pPr>
            <w:r>
              <w:rPr>
                <w:rFonts w:ascii="Calibri" w:hAnsi="Calibri"/>
                <w:b/>
                <w:i w:val="0"/>
                <w:color w:val="212121"/>
                <w:sz w:val="19"/>
              </w:rPr>
              <w:t>Visual sensitivity / discomfort in busy environments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Crowded, moving or patterned visual scenes provoke symptoms, especially in evolving PPPD.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Spontaneous unidirectional nystagmus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Horizontal-torsional nystagmus beating toward the healthy ear, suppressed by visual fixation.</w:t>
            </w:r>
          </w:p>
        </w:tc>
      </w:tr>
      <w:tr>
        <w:trPr>
          <w:cantSplit/>
        </w:trPr>
        <w:tc>
          <w:tcPr>
            <w:tcW w:type="dxa" w:w="3456"/>
            <w:vAlign w:val="top"/>
          </w:tcPr>
          <w:p>
            <w:pPr>
              <w:spacing w:after="40" w:before="0" w:line="259" w:lineRule="auto"/>
            </w:pPr>
            <w:r>
              <w:rPr>
                <w:rFonts w:ascii="Calibri" w:hAnsi="Calibri"/>
                <w:b/>
                <w:i w:val="0"/>
                <w:color w:val="212121"/>
                <w:sz w:val="19"/>
              </w:rPr>
              <w:t>Positive head-impulse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corrective catch-up saccade on rapid head turn toward the affected side indicates peripheral vestibular loss.</w:t>
            </w:r>
          </w:p>
        </w:tc>
      </w:tr>
      <w:tr>
        <w:trPr>
          <w:cantSplit/>
        </w:trPr>
        <w:tc>
          <w:tcPr>
            <w:tcW w:type="dxa" w:w="3456"/>
            <w:vAlign w:val="top"/>
          </w:tcPr>
          <w:p>
            <w:pPr>
              <w:spacing w:after="40" w:before="0" w:line="259" w:lineRule="auto"/>
            </w:pPr>
            <w:r>
              <w:rPr>
                <w:rFonts w:ascii="Calibri" w:hAnsi="Calibri"/>
                <w:b/>
                <w:i w:val="0"/>
                <w:color w:val="212121"/>
                <w:sz w:val="19"/>
              </w:rPr>
              <w:t>No skew deviation (normal test of skew)</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Absence of vertical ocular misalignment supports a peripheral rather than central lesion.</w:t>
            </w:r>
          </w:p>
        </w:tc>
      </w:tr>
      <w:tr>
        <w:trPr>
          <w:cantSplit/>
        </w:trPr>
        <w:tc>
          <w:tcPr>
            <w:tcW w:type="dxa" w:w="3456"/>
            <w:vAlign w:val="top"/>
          </w:tcPr>
          <w:p>
            <w:pPr>
              <w:spacing w:after="40" w:before="0" w:line="259" w:lineRule="auto"/>
            </w:pPr>
            <w:r>
              <w:rPr>
                <w:rFonts w:ascii="Calibri" w:hAnsi="Calibri"/>
                <w:b/>
                <w:i w:val="0"/>
                <w:color w:val="212121"/>
                <w:sz w:val="19"/>
              </w:rPr>
              <w:t>Romberg fall toward the affected side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vestibular input causes leaning/falling to the lesioned side with eyes closed.</w:t>
            </w:r>
          </w:p>
        </w:tc>
      </w:tr>
      <w:tr>
        <w:trPr>
          <w:cantSplit/>
        </w:trPr>
        <w:tc>
          <w:tcPr>
            <w:tcW w:type="dxa" w:w="3456"/>
            <w:vAlign w:val="top"/>
          </w:tcPr>
          <w:p>
            <w:pPr>
              <w:spacing w:after="40" w:before="0" w:line="259" w:lineRule="auto"/>
            </w:pPr>
            <w:r>
              <w:rPr>
                <w:rFonts w:ascii="Calibri" w:hAnsi="Calibri"/>
                <w:b/>
                <w:i w:val="0"/>
                <w:color w:val="212121"/>
                <w:sz w:val="19"/>
              </w:rPr>
              <w:t>Unsteady, deviating gait / past-pointing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Gait veers toward the affected side; limb past-pointing on the same side.</w:t>
            </w:r>
          </w:p>
        </w:tc>
      </w:tr>
      <w:tr>
        <w:trPr>
          <w:cantSplit/>
        </w:trPr>
        <w:tc>
          <w:tcPr>
            <w:tcW w:type="dxa" w:w="3456"/>
            <w:vAlign w:val="top"/>
          </w:tcPr>
          <w:p>
            <w:pPr>
              <w:spacing w:after="40" w:before="0" w:line="259" w:lineRule="auto"/>
            </w:pPr>
            <w:r>
              <w:rPr>
                <w:rFonts w:ascii="Calibri" w:hAnsi="Calibri"/>
                <w:b/>
                <w:i w:val="0"/>
                <w:color w:val="212121"/>
                <w:sz w:val="19"/>
              </w:rPr>
              <w:t>Unilateral caloric weakness (canal paresis)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caloric response on the affected side confirms unilateral vestibular hypofunction.</w:t>
            </w:r>
          </w:p>
        </w:tc>
      </w:tr>
      <w:tr>
        <w:trPr>
          <w:cantSplit/>
        </w:trPr>
        <w:tc>
          <w:tcPr>
            <w:tcW w:type="dxa" w:w="3456"/>
            <w:vAlign w:val="top"/>
          </w:tcPr>
          <w:p>
            <w:pPr>
              <w:spacing w:after="40" w:before="0" w:line="259" w:lineRule="auto"/>
            </w:pPr>
            <w:r>
              <w:rPr>
                <w:rFonts w:ascii="Calibri" w:hAnsi="Calibri"/>
                <w:b/>
                <w:i w:val="0"/>
                <w:color w:val="212121"/>
                <w:sz w:val="19"/>
              </w:rPr>
              <w:t>Reduced vHIT VOR gain with saccades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demonstration of impaired vestibulo-ocular reflex on the affected side.</w:t>
            </w:r>
          </w:p>
        </w:tc>
      </w:tr>
      <w:tr>
        <w:trPr>
          <w:cantSplit/>
        </w:trPr>
        <w:tc>
          <w:tcPr>
            <w:tcW w:type="dxa" w:w="3456"/>
            <w:vAlign w:val="top"/>
          </w:tcPr>
          <w:p>
            <w:pPr>
              <w:spacing w:after="40" w:before="0" w:line="259" w:lineRule="auto"/>
            </w:pPr>
            <w:r>
              <w:rPr>
                <w:rFonts w:ascii="Calibri" w:hAnsi="Calibri"/>
                <w:b/>
                <w:i w:val="0"/>
                <w:color w:val="212121"/>
                <w:sz w:val="19"/>
              </w:rPr>
              <w:t>Sensorineural hearing loss on audiometry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Present in labyrinthitis; distinguishes it from vestibular neuritis where hearing is preserved.</w:t>
            </w:r>
          </w:p>
        </w:tc>
      </w:tr>
      <w:tr>
        <w:trPr>
          <w:cantSplit/>
        </w:trPr>
        <w:tc>
          <w:tcPr>
            <w:tcW w:type="dxa" w:w="3456"/>
            <w:vAlign w:val="top"/>
          </w:tcPr>
          <w:p>
            <w:pPr>
              <w:spacing w:after="40" w:before="0" w:line="259" w:lineRule="auto"/>
            </w:pPr>
            <w:r>
              <w:rPr>
                <w:rFonts w:ascii="Calibri" w:hAnsi="Calibri"/>
                <w:b/>
                <w:i w:val="0"/>
                <w:color w:val="212121"/>
                <w:sz w:val="19"/>
              </w:rPr>
              <w:t>Positive Fukuda stepping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Rotation of the body toward the affected side when marching in place with eyes closed.</w:t>
            </w:r>
          </w:p>
        </w:tc>
      </w:tr>
      <w:tr>
        <w:trPr>
          <w:cantSplit/>
        </w:trPr>
        <w:tc>
          <w:tcPr>
            <w:tcW w:type="dxa" w:w="3456"/>
            <w:vAlign w:val="top"/>
          </w:tcPr>
          <w:p>
            <w:pPr>
              <w:spacing w:after="40" w:before="0" w:line="259" w:lineRule="auto"/>
            </w:pPr>
            <w:r>
              <w:rPr>
                <w:rFonts w:ascii="Calibri" w:hAnsi="Calibri"/>
                <w:b/>
                <w:i w:val="0"/>
                <w:color w:val="212121"/>
                <w:sz w:val="19"/>
              </w:rPr>
              <w:t>Abnormal otoscopy (otogenic cases)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Discharge, perforation or cholesteatoma pointing to a suppurative labyrinthitis; normal in viral neuritis.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electrolyte imbalance from persistent vomiting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and injuries during the acute vertiginous phase (especially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and inability to maintain oral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incapacity and inability to work or drive</w:t>
            </w:r>
          </w:p>
        </w:tc>
        <w:tc>
          <w:tcPr>
            <w:tcW w:type="dxa" w:w="2980"/>
            <w:vAlign w:val="top"/>
          </w:tcPr>
          <w:p>
            <w:pPr>
              <w:spacing w:after="40" w:before="0" w:line="259" w:lineRule="auto"/>
            </w:pPr>
            <w:r>
              <w:rPr>
                <w:rFonts w:ascii="Calibri" w:hAnsi="Calibri"/>
                <w:b w:val="0"/>
                <w:i w:val="0"/>
                <w:color w:val="212121"/>
                <w:sz w:val="19"/>
              </w:rPr>
              <w:t>Immediate consequences of the acute, disabling vertigo and its autonomic effects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benign paroxysmal positional vertigo (BPPV)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unilateral vestibular hypofunction with residual imbalance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Sensorineural hearing loss and tinnitus (labyrinthitis)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Intracranial spread of suppurative labyrinthitis (meningitis,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Labyrinthine fibrosis/ossification after suppurative labyrinthitis</w:t>
            </w:r>
          </w:p>
        </w:tc>
        <w:tc>
          <w:tcPr>
            <w:tcW w:type="dxa" w:w="2980"/>
            <w:vAlign w:val="top"/>
          </w:tcPr>
          <w:p>
            <w:pPr>
              <w:spacing w:after="40" w:before="0" w:line="259" w:lineRule="auto"/>
            </w:pPr>
            <w:r>
              <w:rPr>
                <w:rFonts w:ascii="Calibri" w:hAnsi="Calibri"/>
                <w:b w:val="0"/>
                <w:i w:val="0"/>
                <w:color w:val="212121"/>
                <w:sz w:val="19"/>
              </w:rPr>
              <w:t>Structural and functional sequelae from vestibular loss or from bacterial extension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postural-perceptual dizziness (PPPD) / chronic dizziness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imbalance with recurrent falls and fractures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anxiety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occupational impairment and driving restriction</w:t>
            </w:r>
          </w:p>
        </w:tc>
        <w:tc>
          <w:tcPr>
            <w:tcW w:type="dxa" w:w="2980"/>
            <w:vAlign w:val="top"/>
          </w:tcPr>
          <w:p>
            <w:pPr>
              <w:spacing w:after="40" w:before="0" w:line="259" w:lineRule="auto"/>
            </w:pPr>
            <w:r>
              <w:rPr>
                <w:rFonts w:ascii="Calibri" w:hAnsi="Calibri"/>
                <w:b w:val="0"/>
                <w:i w:val="0"/>
                <w:color w:val="212121"/>
                <w:sz w:val="19"/>
              </w:rPr>
              <w:t>Long-term, disabling outcomes that arise when acute symptoms fail to resolve or over-compensate psychologically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Benign paroxysmal positional vertigo (BPPV)</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Displaced otoconia after vestibular inflammation cause brief positional vertigo; secondary BPPV is the commonest sequela of vestibular neuritis and shares inner-ear pathology.</w:t>
            </w:r>
          </w:p>
          <w:p>
            <w:pPr>
              <w:spacing w:after="40" w:before="0" w:line="259" w:lineRule="auto"/>
            </w:pPr>
            <w:r>
              <w:rPr>
                <w:rFonts w:ascii="Calibri" w:hAnsi="Calibri"/>
                <w:b/>
                <w:i w:val="0"/>
                <w:color w:val="212121"/>
                <w:sz w:val="19"/>
              </w:rPr>
              <w:t>~10–15% after neuritis</w:t>
            </w:r>
          </w:p>
        </w:tc>
      </w:tr>
      <w:tr>
        <w:trPr>
          <w:cantSplit/>
        </w:trPr>
        <w:tc>
          <w:tcPr>
            <w:tcW w:type="dxa" w:w="2232"/>
            <w:vAlign w:val="top"/>
          </w:tcPr>
          <w:p>
            <w:pPr>
              <w:spacing w:after="40" w:before="0" w:line="259" w:lineRule="auto"/>
            </w:pPr>
            <w:r>
              <w:rPr>
                <w:rFonts w:ascii="Calibri" w:hAnsi="Calibri"/>
                <w:b/>
                <w:i w:val="0"/>
                <w:color w:val="212121"/>
                <w:sz w:val="19"/>
              </w:rPr>
              <w:t>Persistent postural-perceptual dizziness (PPPD)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Chronic non-spinning dizziness provoked by movement and visual stimuli that develops after an acute vestibular event, driven by maladaptive postural control and anxiety.</w:t>
            </w:r>
          </w:p>
          <w:p>
            <w:pPr>
              <w:spacing w:after="40" w:before="0" w:line="259" w:lineRule="auto"/>
            </w:pPr>
            <w:r>
              <w:rPr>
                <w:rFonts w:ascii="Calibri" w:hAnsi="Calibri"/>
                <w:b/>
                <w:i w:val="0"/>
                <w:color w:val="212121"/>
                <w:sz w:val="19"/>
              </w:rPr>
              <w:t>~35.6% of chronic vestibular syndrome</w:t>
            </w:r>
          </w:p>
        </w:tc>
      </w:tr>
      <w:tr>
        <w:trPr>
          <w:cantSplit/>
        </w:trPr>
        <w:tc>
          <w:tcPr>
            <w:tcW w:type="dxa" w:w="2232"/>
            <w:vAlign w:val="top"/>
          </w:tcPr>
          <w:p>
            <w:pPr>
              <w:spacing w:after="40" w:before="0" w:line="259" w:lineRule="auto"/>
            </w:pPr>
            <w:r>
              <w:rPr>
                <w:rFonts w:ascii="Calibri" w:hAnsi="Calibri"/>
                <w:b/>
                <w:i w:val="0"/>
                <w:color w:val="212121"/>
                <w:sz w:val="19"/>
              </w:rPr>
              <w:t>Anxiety and panic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frightening vertigo triggers anxiety, and pre-existing anxiety strongly predicts progression to chronic PPPD; the relationship runs in both directions.</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Prolonged disability, imbalance and loss of independence frequently lead to low mood, which in turn slows rehabilitation and recovery.</w:t>
            </w:r>
          </w:p>
        </w:tc>
      </w:tr>
      <w:tr>
        <w:trPr>
          <w:cantSplit/>
        </w:trPr>
        <w:tc>
          <w:tcPr>
            <w:tcW w:type="dxa" w:w="2232"/>
            <w:vAlign w:val="top"/>
          </w:tcPr>
          <w:p>
            <w:pPr>
              <w:spacing w:after="40" w:before="0" w:line="259" w:lineRule="auto"/>
            </w:pPr>
            <w:r>
              <w:rPr>
                <w:rFonts w:ascii="Calibri" w:hAnsi="Calibri"/>
                <w:b/>
                <w:i w:val="0"/>
                <w:color w:val="212121"/>
                <w:sz w:val="19"/>
              </w:rPr>
              <w:t>Vestibular migraine / migraine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Migraine biology overlaps with vestibular symptoms and raises the risk of chronic dizziness; migraine is common in India and closely associated with positional vertigo.</w:t>
            </w:r>
          </w:p>
        </w:tc>
      </w:tr>
      <w:tr>
        <w:trPr>
          <w:cantSplit/>
        </w:trPr>
        <w:tc>
          <w:tcPr>
            <w:tcW w:type="dxa" w:w="2232"/>
            <w:vAlign w:val="top"/>
          </w:tcPr>
          <w:p>
            <w:pPr>
              <w:spacing w:after="40" w:before="0" w:line="259" w:lineRule="auto"/>
            </w:pPr>
            <w:r>
              <w:rPr>
                <w:rFonts w:ascii="Calibri" w:hAnsi="Calibri"/>
                <w:b/>
                <w:i w:val="0"/>
                <w:color w:val="212121"/>
                <w:sz w:val="19"/>
              </w:rPr>
              <w:t>Chronic suppurative otitis media / cholesteatoma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Untreated middle-ear disease can erode into the labyrinth and cause suppurative labyrinthitis; a major preventable cause in India.</w:t>
            </w:r>
          </w:p>
        </w:tc>
      </w:tr>
      <w:tr>
        <w:trPr>
          <w:cantSplit/>
        </w:trPr>
        <w:tc>
          <w:tcPr>
            <w:tcW w:type="dxa" w:w="2232"/>
            <w:vAlign w:val="top"/>
          </w:tcPr>
          <w:p>
            <w:pPr>
              <w:spacing w:after="40" w:before="0" w:line="259" w:lineRule="auto"/>
            </w:pPr>
            <w:r>
              <w:rPr>
                <w:rFonts w:ascii="Calibri" w:hAnsi="Calibri"/>
                <w:b/>
                <w:i w:val="0"/>
                <w:color w:val="212121"/>
                <w:sz w:val="19"/>
              </w:rPr>
              <w:t>Sensorineural hearing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Cochlear involvement in labyrinthitis, or meningogenic spread, can cause permanent hearing loss alongside the vertigo.</w:t>
            </w:r>
          </w:p>
        </w:tc>
      </w:tr>
      <w:tr>
        <w:trPr>
          <w:cantSplit/>
        </w:trPr>
        <w:tc>
          <w:tcPr>
            <w:tcW w:type="dxa" w:w="2232"/>
            <w:vAlign w:val="top"/>
          </w:tcPr>
          <w:p>
            <w:pPr>
              <w:spacing w:after="40" w:before="0" w:line="259" w:lineRule="auto"/>
            </w:pPr>
            <w:r>
              <w:rPr>
                <w:rFonts w:ascii="Calibri" w:hAnsi="Calibri"/>
                <w:b/>
                <w:i w:val="0"/>
                <w:color w:val="212121"/>
                <w:sz w:val="19"/>
              </w:rPr>
              <w:t>Bacterial meningitis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Meningitis can spread to the labyrinth (meningogenic labyrinthitis) and, conversely, suppurative labyrinthitis can extend intracranially to cause meningitis.</w:t>
            </w:r>
          </w:p>
          <w:p>
            <w:pPr>
              <w:spacing w:after="40" w:before="0" w:line="259" w:lineRule="auto"/>
            </w:pPr>
            <w:r>
              <w:rPr>
                <w:rFonts w:ascii="Calibri" w:hAnsi="Calibri"/>
                <w:b/>
                <w:i w:val="0"/>
                <w:color w:val="212121"/>
                <w:sz w:val="19"/>
              </w:rPr>
              <w:t>~20% of children with bacterial meningitis develop vestibular/auditory symptoms</w:t>
            </w:r>
          </w:p>
        </w:tc>
      </w:tr>
      <w:tr>
        <w:trPr>
          <w:cantSplit/>
        </w:trPr>
        <w:tc>
          <w:tcPr>
            <w:tcW w:type="dxa" w:w="2232"/>
            <w:vAlign w:val="top"/>
          </w:tcPr>
          <w:p>
            <w:pPr>
              <w:spacing w:after="40" w:before="0" w:line="259" w:lineRule="auto"/>
            </w:pPr>
            <w:r>
              <w:rPr>
                <w:rFonts w:ascii="Calibri" w:hAnsi="Calibri"/>
                <w:b/>
                <w:i w:val="0"/>
                <w:color w:val="212121"/>
                <w:sz w:val="19"/>
              </w:rPr>
              <w:t>Diabetes mellitus / vascular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Microvascular disease compromises labyrinthine perfusion, predisposing to ischaemic labyrinthitis and slowing vestibular recovery.</w:t>
            </w:r>
          </w:p>
        </w:tc>
      </w:tr>
      <w:tr>
        <w:trPr>
          <w:cantSplit/>
        </w:trPr>
        <w:tc>
          <w:tcPr>
            <w:tcW w:type="dxa" w:w="2232"/>
            <w:vAlign w:val="top"/>
          </w:tcPr>
          <w:p>
            <w:pPr>
              <w:spacing w:after="40" w:before="0" w:line="259" w:lineRule="auto"/>
            </w:pPr>
            <w:r>
              <w:rPr>
                <w:rFonts w:ascii="Calibri" w:hAnsi="Calibri"/>
                <w:b/>
                <w:i w:val="0"/>
                <w:color w:val="212121"/>
                <w:sz w:val="19"/>
              </w:rPr>
              <w:t>Herpes simplex / herpes zoster (Ramsay Hunt)</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Reactivation of latent herpesviruses in the vestibular ganglion is the presumed cause of most neuritis; zoster oticus produces labyrinthitis with facial palsy and vesicles.</w:t>
            </w:r>
          </w:p>
        </w:tc>
      </w:tr>
      <w:tr>
        <w:trPr>
          <w:cantSplit/>
        </w:trPr>
        <w:tc>
          <w:tcPr>
            <w:tcW w:type="dxa" w:w="2232"/>
            <w:vAlign w:val="top"/>
          </w:tcPr>
          <w:p>
            <w:pPr>
              <w:spacing w:after="40" w:before="0" w:line="259" w:lineRule="auto"/>
            </w:pPr>
            <w:r>
              <w:rPr>
                <w:rFonts w:ascii="Calibri" w:hAnsi="Calibri"/>
                <w:b/>
                <w:i w:val="0"/>
                <w:color w:val="212121"/>
                <w:sz w:val="19"/>
              </w:rPr>
              <w:t>Falls and fractures (elderly)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Acute vertigo and residual imbalance greatly increase falls in older adults, a leading cause of injury and disability in the Indian elderly.</w:t>
            </w:r>
          </w:p>
        </w:tc>
      </w:tr>
      <w:tr>
        <w:trPr>
          <w:cantSplit/>
        </w:trPr>
        <w:tc>
          <w:tcPr>
            <w:tcW w:type="dxa" w:w="2232"/>
            <w:vAlign w:val="top"/>
          </w:tcPr>
          <w:p>
            <w:pPr>
              <w:spacing w:after="40" w:before="0" w:line="259" w:lineRule="auto"/>
            </w:pPr>
            <w:r>
              <w:rPr>
                <w:rFonts w:ascii="Calibri" w:hAnsi="Calibri"/>
                <w:b/>
                <w:i w:val="0"/>
                <w:color w:val="212121"/>
                <w:sz w:val="19"/>
              </w:rPr>
              <w:t>Posterior-circulation (AICA) stroke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Cerebellar/brainstem stroke can mimic acute vestibular neuritis; distinguishing the two (e.g., with HINTS) is critical and alters management entirely.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sudden, spinning vertigo lasting more than a day is a medical problem needing evaluation, not just ordinary 'chakkar' or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emergency red flags that suggest a stroke rather than benign neuritis: sudden severe headache, double vision, slurred speech, facial or limb weakness, numbness, or inability to walk — seek immediate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hearing loss or ringing with the vertigo (labyrinthitis) needs prompt ENT review, as it can become permanent.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ear infections and ear discharge early and completely to prevent spread into the inner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viral-infection risk with hand and respiratory hygiene, and manage stress, sleep and diabetes, which influence susceptibility and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recurrent ear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Reassurance that most cases settle over days to weeks as the brain compensates, and that staying active speeds this 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short-term vestibular-suppressant/anti-sickness medication only for the first 1–3 days; prolonged use delays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early corticosteroids may aid recovery of vestibular function in selected cases, decided with a doctor.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report persistent movement-provoked dizziness so that PPPD can be identified and treated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vestibular neuritis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labyrinthitis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prolonged dizziness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gentle head and eye movements as soon as the worst nausea settles, rather than lying still, to promote central compensation.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structured vestibular rehabilitation exercises (gaze stabilisation, balance and gait training) daily, ideally guided by a physiotherapist.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 gradually to walking, turning and busy-environment exposure to retrain balance and reduce visual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the elderly, add supervised balance and strength work to cut the risk of falls during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neuritis/labyrinthitis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imbalance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residual dizziness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general activity and balance fitness, which support faster recovery if an attack occurs.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deconditioning, especially in older adults, to preserve postural stability.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and calcium (sunlight, dairy/fortified foods, or supplements if deficient), given the link between deficiency and positional vertigo.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fibre-rich diet and control diabetes and vascular risk factors that impair inner-ear blood supply.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salt and caffeine, which can heighten inner-ear symptom perception.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positional vertigo</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small, frequent, bland meals and sips of fluid during the acute nauseated phase to prevent dehydration.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throughout recovery, as dehydration worsens light-headedness.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the acute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Vomiting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since sleep deprivation lowers immunity and may favour viral reactivation.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to support recovery and reduce dizziness perception.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 sleep-deprived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protect the small blood vessels supplying the inner ear and improve vestibular compensation.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contributes to vascular and respiratory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vascular risk factors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the acute attack and early recovery, as it causes positional nystagmus and worsens 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long-term intake within safe limits to reduce imbalance and fall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at fall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and fear early with reassurance, breathing/relaxation techniques and, where needed, cognitive behavioural therapy, to prevent chronic PPPD.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excessive movement avoidance; graded exposure to feared movements and environments is part of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during prolonged recovery, as low mood slows rehabilitation.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referral for combined vestibular rehabilitation and psychological therapy in patients with persistent, movement-provoked dizziness.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high anxiety/DHI scores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PPPD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prolonged dizziness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estibular.org/article/diagnosis-treatment/types-of-vestibular-disorders/labyrinthitis-and-vestibular-neuritis/" TargetMode="External"/><Relationship Id="rId10" Type="http://schemas.openxmlformats.org/officeDocument/2006/relationships/hyperlink" Target="https://pubmed.ncbi.nlm.nih.gov/31333298/" TargetMode="External"/><Relationship Id="rId11" Type="http://schemas.openxmlformats.org/officeDocument/2006/relationships/hyperlink" Target="https://pubmed.ncbi.nlm.nih.gov/35846804/" TargetMode="External"/><Relationship Id="rId12" Type="http://schemas.openxmlformats.org/officeDocument/2006/relationships/hyperlink" Target="https://pubmed.ncbi.nlm.nih.gov/23119748/" TargetMode="External"/><Relationship Id="rId13" Type="http://schemas.openxmlformats.org/officeDocument/2006/relationships/hyperlink" Target="https://www.ncbi.nlm.nih.gov/books/NBK560506/" TargetMode="External"/><Relationship Id="rId14" Type="http://schemas.openxmlformats.org/officeDocument/2006/relationships/hyperlink" Target="https://pubmed.ncbi.nlm.nih.gov/25581507/" TargetMode="External"/><Relationship Id="rId15" Type="http://schemas.openxmlformats.org/officeDocument/2006/relationships/hyperlink" Target="https://pubmed.ncbi.nlm.nih.gov/35994134/" TargetMode="External"/><Relationship Id="rId16" Type="http://schemas.openxmlformats.org/officeDocument/2006/relationships/hyperlink" Target="https://pubmed.ncbi.nlm.nih.gov/36032844/" TargetMode="External"/><Relationship Id="rId17" Type="http://schemas.openxmlformats.org/officeDocument/2006/relationships/hyperlink" Target="https://www.ncbi.nlm.nih.gov/books/NBK549866/" TargetMode="External"/><Relationship Id="rId18" Type="http://schemas.openxmlformats.org/officeDocument/2006/relationships/hyperlink" Target="https://pubmed.ncbi.nlm.nih.gov/34864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