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Parasomnias (sleepwalking, night terrors)</w:t>
      </w:r>
    </w:p>
    <w:p>
      <w:pPr>
        <w:spacing w:before="0" w:after="160"/>
      </w:pPr>
      <w:r>
        <w:rPr>
          <w:rFonts w:ascii="Calibri" w:hAnsi="Calibri"/>
          <w:b/>
          <w:i w:val="0"/>
          <w:color w:val="212121"/>
          <w:sz w:val="22"/>
        </w:rPr>
        <w:t xml:space="preserve">AKA </w:t>
      </w:r>
      <w:r>
        <w:rPr>
          <w:rFonts w:ascii="Calibri" w:hAnsi="Calibri"/>
          <w:b w:val="0"/>
          <w:i w:val="0"/>
          <w:color w:val="212121"/>
          <w:sz w:val="22"/>
        </w:rPr>
        <w:t>i.e., Sleepwalking = Somnambulism; Night terrors = Sleep terrors / Pavor nocturnus; Disorders of arousal (DOA); NREM parasomnias; Sleep-related abnormal behaviours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Parasomnias are a group of sleep disorders characterised by undesirable physical events or experiences — abnormal movements, behaviours, emotions, perceptions or dreams — that occur while falling asleep, during sleep, or on arousal. Sleepwalking (somnambulism) and sleep (night) terrors are the commonest “disorders of arousal”, arising from an incomplete awakening out of deep non-REM slow-wave sleep, typically in the first third of the night, with impaired responsiveness and amnesia for the event. They are most prevalent in childhood and are usually benign and self-limited, although injury, adult-onset events, or REM-related forms such as REM sleep behaviour disorder (RBD) may signal underlying pathology.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Parasomnias are chiefly a childhood phenomenon. In Indian school-children (Dehradun, ages 8–13 years) sleep-talking was reported in about 20.9%, night terrors in 8.4%, teeth-grinding in 15.4% and sleepwalking in 3.2%, against a background in which sleep problems affect roughly 20–42% of Indian children. Childhood sleepwalking peaks around 13% near age 10 and sleep terrors reach up to ~34% in toddlers, with most cases resolving by adolescence; in adults sleepwalking (~2%) and sleep terrors (~2.2%) are far less common, while REM sleep behaviour disorder affects roughly 1% of the older general population.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Parasomnias are diagnosed clinically using International Classification of Sleep Disorders (ICSD-3) criteria, supported by a careful history from a bed partner or parent and, where events are atypical, injurious or of adult onset, by video-polysomnography. The core requirements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episodes of incomplete awakening, usually arising from slow-wave (N3) sleep in the first third of the night for NREM disorders of arousal;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inappropriate or absent responsiveness during the episode, with limited or no cognition and little or no dream imagery, and partial or complete amnesia for the event afterwards;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sleep terrors: an abrupt arousal beginning with a cry or scream and intense autonomic fear (tachycardia, tachypnoea, sweating, mydriasis) with inconsolability;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sleepwalking: ambulation and other complex motor behaviours arising during sleep, often with open, glassy eyes;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REM sleep behaviour disorder: polysomnographic REM sleep without atonia together with a history of dream-enactment behaviour;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video-polysomnography (± extended EEG montage) to characterise events and to exclude obstructive sleep apnoea and nocturnal (sleep-related hypermotor) epilepsy;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episodes are not better explained by another sleep, medical, neurological, mental, or substance/medication disorder.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 the ICSD-3, parasomnias are grouped by the sleep stage from which they arise:</w:t>
      </w:r>
    </w:p>
    <w:p>
      <w:pPr>
        <w:spacing w:before="0" w:after="80"/>
      </w:pPr>
      <w:r>
        <w:rPr>
          <w:rFonts w:ascii="Calibri" w:hAnsi="Calibri"/>
          <w:b w:val="0"/>
          <w:i w:val="0"/>
          <w:color w:val="212121"/>
          <w:sz w:val="21"/>
        </w:rPr>
        <w:t>(1) NREM-related parasomnias (disorders of arousal): confusional arousals, sleepwalking (somnambulism), sleep terrors (night terrors / pavor nocturnus) and sleep-related eating disorder. They arise from incomplete arousal out of slow-wave sleep, occur mostly in the first third of the night, are associated with amnesia and blunted dream recall, and predominate in children;</w:t>
      </w:r>
    </w:p>
    <w:p>
      <w:pPr>
        <w:spacing w:before="0" w:after="80"/>
      </w:pPr>
      <w:r>
        <w:rPr>
          <w:rFonts w:ascii="Calibri" w:hAnsi="Calibri"/>
          <w:b w:val="0"/>
          <w:i w:val="0"/>
          <w:color w:val="212121"/>
          <w:sz w:val="21"/>
        </w:rPr>
        <w:t>(2) REM-related parasomnias: REM sleep behaviour disorder (dream enactment with loss of REM muscle atonia, typically in older men and carrying a high long-term risk of synucleinopathy), nightmare disorder, and recurrent isolated sleep paralysis. These tend to occur in the second half of the night, with relatively preserved dream recall;</w:t>
      </w:r>
    </w:p>
    <w:p>
      <w:pPr>
        <w:spacing w:before="0" w:after="80"/>
      </w:pPr>
      <w:r>
        <w:rPr>
          <w:rFonts w:ascii="Calibri" w:hAnsi="Calibri"/>
          <w:b w:val="0"/>
          <w:i w:val="0"/>
          <w:color w:val="212121"/>
          <w:sz w:val="21"/>
        </w:rPr>
        <w:t>(3) Other parasomnias: exploding head syndrome, sleep-related hallucinations, sleep enuresis, and parasomnias due to a medical disorder, medication or substance.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Disorders of arousal show strong familial aggregation; risk rises steeply when one and especially both parents were affected, and HLA-DQB1*05 alleles are over-represented in sleepwalkers.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Immature or altered arousal regulation: Incomplete arousal from abundant slow-wave (N3) sleep produces simultaneous sleep and wake states (state dissociation); the large amount of deep sleep in children explains the childhood peak.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Sleep deprivation and irregular schedules: Prior sleep loss deepens slow-wave-sleep rebound and raises arousal pressure, priming disorders of arousal.</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Sleep fragmentation from comorbid disorders: Obstructive sleep apnoea, periodic limb movements, gastro-oesophageal reflux, a full bladder or pain provoke the cortical arousals that trigger episodes.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Psychological stress and psychiatric illness: Anxiety, depression, bipolar disorder and post-traumatic stress lower the arousal threshold and precipitate events, including nightmares.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Substances and medications: Alcohol, sedative-hypnotics (e.g., zolpidem), lithium, sodium oxybate and serotonergic antidepressants can precipitate or unmask parasomnias.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Neurodegeneration (RBD): Loss of REM atonia reflects brainstem synuclein pathology and marks a prodrome of Parkinson disease and related synucleinopathies.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(toddlers to pre-adolescents)</w:t>
            </w:r>
          </w:p>
        </w:tc>
        <w:tc>
          <w:tcPr>
            <w:tcW w:type="dxa" w:w="4276"/>
            <w:vAlign w:val="top"/>
          </w:tcPr>
          <w:p>
            <w:pPr>
              <w:spacing w:after="60" w:line="259" w:lineRule="auto"/>
            </w:pPr>
            <w:r>
              <w:rPr>
                <w:rFonts w:ascii="Calibri" w:hAnsi="Calibri"/>
                <w:b w:val="0"/>
                <w:i w:val="0"/>
                <w:color w:val="212121"/>
                <w:sz w:val="19"/>
              </w:rPr>
              <w:t>Children have the greatest proportion of deep slow-wave (N3) sleep, from which disorders of arousal emerge; immature arousal regulation makes incomplete awakenings common. Most episodes are benign and remit by adolescence.</w:t>
            </w:r>
          </w:p>
          <w:p>
            <w:pPr>
              <w:spacing w:after="40" w:before="60" w:line="259" w:lineRule="auto"/>
            </w:pPr>
            <w:r>
              <w:rPr>
                <w:rFonts w:ascii="Calibri" w:hAnsi="Calibri"/>
                <w:b w:val="0"/>
                <w:i w:val="0"/>
                <w:color w:val="212121"/>
                <w:sz w:val="19"/>
              </w:rPr>
              <w:t>Sleep terrors peak at ~34.4% around age 1.5 years and sleepwalking at ~13.4% around age 10 in a large longitudinal cohort; ~1 in 3 children with early sleep terrors later sleepwalk.</w:t>
            </w:r>
          </w:p>
          <w:p>
            <w:pPr>
              <w:spacing w:after="40" w:line="252" w:lineRule="auto"/>
            </w:pPr>
            <w:hyperlink r:id="rId9">
              <w:r>
                <w:rPr>
                  <w:rFonts w:ascii="Calibri" w:hAnsi="Calibri" w:cs="Calibri"/>
                  <w:sz w:val="18"/>
                  <w:color w:val="1155CC"/>
                  <w:u w:val="single"/>
                </w:rPr>
                <w:t xml:space="preserve">pubmed.ncbi.nlm.nih.gov/25938617</w:t>
              </w:r>
            </w:hyperlink>
          </w:p>
          <w:p>
            <w:pPr>
              <w:spacing w:before="60" w:after="40"/>
            </w:pPr>
            <w:r>
              <w:rPr>
                <w:rFonts w:ascii="Calibri" w:hAnsi="Calibri"/>
                <w:b w:val="0"/>
                <w:i w:val="0"/>
                <w:color w:val="5A5A5A"/>
                <w:sz w:val="18"/>
              </w:rPr>
              <w:t>#childhood  #slowwavesleep  #disordersofarousal  #nightterrors  #selflimited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Disorders of arousal are much less common but persist or re-emerge in a minority, often triggered by sleep loss, stress, alcohol or a comorbid sleep disorder; adult-onset or injurious events warrant polysomnography.</w:t>
            </w:r>
          </w:p>
          <w:p>
            <w:pPr>
              <w:spacing w:after="40" w:before="60" w:line="259" w:lineRule="auto"/>
            </w:pPr>
            <w:r>
              <w:rPr>
                <w:rFonts w:ascii="Calibri" w:hAnsi="Calibri"/>
                <w:b w:val="0"/>
                <w:i w:val="0"/>
                <w:color w:val="212121"/>
                <w:sz w:val="19"/>
              </w:rPr>
              <w:t>In UK adults, current prevalence was ~2.0% for sleepwalking, 2.2% for sleep terrors and 4.2% for confusional arousals; US adults reported past-year nocturnal wandering of 3.6%.</w:t>
            </w:r>
          </w:p>
          <w:p>
            <w:pPr>
              <w:spacing w:after="40" w:line="252" w:lineRule="auto"/>
            </w:pPr>
            <w:hyperlink r:id="rId10">
              <w:r>
                <w:rPr>
                  <w:rFonts w:ascii="Calibri" w:hAnsi="Calibri" w:cs="Calibri"/>
                  <w:sz w:val="18"/>
                  <w:color w:val="1155CC"/>
                  <w:u w:val="single"/>
                </w:rPr>
                <w:t xml:space="preserve">pubmed.ncbi.nlm.nih.gov/10221293</w:t>
              </w:r>
            </w:hyperlink>
          </w:p>
          <w:p>
            <w:pPr>
              <w:spacing w:before="60" w:after="40"/>
            </w:pPr>
            <w:r>
              <w:rPr>
                <w:rFonts w:ascii="Calibri" w:hAnsi="Calibri"/>
                <w:b w:val="0"/>
                <w:i w:val="0"/>
                <w:color w:val="5A5A5A"/>
                <w:sz w:val="18"/>
              </w:rPr>
              <w:t>#adultparasomnia  #sleepdeprivation  #confusionalarousal  #injuryrisk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ageing, REM sleep behaviour disorder becomes the predominant parasomnia; loss of REM atonia allows dream enactment and frequently heralds a neurodegenerative synucleinopathy.</w:t>
            </w:r>
          </w:p>
          <w:p>
            <w:pPr>
              <w:spacing w:after="40" w:before="60" w:line="259" w:lineRule="auto"/>
            </w:pPr>
            <w:r>
              <w:rPr>
                <w:rFonts w:ascii="Calibri" w:hAnsi="Calibri"/>
                <w:b w:val="0"/>
                <w:i w:val="0"/>
                <w:color w:val="212121"/>
                <w:sz w:val="19"/>
              </w:rPr>
              <w:t>Gold-standard polysomnography in a population aged ~59 years found RBD in 1.06%; isolated RBD converts to Parkinson disease or dementia at ~6.3% per year (73.5% by 12 years).</w:t>
            </w:r>
          </w:p>
          <w:p>
            <w:pPr>
              <w:spacing w:after="40" w:line="252" w:lineRule="auto"/>
            </w:pPr>
            <w:hyperlink r:id="rId11">
              <w:r>
                <w:rPr>
                  <w:rFonts w:ascii="Calibri" w:hAnsi="Calibri" w:cs="Calibri"/>
                  <w:sz w:val="18"/>
                  <w:color w:val="1155CC"/>
                  <w:u w:val="single"/>
                </w:rPr>
                <w:t xml:space="preserve">pubmed.ncbi.nlm.nih.gov/29216391</w:t>
              </w:r>
            </w:hyperlink>
          </w:p>
          <w:p>
            <w:pPr>
              <w:spacing w:before="60" w:after="40"/>
            </w:pPr>
            <w:r>
              <w:rPr>
                <w:rFonts w:ascii="Calibri" w:hAnsi="Calibri"/>
                <w:b w:val="0"/>
                <w:i w:val="0"/>
                <w:color w:val="5A5A5A"/>
                <w:sz w:val="18"/>
              </w:rPr>
              <w:t>#RBD  #REMwithoutatonia  #synucleinopathy  #ageing  #dreamenactment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Older males (RBD)</w:t>
            </w:r>
          </w:p>
        </w:tc>
        <w:tc>
          <w:tcPr>
            <w:tcW w:type="dxa" w:w="4276"/>
            <w:vAlign w:val="top"/>
          </w:tcPr>
          <w:p>
            <w:pPr>
              <w:spacing w:after="60" w:line="259" w:lineRule="auto"/>
            </w:pPr>
            <w:r>
              <w:rPr>
                <w:rFonts w:ascii="Calibri" w:hAnsi="Calibri"/>
                <w:b w:val="0"/>
                <w:i w:val="0"/>
                <w:color w:val="212121"/>
                <w:sz w:val="19"/>
              </w:rPr>
              <w:t>Clinic-referred REM sleep behaviour disorder is strongly male-predominant, with violent dream-enactment and injury; large population screening, however, shows a narrower sex gap, so women with RBD are under-recognised.</w:t>
            </w:r>
          </w:p>
          <w:p>
            <w:pPr>
              <w:spacing w:after="40" w:before="60" w:line="259" w:lineRule="auto"/>
            </w:pPr>
            <w:r>
              <w:rPr>
                <w:rFonts w:ascii="Calibri" w:hAnsi="Calibri"/>
                <w:b w:val="0"/>
                <w:i w:val="0"/>
                <w:color w:val="212121"/>
                <w:sz w:val="19"/>
              </w:rPr>
              <w:t>Population polysomnography (HypnoLaus) found no significant sex difference in RBD occurrence, in contrast to the male excess seen in referral clinics.</w:t>
            </w:r>
          </w:p>
          <w:p>
            <w:pPr>
              <w:spacing w:after="40" w:line="252" w:lineRule="auto"/>
            </w:pPr>
            <w:hyperlink r:id="rId11">
              <w:r>
                <w:rPr>
                  <w:rFonts w:ascii="Calibri" w:hAnsi="Calibri" w:cs="Calibri"/>
                  <w:sz w:val="18"/>
                  <w:color w:val="1155CC"/>
                  <w:u w:val="single"/>
                </w:rPr>
                <w:t xml:space="preserve">pubmed.ncbi.nlm.nih.gov/29216391</w:t>
              </w:r>
            </w:hyperlink>
          </w:p>
          <w:p>
            <w:pPr>
              <w:spacing w:before="60" w:after="40"/>
            </w:pPr>
            <w:r>
              <w:rPr>
                <w:rFonts w:ascii="Calibri" w:hAnsi="Calibri"/>
                <w:b w:val="0"/>
                <w:i w:val="0"/>
                <w:color w:val="5A5A5A"/>
                <w:sz w:val="18"/>
              </w:rPr>
              <w:t>#male  #RBD  #dreamenactment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Children with irregular schedules / high screen exposure</w:t>
            </w:r>
          </w:p>
        </w:tc>
        <w:tc>
          <w:tcPr>
            <w:tcW w:type="dxa" w:w="4276"/>
            <w:vAlign w:val="top"/>
          </w:tcPr>
          <w:p>
            <w:pPr>
              <w:spacing w:after="60" w:line="259" w:lineRule="auto"/>
            </w:pPr>
            <w:r>
              <w:rPr>
                <w:rFonts w:ascii="Calibri" w:hAnsi="Calibri"/>
                <w:b w:val="0"/>
                <w:i w:val="0"/>
                <w:color w:val="212121"/>
                <w:sz w:val="19"/>
              </w:rPr>
              <w:t>Late bedtimes, inconsistent routines and pre-sleep screen use curtail and fragment sleep, increasing slow-wave-sleep rebound and arousal pressure that prime disorders of arousal.</w:t>
            </w:r>
          </w:p>
          <w:p>
            <w:pPr>
              <w:spacing w:after="40" w:before="60" w:line="259" w:lineRule="auto"/>
            </w:pPr>
            <w:r>
              <w:rPr>
                <w:rFonts w:ascii="Calibri" w:hAnsi="Calibri"/>
                <w:b w:val="0"/>
                <w:i w:val="0"/>
                <w:color w:val="212121"/>
                <w:sz w:val="19"/>
              </w:rPr>
              <w:t>Sleep problems are reported in roughly 20–42% of Indian children, providing a large at-risk pool for parasomnias.</w:t>
            </w:r>
          </w:p>
          <w:p>
            <w:pPr>
              <w:spacing w:after="40" w:line="252" w:lineRule="auto"/>
            </w:pPr>
            <w:hyperlink r:id="rId12">
              <w:r>
                <w:rPr>
                  <w:rFonts w:ascii="Calibri" w:hAnsi="Calibri" w:cs="Calibri"/>
                  <w:sz w:val="18"/>
                  <w:color w:val="1155CC"/>
                  <w:u w:val="single"/>
                </w:rPr>
                <w:t xml:space="preserve">pubmed.ncbi.nlm.nih.gov/23378039</w:t>
              </w:r>
            </w:hyperlink>
          </w:p>
          <w:p>
            <w:pPr>
              <w:spacing w:before="60" w:after="40"/>
            </w:pPr>
            <w:r>
              <w:rPr>
                <w:rFonts w:ascii="Calibri" w:hAnsi="Calibri"/>
                <w:b w:val="0"/>
                <w:i w:val="0"/>
                <w:color w:val="5A5A5A"/>
                <w:sz w:val="18"/>
              </w:rPr>
              <w:t>#screentime  #irregularschedule  #sleepdebt  #childhealth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school-children (North India)</w:t>
            </w:r>
          </w:p>
        </w:tc>
        <w:tc>
          <w:tcPr>
            <w:tcW w:type="dxa" w:w="4276"/>
            <w:vAlign w:val="top"/>
          </w:tcPr>
          <w:p>
            <w:pPr>
              <w:spacing w:after="60" w:line="259" w:lineRule="auto"/>
            </w:pPr>
            <w:r>
              <w:rPr>
                <w:rFonts w:ascii="Calibri" w:hAnsi="Calibri"/>
                <w:b w:val="0"/>
                <w:i w:val="0"/>
                <w:color w:val="212121"/>
                <w:sz w:val="19"/>
              </w:rPr>
              <w:t>Community surveys in Indian children confirm that parasomnias are common, with sleep-talking, teeth-grinding and night terrors reported more often than sleepwalking.</w:t>
            </w:r>
          </w:p>
          <w:p>
            <w:pPr>
              <w:spacing w:after="40" w:before="60" w:line="259" w:lineRule="auto"/>
            </w:pPr>
            <w:r>
              <w:rPr>
                <w:rFonts w:ascii="Calibri" w:hAnsi="Calibri"/>
                <w:b w:val="0"/>
                <w:i w:val="0"/>
                <w:color w:val="212121"/>
                <w:sz w:val="19"/>
              </w:rPr>
              <w:t>Dehradun schoolchildren (8–13 y): sleep-talking 20.9%, night terrors 8.4%, bruxism 15.4%, sleepwalking 3.2%, snoring 11.4%.</w:t>
            </w:r>
          </w:p>
          <w:p>
            <w:pPr>
              <w:spacing w:after="40" w:line="252" w:lineRule="auto"/>
            </w:pPr>
            <w:hyperlink r:id="rId13">
              <w:r>
                <w:rPr>
                  <w:rFonts w:ascii="Calibri" w:hAnsi="Calibri" w:cs="Calibri"/>
                  <w:sz w:val="18"/>
                  <w:color w:val="1155CC"/>
                  <w:u w:val="single"/>
                </w:rPr>
                <w:t xml:space="preserve">pubmed.ncbi.nlm.nih.gov/27165476</w:t>
              </w:r>
            </w:hyperlink>
          </w:p>
          <w:p>
            <w:pPr>
              <w:spacing w:before="60" w:after="40"/>
            </w:pPr>
            <w:r>
              <w:rPr>
                <w:rFonts w:ascii="Calibri" w:hAnsi="Calibri"/>
                <w:b w:val="0"/>
                <w:i w:val="0"/>
                <w:color w:val="5A5A5A"/>
                <w:sz w:val="18"/>
              </w:rPr>
              <w:t>#india  #schoolchildren  #sleeptalking  #nightterrors  #bruxism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(rural vs urban)</w:t>
            </w:r>
          </w:p>
        </w:tc>
        <w:tc>
          <w:tcPr>
            <w:tcW w:type="dxa" w:w="2160"/>
            <w:vAlign w:val="top"/>
          </w:tcPr>
          <w:p>
            <w:pPr>
              <w:spacing w:after="40" w:before="0" w:line="259" w:lineRule="auto"/>
            </w:pPr>
            <w:r>
              <w:rPr>
                <w:rFonts w:ascii="Calibri" w:hAnsi="Calibri"/>
                <w:b w:val="0"/>
                <w:i w:val="0"/>
                <w:color w:val="212121"/>
                <w:sz w:val="19"/>
              </w:rPr>
              <w:t>Rural North Indian children</w:t>
            </w:r>
          </w:p>
        </w:tc>
        <w:tc>
          <w:tcPr>
            <w:tcW w:type="dxa" w:w="4276"/>
            <w:vAlign w:val="top"/>
          </w:tcPr>
          <w:p>
            <w:pPr>
              <w:spacing w:after="60" w:line="259" w:lineRule="auto"/>
            </w:pPr>
            <w:r>
              <w:rPr>
                <w:rFonts w:ascii="Calibri" w:hAnsi="Calibri"/>
                <w:b w:val="0"/>
                <w:i w:val="0"/>
                <w:color w:val="212121"/>
                <w:sz w:val="19"/>
              </w:rPr>
              <w:t>Rural Indian children showed higher rates of snoring and daytime sleepiness than urban peers, suggesting more untreated sleep-disordered breathing that can fragment sleep and precipitate arousals.</w:t>
            </w:r>
          </w:p>
          <w:p>
            <w:pPr>
              <w:spacing w:after="40" w:before="60" w:line="259" w:lineRule="auto"/>
            </w:pPr>
            <w:r>
              <w:rPr>
                <w:rFonts w:ascii="Calibri" w:hAnsi="Calibri"/>
                <w:b w:val="0"/>
                <w:i w:val="0"/>
                <w:color w:val="212121"/>
                <w:sz w:val="19"/>
              </w:rPr>
              <w:t>In the same Dehradun cohort, rural children had higher sleep-apnoea symptoms and daytime sleepiness (overall snoring 11.4%, daytime sleepiness 25.5%).</w:t>
            </w:r>
          </w:p>
          <w:p>
            <w:pPr>
              <w:spacing w:after="40" w:line="252" w:lineRule="auto"/>
            </w:pPr>
            <w:hyperlink r:id="rId13">
              <w:r>
                <w:rPr>
                  <w:rFonts w:ascii="Calibri" w:hAnsi="Calibri" w:cs="Calibri"/>
                  <w:sz w:val="18"/>
                  <w:color w:val="1155CC"/>
                  <w:u w:val="single"/>
                </w:rPr>
                <w:t xml:space="preserve">pubmed.ncbi.nlm.nih.gov/27165476</w:t>
              </w:r>
            </w:hyperlink>
          </w:p>
          <w:p>
            <w:pPr>
              <w:spacing w:before="60" w:after="40"/>
            </w:pPr>
            <w:r>
              <w:rPr>
                <w:rFonts w:ascii="Calibri" w:hAnsi="Calibri"/>
                <w:b w:val="0"/>
                <w:i w:val="0"/>
                <w:color w:val="5A5A5A"/>
                <w:sz w:val="18"/>
              </w:rPr>
              <w:t>#rural  #sleepdisorderedbreathing  #daytimesleepiness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Sleep deprivation / irregular sleep</w:t>
            </w:r>
          </w:p>
        </w:tc>
        <w:tc>
          <w:tcPr>
            <w:tcW w:type="dxa" w:w="2160"/>
            <w:vAlign w:val="top"/>
          </w:tcPr>
          <w:p>
            <w:pPr>
              <w:spacing w:after="40" w:before="0" w:line="259" w:lineRule="auto"/>
            </w:pPr>
            <w:r>
              <w:rPr>
                <w:rFonts w:ascii="Calibri" w:hAnsi="Calibri"/>
                <w:b w:val="0"/>
                <w:i w:val="0"/>
                <w:color w:val="212121"/>
                <w:sz w:val="19"/>
              </w:rPr>
              <w:t>Shift workers, exam-stressed students, sleep-deprived adults</w:t>
            </w:r>
          </w:p>
        </w:tc>
        <w:tc>
          <w:tcPr>
            <w:tcW w:type="dxa" w:w="4276"/>
            <w:vAlign w:val="top"/>
          </w:tcPr>
          <w:p>
            <w:pPr>
              <w:spacing w:after="60" w:line="259" w:lineRule="auto"/>
            </w:pPr>
            <w:r>
              <w:rPr>
                <w:rFonts w:ascii="Calibri" w:hAnsi="Calibri"/>
                <w:b w:val="0"/>
                <w:i w:val="0"/>
                <w:color w:val="212121"/>
                <w:sz w:val="19"/>
              </w:rPr>
              <w:t>Prior sleep loss produces a rebound of deep slow-wave sleep and heightened arousal pressure, the single most reproducible priming factor for sleepwalking and sleep terrors.</w:t>
            </w:r>
          </w:p>
          <w:p>
            <w:pPr>
              <w:spacing w:after="40" w:before="60" w:line="259" w:lineRule="auto"/>
            </w:pPr>
            <w:r>
              <w:rPr>
                <w:rFonts w:ascii="Calibri" w:hAnsi="Calibri"/>
                <w:b w:val="0"/>
                <w:i w:val="0"/>
                <w:color w:val="212121"/>
                <w:sz w:val="19"/>
              </w:rPr>
              <w:t>Somnambulism is one of the leading causes of sleep-related injury, and sleep deprivation reliably increases the frequency of arousal episodes.</w:t>
            </w:r>
          </w:p>
          <w:p>
            <w:pPr>
              <w:spacing w:after="40" w:line="252" w:lineRule="auto"/>
            </w:pPr>
            <w:hyperlink r:id="rId14">
              <w:r>
                <w:rPr>
                  <w:rFonts w:ascii="Calibri" w:hAnsi="Calibri" w:cs="Calibri"/>
                  <w:sz w:val="18"/>
                  <w:color w:val="1155CC"/>
                  <w:u w:val="single"/>
                </w:rPr>
                <w:t xml:space="preserve">pubmed.ncbi.nlm.nih.gov/23415568</w:t>
              </w:r>
            </w:hyperlink>
          </w:p>
          <w:p>
            <w:pPr>
              <w:spacing w:before="60" w:after="40"/>
            </w:pPr>
            <w:r>
              <w:rPr>
                <w:rFonts w:ascii="Calibri" w:hAnsi="Calibri"/>
                <w:b w:val="0"/>
                <w:i w:val="0"/>
                <w:color w:val="5A5A5A"/>
                <w:sz w:val="18"/>
              </w:rPr>
              <w:t>#sleepdeprivation  #slowwaverebound  #priming  #shiftwork  #injury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evening screen use</w:t>
            </w:r>
          </w:p>
        </w:tc>
        <w:tc>
          <w:tcPr>
            <w:tcW w:type="dxa" w:w="2160"/>
            <w:vAlign w:val="top"/>
          </w:tcPr>
          <w:p>
            <w:pPr>
              <w:spacing w:after="40" w:before="0" w:line="259" w:lineRule="auto"/>
            </w:pPr>
            <w:r>
              <w:rPr>
                <w:rFonts w:ascii="Calibri" w:hAnsi="Calibri"/>
                <w:b w:val="0"/>
                <w:i w:val="0"/>
                <w:color w:val="212121"/>
                <w:sz w:val="19"/>
              </w:rPr>
              <w:t>Adolescents and adults with late-night screens</w:t>
            </w:r>
          </w:p>
        </w:tc>
        <w:tc>
          <w:tcPr>
            <w:tcW w:type="dxa" w:w="4276"/>
            <w:vAlign w:val="top"/>
          </w:tcPr>
          <w:p>
            <w:pPr>
              <w:spacing w:after="60" w:line="259" w:lineRule="auto"/>
            </w:pPr>
            <w:r>
              <w:rPr>
                <w:rFonts w:ascii="Calibri" w:hAnsi="Calibri"/>
                <w:b w:val="0"/>
                <w:i w:val="0"/>
                <w:color w:val="212121"/>
                <w:sz w:val="19"/>
              </w:rPr>
              <w:t>Blue-light exposure and stimulating content delay sleep onset and shorten sleep, increasing sleep debt that lowers the arousal threshold for disorders of arousal.</w:t>
            </w:r>
          </w:p>
          <w:p>
            <w:pPr>
              <w:spacing w:after="40" w:before="60" w:line="259" w:lineRule="auto"/>
            </w:pPr>
            <w:r>
              <w:rPr>
                <w:rFonts w:ascii="Calibri" w:hAnsi="Calibri"/>
                <w:b w:val="0"/>
                <w:i w:val="0"/>
                <w:color w:val="212121"/>
                <w:sz w:val="19"/>
              </w:rPr>
              <w:t>General clinical association; late/irregular sleep timing is a recognised precipitant of NREM parasomnias.</w:t>
            </w:r>
          </w:p>
          <w:p>
            <w:pPr>
              <w:spacing w:before="60" w:after="40"/>
            </w:pPr>
            <w:r>
              <w:rPr>
                <w:rFonts w:ascii="Calibri" w:hAnsi="Calibri"/>
                <w:b w:val="0"/>
                <w:i w:val="0"/>
                <w:color w:val="5A5A5A"/>
                <w:sz w:val="18"/>
              </w:rPr>
              <w:t>#screentime  #bluelight  #sleeponsetdelay  #sleepdebt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especially with RBD</w:t>
            </w:r>
          </w:p>
        </w:tc>
        <w:tc>
          <w:tcPr>
            <w:tcW w:type="dxa" w:w="4276"/>
            <w:vAlign w:val="top"/>
          </w:tcPr>
          <w:p>
            <w:pPr>
              <w:spacing w:after="60" w:line="259" w:lineRule="auto"/>
            </w:pPr>
            <w:r>
              <w:rPr>
                <w:rFonts w:ascii="Calibri" w:hAnsi="Calibri"/>
                <w:b w:val="0"/>
                <w:i w:val="0"/>
                <w:color w:val="212121"/>
                <w:sz w:val="19"/>
              </w:rPr>
              <w:t>Nicotine fragments sleep and alters sleep architecture; smoking is markedly more common in people with REM sleep behaviour disorder, consistent with shared neurodegenerative vulnerability.</w:t>
            </w:r>
          </w:p>
          <w:p>
            <w:pPr>
              <w:spacing w:after="40" w:before="60" w:line="259" w:lineRule="auto"/>
            </w:pPr>
            <w:r>
              <w:rPr>
                <w:rFonts w:ascii="Calibri" w:hAnsi="Calibri"/>
                <w:b w:val="0"/>
                <w:i w:val="0"/>
                <w:color w:val="212121"/>
                <w:sz w:val="19"/>
              </w:rPr>
              <w:t>In HypnoLaus, ever-smoking was far more frequent among those with RBD (85%) than controls (56.6%).</w:t>
            </w:r>
          </w:p>
          <w:p>
            <w:pPr>
              <w:spacing w:after="40" w:line="252" w:lineRule="auto"/>
            </w:pPr>
            <w:hyperlink r:id="rId11">
              <w:r>
                <w:rPr>
                  <w:rFonts w:ascii="Calibri" w:hAnsi="Calibri" w:cs="Calibri"/>
                  <w:sz w:val="18"/>
                  <w:color w:val="1155CC"/>
                  <w:u w:val="single"/>
                </w:rPr>
                <w:t xml:space="preserve">pubmed.ncbi.nlm.nih.gov/29216391</w:t>
              </w:r>
            </w:hyperlink>
          </w:p>
          <w:p>
            <w:pPr>
              <w:spacing w:before="60" w:after="40"/>
            </w:pPr>
            <w:r>
              <w:rPr>
                <w:rFonts w:ascii="Calibri" w:hAnsi="Calibri"/>
                <w:b w:val="0"/>
                <w:i w:val="0"/>
                <w:color w:val="5A5A5A"/>
                <w:sz w:val="18"/>
              </w:rPr>
              <w:t>#smoking  #RBD  #sleepfragmentation  #nicotine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or evening drinkers</w:t>
            </w:r>
          </w:p>
        </w:tc>
        <w:tc>
          <w:tcPr>
            <w:tcW w:type="dxa" w:w="4276"/>
            <w:vAlign w:val="top"/>
          </w:tcPr>
          <w:p>
            <w:pPr>
              <w:spacing w:after="60" w:line="259" w:lineRule="auto"/>
            </w:pPr>
            <w:r>
              <w:rPr>
                <w:rFonts w:ascii="Calibri" w:hAnsi="Calibri"/>
                <w:b w:val="0"/>
                <w:i w:val="0"/>
                <w:color w:val="212121"/>
                <w:sz w:val="19"/>
              </w:rPr>
              <w:t>Alcohol deepens early slow-wave sleep and then fragments the night, and is a classic precipitant of nocturnal wandering and confusional arousals in predisposed people.</w:t>
            </w:r>
          </w:p>
          <w:p>
            <w:pPr>
              <w:spacing w:after="40" w:before="60" w:line="259" w:lineRule="auto"/>
            </w:pPr>
            <w:r>
              <w:rPr>
                <w:rFonts w:ascii="Calibri" w:hAnsi="Calibri"/>
                <w:b w:val="0"/>
                <w:i w:val="0"/>
                <w:color w:val="212121"/>
                <w:sz w:val="19"/>
              </w:rPr>
              <w:t>Alcohol abuse/dependence was associated with nocturnal wandering (odds ratio ~3.5) in a US general-population study.</w:t>
            </w:r>
          </w:p>
          <w:p>
            <w:pPr>
              <w:spacing w:after="40" w:line="252" w:lineRule="auto"/>
            </w:pPr>
            <w:hyperlink r:id="rId15">
              <w:r>
                <w:rPr>
                  <w:rFonts w:ascii="Calibri" w:hAnsi="Calibri" w:cs="Calibri"/>
                  <w:sz w:val="18"/>
                  <w:color w:val="1155CC"/>
                  <w:u w:val="single"/>
                </w:rPr>
                <w:t xml:space="preserve">pubmed.ncbi.nlm.nih.gov/22585435</w:t>
              </w:r>
            </w:hyperlink>
          </w:p>
          <w:p>
            <w:pPr>
              <w:spacing w:before="60" w:after="40"/>
            </w:pPr>
            <w:r>
              <w:rPr>
                <w:rFonts w:ascii="Calibri" w:hAnsi="Calibri"/>
                <w:b w:val="0"/>
                <w:i w:val="0"/>
                <w:color w:val="5A5A5A"/>
                <w:sz w:val="18"/>
              </w:rPr>
              <w:t>#alcohol  #sleepfragmentation  #confusionalarousal  #precipitant</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 / stimulants</w:t>
            </w:r>
          </w:p>
        </w:tc>
        <w:tc>
          <w:tcPr>
            <w:tcW w:type="dxa" w:w="2160"/>
            <w:vAlign w:val="top"/>
          </w:tcPr>
          <w:p>
            <w:pPr>
              <w:spacing w:after="40" w:before="0" w:line="259" w:lineRule="auto"/>
            </w:pPr>
            <w:r>
              <w:rPr>
                <w:rFonts w:ascii="Calibri" w:hAnsi="Calibri"/>
                <w:b w:val="0"/>
                <w:i w:val="0"/>
                <w:color w:val="212121"/>
                <w:sz w:val="19"/>
              </w:rPr>
              <w:t>Evening caffeine and energy-drink users</w:t>
            </w:r>
          </w:p>
        </w:tc>
        <w:tc>
          <w:tcPr>
            <w:tcW w:type="dxa" w:w="4276"/>
            <w:vAlign w:val="top"/>
          </w:tcPr>
          <w:p>
            <w:pPr>
              <w:spacing w:after="60" w:line="259" w:lineRule="auto"/>
            </w:pPr>
            <w:r>
              <w:rPr>
                <w:rFonts w:ascii="Calibri" w:hAnsi="Calibri"/>
                <w:b w:val="0"/>
                <w:i w:val="0"/>
                <w:color w:val="212121"/>
                <w:sz w:val="19"/>
              </w:rPr>
              <w:t>Caffeine and stimulants delay sleep onset, reduce and fragment deep sleep and lower the arousal threshold, favouring incomplete arousals later in the night.</w:t>
            </w:r>
          </w:p>
          <w:p>
            <w:pPr>
              <w:spacing w:after="40" w:before="60" w:line="259" w:lineRule="auto"/>
            </w:pPr>
            <w:r>
              <w:rPr>
                <w:rFonts w:ascii="Calibri" w:hAnsi="Calibri"/>
                <w:b w:val="0"/>
                <w:i w:val="0"/>
                <w:color w:val="212121"/>
                <w:sz w:val="19"/>
              </w:rPr>
              <w:t>General clinical association; evening caffeine is a recognised contributor to sleep fragmentation that can trigger arousal episodes.</w:t>
            </w:r>
          </w:p>
          <w:p>
            <w:pPr>
              <w:spacing w:before="60" w:after="40"/>
            </w:pPr>
            <w:r>
              <w:rPr>
                <w:rFonts w:ascii="Calibri" w:hAnsi="Calibri"/>
                <w:b w:val="0"/>
                <w:i w:val="0"/>
                <w:color w:val="5A5A5A"/>
                <w:sz w:val="18"/>
              </w:rPr>
              <w:t>#caffeine  #energydrinks  #sleepfragmentation  #arousalthreshold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Late heavy meals / reflux triggers</w:t>
            </w:r>
          </w:p>
        </w:tc>
        <w:tc>
          <w:tcPr>
            <w:tcW w:type="dxa" w:w="2160"/>
            <w:vAlign w:val="top"/>
          </w:tcPr>
          <w:p>
            <w:pPr>
              <w:spacing w:after="40" w:before="0" w:line="259" w:lineRule="auto"/>
            </w:pPr>
            <w:r>
              <w:rPr>
                <w:rFonts w:ascii="Calibri" w:hAnsi="Calibri"/>
                <w:b w:val="0"/>
                <w:i w:val="0"/>
                <w:color w:val="212121"/>
                <w:sz w:val="19"/>
              </w:rPr>
              <w:t>Those with nocturnal GERD</w:t>
            </w:r>
          </w:p>
        </w:tc>
        <w:tc>
          <w:tcPr>
            <w:tcW w:type="dxa" w:w="4276"/>
            <w:vAlign w:val="top"/>
          </w:tcPr>
          <w:p>
            <w:pPr>
              <w:spacing w:after="60" w:line="259" w:lineRule="auto"/>
            </w:pPr>
            <w:r>
              <w:rPr>
                <w:rFonts w:ascii="Calibri" w:hAnsi="Calibri"/>
                <w:b w:val="0"/>
                <w:i w:val="0"/>
                <w:color w:val="212121"/>
                <w:sz w:val="19"/>
              </w:rPr>
              <w:t>Large or late meals and reflux-provoking foods cause nocturnal acid reflux and micro-arousals that fragment sleep and can precipitate disorders of arousal.</w:t>
            </w:r>
          </w:p>
          <w:p>
            <w:pPr>
              <w:spacing w:after="40" w:before="60" w:line="259" w:lineRule="auto"/>
            </w:pPr>
            <w:r>
              <w:rPr>
                <w:rFonts w:ascii="Calibri" w:hAnsi="Calibri"/>
                <w:b w:val="0"/>
                <w:i w:val="0"/>
                <w:color w:val="212121"/>
                <w:sz w:val="19"/>
              </w:rPr>
              <w:t>General clinical association; nocturnal reflux is a recognised source of sleep fragmentation.</w:t>
            </w:r>
          </w:p>
          <w:p>
            <w:pPr>
              <w:spacing w:before="60" w:after="40"/>
            </w:pPr>
            <w:r>
              <w:rPr>
                <w:rFonts w:ascii="Calibri" w:hAnsi="Calibri"/>
                <w:b w:val="0"/>
                <w:i w:val="0"/>
                <w:color w:val="5A5A5A"/>
                <w:sz w:val="18"/>
              </w:rPr>
              <w:t>#latemeals  #GERD  #nocturnalreflux  #microarousals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of affected parents</w:t>
            </w:r>
          </w:p>
        </w:tc>
        <w:tc>
          <w:tcPr>
            <w:tcW w:type="dxa" w:w="4276"/>
            <w:vAlign w:val="top"/>
          </w:tcPr>
          <w:p>
            <w:pPr>
              <w:spacing w:after="60" w:line="259" w:lineRule="auto"/>
            </w:pPr>
            <w:r>
              <w:rPr>
                <w:rFonts w:ascii="Calibri" w:hAnsi="Calibri"/>
                <w:b w:val="0"/>
                <w:i w:val="0"/>
                <w:color w:val="212121"/>
                <w:sz w:val="19"/>
              </w:rPr>
              <w:t>Disorders of arousal aggregate strongly in families; a positive parental history predicts both incidence and persistence of childhood sleepwalking and sleep terrors.</w:t>
            </w:r>
          </w:p>
          <w:p>
            <w:pPr>
              <w:spacing w:after="40" w:before="60" w:line="259" w:lineRule="auto"/>
            </w:pPr>
            <w:r>
              <w:rPr>
                <w:rFonts w:ascii="Calibri" w:hAnsi="Calibri"/>
                <w:b w:val="0"/>
                <w:i w:val="0"/>
                <w:color w:val="212121"/>
                <w:sz w:val="19"/>
              </w:rPr>
              <w:t>Childhood sleepwalking prevalence rose from 22.5% (no parental history) to 47.4% (one parent) and 61.5% (both parents affected).</w:t>
            </w:r>
          </w:p>
          <w:p>
            <w:pPr>
              <w:spacing w:after="40" w:line="252" w:lineRule="auto"/>
            </w:pPr>
            <w:hyperlink r:id="rId9">
              <w:r>
                <w:rPr>
                  <w:rFonts w:ascii="Calibri" w:hAnsi="Calibri" w:cs="Calibri"/>
                  <w:sz w:val="18"/>
                  <w:color w:val="1155CC"/>
                  <w:u w:val="single"/>
                </w:rPr>
                <w:t xml:space="preserve">pubmed.ncbi.nlm.nih.gov/25938617</w:t>
              </w:r>
            </w:hyperlink>
          </w:p>
          <w:p>
            <w:pPr>
              <w:spacing w:before="60" w:after="40"/>
            </w:pPr>
            <w:r>
              <w:rPr>
                <w:rFonts w:ascii="Calibri" w:hAnsi="Calibri"/>
                <w:b w:val="0"/>
                <w:i w:val="0"/>
                <w:color w:val="5A5A5A"/>
                <w:sz w:val="18"/>
              </w:rPr>
              <w:t>#familyhistory  #heritability  #parentalhistory  #sleepwalking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genotype</w:t>
            </w:r>
          </w:p>
        </w:tc>
        <w:tc>
          <w:tcPr>
            <w:tcW w:type="dxa" w:w="2160"/>
            <w:vAlign w:val="top"/>
          </w:tcPr>
          <w:p>
            <w:pPr>
              <w:spacing w:after="40" w:before="0" w:line="259" w:lineRule="auto"/>
            </w:pPr>
            <w:r>
              <w:rPr>
                <w:rFonts w:ascii="Calibri" w:hAnsi="Calibri"/>
                <w:b w:val="0"/>
                <w:i w:val="0"/>
                <w:color w:val="212121"/>
                <w:sz w:val="19"/>
              </w:rPr>
              <w:t>Carriers of HLA-DQB1*05</w:t>
            </w:r>
          </w:p>
        </w:tc>
        <w:tc>
          <w:tcPr>
            <w:tcW w:type="dxa" w:w="4276"/>
            <w:vAlign w:val="top"/>
          </w:tcPr>
          <w:p>
            <w:pPr>
              <w:spacing w:after="60" w:line="259" w:lineRule="auto"/>
            </w:pPr>
            <w:r>
              <w:rPr>
                <w:rFonts w:ascii="Calibri" w:hAnsi="Calibri"/>
                <w:b w:val="0"/>
                <w:i w:val="0"/>
                <w:color w:val="212121"/>
                <w:sz w:val="19"/>
              </w:rPr>
              <w:t>Specific HLA class II alleles are over-represented in sleepwalkers, pointing to an immunogenetic contribution to susceptibility, paralleling other sleep-motor disorders.</w:t>
            </w:r>
          </w:p>
          <w:p>
            <w:pPr>
              <w:spacing w:after="40" w:before="60" w:line="259" w:lineRule="auto"/>
            </w:pPr>
            <w:r>
              <w:rPr>
                <w:rFonts w:ascii="Calibri" w:hAnsi="Calibri"/>
                <w:b w:val="0"/>
                <w:i w:val="0"/>
                <w:color w:val="212121"/>
                <w:sz w:val="19"/>
              </w:rPr>
              <w:t>HLA-DQB1*0501 was present in 35.0% of sleepwalkers versus 13.3% of controls (odds ratio ~3.5).</w:t>
            </w:r>
          </w:p>
          <w:p>
            <w:pPr>
              <w:spacing w:after="40" w:line="252" w:lineRule="auto"/>
            </w:pPr>
            <w:hyperlink r:id="rId16">
              <w:r>
                <w:rPr>
                  <w:rFonts w:ascii="Calibri" w:hAnsi="Calibri" w:cs="Calibri"/>
                  <w:sz w:val="18"/>
                  <w:color w:val="1155CC"/>
                  <w:u w:val="single"/>
                </w:rPr>
                <w:t xml:space="preserve">pubmed.ncbi.nlm.nih.gov/12556916</w:t>
              </w:r>
            </w:hyperlink>
          </w:p>
          <w:p>
            <w:pPr>
              <w:spacing w:before="60" w:after="40"/>
            </w:pPr>
            <w:r>
              <w:rPr>
                <w:rFonts w:ascii="Calibri" w:hAnsi="Calibri"/>
                <w:b w:val="0"/>
                <w:i w:val="0"/>
                <w:color w:val="5A5A5A"/>
                <w:sz w:val="18"/>
              </w:rPr>
              <w:t>#HLA  #DQB1  #immunogenetics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Obstructive sleep apnoea</w:t>
            </w:r>
          </w:p>
        </w:tc>
        <w:tc>
          <w:tcPr>
            <w:tcW w:type="dxa" w:w="2160"/>
            <w:vAlign w:val="top"/>
          </w:tcPr>
          <w:p>
            <w:pPr>
              <w:spacing w:after="40" w:before="0" w:line="259" w:lineRule="auto"/>
            </w:pPr>
            <w:r>
              <w:rPr>
                <w:rFonts w:ascii="Calibri" w:hAnsi="Calibri"/>
                <w:b w:val="0"/>
                <w:i w:val="0"/>
                <w:color w:val="212121"/>
                <w:sz w:val="19"/>
              </w:rPr>
              <w:t>Children and adults with OSA</w:t>
            </w:r>
          </w:p>
        </w:tc>
        <w:tc>
          <w:tcPr>
            <w:tcW w:type="dxa" w:w="4276"/>
            <w:vAlign w:val="top"/>
          </w:tcPr>
          <w:p>
            <w:pPr>
              <w:spacing w:after="60" w:line="259" w:lineRule="auto"/>
            </w:pPr>
            <w:r>
              <w:rPr>
                <w:rFonts w:ascii="Calibri" w:hAnsi="Calibri"/>
                <w:b w:val="0"/>
                <w:i w:val="0"/>
                <w:color w:val="212121"/>
                <w:sz w:val="19"/>
              </w:rPr>
              <w:t>Apnoea-related respiratory arousals fragment sleep and repeatedly drag the brain toward wakefulness, precipitating confusional arousals, sleepwalking and sleep terrors; treating OSA often abolishes the episodes.</w:t>
            </w:r>
          </w:p>
          <w:p>
            <w:pPr>
              <w:spacing w:after="40" w:before="60" w:line="259" w:lineRule="auto"/>
            </w:pPr>
            <w:r>
              <w:rPr>
                <w:rFonts w:ascii="Calibri" w:hAnsi="Calibri"/>
                <w:b w:val="0"/>
                <w:i w:val="0"/>
                <w:color w:val="212121"/>
                <w:sz w:val="19"/>
              </w:rPr>
              <w:t>Sleep terrors were associated with obstructive sleep apnoea (odds ratio ~4.1), and nocturnal wandering with OSA (odds ratio ~3.9).</w:t>
            </w:r>
          </w:p>
          <w:p>
            <w:pPr>
              <w:spacing w:after="40" w:line="252" w:lineRule="auto"/>
            </w:pPr>
            <w:hyperlink r:id="rId10">
              <w:r>
                <w:rPr>
                  <w:rFonts w:ascii="Calibri" w:hAnsi="Calibri" w:cs="Calibri"/>
                  <w:sz w:val="18"/>
                  <w:color w:val="1155CC"/>
                  <w:u w:val="single"/>
                </w:rPr>
                <w:t xml:space="preserve">pubmed.ncbi.nlm.nih.gov/10221293</w:t>
              </w:r>
            </w:hyperlink>
          </w:p>
          <w:p>
            <w:pPr>
              <w:spacing w:before="60" w:after="40"/>
            </w:pPr>
            <w:r>
              <w:rPr>
                <w:rFonts w:ascii="Calibri" w:hAnsi="Calibri"/>
                <w:b w:val="0"/>
                <w:i w:val="0"/>
                <w:color w:val="5A5A5A"/>
                <w:sz w:val="18"/>
              </w:rPr>
              <w:t>#OSA  #respiratoryarousals  #sleepfragmentation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Mood / psychiatric disorders</w:t>
            </w:r>
          </w:p>
        </w:tc>
        <w:tc>
          <w:tcPr>
            <w:tcW w:type="dxa" w:w="2160"/>
            <w:vAlign w:val="top"/>
          </w:tcPr>
          <w:p>
            <w:pPr>
              <w:spacing w:after="40" w:before="0" w:line="259" w:lineRule="auto"/>
            </w:pPr>
            <w:r>
              <w:rPr>
                <w:rFonts w:ascii="Calibri" w:hAnsi="Calibri"/>
                <w:b w:val="0"/>
                <w:i w:val="0"/>
                <w:color w:val="212121"/>
                <w:sz w:val="19"/>
              </w:rPr>
              <w:t>Adults with depression or bipolar disorder</w:t>
            </w:r>
          </w:p>
        </w:tc>
        <w:tc>
          <w:tcPr>
            <w:tcW w:type="dxa" w:w="4276"/>
            <w:vAlign w:val="top"/>
          </w:tcPr>
          <w:p>
            <w:pPr>
              <w:spacing w:after="60" w:line="259" w:lineRule="auto"/>
            </w:pPr>
            <w:r>
              <w:rPr>
                <w:rFonts w:ascii="Calibri" w:hAnsi="Calibri"/>
                <w:b w:val="0"/>
                <w:i w:val="0"/>
                <w:color w:val="212121"/>
                <w:sz w:val="19"/>
              </w:rPr>
              <w:t>Depression, anxiety and bipolar disorder lower the arousal threshold and are over-represented in adults with disorders of arousal; the relationship is bidirectional, and psychotropics may further precipitate events.</w:t>
            </w:r>
          </w:p>
          <w:p>
            <w:pPr>
              <w:spacing w:after="40" w:before="60" w:line="259" w:lineRule="auto"/>
            </w:pPr>
            <w:r>
              <w:rPr>
                <w:rFonts w:ascii="Calibri" w:hAnsi="Calibri"/>
                <w:b w:val="0"/>
                <w:i w:val="0"/>
                <w:color w:val="212121"/>
                <w:sz w:val="19"/>
              </w:rPr>
              <w:t>Major depression was linked to nocturnal wandering (odds ratio ~3.5) and bipolar disorder to confusional arousals (odds ratio ~13.0).</w:t>
            </w:r>
          </w:p>
          <w:p>
            <w:pPr>
              <w:spacing w:after="40" w:line="252" w:lineRule="auto"/>
            </w:pPr>
            <w:hyperlink r:id="rId15">
              <w:r>
                <w:rPr>
                  <w:rFonts w:ascii="Calibri" w:hAnsi="Calibri" w:cs="Calibri"/>
                  <w:sz w:val="18"/>
                  <w:color w:val="1155CC"/>
                  <w:u w:val="single"/>
                </w:rPr>
                <w:t xml:space="preserve">pubmed.ncbi.nlm.nih.gov/22585435</w:t>
              </w:r>
            </w:hyperlink>
          </w:p>
          <w:p>
            <w:pPr>
              <w:spacing w:before="60" w:after="40"/>
            </w:pPr>
            <w:r>
              <w:rPr>
                <w:rFonts w:ascii="Calibri" w:hAnsi="Calibri"/>
                <w:b w:val="0"/>
                <w:i w:val="0"/>
                <w:color w:val="5A5A5A"/>
                <w:sz w:val="18"/>
              </w:rPr>
              <w:t>#depression  #bipolar  #anxiety  #arousalthreshold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Restless legs syndrome / PLMD</w:t>
            </w:r>
          </w:p>
        </w:tc>
        <w:tc>
          <w:tcPr>
            <w:tcW w:type="dxa" w:w="2160"/>
            <w:vAlign w:val="top"/>
          </w:tcPr>
          <w:p>
            <w:pPr>
              <w:spacing w:after="40" w:before="0" w:line="259" w:lineRule="auto"/>
            </w:pPr>
            <w:r>
              <w:rPr>
                <w:rFonts w:ascii="Calibri" w:hAnsi="Calibri"/>
                <w:b w:val="0"/>
                <w:i w:val="0"/>
                <w:color w:val="212121"/>
                <w:sz w:val="19"/>
              </w:rPr>
              <w:t>Indian adolescents and adults with RLS</w:t>
            </w:r>
          </w:p>
        </w:tc>
        <w:tc>
          <w:tcPr>
            <w:tcW w:type="dxa" w:w="4276"/>
            <w:vAlign w:val="top"/>
          </w:tcPr>
          <w:p>
            <w:pPr>
              <w:spacing w:after="60" w:line="259" w:lineRule="auto"/>
            </w:pPr>
            <w:r>
              <w:rPr>
                <w:rFonts w:ascii="Calibri" w:hAnsi="Calibri"/>
                <w:b w:val="0"/>
                <w:i w:val="0"/>
                <w:color w:val="212121"/>
                <w:sz w:val="19"/>
              </w:rPr>
              <w:t>Periodic limb movements and restless legs cause repeated micro-arousals that fragment slow-wave sleep and can trigger disorders of arousal; RLS is increasingly recognised in young Indians.</w:t>
            </w:r>
          </w:p>
          <w:p>
            <w:pPr>
              <w:spacing w:after="40" w:before="60" w:line="259" w:lineRule="auto"/>
            </w:pPr>
            <w:r>
              <w:rPr>
                <w:rFonts w:ascii="Calibri" w:hAnsi="Calibri"/>
                <w:b w:val="0"/>
                <w:i w:val="0"/>
                <w:color w:val="212121"/>
                <w:sz w:val="19"/>
              </w:rPr>
              <w:t>Restless legs syndrome is prevalent among adolescents and young adults in Bengaluru and impairs sleep quality and daytime function.</w:t>
            </w:r>
          </w:p>
          <w:p>
            <w:pPr>
              <w:spacing w:after="40" w:line="252" w:lineRule="auto"/>
            </w:pPr>
            <w:hyperlink r:id="rId17">
              <w:r>
                <w:rPr>
                  <w:rFonts w:ascii="Calibri" w:hAnsi="Calibri" w:cs="Calibri"/>
                  <w:sz w:val="18"/>
                  <w:color w:val="1155CC"/>
                  <w:u w:val="single"/>
                </w:rPr>
                <w:t xml:space="preserve">pubmed.ncbi.nlm.nih.gov/35671733</w:t>
              </w:r>
            </w:hyperlink>
          </w:p>
          <w:p>
            <w:pPr>
              <w:spacing w:before="60" w:after="40"/>
            </w:pPr>
            <w:r>
              <w:rPr>
                <w:rFonts w:ascii="Calibri" w:hAnsi="Calibri"/>
                <w:b w:val="0"/>
                <w:i w:val="0"/>
                <w:color w:val="5A5A5A"/>
                <w:sz w:val="18"/>
              </w:rPr>
              <w:t>#RLS  #PLMD  #microarousals  #india  #youth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Parkinson disease / synucleinopathy</w:t>
            </w:r>
          </w:p>
        </w:tc>
        <w:tc>
          <w:tcPr>
            <w:tcW w:type="dxa" w:w="2160"/>
            <w:vAlign w:val="top"/>
          </w:tcPr>
          <w:p>
            <w:pPr>
              <w:spacing w:after="40" w:before="0" w:line="259" w:lineRule="auto"/>
            </w:pPr>
            <w:r>
              <w:rPr>
                <w:rFonts w:ascii="Calibri" w:hAnsi="Calibri"/>
                <w:b w:val="0"/>
                <w:i w:val="0"/>
                <w:color w:val="212121"/>
                <w:sz w:val="19"/>
              </w:rPr>
              <w:t>Older adults with RBD</w:t>
            </w:r>
          </w:p>
        </w:tc>
        <w:tc>
          <w:tcPr>
            <w:tcW w:type="dxa" w:w="4276"/>
            <w:vAlign w:val="top"/>
          </w:tcPr>
          <w:p>
            <w:pPr>
              <w:spacing w:after="60" w:line="259" w:lineRule="auto"/>
            </w:pPr>
            <w:r>
              <w:rPr>
                <w:rFonts w:ascii="Calibri" w:hAnsi="Calibri"/>
                <w:b w:val="0"/>
                <w:i w:val="0"/>
                <w:color w:val="212121"/>
                <w:sz w:val="19"/>
              </w:rPr>
              <w:t>REM sleep behaviour disorder is an early prodromal marker of alpha-synucleinopathies; most people with isolated RBD eventually develop Parkinson disease, dementia with Lewy bodies or multiple system atrophy.</w:t>
            </w:r>
          </w:p>
          <w:p>
            <w:pPr>
              <w:spacing w:after="40" w:before="60" w:line="259" w:lineRule="auto"/>
            </w:pPr>
            <w:r>
              <w:rPr>
                <w:rFonts w:ascii="Calibri" w:hAnsi="Calibri"/>
                <w:b w:val="0"/>
                <w:i w:val="0"/>
                <w:color w:val="212121"/>
                <w:sz w:val="19"/>
              </w:rPr>
              <w:t>Isolated RBD converted to a defined neurodegenerative syndrome at ~6.3% per year, reaching 73.5% after 12 years of follow-up.</w:t>
            </w:r>
          </w:p>
          <w:p>
            <w:pPr>
              <w:spacing w:after="40" w:line="252" w:lineRule="auto"/>
            </w:pPr>
            <w:hyperlink r:id="rId18">
              <w:r>
                <w:rPr>
                  <w:rFonts w:ascii="Calibri" w:hAnsi="Calibri" w:cs="Calibri"/>
                  <w:sz w:val="18"/>
                  <w:color w:val="1155CC"/>
                  <w:u w:val="single"/>
                </w:rPr>
                <w:t xml:space="preserve">pubmed.ncbi.nlm.nih.gov/30789229</w:t>
              </w:r>
            </w:hyperlink>
          </w:p>
          <w:p>
            <w:pPr>
              <w:spacing w:before="60" w:after="40"/>
            </w:pPr>
            <w:r>
              <w:rPr>
                <w:rFonts w:ascii="Calibri" w:hAnsi="Calibri"/>
                <w:b w:val="0"/>
                <w:i w:val="0"/>
                <w:color w:val="5A5A5A"/>
                <w:sz w:val="18"/>
              </w:rPr>
              <w:t>#RBD  #Parkinson  #DLB  #synucleinopathy  #prodrome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activity supports consolidated sleep and a stable sleep–wake schedule; however, over-tiredness from poorly timed or excessive exertion, and the sleep debt of erratic routines, can deepen slow-wave-sleep rebound and prime disorders of arousal.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Large or late meals and reflux-provoking foods promote nocturnal acid reflux and micro-arousals that fragment sleep; the direct causal link to parasomnias is modest but relevant in predisposed individuals.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deprivation and irregular schedules are the single most reproducible priming factors: prior sleep loss increases deep slow-wave sleep and arousal pressure, and comorbid sleep-disordered breathing fragments the night, both driving disorders of arousal.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fragments sleep, and ever-smoking is markedly more frequent in people with REM sleep behaviour disorder (85% vs 56.6% of controls), consistent with shared neurodegenerative vulnerability.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deepens early slow-wave sleep and then fragments the night; it is a classic precipitant of nocturnal wandering and confusional arousals (odds ratio ~3.5 for alcohol abuse/dependence).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depression, bipolar disorder and PTSD lower the arousal threshold and precipitate episodes; major depression (OR ~3.5) and bipolar disorder (OR ~13.0 for confusional arousals) are strongly associated in adults.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full bladder and nocturia can act as an internal precipitant of arousals, so sensible evening fluid timing may help; overall the direct link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Evening caffeine and stimulants delay sleep onset, reduce and fragment deep sleep and lower the arousal threshold, favouring incomplete arousals later in the night.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Sleep-hygiene practices (dark, quiet, cool, screen-free bedroom and a consistent routine) reduce arousals; personal cleanliness itself has little direct bearing on parasomnias.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Fever and febrile illness (in children), sleep deprivation, sudden noise or touch, a full bladder, pain, obstructive sleep apnoea and certain medications (zolpidem, lithium, sodium oxybate, SSRIs) are well-recognised triggers of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Children 6–13 y / adults</w:t>
            </w:r>
          </w:p>
        </w:tc>
        <w:tc>
          <w:tcPr>
            <w:tcW w:type="dxa" w:w="1512"/>
            <w:vAlign w:val="top"/>
          </w:tcPr>
          <w:p>
            <w:pPr>
              <w:spacing w:after="40" w:before="0" w:line="259" w:lineRule="auto"/>
            </w:pPr>
            <w:r>
              <w:rPr>
                <w:rFonts w:ascii="Calibri" w:hAnsi="Calibri"/>
                <w:b w:val="0"/>
                <w:i w:val="0"/>
                <w:color w:val="212121"/>
                <w:sz w:val="19"/>
              </w:rPr>
              <w:t>9–12 h (children); 7–9 h (adults)</w:t>
            </w:r>
          </w:p>
        </w:tc>
        <w:tc>
          <w:tcPr>
            <w:tcW w:type="dxa" w:w="1512"/>
            <w:vAlign w:val="top"/>
          </w:tcPr>
          <w:p>
            <w:pPr>
              <w:spacing w:after="40" w:before="0" w:line="259" w:lineRule="auto"/>
            </w:pPr>
            <w:r>
              <w:rPr>
                <w:rFonts w:ascii="Calibri" w:hAnsi="Calibri"/>
                <w:b w:val="0"/>
                <w:i w:val="0"/>
                <w:color w:val="212121"/>
                <w:sz w:val="19"/>
              </w:rPr>
              <w:t>Chronic curtailment below the age norm</w:t>
            </w:r>
          </w:p>
        </w:tc>
        <w:tc>
          <w:tcPr>
            <w:tcW w:type="dxa" w:w="1468"/>
            <w:vAlign w:val="top"/>
          </w:tcPr>
          <w:p>
            <w:pPr>
              <w:spacing w:after="60" w:line="259" w:lineRule="auto"/>
            </w:pPr>
            <w:r>
              <w:rPr>
                <w:rFonts w:ascii="Calibri" w:hAnsi="Calibri"/>
                <w:b w:val="0"/>
                <w:i w:val="0"/>
                <w:color w:val="212121"/>
                <w:sz w:val="19"/>
              </w:rPr>
              <w:t>Sleep debt increases slow-wave-sleep rebound and arousal episodes</w:t>
            </w:r>
          </w:p>
          <w:p>
            <w:pPr>
              <w:spacing w:after="40" w:line="252" w:lineRule="auto"/>
            </w:pPr>
            <w:hyperlink r:id="rId14">
              <w:r>
                <w:rPr>
                  <w:rFonts w:ascii="Calibri" w:hAnsi="Calibri" w:cs="Calibri"/>
                  <w:sz w:val="18"/>
                  <w:color w:val="1155CC"/>
                  <w:u w:val="single"/>
                </w:rPr>
                <w:t xml:space="preserve">https://pubmed.ncbi.nlm.nih.gov/23415568/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Bedtime regularity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Consistent bed/wake times (±30 min)</w:t>
            </w:r>
          </w:p>
        </w:tc>
        <w:tc>
          <w:tcPr>
            <w:tcW w:type="dxa" w:w="1512"/>
            <w:vAlign w:val="top"/>
          </w:tcPr>
          <w:p>
            <w:pPr>
              <w:spacing w:after="40" w:before="0" w:line="259" w:lineRule="auto"/>
            </w:pPr>
            <w:r>
              <w:rPr>
                <w:rFonts w:ascii="Calibri" w:hAnsi="Calibri"/>
                <w:b w:val="0"/>
                <w:i w:val="0"/>
                <w:color w:val="212121"/>
                <w:sz w:val="19"/>
              </w:rPr>
              <w:t>Irregular or shifting schedule</w:t>
            </w:r>
          </w:p>
        </w:tc>
        <w:tc>
          <w:tcPr>
            <w:tcW w:type="dxa" w:w="1468"/>
            <w:vAlign w:val="top"/>
          </w:tcPr>
          <w:p>
            <w:pPr>
              <w:spacing w:after="40" w:before="0" w:line="259" w:lineRule="auto"/>
            </w:pPr>
            <w:r>
              <w:rPr>
                <w:rFonts w:ascii="Calibri" w:hAnsi="Calibri"/>
                <w:b w:val="0"/>
                <w:i w:val="0"/>
                <w:color w:val="212121"/>
                <w:sz w:val="19"/>
              </w:rPr>
              <w:t>Schedule instability primes disorders of arousal</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 (fever)</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Afebrile (≤ 37.5 °C)</w:t>
            </w:r>
          </w:p>
        </w:tc>
        <w:tc>
          <w:tcPr>
            <w:tcW w:type="dxa" w:w="1512"/>
            <w:vAlign w:val="top"/>
          </w:tcPr>
          <w:p>
            <w:pPr>
              <w:spacing w:after="40" w:before="0" w:line="259" w:lineRule="auto"/>
            </w:pPr>
            <w:r>
              <w:rPr>
                <w:rFonts w:ascii="Calibri" w:hAnsi="Calibri"/>
                <w:b w:val="0"/>
                <w:i w:val="0"/>
                <w:color w:val="212121"/>
                <w:sz w:val="19"/>
              </w:rPr>
              <w:t>Febrile illness (≥ 38 °C)</w:t>
            </w:r>
          </w:p>
        </w:tc>
        <w:tc>
          <w:tcPr>
            <w:tcW w:type="dxa" w:w="1468"/>
            <w:vAlign w:val="top"/>
          </w:tcPr>
          <w:p>
            <w:pPr>
              <w:spacing w:after="40" w:before="0" w:line="259" w:lineRule="auto"/>
            </w:pPr>
            <w:r>
              <w:rPr>
                <w:rFonts w:ascii="Calibri" w:hAnsi="Calibri"/>
                <w:b w:val="0"/>
                <w:i w:val="0"/>
                <w:color w:val="212121"/>
                <w:sz w:val="19"/>
              </w:rPr>
              <w:t>Fever is a common precipitant of childhood sleep terrors and sleepwalking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Apnoea–Hypopnoea Index (AHI, events/h)</w:t>
            </w:r>
          </w:p>
        </w:tc>
        <w:tc>
          <w:tcPr>
            <w:tcW w:type="dxa" w:w="1655"/>
            <w:vAlign w:val="top"/>
          </w:tcPr>
          <w:p>
            <w:pPr>
              <w:spacing w:after="40" w:before="0" w:line="259" w:lineRule="auto"/>
            </w:pPr>
            <w:r>
              <w:rPr>
                <w:rFonts w:ascii="Calibri" w:hAnsi="Calibri"/>
                <w:b w:val="0"/>
                <w:i w:val="0"/>
                <w:color w:val="212121"/>
                <w:sz w:val="19"/>
              </w:rPr>
              <w:t>Snoring children/adults</w:t>
            </w:r>
          </w:p>
        </w:tc>
        <w:tc>
          <w:tcPr>
            <w:tcW w:type="dxa" w:w="1512"/>
            <w:vAlign w:val="top"/>
          </w:tcPr>
          <w:p>
            <w:pPr>
              <w:spacing w:after="40" w:before="0" w:line="259" w:lineRule="auto"/>
            </w:pPr>
            <w:r>
              <w:rPr>
                <w:rFonts w:ascii="Calibri" w:hAnsi="Calibri"/>
                <w:b w:val="0"/>
                <w:i w:val="0"/>
                <w:color w:val="212121"/>
                <w:sz w:val="19"/>
              </w:rPr>
              <w:t>&lt; 1 (children); &lt; 5 (adults)</w:t>
            </w:r>
          </w:p>
        </w:tc>
        <w:tc>
          <w:tcPr>
            <w:tcW w:type="dxa" w:w="1512"/>
            <w:vAlign w:val="top"/>
          </w:tcPr>
          <w:p>
            <w:pPr>
              <w:spacing w:after="40" w:before="0" w:line="259" w:lineRule="auto"/>
            </w:pPr>
            <w:r>
              <w:rPr>
                <w:rFonts w:ascii="Calibri" w:hAnsi="Calibri"/>
                <w:b w:val="0"/>
                <w:i w:val="0"/>
                <w:color w:val="212121"/>
                <w:sz w:val="19"/>
              </w:rPr>
              <w:t>≥ 5 (adults); ≥ 1–2 (children)</w:t>
            </w:r>
          </w:p>
        </w:tc>
        <w:tc>
          <w:tcPr>
            <w:tcW w:type="dxa" w:w="1468"/>
            <w:vAlign w:val="top"/>
          </w:tcPr>
          <w:p>
            <w:pPr>
              <w:spacing w:after="60" w:line="259" w:lineRule="auto"/>
            </w:pPr>
            <w:r>
              <w:rPr>
                <w:rFonts w:ascii="Calibri" w:hAnsi="Calibri"/>
                <w:b w:val="0"/>
                <w:i w:val="0"/>
                <w:color w:val="212121"/>
                <w:sz w:val="19"/>
              </w:rPr>
              <w:t>OSA-related arousals precipitate disorders of arousal; treatment often abolishes them</w:t>
            </w:r>
          </w:p>
          <w:p>
            <w:pPr>
              <w:spacing w:after="40" w:line="252" w:lineRule="auto"/>
            </w:pPr>
            <w:hyperlink r:id="rId10">
              <w:r>
                <w:rPr>
                  <w:rFonts w:ascii="Calibri" w:hAnsi="Calibri" w:cs="Calibri"/>
                  <w:sz w:val="18"/>
                  <w:color w:val="1155CC"/>
                  <w:u w:val="single"/>
                </w:rPr>
                <w:t xml:space="preserve">https://pubmed.ncbi.nlm.nih.gov/10221293/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Periodic Limb Movement Index (PLMI, events/h)</w:t>
            </w:r>
          </w:p>
        </w:tc>
        <w:tc>
          <w:tcPr>
            <w:tcW w:type="dxa" w:w="1655"/>
            <w:vAlign w:val="top"/>
          </w:tcPr>
          <w:p>
            <w:pPr>
              <w:spacing w:after="40" w:before="0" w:line="259" w:lineRule="auto"/>
            </w:pPr>
            <w:r>
              <w:rPr>
                <w:rFonts w:ascii="Calibri" w:hAnsi="Calibri"/>
                <w:b w:val="0"/>
                <w:i w:val="0"/>
                <w:color w:val="212121"/>
                <w:sz w:val="19"/>
              </w:rPr>
              <w:t>Adults with RLS/PLMD</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15</w:t>
            </w:r>
          </w:p>
        </w:tc>
        <w:tc>
          <w:tcPr>
            <w:tcW w:type="dxa" w:w="1468"/>
            <w:vAlign w:val="top"/>
          </w:tcPr>
          <w:p>
            <w:pPr>
              <w:spacing w:after="60" w:line="259" w:lineRule="auto"/>
            </w:pPr>
            <w:r>
              <w:rPr>
                <w:rFonts w:ascii="Calibri" w:hAnsi="Calibri"/>
                <w:b w:val="0"/>
                <w:i w:val="0"/>
                <w:color w:val="212121"/>
                <w:sz w:val="19"/>
              </w:rPr>
              <w:t>Leg-movement arousals fragment sleep and can trigger episodes</w:t>
            </w:r>
          </w:p>
          <w:p>
            <w:pPr>
              <w:spacing w:after="40" w:line="252" w:lineRule="auto"/>
            </w:pPr>
            <w:hyperlink r:id="rId17">
              <w:r>
                <w:rPr>
                  <w:rFonts w:ascii="Calibri" w:hAnsi="Calibri" w:cs="Calibri"/>
                  <w:sz w:val="18"/>
                  <w:color w:val="1155CC"/>
                  <w:u w:val="single"/>
                </w:rPr>
                <w:t xml:space="preserve">https://pubmed.ncbi.nlm.nih.gov/35671733/</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Evening alcohol (drinks)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in the evening</w:t>
            </w:r>
          </w:p>
        </w:tc>
        <w:tc>
          <w:tcPr>
            <w:tcW w:type="dxa" w:w="1512"/>
            <w:vAlign w:val="top"/>
          </w:tcPr>
          <w:p>
            <w:pPr>
              <w:spacing w:after="40" w:before="0" w:line="259" w:lineRule="auto"/>
            </w:pPr>
            <w:r>
              <w:rPr>
                <w:rFonts w:ascii="Calibri" w:hAnsi="Calibri"/>
                <w:b w:val="0"/>
                <w:i w:val="0"/>
                <w:color w:val="212121"/>
                <w:sz w:val="19"/>
              </w:rPr>
              <w:t>Any evening/binge intake</w:t>
            </w:r>
          </w:p>
        </w:tc>
        <w:tc>
          <w:tcPr>
            <w:tcW w:type="dxa" w:w="1468"/>
            <w:vAlign w:val="top"/>
          </w:tcPr>
          <w:p>
            <w:pPr>
              <w:spacing w:after="60" w:line="259" w:lineRule="auto"/>
            </w:pPr>
            <w:r>
              <w:rPr>
                <w:rFonts w:ascii="Calibri" w:hAnsi="Calibri"/>
                <w:b w:val="0"/>
                <w:i w:val="0"/>
                <w:color w:val="212121"/>
                <w:sz w:val="19"/>
              </w:rPr>
              <w:t>Alcohol precipitates nocturnal wandering (OR ~3.5)</w:t>
            </w:r>
          </w:p>
          <w:p>
            <w:pPr>
              <w:spacing w:after="40" w:line="252" w:lineRule="auto"/>
            </w:pPr>
            <w:hyperlink r:id="rId15">
              <w:r>
                <w:rPr>
                  <w:rFonts w:ascii="Calibri" w:hAnsi="Calibri" w:cs="Calibri"/>
                  <w:sz w:val="18"/>
                  <w:color w:val="1155CC"/>
                  <w:u w:val="single"/>
                </w:rPr>
                <w:t xml:space="preserve">https://pubmed.ncbi.nlm.nih.gov/22585435/</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timing/dose</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&lt; 200 mg/day; none after mid-afternoon</w:t>
            </w:r>
          </w:p>
        </w:tc>
        <w:tc>
          <w:tcPr>
            <w:tcW w:type="dxa" w:w="1512"/>
            <w:vAlign w:val="top"/>
          </w:tcPr>
          <w:p>
            <w:pPr>
              <w:spacing w:after="40" w:before="0" w:line="259" w:lineRule="auto"/>
            </w:pPr>
            <w:r>
              <w:rPr>
                <w:rFonts w:ascii="Calibri" w:hAnsi="Calibri"/>
                <w:b w:val="0"/>
                <w:i w:val="0"/>
                <w:color w:val="212121"/>
                <w:sz w:val="19"/>
              </w:rPr>
              <w:t>Evening caffeine / energy drinks</w:t>
            </w:r>
          </w:p>
        </w:tc>
        <w:tc>
          <w:tcPr>
            <w:tcW w:type="dxa" w:w="1468"/>
            <w:vAlign w:val="top"/>
          </w:tcPr>
          <w:p>
            <w:pPr>
              <w:spacing w:after="40" w:before="0" w:line="259" w:lineRule="auto"/>
            </w:pPr>
            <w:r>
              <w:rPr>
                <w:rFonts w:ascii="Calibri" w:hAnsi="Calibri"/>
                <w:b w:val="0"/>
                <w:i w:val="0"/>
                <w:color w:val="212121"/>
                <w:sz w:val="19"/>
              </w:rPr>
              <w:t>Delays and fragments deep sleep, lowering arousal threshold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RBD patients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60" w:line="259" w:lineRule="auto"/>
            </w:pPr>
            <w:r>
              <w:rPr>
                <w:rFonts w:ascii="Calibri" w:hAnsi="Calibri"/>
                <w:b w:val="0"/>
                <w:i w:val="0"/>
                <w:color w:val="212121"/>
                <w:sz w:val="19"/>
              </w:rPr>
              <w:t>Smoking is far more common in RBD (85% vs 56.6%)</w:t>
            </w:r>
          </w:p>
          <w:p>
            <w:pPr>
              <w:spacing w:after="40" w:line="252" w:lineRule="auto"/>
            </w:pPr>
            <w:hyperlink r:id="rId11">
              <w:r>
                <w:rPr>
                  <w:rFonts w:ascii="Calibri" w:hAnsi="Calibri" w:cs="Calibri"/>
                  <w:sz w:val="18"/>
                  <w:color w:val="1155CC"/>
                  <w:u w:val="single"/>
                </w:rPr>
                <w:t xml:space="preserve">https://pubmed.ncbi.nlm.nih.gov/29216391/</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screen (e.g., PHQ-9/GAD-7)</w:t>
            </w:r>
          </w:p>
        </w:tc>
        <w:tc>
          <w:tcPr>
            <w:tcW w:type="dxa" w:w="1655"/>
            <w:vAlign w:val="top"/>
          </w:tcPr>
          <w:p>
            <w:pPr>
              <w:spacing w:after="40" w:before="0" w:line="259" w:lineRule="auto"/>
            </w:pPr>
            <w:r>
              <w:rPr>
                <w:rFonts w:ascii="Calibri" w:hAnsi="Calibri"/>
                <w:b w:val="0"/>
                <w:i w:val="0"/>
                <w:color w:val="212121"/>
                <w:sz w:val="19"/>
              </w:rPr>
              <w:t>Adults with adult-onset events</w:t>
            </w:r>
          </w:p>
        </w:tc>
        <w:tc>
          <w:tcPr>
            <w:tcW w:type="dxa" w:w="1512"/>
            <w:vAlign w:val="top"/>
          </w:tcPr>
          <w:p>
            <w:pPr>
              <w:spacing w:after="40" w:before="0" w:line="259" w:lineRule="auto"/>
            </w:pPr>
            <w:r>
              <w:rPr>
                <w:rFonts w:ascii="Calibri" w:hAnsi="Calibri"/>
                <w:b w:val="0"/>
                <w:i w:val="0"/>
                <w:color w:val="212121"/>
                <w:sz w:val="19"/>
              </w:rPr>
              <w:t>Below clinical cut-off</w:t>
            </w:r>
          </w:p>
        </w:tc>
        <w:tc>
          <w:tcPr>
            <w:tcW w:type="dxa" w:w="1512"/>
            <w:vAlign w:val="top"/>
          </w:tcPr>
          <w:p>
            <w:pPr>
              <w:spacing w:after="40" w:before="0" w:line="259" w:lineRule="auto"/>
            </w:pPr>
            <w:r>
              <w:rPr>
                <w:rFonts w:ascii="Calibri" w:hAnsi="Calibri"/>
                <w:b w:val="0"/>
                <w:i w:val="0"/>
                <w:color w:val="212121"/>
                <w:sz w:val="19"/>
              </w:rPr>
              <w:t>Positive screen</w:t>
            </w:r>
          </w:p>
        </w:tc>
        <w:tc>
          <w:tcPr>
            <w:tcW w:type="dxa" w:w="1468"/>
            <w:vAlign w:val="top"/>
          </w:tcPr>
          <w:p>
            <w:pPr>
              <w:spacing w:after="60" w:line="259" w:lineRule="auto"/>
            </w:pPr>
            <w:r>
              <w:rPr>
                <w:rFonts w:ascii="Calibri" w:hAnsi="Calibri"/>
                <w:b w:val="0"/>
                <w:i w:val="0"/>
                <w:color w:val="212121"/>
                <w:sz w:val="19"/>
              </w:rPr>
              <w:t>Mood/anxiety disorders are strongly associated with adult disorders of arousal</w:t>
            </w:r>
          </w:p>
          <w:p>
            <w:pPr>
              <w:spacing w:after="40" w:line="252" w:lineRule="auto"/>
            </w:pPr>
            <w:hyperlink r:id="rId15">
              <w:r>
                <w:rPr>
                  <w:rFonts w:ascii="Calibri" w:hAnsi="Calibri" w:cs="Calibri"/>
                  <w:sz w:val="18"/>
                  <w:color w:val="1155CC"/>
                  <w:u w:val="single"/>
                </w:rPr>
                <w:t xml:space="preserve">https://pubmed.ncbi.nlm.nih.gov/22585435/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REM sleep without atonia (RSWA) on PSG</w:t>
            </w:r>
          </w:p>
        </w:tc>
        <w:tc>
          <w:tcPr>
            <w:tcW w:type="dxa" w:w="1655"/>
            <w:vAlign w:val="top"/>
          </w:tcPr>
          <w:p>
            <w:pPr>
              <w:spacing w:after="40" w:before="0" w:line="259" w:lineRule="auto"/>
            </w:pPr>
            <w:r>
              <w:rPr>
                <w:rFonts w:ascii="Calibri" w:hAnsi="Calibri"/>
                <w:b w:val="0"/>
                <w:i w:val="0"/>
                <w:color w:val="212121"/>
                <w:sz w:val="19"/>
              </w:rPr>
              <w:t>Older adults, suspected RBD</w:t>
            </w:r>
          </w:p>
        </w:tc>
        <w:tc>
          <w:tcPr>
            <w:tcW w:type="dxa" w:w="1512"/>
            <w:vAlign w:val="top"/>
          </w:tcPr>
          <w:p>
            <w:pPr>
              <w:spacing w:after="40" w:before="0" w:line="259" w:lineRule="auto"/>
            </w:pPr>
            <w:r>
              <w:rPr>
                <w:rFonts w:ascii="Calibri" w:hAnsi="Calibri"/>
                <w:b w:val="0"/>
                <w:i w:val="0"/>
                <w:color w:val="212121"/>
                <w:sz w:val="19"/>
              </w:rPr>
              <w:t>Normal REM atonia</w:t>
            </w:r>
          </w:p>
        </w:tc>
        <w:tc>
          <w:tcPr>
            <w:tcW w:type="dxa" w:w="1512"/>
            <w:vAlign w:val="top"/>
          </w:tcPr>
          <w:p>
            <w:pPr>
              <w:spacing w:after="40" w:before="0" w:line="259" w:lineRule="auto"/>
            </w:pPr>
            <w:r>
              <w:rPr>
                <w:rFonts w:ascii="Calibri" w:hAnsi="Calibri"/>
                <w:b w:val="0"/>
                <w:i w:val="0"/>
                <w:color w:val="212121"/>
                <w:sz w:val="19"/>
              </w:rPr>
              <w:t>Excess tonic/phasic chin or limb EMG in REM</w:t>
            </w:r>
          </w:p>
        </w:tc>
        <w:tc>
          <w:tcPr>
            <w:tcW w:type="dxa" w:w="1468"/>
            <w:vAlign w:val="top"/>
          </w:tcPr>
          <w:p>
            <w:pPr>
              <w:spacing w:after="60" w:line="259" w:lineRule="auto"/>
            </w:pPr>
            <w:r>
              <w:rPr>
                <w:rFonts w:ascii="Calibri" w:hAnsi="Calibri"/>
                <w:b w:val="0"/>
                <w:i w:val="0"/>
                <w:color w:val="212121"/>
                <w:sz w:val="19"/>
              </w:rPr>
              <w:t>Diagnostic hallmark of RBD and a prodromal synucleinopathy marker</w:t>
            </w:r>
          </w:p>
          <w:p>
            <w:pPr>
              <w:spacing w:after="40" w:line="252" w:lineRule="auto"/>
            </w:pPr>
            <w:hyperlink r:id="rId11">
              <w:r>
                <w:rPr>
                  <w:rFonts w:ascii="Calibri" w:hAnsi="Calibri" w:cs="Calibri"/>
                  <w:sz w:val="18"/>
                  <w:color w:val="1155CC"/>
                  <w:u w:val="single"/>
                </w:rPr>
                <w:t xml:space="preserve">https://pubmed.ncbi.nlm.nih.gov/29216391/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Slow-wave sleep % / arousal index</w:t>
            </w:r>
          </w:p>
        </w:tc>
        <w:tc>
          <w:tcPr>
            <w:tcW w:type="dxa" w:w="892"/>
            <w:vAlign w:val="top"/>
          </w:tcPr>
          <w:p>
            <w:pPr>
              <w:spacing w:after="40" w:before="0" w:line="259" w:lineRule="auto"/>
            </w:pPr>
            <w:r>
              <w:rPr>
                <w:rFonts w:ascii="Calibri" w:hAnsi="Calibri"/>
                <w:b w:val="0"/>
                <w:i w:val="0"/>
                <w:color w:val="212121"/>
                <w:sz w:val="16"/>
              </w:rPr>
              <w:t>Video-polysomnography (vPSG)</w:t>
            </w:r>
          </w:p>
        </w:tc>
        <w:tc>
          <w:tcPr>
            <w:tcW w:type="dxa" w:w="950"/>
            <w:vAlign w:val="top"/>
          </w:tcPr>
          <w:p>
            <w:pPr>
              <w:spacing w:after="40" w:before="0" w:line="259" w:lineRule="auto"/>
            </w:pPr>
            <w:r>
              <w:rPr>
                <w:rFonts w:ascii="Calibri" w:hAnsi="Calibri"/>
                <w:b w:val="0"/>
                <w:i w:val="0"/>
                <w:color w:val="212121"/>
                <w:sz w:val="16"/>
              </w:rPr>
              <w:t>Age-appropriate N3; arousal index within norms</w:t>
            </w:r>
          </w:p>
        </w:tc>
        <w:tc>
          <w:tcPr>
            <w:tcW w:type="dxa" w:w="950"/>
            <w:vAlign w:val="top"/>
          </w:tcPr>
          <w:p>
            <w:pPr>
              <w:spacing w:after="40" w:before="0" w:line="259" w:lineRule="auto"/>
            </w:pPr>
            <w:r>
              <w:rPr>
                <w:rFonts w:ascii="Calibri" w:hAnsi="Calibri"/>
                <w:b w:val="0"/>
                <w:i w:val="0"/>
                <w:color w:val="212121"/>
                <w:sz w:val="16"/>
              </w:rPr>
              <w:t>Abrupt arousals out of N3; increased slow-wave-sleep fragmentation</w:t>
            </w:r>
          </w:p>
        </w:tc>
        <w:tc>
          <w:tcPr>
            <w:tcW w:type="dxa" w:w="1036"/>
            <w:vAlign w:val="top"/>
          </w:tcPr>
          <w:p>
            <w:pPr>
              <w:spacing w:after="40" w:before="0" w:line="259" w:lineRule="auto"/>
            </w:pPr>
            <w:r>
              <w:rPr>
                <w:rFonts w:ascii="Calibri" w:hAnsi="Calibri"/>
                <w:b w:val="0"/>
                <w:i w:val="0"/>
                <w:color w:val="212121"/>
                <w:sz w:val="16"/>
              </w:rPr>
              <w:t>Captures and characterises disorders of arousal and quantifies sleep fragmentation</w:t>
            </w:r>
          </w:p>
        </w:tc>
        <w:tc>
          <w:tcPr>
            <w:tcW w:type="dxa" w:w="1036"/>
            <w:vAlign w:val="top"/>
          </w:tcPr>
          <w:p>
            <w:pPr>
              <w:spacing w:after="40" w:before="0" w:line="259" w:lineRule="auto"/>
            </w:pPr>
            <w:r>
              <w:rPr>
                <w:rFonts w:ascii="Calibri" w:hAnsi="Calibri"/>
                <w:b w:val="0"/>
                <w:i w:val="0"/>
                <w:color w:val="212121"/>
                <w:sz w:val="16"/>
              </w:rPr>
              <w:t>Children/adults with atypical, frequent or injurious events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Confirmatory / gold standard for atypical cases</w:t>
            </w:r>
          </w:p>
        </w:tc>
        <w:tc>
          <w:tcPr>
            <w:tcW w:type="dxa" w:w="720"/>
            <w:vAlign w:val="top"/>
          </w:tcPr>
          <w:p>
            <w:pPr>
              <w:spacing w:after="40" w:before="0" w:line="259" w:lineRule="auto"/>
            </w:pPr>
            <w:r>
              <w:rPr>
                <w:rFonts w:ascii="Calibri" w:hAnsi="Calibri"/>
                <w:b w:val="0"/>
                <w:i w:val="0"/>
                <w:color w:val="212121"/>
                <w:sz w:val="16"/>
              </w:rPr>
              <w:t>Video is essential to correlate behaviour with sleep stage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REM sleep without atonia (RSWA)</w:t>
            </w:r>
          </w:p>
        </w:tc>
        <w:tc>
          <w:tcPr>
            <w:tcW w:type="dxa" w:w="892"/>
            <w:vAlign w:val="top"/>
          </w:tcPr>
          <w:p>
            <w:pPr>
              <w:spacing w:after="40" w:before="0" w:line="259" w:lineRule="auto"/>
            </w:pPr>
            <w:r>
              <w:rPr>
                <w:rFonts w:ascii="Calibri" w:hAnsi="Calibri"/>
                <w:b w:val="0"/>
                <w:i w:val="0"/>
                <w:color w:val="212121"/>
                <w:sz w:val="16"/>
              </w:rPr>
              <w:t>Video-polysomnography (vPSG)</w:t>
            </w:r>
          </w:p>
        </w:tc>
        <w:tc>
          <w:tcPr>
            <w:tcW w:type="dxa" w:w="950"/>
            <w:vAlign w:val="top"/>
          </w:tcPr>
          <w:p>
            <w:pPr>
              <w:spacing w:after="40" w:before="0" w:line="259" w:lineRule="auto"/>
            </w:pPr>
            <w:r>
              <w:rPr>
                <w:rFonts w:ascii="Calibri" w:hAnsi="Calibri"/>
                <w:b w:val="0"/>
                <w:i w:val="0"/>
                <w:color w:val="212121"/>
                <w:sz w:val="16"/>
              </w:rPr>
              <w:t>Preserved REM muscle atonia</w:t>
            </w:r>
          </w:p>
        </w:tc>
        <w:tc>
          <w:tcPr>
            <w:tcW w:type="dxa" w:w="950"/>
            <w:vAlign w:val="top"/>
          </w:tcPr>
          <w:p>
            <w:pPr>
              <w:spacing w:after="40" w:before="0" w:line="259" w:lineRule="auto"/>
            </w:pPr>
            <w:r>
              <w:rPr>
                <w:rFonts w:ascii="Calibri" w:hAnsi="Calibri"/>
                <w:b w:val="0"/>
                <w:i w:val="0"/>
                <w:color w:val="212121"/>
                <w:sz w:val="16"/>
              </w:rPr>
              <w:t>Excess tonic/phasic EMG in REM with dream enactment</w:t>
            </w:r>
          </w:p>
        </w:tc>
        <w:tc>
          <w:tcPr>
            <w:tcW w:type="dxa" w:w="1036"/>
            <w:vAlign w:val="top"/>
          </w:tcPr>
          <w:p>
            <w:pPr>
              <w:spacing w:after="40" w:before="0" w:line="259" w:lineRule="auto"/>
            </w:pPr>
            <w:r>
              <w:rPr>
                <w:rFonts w:ascii="Calibri" w:hAnsi="Calibri"/>
                <w:b w:val="0"/>
                <w:i w:val="0"/>
                <w:color w:val="212121"/>
                <w:sz w:val="16"/>
              </w:rPr>
              <w:t>Diagnostic of REM sleep behaviour disorder; prompts neurodegenerative surveillance</w:t>
            </w:r>
          </w:p>
        </w:tc>
        <w:tc>
          <w:tcPr>
            <w:tcW w:type="dxa" w:w="1036"/>
            <w:vAlign w:val="top"/>
          </w:tcPr>
          <w:p>
            <w:pPr>
              <w:spacing w:after="40" w:before="0" w:line="259" w:lineRule="auto"/>
            </w:pPr>
            <w:r>
              <w:rPr>
                <w:rFonts w:ascii="Calibri" w:hAnsi="Calibri"/>
                <w:b w:val="0"/>
                <w:i w:val="0"/>
                <w:color w:val="212121"/>
                <w:sz w:val="16"/>
              </w:rPr>
              <w:t>Older adults, dream enactment, suspected synucleinopathy</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Diagnostic (RBD)</w:t>
            </w:r>
          </w:p>
        </w:tc>
        <w:tc>
          <w:tcPr>
            <w:tcW w:type="dxa" w:w="720"/>
            <w:vAlign w:val="top"/>
          </w:tcPr>
          <w:p>
            <w:pPr>
              <w:spacing w:after="40" w:before="0" w:line="259" w:lineRule="auto"/>
            </w:pPr>
            <w:r>
              <w:rPr>
                <w:rFonts w:ascii="Calibri" w:hAnsi="Calibri"/>
                <w:b w:val="0"/>
                <w:i w:val="0"/>
                <w:color w:val="212121"/>
                <w:sz w:val="16"/>
              </w:rPr>
              <w:t>Required for a definite RBD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Apnoea–Hypopnoea Index (AHI)</w:t>
            </w:r>
          </w:p>
        </w:tc>
        <w:tc>
          <w:tcPr>
            <w:tcW w:type="dxa" w:w="892"/>
            <w:vAlign w:val="top"/>
          </w:tcPr>
          <w:p>
            <w:pPr>
              <w:spacing w:after="40" w:before="0" w:line="259" w:lineRule="auto"/>
            </w:pPr>
            <w:r>
              <w:rPr>
                <w:rFonts w:ascii="Calibri" w:hAnsi="Calibri"/>
                <w:b w:val="0"/>
                <w:i w:val="0"/>
                <w:color w:val="212121"/>
                <w:sz w:val="16"/>
              </w:rPr>
              <w:t>Polysomnography</w:t>
            </w:r>
          </w:p>
        </w:tc>
        <w:tc>
          <w:tcPr>
            <w:tcW w:type="dxa" w:w="950"/>
            <w:vAlign w:val="top"/>
          </w:tcPr>
          <w:p>
            <w:pPr>
              <w:spacing w:after="40" w:before="0" w:line="259" w:lineRule="auto"/>
            </w:pPr>
            <w:r>
              <w:rPr>
                <w:rFonts w:ascii="Calibri" w:hAnsi="Calibri"/>
                <w:b w:val="0"/>
                <w:i w:val="0"/>
                <w:color w:val="212121"/>
                <w:sz w:val="16"/>
              </w:rPr>
              <w:t>&lt; 5 (adults); &lt; 1 (children)</w:t>
            </w:r>
          </w:p>
        </w:tc>
        <w:tc>
          <w:tcPr>
            <w:tcW w:type="dxa" w:w="950"/>
            <w:vAlign w:val="top"/>
          </w:tcPr>
          <w:p>
            <w:pPr>
              <w:spacing w:after="40" w:before="0" w:line="259" w:lineRule="auto"/>
            </w:pPr>
            <w:r>
              <w:rPr>
                <w:rFonts w:ascii="Calibri" w:hAnsi="Calibri"/>
                <w:b w:val="0"/>
                <w:i w:val="0"/>
                <w:color w:val="212121"/>
                <w:sz w:val="16"/>
              </w:rPr>
              <w:t>≥ 5 (adults); ≥ 1–2 (children)</w:t>
            </w:r>
          </w:p>
        </w:tc>
        <w:tc>
          <w:tcPr>
            <w:tcW w:type="dxa" w:w="1036"/>
            <w:vAlign w:val="top"/>
          </w:tcPr>
          <w:p>
            <w:pPr>
              <w:spacing w:after="40" w:before="0" w:line="259" w:lineRule="auto"/>
            </w:pPr>
            <w:r>
              <w:rPr>
                <w:rFonts w:ascii="Calibri" w:hAnsi="Calibri"/>
                <w:b w:val="0"/>
                <w:i w:val="0"/>
                <w:color w:val="212121"/>
                <w:sz w:val="16"/>
              </w:rPr>
              <w:t>Identifies OSA as a treatable precipitant of arousal episodes</w:t>
            </w:r>
          </w:p>
        </w:tc>
        <w:tc>
          <w:tcPr>
            <w:tcW w:type="dxa" w:w="1036"/>
            <w:vAlign w:val="top"/>
          </w:tcPr>
          <w:p>
            <w:pPr>
              <w:spacing w:after="40" w:before="0" w:line="259" w:lineRule="auto"/>
            </w:pPr>
            <w:r>
              <w:rPr>
                <w:rFonts w:ascii="Calibri" w:hAnsi="Calibri"/>
                <w:b w:val="0"/>
                <w:i w:val="0"/>
                <w:color w:val="212121"/>
                <w:sz w:val="16"/>
              </w:rPr>
              <w:t>Snorers, obese patients, children with adenotonsillar hypertrophy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 treatable trigger</w:t>
            </w:r>
          </w:p>
        </w:tc>
        <w:tc>
          <w:tcPr>
            <w:tcW w:type="dxa" w:w="720"/>
            <w:vAlign w:val="top"/>
          </w:tcPr>
          <w:p>
            <w:pPr>
              <w:spacing w:after="40" w:before="0" w:line="259" w:lineRule="auto"/>
            </w:pPr>
            <w:r>
              <w:rPr>
                <w:rFonts w:ascii="Calibri" w:hAnsi="Calibri"/>
                <w:b w:val="0"/>
                <w:i w:val="0"/>
                <w:color w:val="212121"/>
                <w:sz w:val="16"/>
              </w:rPr>
              <w:t>Treating OSA often abolishes disorders of arousal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Periodic Limb Movement Index (PLMI)</w:t>
            </w:r>
          </w:p>
        </w:tc>
        <w:tc>
          <w:tcPr>
            <w:tcW w:type="dxa" w:w="892"/>
            <w:vAlign w:val="top"/>
          </w:tcPr>
          <w:p>
            <w:pPr>
              <w:spacing w:after="40" w:before="0" w:line="259" w:lineRule="auto"/>
            </w:pPr>
            <w:r>
              <w:rPr>
                <w:rFonts w:ascii="Calibri" w:hAnsi="Calibri"/>
                <w:b w:val="0"/>
                <w:i w:val="0"/>
                <w:color w:val="212121"/>
                <w:sz w:val="16"/>
              </w:rPr>
              <w:t>Polysomnography</w:t>
            </w:r>
          </w:p>
        </w:tc>
        <w:tc>
          <w:tcPr>
            <w:tcW w:type="dxa" w:w="950"/>
            <w:vAlign w:val="top"/>
          </w:tcPr>
          <w:p>
            <w:pPr>
              <w:spacing w:after="40" w:before="0" w:line="259" w:lineRule="auto"/>
            </w:pPr>
            <w:r>
              <w:rPr>
                <w:rFonts w:ascii="Calibri" w:hAnsi="Calibri"/>
                <w:b w:val="0"/>
                <w:i w:val="0"/>
                <w:color w:val="212121"/>
                <w:sz w:val="16"/>
              </w:rPr>
              <w:t>&lt; 5/h</w:t>
            </w:r>
          </w:p>
        </w:tc>
        <w:tc>
          <w:tcPr>
            <w:tcW w:type="dxa" w:w="950"/>
            <w:vAlign w:val="top"/>
          </w:tcPr>
          <w:p>
            <w:pPr>
              <w:spacing w:after="40" w:before="0" w:line="259" w:lineRule="auto"/>
            </w:pPr>
            <w:r>
              <w:rPr>
                <w:rFonts w:ascii="Calibri" w:hAnsi="Calibri"/>
                <w:b w:val="0"/>
                <w:i w:val="0"/>
                <w:color w:val="212121"/>
                <w:sz w:val="16"/>
              </w:rPr>
              <w:t>≥ 15/h</w:t>
            </w:r>
          </w:p>
        </w:tc>
        <w:tc>
          <w:tcPr>
            <w:tcW w:type="dxa" w:w="1036"/>
            <w:vAlign w:val="top"/>
          </w:tcPr>
          <w:p>
            <w:pPr>
              <w:spacing w:after="40" w:before="0" w:line="259" w:lineRule="auto"/>
            </w:pPr>
            <w:r>
              <w:rPr>
                <w:rFonts w:ascii="Calibri" w:hAnsi="Calibri"/>
                <w:b w:val="0"/>
                <w:i w:val="0"/>
                <w:color w:val="212121"/>
                <w:sz w:val="16"/>
              </w:rPr>
              <w:t>Detects PLMD/RLS-related arousals that fragment sleep</w:t>
            </w:r>
          </w:p>
        </w:tc>
        <w:tc>
          <w:tcPr>
            <w:tcW w:type="dxa" w:w="1036"/>
            <w:vAlign w:val="top"/>
          </w:tcPr>
          <w:p>
            <w:pPr>
              <w:spacing w:after="40" w:before="0" w:line="259" w:lineRule="auto"/>
            </w:pPr>
            <w:r>
              <w:rPr>
                <w:rFonts w:ascii="Calibri" w:hAnsi="Calibri"/>
                <w:b w:val="0"/>
                <w:i w:val="0"/>
                <w:color w:val="212121"/>
                <w:sz w:val="16"/>
              </w:rPr>
              <w:t>Adults with restless legs, low ferritin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Correlate with serum ferritin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Ictal/interictal EEG activity</w:t>
            </w:r>
          </w:p>
        </w:tc>
        <w:tc>
          <w:tcPr>
            <w:tcW w:type="dxa" w:w="892"/>
            <w:vAlign w:val="top"/>
          </w:tcPr>
          <w:p>
            <w:pPr>
              <w:spacing w:after="40" w:before="0" w:line="259" w:lineRule="auto"/>
            </w:pPr>
            <w:r>
              <w:rPr>
                <w:rFonts w:ascii="Calibri" w:hAnsi="Calibri"/>
                <w:b w:val="0"/>
                <w:i w:val="0"/>
                <w:color w:val="212121"/>
                <w:sz w:val="16"/>
              </w:rPr>
              <w:t>vPSG with extended EEG montage</w:t>
            </w:r>
          </w:p>
        </w:tc>
        <w:tc>
          <w:tcPr>
            <w:tcW w:type="dxa" w:w="950"/>
            <w:vAlign w:val="top"/>
          </w:tcPr>
          <w:p>
            <w:pPr>
              <w:spacing w:after="40" w:before="0" w:line="259" w:lineRule="auto"/>
            </w:pPr>
            <w:r>
              <w:rPr>
                <w:rFonts w:ascii="Calibri" w:hAnsi="Calibri"/>
                <w:b w:val="0"/>
                <w:i w:val="0"/>
                <w:color w:val="212121"/>
                <w:sz w:val="16"/>
              </w:rPr>
              <w:t>No epileptiform discharges</w:t>
            </w:r>
          </w:p>
        </w:tc>
        <w:tc>
          <w:tcPr>
            <w:tcW w:type="dxa" w:w="950"/>
            <w:vAlign w:val="top"/>
          </w:tcPr>
          <w:p>
            <w:pPr>
              <w:spacing w:after="40" w:before="0" w:line="259" w:lineRule="auto"/>
            </w:pPr>
            <w:r>
              <w:rPr>
                <w:rFonts w:ascii="Calibri" w:hAnsi="Calibri"/>
                <w:b w:val="0"/>
                <w:i w:val="0"/>
                <w:color w:val="212121"/>
                <w:sz w:val="16"/>
              </w:rPr>
              <w:t>Focal (frontal) epileptiform activity / stereotyped events</w:t>
            </w:r>
          </w:p>
        </w:tc>
        <w:tc>
          <w:tcPr>
            <w:tcW w:type="dxa" w:w="1036"/>
            <w:vAlign w:val="top"/>
          </w:tcPr>
          <w:p>
            <w:pPr>
              <w:spacing w:after="40" w:before="0" w:line="259" w:lineRule="auto"/>
            </w:pPr>
            <w:r>
              <w:rPr>
                <w:rFonts w:ascii="Calibri" w:hAnsi="Calibri"/>
                <w:b w:val="0"/>
                <w:i w:val="0"/>
                <w:color w:val="212121"/>
                <w:sz w:val="16"/>
              </w:rPr>
              <w:t>Distinguishes sleep-related hypermotor epilepsy from NREM parasomnia</w:t>
            </w:r>
          </w:p>
        </w:tc>
        <w:tc>
          <w:tcPr>
            <w:tcW w:type="dxa" w:w="1036"/>
            <w:vAlign w:val="top"/>
          </w:tcPr>
          <w:p>
            <w:pPr>
              <w:spacing w:after="40" w:before="0" w:line="259" w:lineRule="auto"/>
            </w:pPr>
            <w:r>
              <w:rPr>
                <w:rFonts w:ascii="Calibri" w:hAnsi="Calibri"/>
                <w:b w:val="0"/>
                <w:i w:val="0"/>
                <w:color w:val="212121"/>
                <w:sz w:val="16"/>
              </w:rPr>
              <w:t>Stereotyped, very frequent or brief nocturnal events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 key differential</w:t>
            </w:r>
          </w:p>
        </w:tc>
        <w:tc>
          <w:tcPr>
            <w:tcW w:type="dxa" w:w="720"/>
            <w:vAlign w:val="top"/>
          </w:tcPr>
          <w:p>
            <w:pPr>
              <w:spacing w:after="40" w:before="0" w:line="259" w:lineRule="auto"/>
            </w:pPr>
            <w:r>
              <w:rPr>
                <w:rFonts w:ascii="Calibri" w:hAnsi="Calibri"/>
                <w:b w:val="0"/>
                <w:i w:val="0"/>
                <w:color w:val="212121"/>
                <w:sz w:val="16"/>
              </w:rPr>
              <w:t>Nocturnal seizures are the main mimic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 / iron studies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Ferritin &gt; 50–100 µg/L</w:t>
            </w:r>
          </w:p>
        </w:tc>
        <w:tc>
          <w:tcPr>
            <w:tcW w:type="dxa" w:w="950"/>
            <w:vAlign w:val="top"/>
          </w:tcPr>
          <w:p>
            <w:pPr>
              <w:spacing w:after="40" w:before="0" w:line="259" w:lineRule="auto"/>
            </w:pPr>
            <w:r>
              <w:rPr>
                <w:rFonts w:ascii="Calibri" w:hAnsi="Calibri"/>
                <w:b w:val="0"/>
                <w:i w:val="0"/>
                <w:color w:val="212121"/>
                <w:sz w:val="16"/>
              </w:rPr>
              <w:t>Low ferritin</w:t>
            </w:r>
          </w:p>
        </w:tc>
        <w:tc>
          <w:tcPr>
            <w:tcW w:type="dxa" w:w="1036"/>
            <w:vAlign w:val="top"/>
          </w:tcPr>
          <w:p>
            <w:pPr>
              <w:spacing w:after="40" w:before="0" w:line="259" w:lineRule="auto"/>
            </w:pPr>
            <w:r>
              <w:rPr>
                <w:rFonts w:ascii="Calibri" w:hAnsi="Calibri"/>
                <w:b w:val="0"/>
                <w:i w:val="0"/>
                <w:color w:val="212121"/>
                <w:sz w:val="16"/>
              </w:rPr>
              <w:t>Iron deficiency drives RLS/PLMD arousals; correctable</w:t>
            </w:r>
          </w:p>
        </w:tc>
        <w:tc>
          <w:tcPr>
            <w:tcW w:type="dxa" w:w="1036"/>
            <w:vAlign w:val="top"/>
          </w:tcPr>
          <w:p>
            <w:pPr>
              <w:spacing w:after="40" w:before="0" w:line="259" w:lineRule="auto"/>
            </w:pPr>
            <w:r>
              <w:rPr>
                <w:rFonts w:ascii="Calibri" w:hAnsi="Calibri"/>
                <w:b w:val="0"/>
                <w:i w:val="0"/>
                <w:color w:val="212121"/>
                <w:sz w:val="16"/>
              </w:rPr>
              <w:t>Patients with restless legs, children with poor sleep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Repletion can reduce arousal-related fragmentation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 thyroid function</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Euthyroid</w:t>
            </w:r>
          </w:p>
        </w:tc>
        <w:tc>
          <w:tcPr>
            <w:tcW w:type="dxa" w:w="950"/>
            <w:vAlign w:val="top"/>
          </w:tcPr>
          <w:p>
            <w:pPr>
              <w:spacing w:after="40" w:before="0" w:line="259" w:lineRule="auto"/>
            </w:pPr>
            <w:r>
              <w:rPr>
                <w:rFonts w:ascii="Calibri" w:hAnsi="Calibri"/>
                <w:b w:val="0"/>
                <w:i w:val="0"/>
                <w:color w:val="212121"/>
                <w:sz w:val="16"/>
              </w:rPr>
              <w:t>Hyper- or hypothyroidism</w:t>
            </w:r>
          </w:p>
        </w:tc>
        <w:tc>
          <w:tcPr>
            <w:tcW w:type="dxa" w:w="1036"/>
            <w:vAlign w:val="top"/>
          </w:tcPr>
          <w:p>
            <w:pPr>
              <w:spacing w:after="40" w:before="0" w:line="259" w:lineRule="auto"/>
            </w:pPr>
            <w:r>
              <w:rPr>
                <w:rFonts w:ascii="Calibri" w:hAnsi="Calibri"/>
                <w:b w:val="0"/>
                <w:i w:val="0"/>
                <w:color w:val="212121"/>
                <w:sz w:val="16"/>
              </w:rPr>
              <w:t>Thyroid dysfunction can disrupt sleep continuity</w:t>
            </w:r>
          </w:p>
        </w:tc>
        <w:tc>
          <w:tcPr>
            <w:tcW w:type="dxa" w:w="1036"/>
            <w:vAlign w:val="top"/>
          </w:tcPr>
          <w:p>
            <w:pPr>
              <w:spacing w:after="40" w:before="0" w:line="259" w:lineRule="auto"/>
            </w:pPr>
            <w:r>
              <w:rPr>
                <w:rFonts w:ascii="Calibri" w:hAnsi="Calibri"/>
                <w:b w:val="0"/>
                <w:i w:val="0"/>
                <w:color w:val="212121"/>
                <w:sz w:val="16"/>
              </w:rPr>
              <w:t>Adults with new or worsening night-time events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Low–moderate</w:t>
            </w:r>
          </w:p>
        </w:tc>
        <w:tc>
          <w:tcPr>
            <w:tcW w:type="dxa" w:w="720"/>
            <w:vAlign w:val="top"/>
          </w:tcPr>
          <w:p>
            <w:pPr>
              <w:spacing w:after="40" w:before="0" w:line="259" w:lineRule="auto"/>
            </w:pPr>
            <w:r>
              <w:rPr>
                <w:rFonts w:ascii="Calibri" w:hAnsi="Calibri"/>
                <w:b w:val="0"/>
                <w:i w:val="0"/>
                <w:color w:val="212121"/>
                <w:sz w:val="16"/>
              </w:rPr>
              <w:t>Screen when clinically indicated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Event description (bed partner / parent)</w:t>
            </w:r>
          </w:p>
        </w:tc>
        <w:tc>
          <w:tcPr>
            <w:tcW w:type="dxa" w:w="979"/>
            <w:vAlign w:val="top"/>
          </w:tcPr>
          <w:p>
            <w:pPr>
              <w:spacing w:after="40" w:before="0" w:line="259" w:lineRule="auto"/>
            </w:pPr>
            <w:r>
              <w:rPr>
                <w:rFonts w:ascii="Calibri" w:hAnsi="Calibri"/>
                <w:b w:val="0"/>
                <w:i w:val="0"/>
                <w:color w:val="212121"/>
                <w:sz w:val="16"/>
              </w:rPr>
              <w:t>Timing, semiology, recall, autonomic features</w:t>
            </w:r>
          </w:p>
        </w:tc>
        <w:tc>
          <w:tcPr>
            <w:tcW w:type="dxa" w:w="950"/>
            <w:vAlign w:val="top"/>
          </w:tcPr>
          <w:p>
            <w:pPr>
              <w:spacing w:after="40" w:before="0" w:line="259" w:lineRule="auto"/>
            </w:pPr>
            <w:r>
              <w:rPr>
                <w:rFonts w:ascii="Calibri" w:hAnsi="Calibri"/>
                <w:b w:val="0"/>
                <w:i w:val="0"/>
                <w:color w:val="212121"/>
                <w:sz w:val="16"/>
              </w:rPr>
              <w:t>No abnormal nocturnal behaviour</w:t>
            </w:r>
          </w:p>
        </w:tc>
        <w:tc>
          <w:tcPr>
            <w:tcW w:type="dxa" w:w="950"/>
            <w:vAlign w:val="top"/>
          </w:tcPr>
          <w:p>
            <w:pPr>
              <w:spacing w:after="40" w:before="0" w:line="259" w:lineRule="auto"/>
            </w:pPr>
            <w:r>
              <w:rPr>
                <w:rFonts w:ascii="Calibri" w:hAnsi="Calibri"/>
                <w:b w:val="0"/>
                <w:i w:val="0"/>
                <w:color w:val="212121"/>
                <w:sz w:val="16"/>
              </w:rPr>
              <w:t>First-third-of-night confusional/ambulatory or terror events with amnesia, or second-half dream enactment</w:t>
            </w:r>
          </w:p>
        </w:tc>
        <w:tc>
          <w:tcPr>
            <w:tcW w:type="dxa" w:w="1036"/>
            <w:vAlign w:val="top"/>
          </w:tcPr>
          <w:p>
            <w:pPr>
              <w:spacing w:after="40" w:before="0" w:line="259" w:lineRule="auto"/>
            </w:pPr>
            <w:r>
              <w:rPr>
                <w:rFonts w:ascii="Calibri" w:hAnsi="Calibri"/>
                <w:b w:val="0"/>
                <w:i w:val="0"/>
                <w:color w:val="212121"/>
                <w:sz w:val="16"/>
              </w:rPr>
              <w:t>Separates NREM disorders of arousal from REM behaviour disorder and nightmares</w:t>
            </w:r>
          </w:p>
        </w:tc>
        <w:tc>
          <w:tcPr>
            <w:tcW w:type="dxa" w:w="1036"/>
            <w:vAlign w:val="top"/>
          </w:tcPr>
          <w:p>
            <w:pPr>
              <w:spacing w:after="40" w:before="0" w:line="259" w:lineRule="auto"/>
            </w:pPr>
            <w:r>
              <w:rPr>
                <w:rFonts w:ascii="Calibri" w:hAnsi="Calibri"/>
                <w:b w:val="0"/>
                <w:i w:val="0"/>
                <w:color w:val="212121"/>
                <w:sz w:val="16"/>
              </w:rPr>
              <w:t>All suspected parasomnia, children and adults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Primary screening</w:t>
            </w:r>
          </w:p>
        </w:tc>
        <w:tc>
          <w:tcPr>
            <w:tcW w:type="dxa" w:w="720"/>
            <w:vAlign w:val="top"/>
          </w:tcPr>
          <w:p>
            <w:pPr>
              <w:spacing w:after="40" w:before="0" w:line="259" w:lineRule="auto"/>
            </w:pPr>
            <w:r>
              <w:rPr>
                <w:rFonts w:ascii="Calibri" w:hAnsi="Calibri"/>
                <w:b w:val="0"/>
                <w:i w:val="0"/>
                <w:color w:val="212121"/>
                <w:sz w:val="16"/>
              </w:rPr>
              <w:t>Collateral history is often diagnostic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Parasomnia in first-degree relatives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affected parent/sibling</w:t>
            </w:r>
          </w:p>
        </w:tc>
        <w:tc>
          <w:tcPr>
            <w:tcW w:type="dxa" w:w="1036"/>
            <w:vAlign w:val="top"/>
          </w:tcPr>
          <w:p>
            <w:pPr>
              <w:spacing w:after="40" w:before="0" w:line="259" w:lineRule="auto"/>
            </w:pPr>
            <w:r>
              <w:rPr>
                <w:rFonts w:ascii="Calibri" w:hAnsi="Calibri"/>
                <w:b w:val="0"/>
                <w:i w:val="0"/>
                <w:color w:val="212121"/>
                <w:sz w:val="16"/>
              </w:rPr>
              <w:t>Supports a disorder-of-arousal diagnosis and predicts persistence</w:t>
            </w:r>
          </w:p>
        </w:tc>
        <w:tc>
          <w:tcPr>
            <w:tcW w:type="dxa" w:w="1036"/>
            <w:vAlign w:val="top"/>
          </w:tcPr>
          <w:p>
            <w:pPr>
              <w:spacing w:after="40" w:before="0" w:line="259" w:lineRule="auto"/>
            </w:pPr>
            <w:r>
              <w:rPr>
                <w:rFonts w:ascii="Calibri" w:hAnsi="Calibri"/>
                <w:b w:val="0"/>
                <w:i w:val="0"/>
                <w:color w:val="212121"/>
                <w:sz w:val="16"/>
              </w:rPr>
              <w:t>Children with sleepwalking/sleep terrors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Both parents affected markedly raises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 priming review</w:t>
            </w:r>
          </w:p>
        </w:tc>
        <w:tc>
          <w:tcPr>
            <w:tcW w:type="dxa" w:w="979"/>
            <w:vAlign w:val="top"/>
          </w:tcPr>
          <w:p>
            <w:pPr>
              <w:spacing w:after="40" w:before="0" w:line="259" w:lineRule="auto"/>
            </w:pPr>
            <w:r>
              <w:rPr>
                <w:rFonts w:ascii="Calibri" w:hAnsi="Calibri"/>
                <w:b w:val="0"/>
                <w:i w:val="0"/>
                <w:color w:val="212121"/>
                <w:sz w:val="16"/>
              </w:rPr>
              <w:t>Sleep deprivation, fever, stress, alcohol, noise, full bladder</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One or more modifiable precipitants present</w:t>
            </w:r>
          </w:p>
        </w:tc>
        <w:tc>
          <w:tcPr>
            <w:tcW w:type="dxa" w:w="1036"/>
            <w:vAlign w:val="top"/>
          </w:tcPr>
          <w:p>
            <w:pPr>
              <w:spacing w:after="40" w:before="0" w:line="259" w:lineRule="auto"/>
            </w:pPr>
            <w:r>
              <w:rPr>
                <w:rFonts w:ascii="Calibri" w:hAnsi="Calibri"/>
                <w:b w:val="0"/>
                <w:i w:val="0"/>
                <w:color w:val="212121"/>
                <w:sz w:val="16"/>
              </w:rPr>
              <w:t>Guides trigger-avoidance, the mainstay of management</w:t>
            </w:r>
          </w:p>
        </w:tc>
        <w:tc>
          <w:tcPr>
            <w:tcW w:type="dxa" w:w="1036"/>
            <w:vAlign w:val="top"/>
          </w:tcPr>
          <w:p>
            <w:pPr>
              <w:spacing w:after="40" w:before="0" w:line="259" w:lineRule="auto"/>
            </w:pPr>
            <w:r>
              <w:rPr>
                <w:rFonts w:ascii="Calibri" w:hAnsi="Calibri"/>
                <w:b w:val="0"/>
                <w:i w:val="0"/>
                <w:color w:val="212121"/>
                <w:sz w:val="16"/>
              </w:rPr>
              <w:t>Recurrent or clustering episodes</w:t>
            </w:r>
          </w:p>
        </w:tc>
        <w:tc>
          <w:tcPr>
            <w:tcW w:type="dxa" w:w="720"/>
            <w:vAlign w:val="top"/>
          </w:tcPr>
          <w:p>
            <w:pPr>
              <w:spacing w:after="40" w:before="0" w:line="259" w:lineRule="auto"/>
            </w:pPr>
            <w:r>
              <w:rPr>
                <w:rFonts w:ascii="Calibri" w:hAnsi="Calibri"/>
                <w:b w:val="0"/>
                <w:i w:val="0"/>
                <w:color w:val="212121"/>
                <w:sz w:val="16"/>
              </w:rPr>
              <w:t>Sleep; Alcohol;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Removing triggers often resolves events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 substance review</w:t>
            </w:r>
          </w:p>
        </w:tc>
        <w:tc>
          <w:tcPr>
            <w:tcW w:type="dxa" w:w="979"/>
            <w:vAlign w:val="top"/>
          </w:tcPr>
          <w:p>
            <w:pPr>
              <w:spacing w:after="40" w:before="0" w:line="259" w:lineRule="auto"/>
            </w:pPr>
            <w:r>
              <w:rPr>
                <w:rFonts w:ascii="Calibri" w:hAnsi="Calibri"/>
                <w:b w:val="0"/>
                <w:i w:val="0"/>
                <w:color w:val="212121"/>
                <w:sz w:val="16"/>
              </w:rPr>
              <w:t>Zolpidem, lithium, sodium oxybate, SSRIs, alcohol</w:t>
            </w:r>
          </w:p>
        </w:tc>
        <w:tc>
          <w:tcPr>
            <w:tcW w:type="dxa" w:w="950"/>
            <w:vAlign w:val="top"/>
          </w:tcPr>
          <w:p>
            <w:pPr>
              <w:spacing w:after="40" w:before="0" w:line="259" w:lineRule="auto"/>
            </w:pPr>
            <w:r>
              <w:rPr>
                <w:rFonts w:ascii="Calibri" w:hAnsi="Calibri"/>
                <w:b w:val="0"/>
                <w:i w:val="0"/>
                <w:color w:val="212121"/>
                <w:sz w:val="16"/>
              </w:rPr>
              <w:t>No relevant agents</w:t>
            </w:r>
          </w:p>
        </w:tc>
        <w:tc>
          <w:tcPr>
            <w:tcW w:type="dxa" w:w="950"/>
            <w:vAlign w:val="top"/>
          </w:tcPr>
          <w:p>
            <w:pPr>
              <w:spacing w:after="40" w:before="0" w:line="259" w:lineRule="auto"/>
            </w:pPr>
            <w:r>
              <w:rPr>
                <w:rFonts w:ascii="Calibri" w:hAnsi="Calibri"/>
                <w:b w:val="0"/>
                <w:i w:val="0"/>
                <w:color w:val="212121"/>
                <w:sz w:val="16"/>
              </w:rPr>
              <w:t>Culprit sedative-hypnotic or serotonergic drug</w:t>
            </w:r>
          </w:p>
        </w:tc>
        <w:tc>
          <w:tcPr>
            <w:tcW w:type="dxa" w:w="1036"/>
            <w:vAlign w:val="top"/>
          </w:tcPr>
          <w:p>
            <w:pPr>
              <w:spacing w:after="40" w:before="0" w:line="259" w:lineRule="auto"/>
            </w:pPr>
            <w:r>
              <w:rPr>
                <w:rFonts w:ascii="Calibri" w:hAnsi="Calibri"/>
                <w:b w:val="0"/>
                <w:i w:val="0"/>
                <w:color w:val="212121"/>
                <w:sz w:val="16"/>
              </w:rPr>
              <w:t>Drugs can precipitate or unmask parasomnias, including RBD</w:t>
            </w:r>
          </w:p>
        </w:tc>
        <w:tc>
          <w:tcPr>
            <w:tcW w:type="dxa" w:w="1036"/>
            <w:vAlign w:val="top"/>
          </w:tcPr>
          <w:p>
            <w:pPr>
              <w:spacing w:after="40" w:before="0" w:line="259" w:lineRule="auto"/>
            </w:pPr>
            <w:r>
              <w:rPr>
                <w:rFonts w:ascii="Calibri" w:hAnsi="Calibri"/>
                <w:b w:val="0"/>
                <w:i w:val="0"/>
                <w:color w:val="212121"/>
                <w:sz w:val="16"/>
              </w:rPr>
              <w:t>Adults on hypnotics or antidepressants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SSRI use was associated with nocturnal wandering (OR ~3.0)</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Parkinsonism, olfaction, cognition</w:t>
            </w:r>
          </w:p>
        </w:tc>
        <w:tc>
          <w:tcPr>
            <w:tcW w:type="dxa" w:w="950"/>
            <w:vAlign w:val="top"/>
          </w:tcPr>
          <w:p>
            <w:pPr>
              <w:spacing w:after="40" w:before="0" w:line="259" w:lineRule="auto"/>
            </w:pPr>
            <w:r>
              <w:rPr>
                <w:rFonts w:ascii="Calibri" w:hAnsi="Calibri"/>
                <w:b w:val="0"/>
                <w:i w:val="0"/>
                <w:color w:val="212121"/>
                <w:sz w:val="16"/>
              </w:rPr>
              <w:t>Normal exam</w:t>
            </w:r>
          </w:p>
        </w:tc>
        <w:tc>
          <w:tcPr>
            <w:tcW w:type="dxa" w:w="950"/>
            <w:vAlign w:val="top"/>
          </w:tcPr>
          <w:p>
            <w:pPr>
              <w:spacing w:after="40" w:before="0" w:line="259" w:lineRule="auto"/>
            </w:pPr>
            <w:r>
              <w:rPr>
                <w:rFonts w:ascii="Calibri" w:hAnsi="Calibri"/>
                <w:b w:val="0"/>
                <w:i w:val="0"/>
                <w:color w:val="212121"/>
                <w:sz w:val="16"/>
              </w:rPr>
              <w:t>Bradykinesia, rigidity, hyposmia, cognitive impairment</w:t>
            </w:r>
          </w:p>
        </w:tc>
        <w:tc>
          <w:tcPr>
            <w:tcW w:type="dxa" w:w="1036"/>
            <w:vAlign w:val="top"/>
          </w:tcPr>
          <w:p>
            <w:pPr>
              <w:spacing w:after="40" w:before="0" w:line="259" w:lineRule="auto"/>
            </w:pPr>
            <w:r>
              <w:rPr>
                <w:rFonts w:ascii="Calibri" w:hAnsi="Calibri"/>
                <w:b w:val="0"/>
                <w:i w:val="0"/>
                <w:color w:val="212121"/>
                <w:sz w:val="16"/>
              </w:rPr>
              <w:t>Screens for prodromal synucleinopathy in RBD</w:t>
            </w:r>
          </w:p>
        </w:tc>
        <w:tc>
          <w:tcPr>
            <w:tcW w:type="dxa" w:w="1036"/>
            <w:vAlign w:val="top"/>
          </w:tcPr>
          <w:p>
            <w:pPr>
              <w:spacing w:after="40" w:before="0" w:line="259" w:lineRule="auto"/>
            </w:pPr>
            <w:r>
              <w:rPr>
                <w:rFonts w:ascii="Calibri" w:hAnsi="Calibri"/>
                <w:b w:val="0"/>
                <w:i w:val="0"/>
                <w:color w:val="212121"/>
                <w:sz w:val="16"/>
              </w:rPr>
              <w:t>Older adults with dream enactment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in RBD</w:t>
            </w:r>
          </w:p>
        </w:tc>
        <w:tc>
          <w:tcPr>
            <w:tcW w:type="dxa" w:w="720"/>
            <w:vAlign w:val="top"/>
          </w:tcPr>
          <w:p>
            <w:pPr>
              <w:spacing w:after="40" w:before="0" w:line="259" w:lineRule="auto"/>
            </w:pPr>
            <w:r>
              <w:rPr>
                <w:rFonts w:ascii="Calibri" w:hAnsi="Calibri"/>
                <w:b w:val="0"/>
                <w:i w:val="0"/>
                <w:color w:val="212121"/>
                <w:sz w:val="16"/>
              </w:rPr>
              <w:t>Baseline for longitudinal surveillance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Upper-airway / ENT examination</w:t>
            </w:r>
          </w:p>
        </w:tc>
        <w:tc>
          <w:tcPr>
            <w:tcW w:type="dxa" w:w="979"/>
            <w:vAlign w:val="top"/>
          </w:tcPr>
          <w:p>
            <w:pPr>
              <w:spacing w:after="40" w:before="0" w:line="259" w:lineRule="auto"/>
            </w:pPr>
            <w:r>
              <w:rPr>
                <w:rFonts w:ascii="Calibri" w:hAnsi="Calibri"/>
                <w:b w:val="0"/>
                <w:i w:val="0"/>
                <w:color w:val="212121"/>
                <w:sz w:val="16"/>
              </w:rPr>
              <w:t>Tonsil size, adenoids, Mallampati, BMI</w:t>
            </w:r>
          </w:p>
        </w:tc>
        <w:tc>
          <w:tcPr>
            <w:tcW w:type="dxa" w:w="950"/>
            <w:vAlign w:val="top"/>
          </w:tcPr>
          <w:p>
            <w:pPr>
              <w:spacing w:after="40" w:before="0" w:line="259" w:lineRule="auto"/>
            </w:pPr>
            <w:r>
              <w:rPr>
                <w:rFonts w:ascii="Calibri" w:hAnsi="Calibri"/>
                <w:b w:val="0"/>
                <w:i w:val="0"/>
                <w:color w:val="212121"/>
                <w:sz w:val="16"/>
              </w:rPr>
              <w:t>Patent airway</w:t>
            </w:r>
          </w:p>
        </w:tc>
        <w:tc>
          <w:tcPr>
            <w:tcW w:type="dxa" w:w="950"/>
            <w:vAlign w:val="top"/>
          </w:tcPr>
          <w:p>
            <w:pPr>
              <w:spacing w:after="40" w:before="0" w:line="259" w:lineRule="auto"/>
            </w:pPr>
            <w:r>
              <w:rPr>
                <w:rFonts w:ascii="Calibri" w:hAnsi="Calibri"/>
                <w:b w:val="0"/>
                <w:i w:val="0"/>
                <w:color w:val="212121"/>
                <w:sz w:val="16"/>
              </w:rPr>
              <w:t>Adenotonsillar hypertrophy, crowded airway, obesity</w:t>
            </w:r>
          </w:p>
        </w:tc>
        <w:tc>
          <w:tcPr>
            <w:tcW w:type="dxa" w:w="1036"/>
            <w:vAlign w:val="top"/>
          </w:tcPr>
          <w:p>
            <w:pPr>
              <w:spacing w:after="40" w:before="0" w:line="259" w:lineRule="auto"/>
            </w:pPr>
            <w:r>
              <w:rPr>
                <w:rFonts w:ascii="Calibri" w:hAnsi="Calibri"/>
                <w:b w:val="0"/>
                <w:i w:val="0"/>
                <w:color w:val="212121"/>
                <w:sz w:val="16"/>
              </w:rPr>
              <w:t>Identifies OSA as a treatable trigger, especially in children</w:t>
            </w:r>
          </w:p>
        </w:tc>
        <w:tc>
          <w:tcPr>
            <w:tcW w:type="dxa" w:w="1036"/>
            <w:vAlign w:val="top"/>
          </w:tcPr>
          <w:p>
            <w:pPr>
              <w:spacing w:after="40" w:before="0" w:line="259" w:lineRule="auto"/>
            </w:pPr>
            <w:r>
              <w:rPr>
                <w:rFonts w:ascii="Calibri" w:hAnsi="Calibri"/>
                <w:b w:val="0"/>
                <w:i w:val="0"/>
                <w:color w:val="212121"/>
                <w:sz w:val="16"/>
              </w:rPr>
              <w:t>Snoring children and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Adenotonsillectomy may resolve paediatric parasomnia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Walking or complex behaviours during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Sitting up, getting out of bed, wandering the room or house with open, glassy eyes and later amnesia (sleepwalking).</w:t>
            </w:r>
          </w:p>
        </w:tc>
      </w:tr>
      <w:tr>
        <w:trPr>
          <w:cantSplit/>
        </w:trPr>
        <w:tc>
          <w:tcPr>
            <w:tcW w:type="dxa" w:w="2304"/>
            <w:vAlign w:val="top"/>
          </w:tcPr>
          <w:p>
            <w:pPr>
              <w:spacing w:after="40" w:before="0" w:line="259" w:lineRule="auto"/>
            </w:pPr>
            <w:r>
              <w:rPr>
                <w:rFonts w:ascii="Calibri" w:hAnsi="Calibri"/>
                <w:b/>
                <w:i w:val="0"/>
                <w:color w:val="212121"/>
                <w:sz w:val="19"/>
              </w:rPr>
              <w:t>Sudden screaming or crying with intense fear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arousal with a piercing cry and a look of terror, typically in the first third of the night (sleep terror).</w:t>
            </w:r>
          </w:p>
        </w:tc>
      </w:tr>
      <w:tr>
        <w:trPr>
          <w:cantSplit/>
        </w:trPr>
        <w:tc>
          <w:tcPr>
            <w:tcW w:type="dxa" w:w="2304"/>
            <w:vAlign w:val="top"/>
          </w:tcPr>
          <w:p>
            <w:pPr>
              <w:spacing w:after="40" w:before="0" w:line="259" w:lineRule="auto"/>
            </w:pPr>
            <w:r>
              <w:rPr>
                <w:rFonts w:ascii="Calibri" w:hAnsi="Calibri"/>
                <w:b/>
                <w:i w:val="0"/>
                <w:color w:val="212121"/>
                <w:sz w:val="19"/>
              </w:rPr>
              <w:t>Autonomic surge — sweating, racing heart, rapid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sympathetic activation accompanies sleep terrors, with flushing and dilated pupils.</w:t>
            </w:r>
          </w:p>
        </w:tc>
      </w:tr>
      <w:tr>
        <w:trPr>
          <w:cantSplit/>
        </w:trPr>
        <w:tc>
          <w:tcPr>
            <w:tcW w:type="dxa" w:w="2304"/>
            <w:vAlign w:val="top"/>
          </w:tcPr>
          <w:p>
            <w:pPr>
              <w:spacing w:after="40" w:before="0" w:line="259" w:lineRule="auto"/>
            </w:pPr>
            <w:r>
              <w:rPr>
                <w:rFonts w:ascii="Calibri" w:hAnsi="Calibri"/>
                <w:b/>
                <w:i w:val="0"/>
                <w:color w:val="212121"/>
                <w:sz w:val="19"/>
              </w:rPr>
              <w:t>Confusion and disorientation during the episode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person appears awake but is confused, slow and unresponsive to reassurance (confusional arousal).</w:t>
            </w:r>
          </w:p>
        </w:tc>
      </w:tr>
      <w:tr>
        <w:trPr>
          <w:cantSplit/>
        </w:trPr>
        <w:tc>
          <w:tcPr>
            <w:tcW w:type="dxa" w:w="2304"/>
            <w:vAlign w:val="top"/>
          </w:tcPr>
          <w:p>
            <w:pPr>
              <w:spacing w:after="40" w:before="0" w:line="259" w:lineRule="auto"/>
            </w:pPr>
            <w:r>
              <w:rPr>
                <w:rFonts w:ascii="Calibri" w:hAnsi="Calibri"/>
                <w:b/>
                <w:i w:val="0"/>
                <w:color w:val="212121"/>
                <w:sz w:val="19"/>
              </w:rPr>
              <w:t>Amnesia for the event next morning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Little or no memory of the episode, a hallmark of NREM disorders of arousal.</w:t>
            </w:r>
          </w:p>
        </w:tc>
      </w:tr>
      <w:tr>
        <w:trPr>
          <w:cantSplit/>
        </w:trPr>
        <w:tc>
          <w:tcPr>
            <w:tcW w:type="dxa" w:w="2304"/>
            <w:vAlign w:val="top"/>
          </w:tcPr>
          <w:p>
            <w:pPr>
              <w:spacing w:after="40" w:before="0" w:line="259" w:lineRule="auto"/>
            </w:pPr>
            <w:r>
              <w:rPr>
                <w:rFonts w:ascii="Calibri" w:hAnsi="Calibri"/>
                <w:b/>
                <w:i w:val="0"/>
                <w:color w:val="212121"/>
                <w:sz w:val="19"/>
              </w:rPr>
              <w:t>Inconsolability during the episode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children, attempts to comfort or wake are ineffective and may prolong the event.</w:t>
            </w:r>
          </w:p>
        </w:tc>
      </w:tr>
      <w:tr>
        <w:trPr>
          <w:cantSplit/>
        </w:trPr>
        <w:tc>
          <w:tcPr>
            <w:tcW w:type="dxa" w:w="2304"/>
            <w:vAlign w:val="top"/>
          </w:tcPr>
          <w:p>
            <w:pPr>
              <w:spacing w:after="40" w:before="0" w:line="259" w:lineRule="auto"/>
            </w:pPr>
            <w:r>
              <w:rPr>
                <w:rFonts w:ascii="Calibri" w:hAnsi="Calibri"/>
                <w:b/>
                <w:i w:val="0"/>
                <w:color w:val="212121"/>
                <w:sz w:val="19"/>
              </w:rPr>
              <w:t>Confused mumbling or sleep-talking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Unintelligible speech or simple utterances during partial arousals.</w:t>
            </w:r>
          </w:p>
        </w:tc>
      </w:tr>
      <w:tr>
        <w:trPr>
          <w:cantSplit/>
        </w:trPr>
        <w:tc>
          <w:tcPr>
            <w:tcW w:type="dxa" w:w="2304"/>
            <w:vAlign w:val="top"/>
          </w:tcPr>
          <w:p>
            <w:pPr>
              <w:spacing w:after="40" w:before="0" w:line="259" w:lineRule="auto"/>
            </w:pPr>
            <w:r>
              <w:rPr>
                <w:rFonts w:ascii="Calibri" w:hAnsi="Calibri"/>
                <w:b/>
                <w:i w:val="0"/>
                <w:color w:val="212121"/>
                <w:sz w:val="19"/>
              </w:rPr>
              <w:t>Dream-enactment behaviours — punching, kicking, shouting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Vigorous, sometimes violent movements acting out dreams in the second half of the night (REM sleep behaviour disorder).</w:t>
            </w:r>
          </w:p>
        </w:tc>
      </w:tr>
      <w:tr>
        <w:trPr>
          <w:cantSplit/>
        </w:trPr>
        <w:tc>
          <w:tcPr>
            <w:tcW w:type="dxa" w:w="2304"/>
            <w:vAlign w:val="top"/>
          </w:tcPr>
          <w:p>
            <w:pPr>
              <w:spacing w:after="40" w:before="0" w:line="259" w:lineRule="auto"/>
            </w:pPr>
            <w:r>
              <w:rPr>
                <w:rFonts w:ascii="Calibri" w:hAnsi="Calibri"/>
                <w:b/>
                <w:i w:val="0"/>
                <w:color w:val="212121"/>
                <w:sz w:val="19"/>
              </w:rPr>
              <w:t>Vivid, frightening dreams with clear recall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Nightmare disorder — awakening from REM sleep with detailed, distressing dream memory.</w:t>
            </w:r>
          </w:p>
        </w:tc>
      </w:tr>
      <w:tr>
        <w:trPr>
          <w:cantSplit/>
        </w:trPr>
        <w:tc>
          <w:tcPr>
            <w:tcW w:type="dxa" w:w="2304"/>
            <w:vAlign w:val="top"/>
          </w:tcPr>
          <w:p>
            <w:pPr>
              <w:spacing w:after="40" w:before="0" w:line="259" w:lineRule="auto"/>
            </w:pPr>
            <w:r>
              <w:rPr>
                <w:rFonts w:ascii="Calibri" w:hAnsi="Calibri"/>
                <w:b/>
                <w:i w:val="0"/>
                <w:color w:val="212121"/>
                <w:sz w:val="19"/>
              </w:rPr>
              <w:t>Injuries discovered on waking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Bruises, lacerations or falls sustained during unremembered episodes.</w:t>
            </w:r>
          </w:p>
        </w:tc>
      </w:tr>
      <w:tr>
        <w:trPr>
          <w:cantSplit/>
        </w:trPr>
        <w:tc>
          <w:tcPr>
            <w:tcW w:type="dxa" w:w="2304"/>
            <w:vAlign w:val="top"/>
          </w:tcPr>
          <w:p>
            <w:pPr>
              <w:spacing w:after="40" w:before="0" w:line="259" w:lineRule="auto"/>
            </w:pPr>
            <w:r>
              <w:rPr>
                <w:rFonts w:ascii="Calibri" w:hAnsi="Calibri"/>
                <w:b/>
                <w:i w:val="0"/>
                <w:color w:val="212121"/>
                <w:sz w:val="19"/>
              </w:rPr>
              <w:t>Inappropriate actions — leaving home, urinating in the wrong place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Complex misdirected behaviours during sleepwalking.</w:t>
            </w:r>
          </w:p>
        </w:tc>
      </w:tr>
      <w:tr>
        <w:trPr>
          <w:cantSplit/>
        </w:trPr>
        <w:tc>
          <w:tcPr>
            <w:tcW w:type="dxa" w:w="2304"/>
            <w:vAlign w:val="top"/>
          </w:tcPr>
          <w:p>
            <w:pPr>
              <w:spacing w:after="40" w:before="0" w:line="259" w:lineRule="auto"/>
            </w:pPr>
            <w:r>
              <w:rPr>
                <w:rFonts w:ascii="Calibri" w:hAnsi="Calibri"/>
                <w:b/>
                <w:i w:val="0"/>
                <w:color w:val="212121"/>
                <w:sz w:val="19"/>
              </w:rPr>
              <w:t>Eating during sleep with morning amnesia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Sleep-related eating disorder, sometimes of non-food items, often linked to hypnotics.</w:t>
            </w:r>
          </w:p>
        </w:tc>
      </w:tr>
      <w:tr>
        <w:trPr>
          <w:cantSplit/>
        </w:trPr>
        <w:tc>
          <w:tcPr>
            <w:tcW w:type="dxa" w:w="2304"/>
            <w:vAlign w:val="top"/>
          </w:tcPr>
          <w:p>
            <w:pPr>
              <w:spacing w:after="40" w:before="0" w:line="259" w:lineRule="auto"/>
            </w:pPr>
            <w:r>
              <w:rPr>
                <w:rFonts w:ascii="Calibri" w:hAnsi="Calibri"/>
                <w:b/>
                <w:i w:val="0"/>
                <w:color w:val="212121"/>
                <w:sz w:val="19"/>
              </w:rPr>
              <w:t>Inability to move at sleep onset or on waking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Recurrent isolated sleep paralysis, a REM-related parasomnia.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Episode arising from the first third of the night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Timing out of early slow-wave sleep points to an NREM disorder of arousal rather than a REM parasomnia.</w:t>
            </w:r>
          </w:p>
        </w:tc>
      </w:tr>
      <w:tr>
        <w:trPr>
          <w:cantSplit/>
        </w:trPr>
        <w:tc>
          <w:tcPr>
            <w:tcW w:type="dxa" w:w="3456"/>
            <w:vAlign w:val="top"/>
          </w:tcPr>
          <w:p>
            <w:pPr>
              <w:spacing w:after="40" w:before="0" w:line="259" w:lineRule="auto"/>
            </w:pPr>
            <w:r>
              <w:rPr>
                <w:rFonts w:ascii="Calibri" w:hAnsi="Calibri"/>
                <w:b/>
                <w:i w:val="0"/>
                <w:color w:val="212121"/>
                <w:sz w:val="19"/>
              </w:rPr>
              <w:t>Open, glassy, staring eyes with reduced responsiveness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sleepwalker looks awake but is not, and is difficult to fully rouse.</w:t>
            </w:r>
          </w:p>
        </w:tc>
      </w:tr>
      <w:tr>
        <w:trPr>
          <w:cantSplit/>
        </w:trPr>
        <w:tc>
          <w:tcPr>
            <w:tcW w:type="dxa" w:w="3456"/>
            <w:vAlign w:val="top"/>
          </w:tcPr>
          <w:p>
            <w:pPr>
              <w:spacing w:after="40" w:before="0" w:line="259" w:lineRule="auto"/>
            </w:pPr>
            <w:r>
              <w:rPr>
                <w:rFonts w:ascii="Calibri" w:hAnsi="Calibri"/>
                <w:b/>
                <w:i w:val="0"/>
                <w:color w:val="212121"/>
                <w:sz w:val="19"/>
              </w:rPr>
              <w:t>Tachycardia, tachypnoea, diaphoresis and mydriasis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autonomic storm observed during a sleep terror.</w:t>
            </w:r>
          </w:p>
        </w:tc>
      </w:tr>
      <w:tr>
        <w:trPr>
          <w:cantSplit/>
        </w:trPr>
        <w:tc>
          <w:tcPr>
            <w:tcW w:type="dxa" w:w="3456"/>
            <w:vAlign w:val="top"/>
          </w:tcPr>
          <w:p>
            <w:pPr>
              <w:spacing w:after="40" w:before="0" w:line="259" w:lineRule="auto"/>
            </w:pPr>
            <w:r>
              <w:rPr>
                <w:rFonts w:ascii="Calibri" w:hAnsi="Calibri"/>
                <w:b/>
                <w:i w:val="0"/>
                <w:color w:val="212121"/>
                <w:sz w:val="19"/>
              </w:rPr>
              <w:t>Difficulty being fully awakened and post-event confusion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Forced awakening yields disorientation; the person settles back to sleep with amnesia.</w:t>
            </w:r>
          </w:p>
        </w:tc>
      </w:tr>
      <w:tr>
        <w:trPr>
          <w:cantSplit/>
        </w:trPr>
        <w:tc>
          <w:tcPr>
            <w:tcW w:type="dxa" w:w="3456"/>
            <w:vAlign w:val="top"/>
          </w:tcPr>
          <w:p>
            <w:pPr>
              <w:spacing w:after="40" w:before="0" w:line="259" w:lineRule="auto"/>
            </w:pPr>
            <w:r>
              <w:rPr>
                <w:rFonts w:ascii="Calibri" w:hAnsi="Calibri"/>
                <w:b/>
                <w:i w:val="0"/>
                <w:color w:val="212121"/>
                <w:sz w:val="19"/>
              </w:rPr>
              <w:t>Bruises, lacerations or other injury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Physical evidence of sleep-related injury, more prominent in adult or RBD cases.</w:t>
            </w:r>
          </w:p>
        </w:tc>
      </w:tr>
      <w:tr>
        <w:trPr>
          <w:cantSplit/>
        </w:trPr>
        <w:tc>
          <w:tcPr>
            <w:tcW w:type="dxa" w:w="3456"/>
            <w:vAlign w:val="top"/>
          </w:tcPr>
          <w:p>
            <w:pPr>
              <w:spacing w:after="40" w:before="0" w:line="259" w:lineRule="auto"/>
            </w:pPr>
            <w:r>
              <w:rPr>
                <w:rFonts w:ascii="Calibri" w:hAnsi="Calibri"/>
                <w:b/>
                <w:i w:val="0"/>
                <w:color w:val="212121"/>
                <w:sz w:val="19"/>
              </w:rPr>
              <w:t>REM sleep without atonia on polysomnography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Excess tonic/phasic EMG activity during REM — the diagnostic sign of RBD.</w:t>
            </w:r>
          </w:p>
        </w:tc>
      </w:tr>
      <w:tr>
        <w:trPr>
          <w:cantSplit/>
        </w:trPr>
        <w:tc>
          <w:tcPr>
            <w:tcW w:type="dxa" w:w="3456"/>
            <w:vAlign w:val="top"/>
          </w:tcPr>
          <w:p>
            <w:pPr>
              <w:spacing w:after="40" w:before="0" w:line="259" w:lineRule="auto"/>
            </w:pPr>
            <w:r>
              <w:rPr>
                <w:rFonts w:ascii="Calibri" w:hAnsi="Calibri"/>
                <w:b/>
                <w:i w:val="0"/>
                <w:color w:val="212121"/>
                <w:sz w:val="19"/>
              </w:rPr>
              <w:t>Enuresis during an episode (children)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Bed-wetting may accompany deep-sleep arousal events in young children.</w:t>
            </w:r>
          </w:p>
        </w:tc>
      </w:tr>
      <w:tr>
        <w:trPr>
          <w:cantSplit/>
        </w:trPr>
        <w:tc>
          <w:tcPr>
            <w:tcW w:type="dxa" w:w="3456"/>
            <w:vAlign w:val="top"/>
          </w:tcPr>
          <w:p>
            <w:pPr>
              <w:spacing w:after="40" w:before="0" w:line="259" w:lineRule="auto"/>
            </w:pPr>
            <w:r>
              <w:rPr>
                <w:rFonts w:ascii="Calibri" w:hAnsi="Calibri"/>
                <w:b/>
                <w:i w:val="0"/>
                <w:color w:val="212121"/>
                <w:sz w:val="19"/>
              </w:rPr>
              <w:t>Adenotonsillar hypertrophy / crowded airway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Points to OSA as a treatable precipitant, particularly in children.</w:t>
            </w:r>
          </w:p>
        </w:tc>
      </w:tr>
      <w:tr>
        <w:trPr>
          <w:cantSplit/>
        </w:trPr>
        <w:tc>
          <w:tcPr>
            <w:tcW w:type="dxa" w:w="3456"/>
            <w:vAlign w:val="top"/>
          </w:tcPr>
          <w:p>
            <w:pPr>
              <w:spacing w:after="40" w:before="0" w:line="259" w:lineRule="auto"/>
            </w:pPr>
            <w:r>
              <w:rPr>
                <w:rFonts w:ascii="Calibri" w:hAnsi="Calibri"/>
                <w:b/>
                <w:i w:val="0"/>
                <w:color w:val="212121"/>
                <w:sz w:val="19"/>
              </w:rPr>
              <w:t>Subtle parkinsonism, hyposmia or cognitive change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older adults with RBD, early neurodegenerative signs may be detectable on careful examination.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 injury to self — falls, lacerations, fractures, and rarely defenestration or leaving the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Injury to the bed partner during violent dream enactment (RBD)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Sleep-related violence and other inadvertent harm during an episode</w:t>
            </w:r>
          </w:p>
        </w:tc>
        <w:tc>
          <w:tcPr>
            <w:tcW w:type="dxa" w:w="2980"/>
            <w:vAlign w:val="top"/>
          </w:tcPr>
          <w:p>
            <w:pPr>
              <w:spacing w:after="40" w:before="0" w:line="259" w:lineRule="auto"/>
            </w:pPr>
            <w:r>
              <w:rPr>
                <w:rFonts w:ascii="Calibri" w:hAnsi="Calibri"/>
                <w:b w:val="0"/>
                <w:i w:val="0"/>
                <w:color w:val="212121"/>
                <w:sz w:val="19"/>
              </w:rPr>
              <w:t>Direct consequences of complex behaviour occurring in an impaired state of consciousness; somnambulism is a leading cause of sleep-related injury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Daytime sleepiness, fatigue and impaired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school or work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distress, embarrassment and anxiety about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Disrupted sleep for parents, family and bed partners</w:t>
            </w:r>
          </w:p>
        </w:tc>
        <w:tc>
          <w:tcPr>
            <w:tcW w:type="dxa" w:w="2980"/>
            <w:vAlign w:val="top"/>
          </w:tcPr>
          <w:p>
            <w:pPr>
              <w:spacing w:after="40" w:before="0" w:line="259" w:lineRule="auto"/>
            </w:pPr>
            <w:r>
              <w:rPr>
                <w:rFonts w:ascii="Calibri" w:hAnsi="Calibri"/>
                <w:b w:val="0"/>
                <w:i w:val="0"/>
                <w:color w:val="212121"/>
                <w:sz w:val="19"/>
              </w:rPr>
              <w:t>Result from fragmented sleep, recurrent events and their emotional and social impact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 sleep behaviour disorder as a prodrome of Parkinson disease, dementia with Lewy bodies or multiple system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Forensic and medicolegal consequences of sleep-related violence (automatism)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injury and dependence on sedative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Strain on relationships and quality of life</w:t>
            </w:r>
          </w:p>
        </w:tc>
        <w:tc>
          <w:tcPr>
            <w:tcW w:type="dxa" w:w="2980"/>
            <w:vAlign w:val="top"/>
          </w:tcPr>
          <w:p>
            <w:pPr>
              <w:spacing w:after="40" w:before="0" w:line="259" w:lineRule="auto"/>
            </w:pPr>
            <w:r>
              <w:rPr>
                <w:rFonts w:ascii="Calibri" w:hAnsi="Calibri"/>
                <w:b w:val="0"/>
                <w:i w:val="0"/>
                <w:color w:val="212121"/>
                <w:sz w:val="19"/>
              </w:rPr>
              <w:t>Long-term, potentially irreversible outcomes, including neurodegeneration signalled by RBD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Obstructive sleep apnoea (OSA)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Respiratory arousals fragment sleep and precipitate confusional arousals, sleepwalking and sleep terrors; treating OSA often abolishes the episodes (sleep terrors–OSA OR ~4.1).</w:t>
            </w:r>
          </w:p>
        </w:tc>
      </w:tr>
      <w:tr>
        <w:trPr>
          <w:cantSplit/>
        </w:trPr>
        <w:tc>
          <w:tcPr>
            <w:tcW w:type="dxa" w:w="2232"/>
            <w:vAlign w:val="top"/>
          </w:tcPr>
          <w:p>
            <w:pPr>
              <w:spacing w:after="40" w:before="0" w:line="259" w:lineRule="auto"/>
            </w:pPr>
            <w:r>
              <w:rPr>
                <w:rFonts w:ascii="Calibri" w:hAnsi="Calibri"/>
                <w:b/>
                <w:i w:val="0"/>
                <w:color w:val="212121"/>
                <w:sz w:val="19"/>
              </w:rPr>
              <w:t>Major 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Mood and anxiety disorders lower the arousal threshold and are over-represented in adult disorders of arousal (major depression OR ~3.5); the relationship is bidirectional.</w:t>
            </w:r>
          </w:p>
        </w:tc>
      </w:tr>
      <w:tr>
        <w:trPr>
          <w:cantSplit/>
        </w:trPr>
        <w:tc>
          <w:tcPr>
            <w:tcW w:type="dxa" w:w="2232"/>
            <w:vAlign w:val="top"/>
          </w:tcPr>
          <w:p>
            <w:pPr>
              <w:spacing w:after="40" w:before="0" w:line="259" w:lineRule="auto"/>
            </w:pPr>
            <w:r>
              <w:rPr>
                <w:rFonts w:ascii="Calibri" w:hAnsi="Calibri"/>
                <w:b/>
                <w:i w:val="0"/>
                <w:color w:val="212121"/>
                <w:sz w:val="19"/>
              </w:rPr>
              <w:t>Bipolar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Strongly associated with confusional arousals (OR ~13.0); mood-stabilising and sedative drugs may further precipitate events.</w:t>
            </w:r>
          </w:p>
        </w:tc>
      </w:tr>
      <w:tr>
        <w:trPr>
          <w:cantSplit/>
        </w:trPr>
        <w:tc>
          <w:tcPr>
            <w:tcW w:type="dxa" w:w="2232"/>
            <w:vAlign w:val="top"/>
          </w:tcPr>
          <w:p>
            <w:pPr>
              <w:spacing w:after="40" w:before="0" w:line="259" w:lineRule="auto"/>
            </w:pPr>
            <w:r>
              <w:rPr>
                <w:rFonts w:ascii="Calibri" w:hAnsi="Calibri"/>
                <w:b/>
                <w:i w:val="0"/>
                <w:color w:val="212121"/>
                <w:sz w:val="19"/>
              </w:rPr>
              <w:t>Restless legs syndrome / periodic limb movement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Periodic limb movements cause micro-arousals that fragment slow-wave sleep and trigger disorders of arousal; common in Indian youth.</w:t>
            </w:r>
          </w:p>
        </w:tc>
      </w:tr>
      <w:tr>
        <w:trPr>
          <w:cantSplit/>
        </w:trPr>
        <w:tc>
          <w:tcPr>
            <w:tcW w:type="dxa" w:w="2232"/>
            <w:vAlign w:val="top"/>
          </w:tcPr>
          <w:p>
            <w:pPr>
              <w:spacing w:after="40" w:before="0" w:line="259" w:lineRule="auto"/>
            </w:pPr>
            <w:r>
              <w:rPr>
                <w:rFonts w:ascii="Calibri" w:hAnsi="Calibri"/>
                <w:b/>
                <w:i w:val="0"/>
                <w:color w:val="212121"/>
                <w:sz w:val="19"/>
              </w:rPr>
              <w:t>Parkinson disease and related synucleinopathies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REM sleep behaviour disorder is an early prodrome; isolated RBD converts to a defined neurodegenerative syndrome in up to 73.5% over 12 years.</w:t>
            </w:r>
          </w:p>
          <w:p>
            <w:pPr>
              <w:spacing w:after="40" w:before="0" w:line="259" w:lineRule="auto"/>
            </w:pPr>
            <w:r>
              <w:rPr>
                <w:rFonts w:ascii="Calibri" w:hAnsi="Calibri"/>
                <w:b/>
                <w:i w:val="0"/>
                <w:color w:val="212121"/>
                <w:sz w:val="19"/>
              </w:rPr>
              <w:t>Up to 73.5% over 12 yrs</w:t>
            </w:r>
          </w:p>
        </w:tc>
      </w:tr>
      <w:tr>
        <w:trPr>
          <w:cantSplit/>
        </w:trPr>
        <w:tc>
          <w:tcPr>
            <w:tcW w:type="dxa" w:w="2232"/>
            <w:vAlign w:val="top"/>
          </w:tcPr>
          <w:p>
            <w:pPr>
              <w:spacing w:after="40" w:before="0" w:line="259" w:lineRule="auto"/>
            </w:pPr>
            <w:r>
              <w:rPr>
                <w:rFonts w:ascii="Calibri" w:hAnsi="Calibri"/>
                <w:b/>
                <w:i w:val="0"/>
                <w:color w:val="212121"/>
                <w:sz w:val="19"/>
              </w:rPr>
              <w:t>Nocturnal enuresis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Frequently coexists with childhood disorders of arousal, reflecting shared deep-sleep arousal dysfunction (bed-wetting ~8.7% of Indian schoolchildren).</w:t>
            </w:r>
          </w:p>
        </w:tc>
      </w:tr>
      <w:tr>
        <w:trPr>
          <w:cantSplit/>
        </w:trPr>
        <w:tc>
          <w:tcPr>
            <w:tcW w:type="dxa" w:w="2232"/>
            <w:vAlign w:val="top"/>
          </w:tcPr>
          <w:p>
            <w:pPr>
              <w:spacing w:after="40" w:before="0" w:line="259" w:lineRule="auto"/>
            </w:pPr>
            <w:r>
              <w:rPr>
                <w:rFonts w:ascii="Calibri" w:hAnsi="Calibri"/>
                <w:b/>
                <w:i w:val="0"/>
                <w:color w:val="212121"/>
                <w:sz w:val="19"/>
              </w:rPr>
              <w:t>Sleep-related (nocturnal frontal-lobe) epilepsy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key differential that can also coexist; stereotyped, brief, very frequent nocturnal events warrant EEG to distinguish from NREM parasomnia.</w:t>
            </w:r>
          </w:p>
        </w:tc>
      </w:tr>
      <w:tr>
        <w:trPr>
          <w:cantSplit/>
        </w:trPr>
        <w:tc>
          <w:tcPr>
            <w:tcW w:type="dxa" w:w="2232"/>
            <w:vAlign w:val="top"/>
          </w:tcPr>
          <w:p>
            <w:pPr>
              <w:spacing w:after="40" w:before="0" w:line="259" w:lineRule="auto"/>
            </w:pPr>
            <w:r>
              <w:rPr>
                <w:rFonts w:ascii="Calibri" w:hAnsi="Calibri"/>
                <w:b/>
                <w:i w:val="0"/>
                <w:color w:val="212121"/>
                <w:sz w:val="19"/>
              </w:rPr>
              <w:t>Post-traumatic stress disorder (PTSD)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Drives recurrent nightmares and can unmask REM parasomnias; trauma and parasomnia reinforce each other.</w:t>
            </w:r>
          </w:p>
        </w:tc>
      </w:tr>
      <w:tr>
        <w:trPr>
          <w:cantSplit/>
        </w:trPr>
        <w:tc>
          <w:tcPr>
            <w:tcW w:type="dxa" w:w="2232"/>
            <w:vAlign w:val="top"/>
          </w:tcPr>
          <w:p>
            <w:pPr>
              <w:spacing w:after="40" w:before="0" w:line="259" w:lineRule="auto"/>
            </w:pPr>
            <w:r>
              <w:rPr>
                <w:rFonts w:ascii="Calibri" w:hAnsi="Calibri"/>
                <w:b/>
                <w:i w:val="0"/>
                <w:color w:val="212121"/>
                <w:sz w:val="19"/>
              </w:rPr>
              <w:t>Narcolepsy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Overlaps with parasomnias — RBD, sleep paralysis and hypnagogic hallucinations — and alters diagnosis and drug choice.</w:t>
            </w:r>
          </w:p>
        </w:tc>
      </w:tr>
      <w:tr>
        <w:trPr>
          <w:cantSplit/>
        </w:trPr>
        <w:tc>
          <w:tcPr>
            <w:tcW w:type="dxa" w:w="2232"/>
            <w:vAlign w:val="top"/>
          </w:tcPr>
          <w:p>
            <w:pPr>
              <w:spacing w:after="40" w:before="0" w:line="259" w:lineRule="auto"/>
            </w:pPr>
            <w:r>
              <w:rPr>
                <w:rFonts w:ascii="Calibri" w:hAnsi="Calibri"/>
                <w:b/>
                <w:i w:val="0"/>
                <w:color w:val="212121"/>
                <w:sz w:val="19"/>
              </w:rPr>
              <w:t>Antidepressant / sedative-hypnotic use</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SSRIs were associated with nocturnal wandering (OR ~3.0) and can precipitate or unmask RBD; zolpidem may induce sleepwalking and sleep-related eating.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childhood sleepwalking and sleep terrors are common, usually benign and typically resolve by adolescence.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try to forcibly wake a person mid-episode; gently guide them back to bed, as forced awakening prolongs confusion.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sleep environment safe: lock doors and windows, fit a stair-gate, remove sharp or breakable objects, keep the mattress low or on the floor, and prefer a ground-floor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simple event diary (timing, triggers, behaviours) to guide management and identify precipitants.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adult-onset, injurious, very frequent, or dream-enacting events, which need polysomnography.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new-onset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Sleepwalkers at injury risk</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age-appropriate sleep (9–12 h for school-children, 7–9 h for adults) and avoid sleep deprivation, the strongest priming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bed and wake times, including weekends, to stabilise sleep architecture.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Wind down with a calm, screen-free routine and a dark, quiet, cool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obstructive sleep apnoea and restless legs, which fragment sleep and trigger arousals.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children with predictable episode timing, consider scheduled (anticipatory) awakenings 15–30 minutes before the usual event time, under clinician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disorders of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Sleep-deprived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OSA/RLS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daytime activity to promote consolidated night-time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in the 2–3 hours before bed, which can delay sleep onset.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daytime light exposure and activity to reinforce a stable sleep–wake rhythm.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activity to prevent over-tiredness, which deepens slow-wave-sleep rebound.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or heavy meals within 2–3 hours of bedtime to limit nocturnal reflux and arousals.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reflux-provoking foods (fried, very spicy or fatty items)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deficiency (diet ± supplementation) where restless legs contribute to sleep fragmentation.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sensible evening fluid intake to reduce a full-bladder trigger without causing dehydration.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restless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frequent arousals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Caffeine</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caffeine below ~200 mg/day and avoid it after mid-afternoon.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energy drinks and strong coffee/tea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hidden caffeine in colas, chocolate and some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especially in the evening, as it precipitates nocturnal wandering and confusional arousals.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sedative-hypnotics, which compounds the risk of complex sleep behaviours.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even occasional binge drinking can trigger episodes in predisposed people.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disorders of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or 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hypnotics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nicotine fragments sleep and is over-represented in RBD.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nicotine close to bedtime to reduce sleep-onset delay and arousals.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passive smoke exposure in children, which worsens sleep-disordered breathing.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RBD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depression, bipolar disorder and PTSD, which lower the arousal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relaxation and cognitive behavioural techniques to reduce episode frequency.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image-rehearsal therapy and trauma-focused care for nightmare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and sedative drugs that may precipitate events, adjusting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injurious or frequent events, consider clinician-directed pharmacotherapy (e.g., clonazepam or melatonin, particularly for RBD).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adult-onset parasomnia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PTSD-related nightmares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Injurious RBD</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938617/" TargetMode="External"/><Relationship Id="rId10" Type="http://schemas.openxmlformats.org/officeDocument/2006/relationships/hyperlink" Target="https://pubmed.ncbi.nlm.nih.gov/10221293/" TargetMode="External"/><Relationship Id="rId11" Type="http://schemas.openxmlformats.org/officeDocument/2006/relationships/hyperlink" Target="https://pubmed.ncbi.nlm.nih.gov/29216391/" TargetMode="External"/><Relationship Id="rId12" Type="http://schemas.openxmlformats.org/officeDocument/2006/relationships/hyperlink" Target="https://pubmed.ncbi.nlm.nih.gov/23378039/" TargetMode="External"/><Relationship Id="rId13" Type="http://schemas.openxmlformats.org/officeDocument/2006/relationships/hyperlink" Target="https://pubmed.ncbi.nlm.nih.gov/27165476/" TargetMode="External"/><Relationship Id="rId14" Type="http://schemas.openxmlformats.org/officeDocument/2006/relationships/hyperlink" Target="https://pubmed.ncbi.nlm.nih.gov/23415568/" TargetMode="External"/><Relationship Id="rId15" Type="http://schemas.openxmlformats.org/officeDocument/2006/relationships/hyperlink" Target="https://pubmed.ncbi.nlm.nih.gov/22585435/" TargetMode="External"/><Relationship Id="rId16" Type="http://schemas.openxmlformats.org/officeDocument/2006/relationships/hyperlink" Target="https://pubmed.ncbi.nlm.nih.gov/12556916/" TargetMode="External"/><Relationship Id="rId17" Type="http://schemas.openxmlformats.org/officeDocument/2006/relationships/hyperlink" Target="https://pubmed.ncbi.nlm.nih.gov/35671733/" TargetMode="External"/><Relationship Id="rId18" Type="http://schemas.openxmlformats.org/officeDocument/2006/relationships/hyperlink" Target="https://pubmed.ncbi.nlm.nih.gov/30789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