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Hydrocephalus / Normal Pressure Hydrocephalus</w:t>
      </w:r>
    </w:p>
    <w:p>
      <w:pPr>
        <w:spacing w:before="0" w:after="160"/>
      </w:pPr>
      <w:r>
        <w:rPr>
          <w:rFonts w:ascii="Calibri" w:hAnsi="Calibri"/>
          <w:b/>
          <w:i w:val="0"/>
          <w:color w:val="212121"/>
          <w:sz w:val="22"/>
        </w:rPr>
        <w:t xml:space="preserve">AKA </w:t>
      </w:r>
      <w:r>
        <w:rPr>
          <w:rFonts w:ascii="Calibri" w:hAnsi="Calibri"/>
          <w:b w:val="0"/>
          <w:i w:val="0"/>
          <w:color w:val="212121"/>
          <w:sz w:val="22"/>
        </w:rPr>
        <w:t>i.e., Water on the brain; Normal Pressure Hydrocephalus (NPH); Idiopathic NPH (iNPH); Hakim–Adams syndrome; Hakim syndrome; Communicating / obstructive hydrocephalus; CSF circulation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Hydrocephalus is an abnormal accumulation of cerebrospinal fluid (CSF) within the cerebral ventricles, causing them to enlarge and, in most forms, exerting harmful pressure on brain tissue. It arises when CSF flow is obstructed, its absorption at the arachnoid granulations is impaired, or (rarely) its production is excessive. Normal pressure hydrocephalus (NPH) is a chronic communicating form seen mainly in older adults, in which the ventricles are enlarged but CSF opening pressure is normal or only intermittently raised; it classically presents with the Hakim–Adams triad of gait disturbance, cognitive decline and urinary incontinence and is one of the few surgically reversible causes of dementia.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Hydrocephalus spans the life course in India. Congenital and infantile hydrocephalus is more common in low- and middle-income countries — pooled incidence around 123 per 100,000 births versus about 79 per 100,000 in high-income countries — driven largely by neural-tube defects (India carries one of the world's highest NTD burdens) and neonatal/childhood CNS infection. In adults, tuberculous meningitis, a major infection in India, is complicated by hydrocephalus in up to 80% of cases. In the elderly, idiopathic normal pressure hydrocephalus (iNPH) rises steeply with age (community prevalence on the order of 1.5%; roughly 175 per 100,000 in older adults and more than 400 per 100,000 beyond age 80) and remains widely under-recognised and under-treated despite being a reversible cause of dementia.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Hydrocephalus is diagnosed clinically and radiologically; idiopathic normal pressure hydrocephalus (iNPH) is a probabilistic diagnosis supported by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insidious clinical triad — gait disturbance (earliest and most reversible), cognitive impairment, and urinary urgency progressing to incontinence (Hakim–Adams triad) — usually in an adult over 60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neuroimaging (CT/MRI) showing ventriculomegaly not fully explained by atrophy — Evans index &gt; 0.3, a disproportionately enlarged subarachnoid-space hydrocephalus (DESH) pattern, and a narrow (&lt; 90°) callosal angle;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normal or near-normal CSF opening pressure on lumbar puncture (approximately &lt; 18 cmH₂O / ~13 mmHg), distinguishing NPH from high-pressure (obstructive) hydrocephalus;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improvement in gait and/or cognition after a large-volume CSF tap test (30–50 mL) or a trial of external lumbar drainage, which predicts shunt-responsiveness;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(Parkinson's disease, vascular and Alzheimer dementia, cervical myelopathy); for obstructive hydrocephalus, imaging demonstrates the level of blockage and may show raised intracranial pressure with papilloedema.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Hydrocephalus is classified by the site of the problem, the timing of onset, and the CSF pressure profile:</w:t>
      </w:r>
    </w:p>
    <w:p>
      <w:pPr>
        <w:spacing w:before="0" w:after="80"/>
      </w:pPr>
      <w:r>
        <w:rPr>
          <w:rFonts w:ascii="Calibri" w:hAnsi="Calibri"/>
          <w:b w:val="0"/>
          <w:i w:val="0"/>
          <w:color w:val="212121"/>
          <w:sz w:val="21"/>
        </w:rPr>
        <w:t>(1) Communicating (non-obstructive) hydrocephalus, in which CSF exits the ventricular system but is inadequately absorbed at the arachnoid granulations — typically post-meningitic, post-haemorrhagic, or normal pressure hydrocephalus;</w:t>
      </w:r>
    </w:p>
    <w:p>
      <w:pPr>
        <w:spacing w:before="0" w:after="80"/>
      </w:pPr>
      <w:r>
        <w:rPr>
          <w:rFonts w:ascii="Calibri" w:hAnsi="Calibri"/>
          <w:b w:val="0"/>
          <w:i w:val="0"/>
          <w:color w:val="212121"/>
          <w:sz w:val="21"/>
        </w:rPr>
        <w:t>(2) Non-communicating (obstructive) hydrocephalus, caused by a physical blockage within the ventricular system (aqueductal stenosis, colloid cyst, intraventricular tumour, or posterior-fossa mass);</w:t>
      </w:r>
    </w:p>
    <w:p>
      <w:pPr>
        <w:spacing w:before="0" w:after="80"/>
      </w:pPr>
      <w:r>
        <w:rPr>
          <w:rFonts w:ascii="Calibri" w:hAnsi="Calibri"/>
          <w:b w:val="0"/>
          <w:i w:val="0"/>
          <w:color w:val="212121"/>
          <w:sz w:val="21"/>
        </w:rPr>
        <w:t>(3) Congenital versus acquired hydrocephalus — present at or before birth (neural-tube defects, aqueductal stenosis, Chiari and Dandy–Walker malformations, congenital infection) versus developing later in life (infection, haemorrhage, tumour, trauma);</w:t>
      </w:r>
    </w:p>
    <w:p>
      <w:pPr>
        <w:spacing w:before="0" w:after="80"/>
      </w:pPr>
      <w:r>
        <w:rPr>
          <w:rFonts w:ascii="Calibri" w:hAnsi="Calibri"/>
          <w:b w:val="0"/>
          <w:i w:val="0"/>
          <w:color w:val="212121"/>
          <w:sz w:val="21"/>
        </w:rPr>
        <w:t>(4) Normal pressure hydrocephalus (NPH), a chronic communicating hydrocephalus of older adults with ventriculomegaly but normal opening pressure — idiopathic (iNPH) or secondary (post-infective, post-haemorrhagic, post-traumatic); and</w:t>
      </w:r>
    </w:p>
    <w:p>
      <w:pPr>
        <w:spacing w:before="0" w:after="80"/>
      </w:pPr>
      <w:r>
        <w:rPr>
          <w:rFonts w:ascii="Calibri" w:hAnsi="Calibri"/>
          <w:b w:val="0"/>
          <w:i w:val="0"/>
          <w:color w:val="212121"/>
          <w:sz w:val="21"/>
        </w:rPr>
        <w:t>(5) Hydrocephalus ex-vacuo, a compensatory ventricular enlargement due to brain atrophy (stroke, neurodegeneration) rather than a true CSF-circulation disorder.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Congenital malformations and neural-tube defects: Aqueductal stenosis, Chiari II with spina bifida, and Dandy–Walker malformation obstruct CSF flow; largely folate-preventable and a leading cause of congenital hydrocephalus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CNS infections: Tuberculous meningitis (a leading cause in India), pyogenic meningitis and neurocysticercosis produce inflammatory exudate or cysts that block CSF pathways or absorption.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Intracranial haemorrhage: Intraventricular haemorrhage of prematurity and aneurysmal subarachnoid haemorrhage deposit blood that scars and impairs arachnoid CSF resorption.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Mass lesions: Tumours, colloid cysts and posterior-fossa lesions obstruct ventricular outflow.</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Idiopathic NPH: Age-related impairment of CSF/glymphatic clearance together with cerebrovascular small-vessel disease reduces CSF absorption, producing ventriculomegaly at normal pressure.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Head trauma and neurosurgery: Post-traumatic and post-operative communicating hydrocephalus from disturbed CSF dynamics.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w:t>
            </w:r>
          </w:p>
        </w:tc>
        <w:tc>
          <w:tcPr>
            <w:tcW w:type="dxa" w:w="4276"/>
            <w:vAlign w:val="top"/>
          </w:tcPr>
          <w:p>
            <w:pPr>
              <w:spacing w:after="60" w:line="259" w:lineRule="auto"/>
            </w:pPr>
            <w:r>
              <w:rPr>
                <w:rFonts w:ascii="Calibri" w:hAnsi="Calibri"/>
                <w:b w:val="0"/>
                <w:i w:val="0"/>
                <w:color w:val="212121"/>
                <w:sz w:val="19"/>
              </w:rPr>
              <w:t>Younger and middle-aged adults chiefly develop secondary/acquired hydrocephalus after CNS infection, subarachnoid haemorrhage, trauma or tumour, when inflammatory exudate or blood blocks CSF absorption.</w:t>
            </w:r>
          </w:p>
          <w:p>
            <w:pPr>
              <w:spacing w:after="40" w:before="60" w:line="259" w:lineRule="auto"/>
            </w:pPr>
            <w:r>
              <w:rPr>
                <w:rFonts w:ascii="Calibri" w:hAnsi="Calibri"/>
                <w:b w:val="0"/>
                <w:i w:val="0"/>
                <w:color w:val="212121"/>
                <w:sz w:val="19"/>
              </w:rPr>
              <w:t>Tuberculous meningitis — common in Indian adults — is complicated by hydrocephalus in up to 80% of patients.</w:t>
            </w:r>
          </w:p>
          <w:p>
            <w:pPr>
              <w:spacing w:after="40" w:line="252" w:lineRule="auto"/>
            </w:pPr>
            <w:hyperlink r:id="rId9">
              <w:r>
                <w:rPr>
                  <w:rFonts w:ascii="Calibri" w:hAnsi="Calibri" w:cs="Calibri"/>
                  <w:sz w:val="18"/>
                  <w:color w:val="1155CC"/>
                  <w:u w:val="single"/>
                </w:rPr>
                <w:t xml:space="preserve">pubmed.ncbi.nlm.nih.gov/35102984 — hydrocephalus in TBM</w:t>
              </w:r>
            </w:hyperlink>
          </w:p>
          <w:p>
            <w:pPr>
              <w:spacing w:before="60" w:after="40"/>
            </w:pPr>
            <w:r>
              <w:rPr>
                <w:rFonts w:ascii="Calibri" w:hAnsi="Calibri"/>
                <w:b w:val="0"/>
                <w:i w:val="0"/>
                <w:color w:val="5A5A5A"/>
                <w:sz w:val="18"/>
              </w:rPr>
              <w:t>#acquiredhydrocephalus  #TBmeningitis  #communicating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Idiopathic NPH is a disease of ageing: declining CSF/glymphatic clearance and accumulating small-vessel disease reduce CSF absorption, enlarging ventricles at normal pressure. It is frequently mislabelled as senility, Parkinson's or Alzheimer's.</w:t>
            </w:r>
          </w:p>
          <w:p>
            <w:pPr>
              <w:spacing w:after="40" w:before="60" w:line="259" w:lineRule="auto"/>
            </w:pPr>
            <w:r>
              <w:rPr>
                <w:rFonts w:ascii="Calibri" w:hAnsi="Calibri"/>
                <w:b w:val="0"/>
                <w:i w:val="0"/>
                <w:color w:val="212121"/>
                <w:sz w:val="19"/>
              </w:rPr>
              <w:t>NPH prevalence in older adults is around 175 per 100,000 and exceeds 400 per 100,000 in those over 80 years.</w:t>
            </w:r>
          </w:p>
          <w:p>
            <w:pPr>
              <w:spacing w:after="40" w:line="252" w:lineRule="auto"/>
            </w:pPr>
            <w:hyperlink r:id="rId10">
              <w:r>
                <w:rPr>
                  <w:rFonts w:ascii="Calibri" w:hAnsi="Calibri" w:cs="Calibri"/>
                  <w:sz w:val="18"/>
                  <w:color w:val="1155CC"/>
                  <w:u w:val="single"/>
                </w:rPr>
                <w:t xml:space="preserve">ncbi.nlm.nih.gov/books/NBK560875 — StatPearls Hydrocephalus</w:t>
              </w:r>
            </w:hyperlink>
          </w:p>
          <w:p>
            <w:pPr>
              <w:spacing w:before="60" w:after="40"/>
            </w:pPr>
            <w:r>
              <w:rPr>
                <w:rFonts w:ascii="Calibri" w:hAnsi="Calibri"/>
                <w:b w:val="0"/>
                <w:i w:val="0"/>
                <w:color w:val="5A5A5A"/>
                <w:sz w:val="18"/>
              </w:rPr>
              <w:t>#iNPH  #ageing  #reversibledementia  #gait  #underdiagnosed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Neonates &amp; infants</w:t>
            </w:r>
          </w:p>
        </w:tc>
        <w:tc>
          <w:tcPr>
            <w:tcW w:type="dxa" w:w="4276"/>
            <w:vAlign w:val="top"/>
          </w:tcPr>
          <w:p>
            <w:pPr>
              <w:spacing w:after="60" w:line="259" w:lineRule="auto"/>
            </w:pPr>
            <w:r>
              <w:rPr>
                <w:rFonts w:ascii="Calibri" w:hAnsi="Calibri"/>
                <w:b w:val="0"/>
                <w:i w:val="0"/>
                <w:color w:val="212121"/>
                <w:sz w:val="19"/>
              </w:rPr>
              <w:t>Congenital malformations, neural-tube defects, birth-related intraventricular haemorrhage and neonatal infection obstruct CSF flow in the developing brain, producing macrocephaly and raised pressure.</w:t>
            </w:r>
          </w:p>
          <w:p>
            <w:pPr>
              <w:spacing w:after="40" w:before="60" w:line="259" w:lineRule="auto"/>
            </w:pPr>
            <w:r>
              <w:rPr>
                <w:rFonts w:ascii="Calibri" w:hAnsi="Calibri"/>
                <w:b w:val="0"/>
                <w:i w:val="0"/>
                <w:color w:val="212121"/>
                <w:sz w:val="19"/>
              </w:rPr>
              <w:t>Congenital hydrocephalus incidence is higher in low- and middle-income countries (~123 per 100,000 births) than in high-income countries (~79 per 100,000).</w:t>
            </w:r>
          </w:p>
          <w:p>
            <w:pPr>
              <w:spacing w:after="40" w:line="252" w:lineRule="auto"/>
            </w:pPr>
            <w:hyperlink r:id="rId11">
              <w:r>
                <w:rPr>
                  <w:rFonts w:ascii="Calibri" w:hAnsi="Calibri" w:cs="Calibri"/>
                  <w:sz w:val="18"/>
                  <w:color w:val="1155CC"/>
                  <w:u w:val="single"/>
                </w:rPr>
                <w:t xml:space="preserve">pubmed.ncbi.nlm.nih.gov/29701543 — global hydrocephalus epidemiology</w:t>
              </w:r>
            </w:hyperlink>
          </w:p>
          <w:p>
            <w:pPr>
              <w:spacing w:before="60" w:after="40"/>
            </w:pPr>
            <w:r>
              <w:rPr>
                <w:rFonts w:ascii="Calibri" w:hAnsi="Calibri"/>
                <w:b w:val="0"/>
                <w:i w:val="0"/>
                <w:color w:val="5A5A5A"/>
                <w:sz w:val="18"/>
              </w:rPr>
              <w:t>#congenital  #macrocephaly  #neuraltubedefect  #LMIC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 modest male predominance is reported in idiopathic NPH, and X-linked aqueductal-stenosis (L1CAM) congenital hydrocephalus affects boys, reflecting genetic and vascular-risk differences.</w:t>
            </w:r>
          </w:p>
          <w:p>
            <w:pPr>
              <w:spacing w:before="60" w:after="40"/>
            </w:pPr>
            <w:r>
              <w:rPr>
                <w:rFonts w:ascii="Calibri" w:hAnsi="Calibri"/>
                <w:b w:val="0"/>
                <w:i w:val="0"/>
                <w:color w:val="5A5A5A"/>
                <w:sz w:val="18"/>
              </w:rPr>
              <w:t>#malepredominance  #Xlinked  #L1CAM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limited antenatal care</w:t>
            </w:r>
          </w:p>
        </w:tc>
        <w:tc>
          <w:tcPr>
            <w:tcW w:type="dxa" w:w="4276"/>
            <w:vAlign w:val="top"/>
          </w:tcPr>
          <w:p>
            <w:pPr>
              <w:spacing w:after="60" w:line="259" w:lineRule="auto"/>
            </w:pPr>
            <w:r>
              <w:rPr>
                <w:rFonts w:ascii="Calibri" w:hAnsi="Calibri"/>
                <w:b w:val="0"/>
                <w:i w:val="0"/>
                <w:color w:val="212121"/>
                <w:sz w:val="19"/>
              </w:rPr>
              <w:t>Poor peri-conceptional folate intake, limited antenatal screening, untreated neuro-infections and delayed access to imaging and neurosurgery increase both congenital hydrocephalus and late, disabled presentations.</w:t>
            </w:r>
          </w:p>
          <w:p>
            <w:pPr>
              <w:spacing w:after="40" w:before="60" w:line="259" w:lineRule="auto"/>
            </w:pPr>
            <w:r>
              <w:rPr>
                <w:rFonts w:ascii="Calibri" w:hAnsi="Calibri"/>
                <w:b w:val="0"/>
                <w:i w:val="0"/>
                <w:color w:val="212121"/>
                <w:sz w:val="19"/>
              </w:rPr>
              <w:t>India carries one of the world's highest neural-tube-defect burdens, a leading cause of congenital hydrocephalus.</w:t>
            </w:r>
          </w:p>
          <w:p>
            <w:pPr>
              <w:spacing w:after="40" w:line="252" w:lineRule="auto"/>
            </w:pPr>
            <w:hyperlink r:id="rId12">
              <w:r>
                <w:rPr>
                  <w:rFonts w:ascii="Calibri" w:hAnsi="Calibri" w:cs="Calibri"/>
                  <w:sz w:val="18"/>
                  <w:color w:val="1155CC"/>
                  <w:u w:val="single"/>
                </w:rPr>
                <w:t xml:space="preserve">pubmed.ncbi.nlm.nih.gov/39365302 — burden of NTDs in India</w:t>
              </w:r>
            </w:hyperlink>
          </w:p>
          <w:p>
            <w:pPr>
              <w:spacing w:before="60" w:after="40"/>
            </w:pPr>
            <w:r>
              <w:rPr>
                <w:rFonts w:ascii="Calibri" w:hAnsi="Calibri"/>
                <w:b w:val="0"/>
                <w:i w:val="0"/>
                <w:color w:val="5A5A5A"/>
                <w:sz w:val="18"/>
              </w:rPr>
              <w:t>#healthequity  #antenatalcare  #folate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&amp; other LMICs</w:t>
            </w:r>
          </w:p>
        </w:tc>
        <w:tc>
          <w:tcPr>
            <w:tcW w:type="dxa" w:w="4276"/>
            <w:vAlign w:val="top"/>
          </w:tcPr>
          <w:p>
            <w:pPr>
              <w:spacing w:after="60" w:line="259" w:lineRule="auto"/>
            </w:pPr>
            <w:r>
              <w:rPr>
                <w:rFonts w:ascii="Calibri" w:hAnsi="Calibri"/>
                <w:b w:val="0"/>
                <w:i w:val="0"/>
                <w:color w:val="212121"/>
                <w:sz w:val="19"/>
              </w:rPr>
              <w:t>A high burden of neural-tube defects and neuro-infections, plus limited peri-conceptional folate fortification, raises the incidence of congenital and acquired hydrocephalus relative to high-income settings.</w:t>
            </w:r>
          </w:p>
          <w:p>
            <w:pPr>
              <w:spacing w:after="40" w:before="60" w:line="259" w:lineRule="auto"/>
            </w:pPr>
            <w:r>
              <w:rPr>
                <w:rFonts w:ascii="Calibri" w:hAnsi="Calibri"/>
                <w:b w:val="0"/>
                <w:i w:val="0"/>
                <w:color w:val="212121"/>
                <w:sz w:val="19"/>
              </w:rPr>
              <w:t>Pooled congenital hydrocephalus incidence ~123 per 100,000 births in LMICs vs ~79 per 100,000 in high-income countries.</w:t>
            </w:r>
          </w:p>
          <w:p>
            <w:pPr>
              <w:spacing w:after="40" w:line="252" w:lineRule="auto"/>
            </w:pPr>
            <w:hyperlink r:id="rId11">
              <w:r>
                <w:rPr>
                  <w:rFonts w:ascii="Calibri" w:hAnsi="Calibri" w:cs="Calibri"/>
                  <w:sz w:val="18"/>
                  <w:color w:val="1155CC"/>
                  <w:u w:val="single"/>
                </w:rPr>
                <w:t xml:space="preserve">pubmed.ncbi.nlm.nih.gov/29701543 — systematic review &amp; meta-analysis</w:t>
              </w:r>
            </w:hyperlink>
          </w:p>
          <w:p>
            <w:pPr>
              <w:spacing w:before="60" w:after="40"/>
            </w:pPr>
            <w:r>
              <w:rPr>
                <w:rFonts w:ascii="Calibri" w:hAnsi="Calibri"/>
                <w:b w:val="0"/>
                <w:i w:val="0"/>
                <w:color w:val="5A5A5A"/>
                <w:sz w:val="18"/>
              </w:rPr>
              <w:t>#India  #LMIC  #congenital  #neuroinfection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Endemic-infection zones</w:t>
            </w:r>
          </w:p>
        </w:tc>
        <w:tc>
          <w:tcPr>
            <w:tcW w:type="dxa" w:w="2160"/>
            <w:vAlign w:val="top"/>
          </w:tcPr>
          <w:p>
            <w:pPr>
              <w:spacing w:after="40" w:before="0" w:line="259" w:lineRule="auto"/>
            </w:pPr>
            <w:r>
              <w:rPr>
                <w:rFonts w:ascii="Calibri" w:hAnsi="Calibri"/>
                <w:b w:val="0"/>
                <w:i w:val="0"/>
                <w:color w:val="212121"/>
                <w:sz w:val="19"/>
              </w:rPr>
              <w:t>TB &amp; cysticercosis-endemic areas</w:t>
            </w:r>
          </w:p>
        </w:tc>
        <w:tc>
          <w:tcPr>
            <w:tcW w:type="dxa" w:w="4276"/>
            <w:vAlign w:val="top"/>
          </w:tcPr>
          <w:p>
            <w:pPr>
              <w:spacing w:after="60" w:line="259" w:lineRule="auto"/>
            </w:pPr>
            <w:r>
              <w:rPr>
                <w:rFonts w:ascii="Calibri" w:hAnsi="Calibri"/>
                <w:b w:val="0"/>
                <w:i w:val="0"/>
                <w:color w:val="212121"/>
                <w:sz w:val="19"/>
              </w:rPr>
              <w:t>Residents of tuberculosis- and Taenia-solium-endemic regions (much of India) are exposed to tuberculous meningitis and neurocysticercosis, both of which frequently cause communicating or obstructive hydrocephalus.</w:t>
            </w:r>
          </w:p>
          <w:p>
            <w:pPr>
              <w:spacing w:after="40" w:before="60" w:line="259" w:lineRule="auto"/>
            </w:pPr>
            <w:r>
              <w:rPr>
                <w:rFonts w:ascii="Calibri" w:hAnsi="Calibri"/>
                <w:b w:val="0"/>
                <w:i w:val="0"/>
                <w:color w:val="212121"/>
                <w:sz w:val="19"/>
              </w:rPr>
              <w:t>Hydrocephalus complicates up to 85% of children with tuberculous meningitis.</w:t>
            </w:r>
          </w:p>
          <w:p>
            <w:pPr>
              <w:spacing w:after="40" w:line="252" w:lineRule="auto"/>
            </w:pPr>
            <w:hyperlink r:id="rId13">
              <w:r>
                <w:rPr>
                  <w:rFonts w:ascii="Calibri" w:hAnsi="Calibri" w:cs="Calibri"/>
                  <w:sz w:val="18"/>
                  <w:color w:val="1155CC"/>
                  <w:u w:val="single"/>
                </w:rPr>
                <w:t xml:space="preserve">pubmed.ncbi.nlm.nih.gov/19770534 — hydrocephalus in TBM</w:t>
              </w:r>
            </w:hyperlink>
          </w:p>
          <w:p>
            <w:pPr>
              <w:spacing w:before="60" w:after="40"/>
            </w:pPr>
            <w:r>
              <w:rPr>
                <w:rFonts w:ascii="Calibri" w:hAnsi="Calibri"/>
                <w:b w:val="0"/>
                <w:i w:val="0"/>
                <w:color w:val="5A5A5A"/>
                <w:sz w:val="18"/>
              </w:rPr>
              <w:t>#endemic  #neurocysticercosis  #TBM  #sanitation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vascular risk</w:t>
            </w:r>
          </w:p>
        </w:tc>
        <w:tc>
          <w:tcPr>
            <w:tcW w:type="dxa" w:w="2160"/>
            <w:vAlign w:val="top"/>
          </w:tcPr>
          <w:p>
            <w:pPr>
              <w:spacing w:after="40" w:before="0" w:line="259" w:lineRule="auto"/>
            </w:pPr>
            <w:r>
              <w:rPr>
                <w:rFonts w:ascii="Calibri" w:hAnsi="Calibri"/>
                <w:b w:val="0"/>
                <w:i w:val="0"/>
                <w:color w:val="212121"/>
                <w:sz w:val="19"/>
              </w:rPr>
              <w:t>Physically inactive elderly</w:t>
            </w:r>
          </w:p>
        </w:tc>
        <w:tc>
          <w:tcPr>
            <w:tcW w:type="dxa" w:w="4276"/>
            <w:vAlign w:val="top"/>
          </w:tcPr>
          <w:p>
            <w:pPr>
              <w:spacing w:after="60" w:line="259" w:lineRule="auto"/>
            </w:pPr>
            <w:r>
              <w:rPr>
                <w:rFonts w:ascii="Calibri" w:hAnsi="Calibri"/>
                <w:b w:val="0"/>
                <w:i w:val="0"/>
                <w:color w:val="212121"/>
                <w:sz w:val="19"/>
              </w:rPr>
              <w:t>Physical inactivity and its cardiometabolic consequences promote cerebral small-vessel disease and periventricular white-matter ischaemia, mechanisms implicated in the development and poorer shunt outcomes of idiopathic NPH.</w:t>
            </w:r>
          </w:p>
          <w:p>
            <w:pPr>
              <w:spacing w:after="40" w:before="60" w:line="259" w:lineRule="auto"/>
            </w:pPr>
            <w:r>
              <w:rPr>
                <w:rFonts w:ascii="Calibri" w:hAnsi="Calibri"/>
                <w:b w:val="0"/>
                <w:i w:val="0"/>
                <w:color w:val="212121"/>
                <w:sz w:val="19"/>
              </w:rPr>
              <w:t>A leading pathophysiological theory attributes iNPH to periventricular white-matter ischaemic damage weakening the ventricular wall.</w:t>
            </w:r>
          </w:p>
          <w:p>
            <w:pPr>
              <w:spacing w:after="40" w:line="252" w:lineRule="auto"/>
            </w:pPr>
            <w:hyperlink r:id="rId14">
              <w:r>
                <w:rPr>
                  <w:rFonts w:ascii="Calibri" w:hAnsi="Calibri" w:cs="Calibri"/>
                  <w:sz w:val="18"/>
                  <w:color w:val="1155CC"/>
                  <w:u w:val="single"/>
                </w:rPr>
                <w:t xml:space="preserve">radiopaedia.org — normal pressure hydrocephalus</w:t>
              </w:r>
            </w:hyperlink>
          </w:p>
          <w:p>
            <w:pPr>
              <w:spacing w:before="60" w:after="40"/>
            </w:pPr>
            <w:r>
              <w:rPr>
                <w:rFonts w:ascii="Calibri" w:hAnsi="Calibri"/>
                <w:b w:val="0"/>
                <w:i w:val="0"/>
                <w:color w:val="5A5A5A"/>
                <w:sz w:val="18"/>
              </w:rPr>
              <w:t>#smallvesseldisease  #sedentary  #whitematter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accelerates cerebrovascular and white-matter disease that contributes to the iNPH phenotype and increases peri-operative and shunt-surgery risk.</w:t>
            </w:r>
          </w:p>
          <w:p>
            <w:pPr>
              <w:spacing w:before="60" w:after="40"/>
            </w:pPr>
            <w:r>
              <w:rPr>
                <w:rFonts w:ascii="Calibri" w:hAnsi="Calibri"/>
                <w:b w:val="0"/>
                <w:i w:val="0"/>
                <w:color w:val="5A5A5A"/>
                <w:sz w:val="18"/>
              </w:rPr>
              <w:t>#smoking  #cerebrovascular  #surgicalrisk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Heavy alcohol use raises the risk of falls and head injury (a cause of post-traumatic hydrocephalus) and adds vascular and cognitive burden; no protective role is established.</w:t>
            </w:r>
          </w:p>
          <w:p>
            <w:pPr>
              <w:spacing w:before="60" w:after="40"/>
            </w:pPr>
            <w:r>
              <w:rPr>
                <w:rFonts w:ascii="Calibri" w:hAnsi="Calibri"/>
                <w:b w:val="0"/>
                <w:i w:val="0"/>
                <w:color w:val="5A5A5A"/>
                <w:sz w:val="18"/>
              </w:rPr>
              <w:t>#alcohol  #headinjury  #falls  #posttraumatic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Folate / B12 deficiency</w:t>
            </w:r>
          </w:p>
        </w:tc>
        <w:tc>
          <w:tcPr>
            <w:tcW w:type="dxa" w:w="2160"/>
            <w:vAlign w:val="top"/>
          </w:tcPr>
          <w:p>
            <w:pPr>
              <w:spacing w:after="40" w:before="0" w:line="259" w:lineRule="auto"/>
            </w:pPr>
            <w:r>
              <w:rPr>
                <w:rFonts w:ascii="Calibri" w:hAnsi="Calibri"/>
                <w:b w:val="0"/>
                <w:i w:val="0"/>
                <w:color w:val="212121"/>
                <w:sz w:val="19"/>
              </w:rPr>
              <w:t>Women with low peri-conceptional folate</w:t>
            </w:r>
          </w:p>
        </w:tc>
        <w:tc>
          <w:tcPr>
            <w:tcW w:type="dxa" w:w="4276"/>
            <w:vAlign w:val="top"/>
          </w:tcPr>
          <w:p>
            <w:pPr>
              <w:spacing w:after="60" w:line="259" w:lineRule="auto"/>
            </w:pPr>
            <w:r>
              <w:rPr>
                <w:rFonts w:ascii="Calibri" w:hAnsi="Calibri"/>
                <w:b w:val="0"/>
                <w:i w:val="0"/>
                <w:color w:val="212121"/>
                <w:sz w:val="19"/>
              </w:rPr>
              <w:t>Inadequate peri-conceptional folate (and vitamin B12, common in vegetarian Indian diets) is the leading modifiable cause of neural-tube-defect-related congenital hydrocephalus.</w:t>
            </w:r>
          </w:p>
          <w:p>
            <w:pPr>
              <w:spacing w:after="40" w:before="60" w:line="259" w:lineRule="auto"/>
            </w:pPr>
            <w:r>
              <w:rPr>
                <w:rFonts w:ascii="Calibri" w:hAnsi="Calibri"/>
                <w:b w:val="0"/>
                <w:i w:val="0"/>
                <w:color w:val="212121"/>
                <w:sz w:val="19"/>
              </w:rPr>
              <w:t>Folic-acid supplementation significantly reduces the prevalence of isolated congenital hydrocephalus in population studies.</w:t>
            </w:r>
          </w:p>
          <w:p>
            <w:pPr>
              <w:spacing w:after="40" w:line="252" w:lineRule="auto"/>
            </w:pPr>
            <w:hyperlink r:id="rId15">
              <w:r>
                <w:rPr>
                  <w:rFonts w:ascii="Calibri" w:hAnsi="Calibri" w:cs="Calibri"/>
                  <w:sz w:val="18"/>
                  <w:color w:val="1155CC"/>
                  <w:u w:val="single"/>
                </w:rPr>
                <w:t xml:space="preserve">pubmed.ncbi.nlm.nih.gov/29388147 — folic acid &amp; congenital hydrocephalus</w:t>
              </w:r>
            </w:hyperlink>
          </w:p>
          <w:p>
            <w:pPr>
              <w:spacing w:before="60" w:after="40"/>
            </w:pPr>
            <w:r>
              <w:rPr>
                <w:rFonts w:ascii="Calibri" w:hAnsi="Calibri"/>
                <w:b w:val="0"/>
                <w:i w:val="0"/>
                <w:color w:val="5A5A5A"/>
                <w:sz w:val="18"/>
              </w:rPr>
              <w:t>#folate  #B12  #vegetarian  #preventable  #NTD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X-linked aqueductal stenosis (L1CAM)</w:t>
            </w:r>
          </w:p>
        </w:tc>
        <w:tc>
          <w:tcPr>
            <w:tcW w:type="dxa" w:w="4276"/>
            <w:vAlign w:val="top"/>
          </w:tcPr>
          <w:p>
            <w:pPr>
              <w:spacing w:after="60" w:line="259" w:lineRule="auto"/>
            </w:pPr>
            <w:r>
              <w:rPr>
                <w:rFonts w:ascii="Calibri" w:hAnsi="Calibri"/>
                <w:b w:val="0"/>
                <w:i w:val="0"/>
                <w:color w:val="212121"/>
                <w:sz w:val="19"/>
              </w:rPr>
              <w:t>Inherited L1CAM mutations cause X-linked congenital hydrocephalus with aqueductal stenosis in males; a family history of congenital hydrocephalus raises recurrence risk.</w:t>
            </w:r>
          </w:p>
          <w:p>
            <w:pPr>
              <w:spacing w:before="60" w:after="40"/>
            </w:pPr>
            <w:r>
              <w:rPr>
                <w:rFonts w:ascii="Calibri" w:hAnsi="Calibri"/>
                <w:b w:val="0"/>
                <w:i w:val="0"/>
                <w:color w:val="5A5A5A"/>
                <w:sz w:val="18"/>
              </w:rPr>
              <w:t>#L1CAM  #Xlinked  #aqueductalstenosis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Neurofibromatosis type 1</w:t>
            </w:r>
          </w:p>
        </w:tc>
        <w:tc>
          <w:tcPr>
            <w:tcW w:type="dxa" w:w="2160"/>
            <w:vAlign w:val="top"/>
          </w:tcPr>
          <w:p>
            <w:pPr>
              <w:spacing w:after="40" w:before="0" w:line="259" w:lineRule="auto"/>
            </w:pPr>
            <w:r>
              <w:rPr>
                <w:rFonts w:ascii="Calibri" w:hAnsi="Calibri"/>
                <w:b w:val="0"/>
                <w:i w:val="0"/>
                <w:color w:val="212121"/>
                <w:sz w:val="19"/>
              </w:rPr>
              <w:t>Patients with NF1</w:t>
            </w:r>
          </w:p>
        </w:tc>
        <w:tc>
          <w:tcPr>
            <w:tcW w:type="dxa" w:w="4276"/>
            <w:vAlign w:val="top"/>
          </w:tcPr>
          <w:p>
            <w:pPr>
              <w:spacing w:after="60" w:line="259" w:lineRule="auto"/>
            </w:pPr>
            <w:r>
              <w:rPr>
                <w:rFonts w:ascii="Calibri" w:hAnsi="Calibri"/>
                <w:b w:val="0"/>
                <w:i w:val="0"/>
                <w:color w:val="212121"/>
                <w:sz w:val="19"/>
              </w:rPr>
              <w:t>NF1 predisposes to aqueductal stenosis and posterior-fossa lesions that obstruct CSF flow.</w:t>
            </w:r>
          </w:p>
          <w:p>
            <w:pPr>
              <w:spacing w:after="40" w:before="60" w:line="259" w:lineRule="auto"/>
            </w:pPr>
            <w:r>
              <w:rPr>
                <w:rFonts w:ascii="Calibri" w:hAnsi="Calibri"/>
                <w:b w:val="0"/>
                <w:i w:val="0"/>
                <w:color w:val="212121"/>
                <w:sz w:val="19"/>
              </w:rPr>
              <w:t>Hydrocephalus occurs in an estimated 1–13% of patients with neurofibromatosis type 1.</w:t>
            </w:r>
          </w:p>
          <w:p>
            <w:pPr>
              <w:spacing w:after="40" w:line="252" w:lineRule="auto"/>
            </w:pPr>
            <w:hyperlink r:id="rId16">
              <w:r>
                <w:rPr>
                  <w:rFonts w:ascii="Calibri" w:hAnsi="Calibri" w:cs="Calibri"/>
                  <w:sz w:val="18"/>
                  <w:color w:val="1155CC"/>
                  <w:u w:val="single"/>
                </w:rPr>
                <w:t xml:space="preserve">pubmed.ncbi.nlm.nih.gov/35102991 — NF1-related hydrocephalus</w:t>
              </w:r>
            </w:hyperlink>
          </w:p>
          <w:p>
            <w:pPr>
              <w:spacing w:before="60" w:after="40"/>
            </w:pPr>
            <w:r>
              <w:rPr>
                <w:rFonts w:ascii="Calibri" w:hAnsi="Calibri"/>
                <w:b w:val="0"/>
                <w:i w:val="0"/>
                <w:color w:val="5A5A5A"/>
                <w:sz w:val="18"/>
              </w:rPr>
              <w:t>#NF1  #aqueductalstenosis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Tuberculous meningitis</w:t>
            </w:r>
          </w:p>
        </w:tc>
        <w:tc>
          <w:tcPr>
            <w:tcW w:type="dxa" w:w="2160"/>
            <w:vAlign w:val="top"/>
          </w:tcPr>
          <w:p>
            <w:pPr>
              <w:spacing w:after="40" w:before="0" w:line="259" w:lineRule="auto"/>
            </w:pPr>
            <w:r>
              <w:rPr>
                <w:rFonts w:ascii="Calibri" w:hAnsi="Calibri"/>
                <w:b w:val="0"/>
                <w:i w:val="0"/>
                <w:color w:val="212121"/>
                <w:sz w:val="19"/>
              </w:rPr>
              <w:t>Patients with TBM</w:t>
            </w:r>
          </w:p>
        </w:tc>
        <w:tc>
          <w:tcPr>
            <w:tcW w:type="dxa" w:w="4276"/>
            <w:vAlign w:val="top"/>
          </w:tcPr>
          <w:p>
            <w:pPr>
              <w:spacing w:after="60" w:line="259" w:lineRule="auto"/>
            </w:pPr>
            <w:r>
              <w:rPr>
                <w:rFonts w:ascii="Calibri" w:hAnsi="Calibri"/>
                <w:b w:val="0"/>
                <w:i w:val="0"/>
                <w:color w:val="212121"/>
                <w:sz w:val="19"/>
              </w:rPr>
              <w:t>Basal inflammatory exudate blocks CSF flow and absorption, making hydrocephalus the commonest complication of TBM; the CMC-Vellore grading guides CSF-diversion decisions.</w:t>
            </w:r>
          </w:p>
          <w:p>
            <w:pPr>
              <w:spacing w:after="40" w:before="60" w:line="259" w:lineRule="auto"/>
            </w:pPr>
            <w:r>
              <w:rPr>
                <w:rFonts w:ascii="Calibri" w:hAnsi="Calibri"/>
                <w:b w:val="0"/>
                <w:i w:val="0"/>
                <w:color w:val="212121"/>
                <w:sz w:val="19"/>
              </w:rPr>
              <w:t>Hydrocephalus is seen in up to 80% of tuberculous meningitis patients.</w:t>
            </w:r>
          </w:p>
          <w:p>
            <w:pPr>
              <w:spacing w:after="40" w:line="252" w:lineRule="auto"/>
            </w:pPr>
            <w:hyperlink r:id="rId17">
              <w:r>
                <w:rPr>
                  <w:rFonts w:ascii="Calibri" w:hAnsi="Calibri" w:cs="Calibri"/>
                  <w:sz w:val="18"/>
                  <w:color w:val="1155CC"/>
                  <w:u w:val="single"/>
                </w:rPr>
                <w:t xml:space="preserve">pubmed.ncbi.nlm.nih.gov/35103015 — Vellore grading (TBM hydrocephalus)</w:t>
              </w:r>
            </w:hyperlink>
          </w:p>
          <w:p>
            <w:pPr>
              <w:spacing w:before="60" w:after="40"/>
            </w:pPr>
            <w:r>
              <w:rPr>
                <w:rFonts w:ascii="Calibri" w:hAnsi="Calibri"/>
                <w:b w:val="0"/>
                <w:i w:val="0"/>
                <w:color w:val="5A5A5A"/>
                <w:sz w:val="18"/>
              </w:rPr>
              <w:t>#TBM  #India  #Velloregrading  #communicating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Alzheimer's disease</w:t>
            </w:r>
          </w:p>
        </w:tc>
        <w:tc>
          <w:tcPr>
            <w:tcW w:type="dxa" w:w="2160"/>
            <w:vAlign w:val="top"/>
          </w:tcPr>
          <w:p>
            <w:pPr>
              <w:spacing w:after="40" w:before="0" w:line="259" w:lineRule="auto"/>
            </w:pPr>
            <w:r>
              <w:rPr>
                <w:rFonts w:ascii="Calibri" w:hAnsi="Calibri"/>
                <w:b w:val="0"/>
                <w:i w:val="0"/>
                <w:color w:val="212121"/>
                <w:sz w:val="19"/>
              </w:rPr>
              <w:t>Elderly with cognitive decline</w:t>
            </w:r>
          </w:p>
        </w:tc>
        <w:tc>
          <w:tcPr>
            <w:tcW w:type="dxa" w:w="4276"/>
            <w:vAlign w:val="top"/>
          </w:tcPr>
          <w:p>
            <w:pPr>
              <w:spacing w:after="60" w:line="259" w:lineRule="auto"/>
            </w:pPr>
            <w:r>
              <w:rPr>
                <w:rFonts w:ascii="Calibri" w:hAnsi="Calibri"/>
                <w:b w:val="0"/>
                <w:i w:val="0"/>
                <w:color w:val="212121"/>
                <w:sz w:val="19"/>
              </w:rPr>
              <w:t>Alzheimer co-pathology overlaps clinically and on CSF biomarkers with iNPH, complicating diagnosis and blunting the response to shunt surgery.</w:t>
            </w:r>
          </w:p>
          <w:p>
            <w:pPr>
              <w:spacing w:after="40" w:before="60" w:line="259" w:lineRule="auto"/>
            </w:pPr>
            <w:r>
              <w:rPr>
                <w:rFonts w:ascii="Calibri" w:hAnsi="Calibri"/>
                <w:b w:val="0"/>
                <w:i w:val="0"/>
                <w:color w:val="212121"/>
                <w:sz w:val="19"/>
              </w:rPr>
              <w:t>Significant Alzheimer's disease pathology is described in approximately 30% of NPH cases.</w:t>
            </w:r>
          </w:p>
          <w:p>
            <w:pPr>
              <w:spacing w:after="40" w:line="252" w:lineRule="auto"/>
            </w:pPr>
            <w:hyperlink r:id="rId18">
              <w:r>
                <w:rPr>
                  <w:rFonts w:ascii="Calibri" w:hAnsi="Calibri" w:cs="Calibri"/>
                  <w:sz w:val="18"/>
                  <w:color w:val="1155CC"/>
                  <w:u w:val="single"/>
                </w:rPr>
                <w:t xml:space="preserve">pubmed.ncbi.nlm.nih.gov/38020768 — AD pathology in NPH</w:t>
              </w:r>
            </w:hyperlink>
          </w:p>
          <w:p>
            <w:pPr>
              <w:spacing w:before="60" w:after="40"/>
            </w:pPr>
            <w:r>
              <w:rPr>
                <w:rFonts w:ascii="Calibri" w:hAnsi="Calibri"/>
                <w:b w:val="0"/>
                <w:i w:val="0"/>
                <w:color w:val="5A5A5A"/>
                <w:sz w:val="18"/>
              </w:rPr>
              <w:t>#Alzheimer  #copathology  #amyloid  #shuntresponse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 &amp; cerebral small-vessel disease</w:t>
            </w:r>
          </w:p>
        </w:tc>
        <w:tc>
          <w:tcPr>
            <w:tcW w:type="dxa" w:w="2160"/>
            <w:vAlign w:val="top"/>
          </w:tcPr>
          <w:p>
            <w:pPr>
              <w:spacing w:after="40" w:before="0" w:line="259" w:lineRule="auto"/>
            </w:pPr>
            <w:r>
              <w:rPr>
                <w:rFonts w:ascii="Calibri" w:hAnsi="Calibri"/>
                <w:b w:val="0"/>
                <w:i w:val="0"/>
                <w:color w:val="212121"/>
                <w:sz w:val="19"/>
              </w:rPr>
              <w:t>Adults with vascular risk</w:t>
            </w:r>
          </w:p>
        </w:tc>
        <w:tc>
          <w:tcPr>
            <w:tcW w:type="dxa" w:w="4276"/>
            <w:vAlign w:val="top"/>
          </w:tcPr>
          <w:p>
            <w:pPr>
              <w:spacing w:after="60" w:line="259" w:lineRule="auto"/>
            </w:pPr>
            <w:r>
              <w:rPr>
                <w:rFonts w:ascii="Calibri" w:hAnsi="Calibri"/>
                <w:b w:val="0"/>
                <w:i w:val="0"/>
                <w:color w:val="212121"/>
                <w:sz w:val="19"/>
              </w:rPr>
              <w:t>Chronic hypertension and small-vessel disease produce periventricular white-matter ischaemia that is mechanistically linked to iNPH and predicts poorer surgical outcomes.</w:t>
            </w:r>
          </w:p>
          <w:p>
            <w:pPr>
              <w:spacing w:after="40" w:line="252" w:lineRule="auto"/>
            </w:pPr>
            <w:hyperlink r:id="rId14">
              <w:r>
                <w:rPr>
                  <w:rFonts w:ascii="Calibri" w:hAnsi="Calibri" w:cs="Calibri"/>
                  <w:sz w:val="18"/>
                  <w:color w:val="1155CC"/>
                  <w:u w:val="single"/>
                </w:rPr>
                <w:t xml:space="preserve">radiopaedia.org — normal pressure hydrocephalus</w:t>
              </w:r>
            </w:hyperlink>
          </w:p>
          <w:p>
            <w:pPr>
              <w:spacing w:before="60" w:after="40"/>
            </w:pPr>
            <w:r>
              <w:rPr>
                <w:rFonts w:ascii="Calibri" w:hAnsi="Calibri"/>
                <w:b w:val="0"/>
                <w:i w:val="0"/>
                <w:color w:val="5A5A5A"/>
                <w:sz w:val="18"/>
              </w:rPr>
              <w:t>#hypertension  #smallvesseldisease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Intraventricular / subarachnoid haemorrhage</w:t>
            </w:r>
          </w:p>
        </w:tc>
        <w:tc>
          <w:tcPr>
            <w:tcW w:type="dxa" w:w="2160"/>
            <w:vAlign w:val="top"/>
          </w:tcPr>
          <w:p>
            <w:pPr>
              <w:spacing w:after="40" w:before="0" w:line="259" w:lineRule="auto"/>
            </w:pPr>
            <w:r>
              <w:rPr>
                <w:rFonts w:ascii="Calibri" w:hAnsi="Calibri"/>
                <w:b w:val="0"/>
                <w:i w:val="0"/>
                <w:color w:val="212121"/>
                <w:sz w:val="19"/>
              </w:rPr>
              <w:t>Premature infants &amp; post-SAH adults</w:t>
            </w:r>
          </w:p>
        </w:tc>
        <w:tc>
          <w:tcPr>
            <w:tcW w:type="dxa" w:w="4276"/>
            <w:vAlign w:val="top"/>
          </w:tcPr>
          <w:p>
            <w:pPr>
              <w:spacing w:after="60" w:line="259" w:lineRule="auto"/>
            </w:pPr>
            <w:r>
              <w:rPr>
                <w:rFonts w:ascii="Calibri" w:hAnsi="Calibri"/>
                <w:b w:val="0"/>
                <w:i w:val="0"/>
                <w:color w:val="212121"/>
                <w:sz w:val="19"/>
              </w:rPr>
              <w:t>Blood in the ventricular and subarachnoid spaces (IVH of prematurity, aneurysmal SAH) scars the arachnoid granulations and impairs CSF resorption, producing post-haemorrhagic hydrocephalus.</w:t>
            </w:r>
          </w:p>
          <w:p>
            <w:pPr>
              <w:spacing w:before="60" w:after="40"/>
            </w:pPr>
            <w:r>
              <w:rPr>
                <w:rFonts w:ascii="Calibri" w:hAnsi="Calibri"/>
                <w:b w:val="0"/>
                <w:i w:val="0"/>
                <w:color w:val="5A5A5A"/>
                <w:sz w:val="18"/>
              </w:rPr>
              <w:t>#IVH  #prematurity  #SAH  #posthaemorrhagic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its cardiometabolic consequences promote cerebral small-vessel disease and white-matter ischaemia implicated in iNPH; supervised gait and balance training reduces falls and improves mobility before and after shunting.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Peri-conceptional folate/B12 deficiency is a leading modifiable cause of neural-tube-defect-related congenital hydrocephalus, and a vascular-protective diet limits the small-vessel disease linked to iNPH.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CSF and solute clearance via the glymphatic system is greatest during deep sleep; chronically disrupted sleep may impair clearance, though direct evidence in hydrocephalus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accelerates the cerebrovascular and white-matter disease that contributes to iNPH pathophysiology and worsens surgical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increases falls and head injury (post-traumatic hydrocephalus) and adds vascular risk; no protective role is established.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iNPH commonly causes secondary apathy, depression and, rarely, psychosis; psychiatric mislabelling delays diagnosis of a treatable condition.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status neither prevents nor treats hydrocephalus; fluid and electrolyte balance matter only peri-operatively and during CSF drainage.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role of caffeine in the risk or progression of hydrocephalus.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Sanitation and food hygiene prevent neurocysticercosis and neuro-infections (tuberculous and pyogenic meningitis) that are leading causes of acquired hydrocephalus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Meningitis (especially tuberculous), subarachnoid and intraventricular haemorrhage, and head trauma acutely provoke acquired hydrocephalus.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has no role in causation; after shunting, upright posture can provoke over-drainage (low-pressure) headaches, relevant to valve choice and counselling.</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physical activity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fuels cerebral small-vessel disease linked to iNPH and raises fall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&lt; 130/80</w:t>
            </w:r>
          </w:p>
        </w:tc>
        <w:tc>
          <w:tcPr>
            <w:tcW w:type="dxa" w:w="1512"/>
            <w:vAlign w:val="top"/>
          </w:tcPr>
          <w:p>
            <w:pPr>
              <w:spacing w:after="40" w:before="0" w:line="259" w:lineRule="auto"/>
            </w:pPr>
            <w:r>
              <w:rPr>
                <w:rFonts w:ascii="Calibri" w:hAnsi="Calibri"/>
                <w:b w:val="0"/>
                <w:i w:val="0"/>
                <w:color w:val="212121"/>
                <w:sz w:val="19"/>
              </w:rPr>
              <w:t>≥ 140/90</w:t>
            </w:r>
          </w:p>
        </w:tc>
        <w:tc>
          <w:tcPr>
            <w:tcW w:type="dxa" w:w="1468"/>
            <w:vAlign w:val="top"/>
          </w:tcPr>
          <w:p>
            <w:pPr>
              <w:spacing w:after="60" w:line="259" w:lineRule="auto"/>
            </w:pPr>
            <w:r>
              <w:rPr>
                <w:rFonts w:ascii="Calibri" w:hAnsi="Calibri"/>
                <w:b w:val="0"/>
                <w:i w:val="0"/>
                <w:color w:val="212121"/>
                <w:sz w:val="19"/>
              </w:rPr>
              <w:t>Chronic hypertension drives periventricular white-matter ischaemia implicated in iNPH</w:t>
            </w:r>
          </w:p>
          <w:p>
            <w:pPr>
              <w:spacing w:after="40" w:line="252" w:lineRule="auto"/>
            </w:pPr>
            <w:hyperlink r:id="rId14">
              <w:r>
                <w:rPr>
                  <w:rFonts w:ascii="Calibri" w:hAnsi="Calibri" w:cs="Calibri"/>
                  <w:sz w:val="18"/>
                  <w:color w:val="1155CC"/>
                  <w:u w:val="single"/>
                </w:rPr>
                <w:t xml:space="preserve">https://radiopaedia.org/articles/normal-pressure-hydrocephalus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Timed Up-and-Go (gait)</w:t>
            </w:r>
          </w:p>
        </w:tc>
        <w:tc>
          <w:tcPr>
            <w:tcW w:type="dxa" w:w="1655"/>
            <w:vAlign w:val="top"/>
          </w:tcPr>
          <w:p>
            <w:pPr>
              <w:spacing w:after="40" w:before="0" w:line="259" w:lineRule="auto"/>
            </w:pPr>
            <w:r>
              <w:rPr>
                <w:rFonts w:ascii="Calibri" w:hAnsi="Calibri"/>
                <w:b w:val="0"/>
                <w:i w:val="0"/>
                <w:color w:val="212121"/>
                <w:sz w:val="19"/>
              </w:rPr>
              <w:t>iNPH suspects, elderly fallers</w:t>
            </w:r>
          </w:p>
        </w:tc>
        <w:tc>
          <w:tcPr>
            <w:tcW w:type="dxa" w:w="1512"/>
            <w:vAlign w:val="top"/>
          </w:tcPr>
          <w:p>
            <w:pPr>
              <w:spacing w:after="40" w:before="0" w:line="259" w:lineRule="auto"/>
            </w:pPr>
            <w:r>
              <w:rPr>
                <w:rFonts w:ascii="Calibri" w:hAnsi="Calibri"/>
                <w:b w:val="0"/>
                <w:i w:val="0"/>
                <w:color w:val="212121"/>
                <w:sz w:val="19"/>
              </w:rPr>
              <w:t>&lt; 12 s</w:t>
            </w:r>
          </w:p>
        </w:tc>
        <w:tc>
          <w:tcPr>
            <w:tcW w:type="dxa" w:w="1512"/>
            <w:vAlign w:val="top"/>
          </w:tcPr>
          <w:p>
            <w:pPr>
              <w:spacing w:after="40" w:before="0" w:line="259" w:lineRule="auto"/>
            </w:pPr>
            <w:r>
              <w:rPr>
                <w:rFonts w:ascii="Calibri" w:hAnsi="Calibri"/>
                <w:b w:val="0"/>
                <w:i w:val="0"/>
                <w:color w:val="212121"/>
                <w:sz w:val="19"/>
              </w:rPr>
              <w:t>&gt; 13.5 s or wide-based magnetic gait</w:t>
            </w:r>
          </w:p>
        </w:tc>
        <w:tc>
          <w:tcPr>
            <w:tcW w:type="dxa" w:w="1468"/>
            <w:vAlign w:val="top"/>
          </w:tcPr>
          <w:p>
            <w:pPr>
              <w:spacing w:after="60" w:line="259" w:lineRule="auto"/>
            </w:pPr>
            <w:r>
              <w:rPr>
                <w:rFonts w:ascii="Calibri" w:hAnsi="Calibri"/>
                <w:b w:val="0"/>
                <w:i w:val="0"/>
                <w:color w:val="212121"/>
                <w:sz w:val="19"/>
              </w:rPr>
              <w:t>Objective gait metric; improvement after tap test predicts shunt-responsiveness</w:t>
            </w:r>
          </w:p>
          <w:p>
            <w:pPr>
              <w:spacing w:after="40" w:line="252" w:lineRule="auto"/>
            </w:pPr>
            <w:hyperlink r:id="rId19">
              <w:r>
                <w:rPr>
                  <w:rFonts w:ascii="Calibri" w:hAnsi="Calibri" w:cs="Calibri"/>
                  <w:sz w:val="18"/>
                  <w:color w:val="1155CC"/>
                  <w:u w:val="single"/>
                </w:rPr>
                <w:t xml:space="preserve">https://pubmed.ncbi.nlm.nih.gov/40045804/</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Peri-conceptional folic acid</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400 µg/day (4 mg if prior NTD)</w:t>
            </w:r>
          </w:p>
        </w:tc>
        <w:tc>
          <w:tcPr>
            <w:tcW w:type="dxa" w:w="1512"/>
            <w:vAlign w:val="top"/>
          </w:tcPr>
          <w:p>
            <w:pPr>
              <w:spacing w:after="40" w:before="0" w:line="259" w:lineRule="auto"/>
            </w:pPr>
            <w:r>
              <w:rPr>
                <w:rFonts w:ascii="Calibri" w:hAnsi="Calibri"/>
                <w:b w:val="0"/>
                <w:i w:val="0"/>
                <w:color w:val="212121"/>
                <w:sz w:val="19"/>
              </w:rPr>
              <w:t>No supplementation / low dietary folate</w:t>
            </w:r>
          </w:p>
        </w:tc>
        <w:tc>
          <w:tcPr>
            <w:tcW w:type="dxa" w:w="1468"/>
            <w:vAlign w:val="top"/>
          </w:tcPr>
          <w:p>
            <w:pPr>
              <w:spacing w:after="60" w:line="259" w:lineRule="auto"/>
            </w:pPr>
            <w:r>
              <w:rPr>
                <w:rFonts w:ascii="Calibri" w:hAnsi="Calibri"/>
                <w:b w:val="0"/>
                <w:i w:val="0"/>
                <w:color w:val="212121"/>
                <w:sz w:val="19"/>
              </w:rPr>
              <w:t>Prevents neural-tube-defect-related congenital hydrocephalus</w:t>
            </w:r>
          </w:p>
          <w:p>
            <w:pPr>
              <w:spacing w:after="40" w:line="252" w:lineRule="auto"/>
            </w:pPr>
            <w:hyperlink r:id="rId15">
              <w:r>
                <w:rPr>
                  <w:rFonts w:ascii="Calibri" w:hAnsi="Calibri" w:cs="Calibri"/>
                  <w:sz w:val="18"/>
                  <w:color w:val="1155CC"/>
                  <w:u w:val="single"/>
                </w:rPr>
                <w:t xml:space="preserve">https://pubmed.ncbi.nlm.nih.gov/29388147/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Reproductive-age women, vegetarians</w:t>
            </w:r>
          </w:p>
        </w:tc>
        <w:tc>
          <w:tcPr>
            <w:tcW w:type="dxa" w:w="1512"/>
            <w:vAlign w:val="top"/>
          </w:tcPr>
          <w:p>
            <w:pPr>
              <w:spacing w:after="40" w:before="0" w:line="259" w:lineRule="auto"/>
            </w:pPr>
            <w:r>
              <w:rPr>
                <w:rFonts w:ascii="Calibri" w:hAnsi="Calibri"/>
                <w:b w:val="0"/>
                <w:i w:val="0"/>
                <w:color w:val="212121"/>
                <w:sz w:val="19"/>
              </w:rPr>
              <w:t>&gt; 200 pg/mL</w:t>
            </w:r>
          </w:p>
        </w:tc>
        <w:tc>
          <w:tcPr>
            <w:tcW w:type="dxa" w:w="1512"/>
            <w:vAlign w:val="top"/>
          </w:tcPr>
          <w:p>
            <w:pPr>
              <w:spacing w:after="40" w:before="0" w:line="259" w:lineRule="auto"/>
            </w:pPr>
            <w:r>
              <w:rPr>
                <w:rFonts w:ascii="Calibri" w:hAnsi="Calibri"/>
                <w:b w:val="0"/>
                <w:i w:val="0"/>
                <w:color w:val="212121"/>
                <w:sz w:val="19"/>
              </w:rPr>
              <w:t>&lt; 200 pg/mL</w:t>
            </w:r>
          </w:p>
        </w:tc>
        <w:tc>
          <w:tcPr>
            <w:tcW w:type="dxa" w:w="1468"/>
            <w:vAlign w:val="top"/>
          </w:tcPr>
          <w:p>
            <w:pPr>
              <w:spacing w:after="40" w:before="0" w:line="259" w:lineRule="auto"/>
            </w:pPr>
            <w:r>
              <w:rPr>
                <w:rFonts w:ascii="Calibri" w:hAnsi="Calibri"/>
                <w:b w:val="0"/>
                <w:i w:val="0"/>
                <w:color w:val="212121"/>
                <w:sz w:val="19"/>
              </w:rPr>
              <w:t>Low B12 / high homocysteine raises NTD risk; common on vegetarian Indian diets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 or fragmented</w:t>
            </w:r>
          </w:p>
        </w:tc>
        <w:tc>
          <w:tcPr>
            <w:tcW w:type="dxa" w:w="1468"/>
            <w:vAlign w:val="top"/>
          </w:tcPr>
          <w:p>
            <w:pPr>
              <w:spacing w:after="40" w:before="0" w:line="259" w:lineRule="auto"/>
            </w:pPr>
            <w:r>
              <w:rPr>
                <w:rFonts w:ascii="Calibri" w:hAnsi="Calibri"/>
                <w:b w:val="0"/>
                <w:i w:val="0"/>
                <w:color w:val="212121"/>
                <w:sz w:val="19"/>
              </w:rPr>
              <w:t>Deep sleep drives glymphatic CSF clearance; chronic disruption may impair solute clearance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Smoking accelerates cerebrovascular disease contributing to iNPH and raises operative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Abstain / ≤ moderate</w:t>
            </w:r>
          </w:p>
        </w:tc>
        <w:tc>
          <w:tcPr>
            <w:tcW w:type="dxa" w:w="1512"/>
            <w:vAlign w:val="top"/>
          </w:tcPr>
          <w:p>
            <w:pPr>
              <w:spacing w:after="40" w:before="0" w:line="259" w:lineRule="auto"/>
            </w:pPr>
            <w:r>
              <w:rPr>
                <w:rFonts w:ascii="Calibri" w:hAnsi="Calibri"/>
                <w:b w:val="0"/>
                <w:i w:val="0"/>
                <w:color w:val="212121"/>
                <w:sz w:val="19"/>
              </w:rPr>
              <w:t>Heavy or binge use</w:t>
            </w:r>
          </w:p>
        </w:tc>
        <w:tc>
          <w:tcPr>
            <w:tcW w:type="dxa" w:w="1468"/>
            <w:vAlign w:val="top"/>
          </w:tcPr>
          <w:p>
            <w:pPr>
              <w:spacing w:after="40" w:before="0" w:line="259" w:lineRule="auto"/>
            </w:pPr>
            <w:r>
              <w:rPr>
                <w:rFonts w:ascii="Calibri" w:hAnsi="Calibri"/>
                <w:b w:val="0"/>
                <w:i w:val="0"/>
                <w:color w:val="212121"/>
                <w:sz w:val="19"/>
              </w:rPr>
              <w:t>Heavy use raises falls and head injury (post-traumatic hydrocephalus) and vascular risk</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CSF opening pressure (LP)</w:t>
            </w:r>
          </w:p>
        </w:tc>
        <w:tc>
          <w:tcPr>
            <w:tcW w:type="dxa" w:w="1655"/>
            <w:vAlign w:val="top"/>
          </w:tcPr>
          <w:p>
            <w:pPr>
              <w:spacing w:after="40" w:before="0" w:line="259" w:lineRule="auto"/>
            </w:pPr>
            <w:r>
              <w:rPr>
                <w:rFonts w:ascii="Calibri" w:hAnsi="Calibri"/>
                <w:b w:val="0"/>
                <w:i w:val="0"/>
                <w:color w:val="212121"/>
                <w:sz w:val="19"/>
              </w:rPr>
              <w:t>Adults with ventriculomegaly</w:t>
            </w:r>
          </w:p>
        </w:tc>
        <w:tc>
          <w:tcPr>
            <w:tcW w:type="dxa" w:w="1512"/>
            <w:vAlign w:val="top"/>
          </w:tcPr>
          <w:p>
            <w:pPr>
              <w:spacing w:after="40" w:before="0" w:line="259" w:lineRule="auto"/>
            </w:pPr>
            <w:r>
              <w:rPr>
                <w:rFonts w:ascii="Calibri" w:hAnsi="Calibri"/>
                <w:b w:val="0"/>
                <w:i w:val="0"/>
                <w:color w:val="212121"/>
                <w:sz w:val="19"/>
              </w:rPr>
              <w:t>iNPH: &lt; 18 cmH₂O (normal)</w:t>
            </w:r>
          </w:p>
        </w:tc>
        <w:tc>
          <w:tcPr>
            <w:tcW w:type="dxa" w:w="1512"/>
            <w:vAlign w:val="top"/>
          </w:tcPr>
          <w:p>
            <w:pPr>
              <w:spacing w:after="40" w:before="0" w:line="259" w:lineRule="auto"/>
            </w:pPr>
            <w:r>
              <w:rPr>
                <w:rFonts w:ascii="Calibri" w:hAnsi="Calibri"/>
                <w:b w:val="0"/>
                <w:i w:val="0"/>
                <w:color w:val="212121"/>
                <w:sz w:val="19"/>
              </w:rPr>
              <w:t>Raised (&gt; 25 cmH₂O) suggests obstructive / high-pressure hydrocephalus</w:t>
            </w:r>
          </w:p>
        </w:tc>
        <w:tc>
          <w:tcPr>
            <w:tcW w:type="dxa" w:w="1468"/>
            <w:vAlign w:val="top"/>
          </w:tcPr>
          <w:p>
            <w:pPr>
              <w:spacing w:after="60" w:line="259" w:lineRule="auto"/>
            </w:pPr>
            <w:r>
              <w:rPr>
                <w:rFonts w:ascii="Calibri" w:hAnsi="Calibri"/>
                <w:b w:val="0"/>
                <w:i w:val="0"/>
                <w:color w:val="212121"/>
                <w:sz w:val="19"/>
              </w:rPr>
              <w:t>Distinguishes NPH from high-pressure hydrocephalus</w:t>
            </w:r>
          </w:p>
          <w:p>
            <w:pPr>
              <w:spacing w:after="40" w:line="252" w:lineRule="auto"/>
            </w:pPr>
            <w:hyperlink r:id="rId14">
              <w:r>
                <w:rPr>
                  <w:rFonts w:ascii="Calibri" w:hAnsi="Calibri" w:cs="Calibri"/>
                  <w:sz w:val="18"/>
                  <w:color w:val="1155CC"/>
                  <w:u w:val="single"/>
                </w:rPr>
                <w:t xml:space="preserve">https://radiopaedia.org/articles/normal-pressure-hydrocephalus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Infant head circumference (OFC)</w:t>
            </w:r>
          </w:p>
        </w:tc>
        <w:tc>
          <w:tcPr>
            <w:tcW w:type="dxa" w:w="1655"/>
            <w:vAlign w:val="top"/>
          </w:tcPr>
          <w:p>
            <w:pPr>
              <w:spacing w:after="40" w:before="0" w:line="259" w:lineRule="auto"/>
            </w:pPr>
            <w:r>
              <w:rPr>
                <w:rFonts w:ascii="Calibri" w:hAnsi="Calibri"/>
                <w:b w:val="0"/>
                <w:i w:val="0"/>
                <w:color w:val="212121"/>
                <w:sz w:val="19"/>
              </w:rPr>
              <w:t>Neonates, infants</w:t>
            </w:r>
          </w:p>
        </w:tc>
        <w:tc>
          <w:tcPr>
            <w:tcW w:type="dxa" w:w="1512"/>
            <w:vAlign w:val="top"/>
          </w:tcPr>
          <w:p>
            <w:pPr>
              <w:spacing w:after="40" w:before="0" w:line="259" w:lineRule="auto"/>
            </w:pPr>
            <w:r>
              <w:rPr>
                <w:rFonts w:ascii="Calibri" w:hAnsi="Calibri"/>
                <w:b w:val="0"/>
                <w:i w:val="0"/>
                <w:color w:val="212121"/>
                <w:sz w:val="19"/>
              </w:rPr>
              <w:t>Growth along percentile</w:t>
            </w:r>
          </w:p>
        </w:tc>
        <w:tc>
          <w:tcPr>
            <w:tcW w:type="dxa" w:w="1512"/>
            <w:vAlign w:val="top"/>
          </w:tcPr>
          <w:p>
            <w:pPr>
              <w:spacing w:after="40" w:before="0" w:line="259" w:lineRule="auto"/>
            </w:pPr>
            <w:r>
              <w:rPr>
                <w:rFonts w:ascii="Calibri" w:hAnsi="Calibri"/>
                <w:b w:val="0"/>
                <w:i w:val="0"/>
                <w:color w:val="212121"/>
                <w:sz w:val="19"/>
              </w:rPr>
              <w:t>Crossing percentiles upward / &gt; 2 SD</w:t>
            </w:r>
          </w:p>
        </w:tc>
        <w:tc>
          <w:tcPr>
            <w:tcW w:type="dxa" w:w="1468"/>
            <w:vAlign w:val="top"/>
          </w:tcPr>
          <w:p>
            <w:pPr>
              <w:spacing w:after="40" w:before="0" w:line="259" w:lineRule="auto"/>
            </w:pPr>
            <w:r>
              <w:rPr>
                <w:rFonts w:ascii="Calibri" w:hAnsi="Calibri"/>
                <w:b w:val="0"/>
                <w:i w:val="0"/>
                <w:color w:val="212121"/>
                <w:sz w:val="19"/>
              </w:rPr>
              <w:t>Rapid head growth signals congenital or obstructive hydrocephalus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Neuro-infection exposure (TB, cysticercosis)</w:t>
            </w:r>
          </w:p>
        </w:tc>
        <w:tc>
          <w:tcPr>
            <w:tcW w:type="dxa" w:w="1655"/>
            <w:vAlign w:val="top"/>
          </w:tcPr>
          <w:p>
            <w:pPr>
              <w:spacing w:after="40" w:before="0" w:line="259" w:lineRule="auto"/>
            </w:pPr>
            <w:r>
              <w:rPr>
                <w:rFonts w:ascii="Calibri" w:hAnsi="Calibri"/>
                <w:b w:val="0"/>
                <w:i w:val="0"/>
                <w:color w:val="212121"/>
                <w:sz w:val="19"/>
              </w:rPr>
              <w:t>Endemic-area residents</w:t>
            </w:r>
          </w:p>
        </w:tc>
        <w:tc>
          <w:tcPr>
            <w:tcW w:type="dxa" w:w="1512"/>
            <w:vAlign w:val="top"/>
          </w:tcPr>
          <w:p>
            <w:pPr>
              <w:spacing w:after="40" w:before="0" w:line="259" w:lineRule="auto"/>
            </w:pPr>
            <w:r>
              <w:rPr>
                <w:rFonts w:ascii="Calibri" w:hAnsi="Calibri"/>
                <w:b w:val="0"/>
                <w:i w:val="0"/>
                <w:color w:val="212121"/>
                <w:sz w:val="19"/>
              </w:rPr>
              <w:t>Vaccination, sanitation, treated water &amp; food</w:t>
            </w:r>
          </w:p>
        </w:tc>
        <w:tc>
          <w:tcPr>
            <w:tcW w:type="dxa" w:w="1512"/>
            <w:vAlign w:val="top"/>
          </w:tcPr>
          <w:p>
            <w:pPr>
              <w:spacing w:after="40" w:before="0" w:line="259" w:lineRule="auto"/>
            </w:pPr>
            <w:r>
              <w:rPr>
                <w:rFonts w:ascii="Calibri" w:hAnsi="Calibri"/>
                <w:b w:val="0"/>
                <w:i w:val="0"/>
                <w:color w:val="212121"/>
                <w:sz w:val="19"/>
              </w:rPr>
              <w:t>Untreated TB contact, poor sanitation, undercooked pork</w:t>
            </w:r>
          </w:p>
        </w:tc>
        <w:tc>
          <w:tcPr>
            <w:tcW w:type="dxa" w:w="1468"/>
            <w:vAlign w:val="top"/>
          </w:tcPr>
          <w:p>
            <w:pPr>
              <w:spacing w:after="60" w:line="259" w:lineRule="auto"/>
            </w:pPr>
            <w:r>
              <w:rPr>
                <w:rFonts w:ascii="Calibri" w:hAnsi="Calibri"/>
                <w:b w:val="0"/>
                <w:i w:val="0"/>
                <w:color w:val="212121"/>
                <w:sz w:val="19"/>
              </w:rPr>
              <w:t>Prevents meningitis / NCC that cause acquired hydrocephalus in India</w:t>
            </w:r>
          </w:p>
          <w:p>
            <w:pPr>
              <w:spacing w:after="40" w:line="252" w:lineRule="auto"/>
            </w:pPr>
            <w:hyperlink r:id="rId9">
              <w:r>
                <w:rPr>
                  <w:rFonts w:ascii="Calibri" w:hAnsi="Calibri" w:cs="Calibri"/>
                  <w:sz w:val="18"/>
                  <w:color w:val="1155CC"/>
                  <w:u w:val="single"/>
                </w:rPr>
                <w:t xml:space="preserve">https://pubmed.ncbi.nlm.nih.gov/35102984/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Ventricular size (Evans index), DESH, callosal angle, aqueduct</w:t>
            </w:r>
          </w:p>
        </w:tc>
        <w:tc>
          <w:tcPr>
            <w:tcW w:type="dxa" w:w="892"/>
            <w:vAlign w:val="top"/>
          </w:tcPr>
          <w:p>
            <w:pPr>
              <w:spacing w:after="40" w:before="0" w:line="259" w:lineRule="auto"/>
            </w:pPr>
            <w:r>
              <w:rPr>
                <w:rFonts w:ascii="Calibri" w:hAnsi="Calibri"/>
                <w:b w:val="0"/>
                <w:i w:val="0"/>
                <w:color w:val="212121"/>
                <w:sz w:val="16"/>
              </w:rPr>
              <w:t>MRI Brain (with CSF-flow study)</w:t>
            </w:r>
          </w:p>
        </w:tc>
        <w:tc>
          <w:tcPr>
            <w:tcW w:type="dxa" w:w="950"/>
            <w:vAlign w:val="top"/>
          </w:tcPr>
          <w:p>
            <w:pPr>
              <w:spacing w:after="40" w:before="0" w:line="259" w:lineRule="auto"/>
            </w:pPr>
            <w:r>
              <w:rPr>
                <w:rFonts w:ascii="Calibri" w:hAnsi="Calibri"/>
                <w:b w:val="0"/>
                <w:i w:val="0"/>
                <w:color w:val="212121"/>
                <w:sz w:val="16"/>
              </w:rPr>
              <w:t>Evans index ≤ 0.3; open sulci; callosal angle &gt; 90°</w:t>
            </w:r>
          </w:p>
        </w:tc>
        <w:tc>
          <w:tcPr>
            <w:tcW w:type="dxa" w:w="950"/>
            <w:vAlign w:val="top"/>
          </w:tcPr>
          <w:p>
            <w:pPr>
              <w:spacing w:after="40" w:before="0" w:line="259" w:lineRule="auto"/>
            </w:pPr>
            <w:r>
              <w:rPr>
                <w:rFonts w:ascii="Calibri" w:hAnsi="Calibri"/>
                <w:b w:val="0"/>
                <w:i w:val="0"/>
                <w:color w:val="212121"/>
                <w:sz w:val="16"/>
              </w:rPr>
              <w:t>Evans index &gt; 0.3, DESH, callosal angle &lt; 90°, aqueductal flow void</w:t>
            </w:r>
          </w:p>
        </w:tc>
        <w:tc>
          <w:tcPr>
            <w:tcW w:type="dxa" w:w="1036"/>
            <w:vAlign w:val="top"/>
          </w:tcPr>
          <w:p>
            <w:pPr>
              <w:spacing w:after="40" w:before="0" w:line="259" w:lineRule="auto"/>
            </w:pPr>
            <w:r>
              <w:rPr>
                <w:rFonts w:ascii="Calibri" w:hAnsi="Calibri"/>
                <w:b w:val="0"/>
                <w:i w:val="0"/>
                <w:color w:val="212121"/>
                <w:sz w:val="16"/>
              </w:rPr>
              <w:t>Confirms ventriculomegaly out of proportion to atrophy; supports iNPH and identifies obstruction</w:t>
            </w:r>
          </w:p>
        </w:tc>
        <w:tc>
          <w:tcPr>
            <w:tcW w:type="dxa" w:w="1036"/>
            <w:vAlign w:val="top"/>
          </w:tcPr>
          <w:p>
            <w:pPr>
              <w:spacing w:after="40" w:before="0" w:line="259" w:lineRule="auto"/>
            </w:pPr>
            <w:r>
              <w:rPr>
                <w:rFonts w:ascii="Calibri" w:hAnsi="Calibri"/>
                <w:b w:val="0"/>
                <w:i w:val="0"/>
                <w:color w:val="212121"/>
                <w:sz w:val="16"/>
              </w:rPr>
              <w:t>Suspected NPH, dementia work-up,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MRI preferred; shows posterior fossa and aqueduct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Ventricular dilatation, transependymal CSF</w:t>
            </w:r>
          </w:p>
        </w:tc>
        <w:tc>
          <w:tcPr>
            <w:tcW w:type="dxa" w:w="892"/>
            <w:vAlign w:val="top"/>
          </w:tcPr>
          <w:p>
            <w:pPr>
              <w:spacing w:after="40" w:before="0" w:line="259" w:lineRule="auto"/>
            </w:pPr>
            <w:r>
              <w:rPr>
                <w:rFonts w:ascii="Calibri" w:hAnsi="Calibri"/>
                <w:b w:val="0"/>
                <w:i w:val="0"/>
                <w:color w:val="212121"/>
                <w:sz w:val="16"/>
              </w:rPr>
              <w:t>CT Brain</w:t>
            </w:r>
          </w:p>
        </w:tc>
        <w:tc>
          <w:tcPr>
            <w:tcW w:type="dxa" w:w="950"/>
            <w:vAlign w:val="top"/>
          </w:tcPr>
          <w:p>
            <w:pPr>
              <w:spacing w:after="40" w:before="0" w:line="259" w:lineRule="auto"/>
            </w:pPr>
            <w:r>
              <w:rPr>
                <w:rFonts w:ascii="Calibri" w:hAnsi="Calibri"/>
                <w:b w:val="0"/>
                <w:i w:val="0"/>
                <w:color w:val="212121"/>
                <w:sz w:val="16"/>
              </w:rPr>
              <w:t>Normal ventricular size</w:t>
            </w:r>
          </w:p>
        </w:tc>
        <w:tc>
          <w:tcPr>
            <w:tcW w:type="dxa" w:w="950"/>
            <w:vAlign w:val="top"/>
          </w:tcPr>
          <w:p>
            <w:pPr>
              <w:spacing w:after="40" w:before="0" w:line="259" w:lineRule="auto"/>
            </w:pPr>
            <w:r>
              <w:rPr>
                <w:rFonts w:ascii="Calibri" w:hAnsi="Calibri"/>
                <w:b w:val="0"/>
                <w:i w:val="0"/>
                <w:color w:val="212121"/>
                <w:sz w:val="16"/>
              </w:rPr>
              <w:t>Dilated ventricles ± periventricular lucency</w:t>
            </w:r>
          </w:p>
        </w:tc>
        <w:tc>
          <w:tcPr>
            <w:tcW w:type="dxa" w:w="1036"/>
            <w:vAlign w:val="top"/>
          </w:tcPr>
          <w:p>
            <w:pPr>
              <w:spacing w:after="40" w:before="0" w:line="259" w:lineRule="auto"/>
            </w:pPr>
            <w:r>
              <w:rPr>
                <w:rFonts w:ascii="Calibri" w:hAnsi="Calibri"/>
                <w:b w:val="0"/>
                <w:i w:val="0"/>
                <w:color w:val="212121"/>
                <w:sz w:val="16"/>
              </w:rPr>
              <w:t>Rapid detection of hydrocephalus, acute obstruction and shunt malfunction</w:t>
            </w:r>
          </w:p>
        </w:tc>
        <w:tc>
          <w:tcPr>
            <w:tcW w:type="dxa" w:w="1036"/>
            <w:vAlign w:val="top"/>
          </w:tcPr>
          <w:p>
            <w:pPr>
              <w:spacing w:after="40" w:before="0" w:line="259" w:lineRule="auto"/>
            </w:pPr>
            <w:r>
              <w:rPr>
                <w:rFonts w:ascii="Calibri" w:hAnsi="Calibri"/>
                <w:b w:val="0"/>
                <w:i w:val="0"/>
                <w:color w:val="212121"/>
                <w:sz w:val="16"/>
              </w:rPr>
              <w:t>Emergency, shunt malfunction, MRI unavailable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Emergency</w:t>
            </w:r>
          </w:p>
        </w:tc>
        <w:tc>
          <w:tcPr>
            <w:tcW w:type="dxa" w:w="720"/>
            <w:vAlign w:val="top"/>
          </w:tcPr>
          <w:p>
            <w:pPr>
              <w:spacing w:after="40" w:before="0" w:line="259" w:lineRule="auto"/>
            </w:pPr>
            <w:r>
              <w:rPr>
                <w:rFonts w:ascii="Calibri" w:hAnsi="Calibri"/>
                <w:b w:val="0"/>
                <w:i w:val="0"/>
                <w:color w:val="212121"/>
                <w:sz w:val="16"/>
              </w:rPr>
              <w:t>First-line when MRI not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dynamics</w:t>
            </w:r>
          </w:p>
        </w:tc>
        <w:tc>
          <w:tcPr>
            <w:tcW w:type="dxa" w:w="1036"/>
            <w:vAlign w:val="top"/>
          </w:tcPr>
          <w:p>
            <w:pPr>
              <w:spacing w:after="40" w:before="0" w:line="259" w:lineRule="auto"/>
            </w:pPr>
            <w:r>
              <w:rPr>
                <w:rFonts w:ascii="Calibri" w:hAnsi="Calibri"/>
                <w:b w:val="0"/>
                <w:i w:val="0"/>
                <w:color w:val="212121"/>
                <w:sz w:val="16"/>
              </w:rPr>
              <w:t>CSF opening pressure</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iNPH: &lt; 18 cmH₂O</w:t>
            </w:r>
          </w:p>
        </w:tc>
        <w:tc>
          <w:tcPr>
            <w:tcW w:type="dxa" w:w="950"/>
            <w:vAlign w:val="top"/>
          </w:tcPr>
          <w:p>
            <w:pPr>
              <w:spacing w:after="40" w:before="0" w:line="259" w:lineRule="auto"/>
            </w:pPr>
            <w:r>
              <w:rPr>
                <w:rFonts w:ascii="Calibri" w:hAnsi="Calibri"/>
                <w:b w:val="0"/>
                <w:i w:val="0"/>
                <w:color w:val="212121"/>
                <w:sz w:val="16"/>
              </w:rPr>
              <w:t>Elevated in obstructive / high-pressure hydrocephalus</w:t>
            </w:r>
          </w:p>
        </w:tc>
        <w:tc>
          <w:tcPr>
            <w:tcW w:type="dxa" w:w="1036"/>
            <w:vAlign w:val="top"/>
          </w:tcPr>
          <w:p>
            <w:pPr>
              <w:spacing w:after="40" w:before="0" w:line="259" w:lineRule="auto"/>
            </w:pPr>
            <w:r>
              <w:rPr>
                <w:rFonts w:ascii="Calibri" w:hAnsi="Calibri"/>
                <w:b w:val="0"/>
                <w:i w:val="0"/>
                <w:color w:val="212121"/>
                <w:sz w:val="16"/>
              </w:rPr>
              <w:t>Normal pressure with ventriculomegaly defines NPH</w:t>
            </w:r>
          </w:p>
        </w:tc>
        <w:tc>
          <w:tcPr>
            <w:tcW w:type="dxa" w:w="1036"/>
            <w:vAlign w:val="top"/>
          </w:tcPr>
          <w:p>
            <w:pPr>
              <w:spacing w:after="40" w:before="0" w:line="259" w:lineRule="auto"/>
            </w:pPr>
            <w:r>
              <w:rPr>
                <w:rFonts w:ascii="Calibri" w:hAnsi="Calibri"/>
                <w:b w:val="0"/>
                <w:i w:val="0"/>
                <w:color w:val="212121"/>
                <w:sz w:val="16"/>
              </w:rPr>
              <w:t>Adults with triad and ventriculomegaly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Contraindicated with obstructive mass / mass effect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dynamics</w:t>
            </w:r>
          </w:p>
        </w:tc>
        <w:tc>
          <w:tcPr>
            <w:tcW w:type="dxa" w:w="1036"/>
            <w:vAlign w:val="top"/>
          </w:tcPr>
          <w:p>
            <w:pPr>
              <w:spacing w:after="40" w:before="0" w:line="259" w:lineRule="auto"/>
            </w:pPr>
            <w:r>
              <w:rPr>
                <w:rFonts w:ascii="Calibri" w:hAnsi="Calibri"/>
                <w:b w:val="0"/>
                <w:i w:val="0"/>
                <w:color w:val="212121"/>
                <w:sz w:val="16"/>
              </w:rPr>
              <w:t>Gait/cognition before vs after large-volume drainage</w:t>
            </w:r>
          </w:p>
        </w:tc>
        <w:tc>
          <w:tcPr>
            <w:tcW w:type="dxa" w:w="892"/>
            <w:vAlign w:val="top"/>
          </w:tcPr>
          <w:p>
            <w:pPr>
              <w:spacing w:after="40" w:before="0" w:line="259" w:lineRule="auto"/>
            </w:pPr>
            <w:r>
              <w:rPr>
                <w:rFonts w:ascii="Calibri" w:hAnsi="Calibri"/>
                <w:b w:val="0"/>
                <w:i w:val="0"/>
                <w:color w:val="212121"/>
                <w:sz w:val="16"/>
              </w:rPr>
              <w:t>CSF Tap Test / External Lumbar Drainage</w:t>
            </w:r>
          </w:p>
        </w:tc>
        <w:tc>
          <w:tcPr>
            <w:tcW w:type="dxa" w:w="950"/>
            <w:vAlign w:val="top"/>
          </w:tcPr>
          <w:p>
            <w:pPr>
              <w:spacing w:after="40" w:before="0" w:line="259" w:lineRule="auto"/>
            </w:pPr>
            <w:r>
              <w:rPr>
                <w:rFonts w:ascii="Calibri" w:hAnsi="Calibri"/>
                <w:b w:val="0"/>
                <w:i w:val="0"/>
                <w:color w:val="212121"/>
                <w:sz w:val="16"/>
              </w:rPr>
              <w:t>No objective change (poor predictor)</w:t>
            </w:r>
          </w:p>
        </w:tc>
        <w:tc>
          <w:tcPr>
            <w:tcW w:type="dxa" w:w="950"/>
            <w:vAlign w:val="top"/>
          </w:tcPr>
          <w:p>
            <w:pPr>
              <w:spacing w:after="40" w:before="0" w:line="259" w:lineRule="auto"/>
            </w:pPr>
            <w:r>
              <w:rPr>
                <w:rFonts w:ascii="Calibri" w:hAnsi="Calibri"/>
                <w:b w:val="0"/>
                <w:i w:val="0"/>
                <w:color w:val="212121"/>
                <w:sz w:val="16"/>
              </w:rPr>
              <w:t>Measurable gait and/or cognitive improvement</w:t>
            </w:r>
          </w:p>
        </w:tc>
        <w:tc>
          <w:tcPr>
            <w:tcW w:type="dxa" w:w="1036"/>
            <w:vAlign w:val="top"/>
          </w:tcPr>
          <w:p>
            <w:pPr>
              <w:spacing w:after="40" w:before="0" w:line="259" w:lineRule="auto"/>
            </w:pPr>
            <w:r>
              <w:rPr>
                <w:rFonts w:ascii="Calibri" w:hAnsi="Calibri"/>
                <w:b w:val="0"/>
                <w:i w:val="0"/>
                <w:color w:val="212121"/>
                <w:sz w:val="16"/>
              </w:rPr>
              <w:t>A positive response predicts shunt-responsiveness</w:t>
            </w:r>
          </w:p>
        </w:tc>
        <w:tc>
          <w:tcPr>
            <w:tcW w:type="dxa" w:w="1036"/>
            <w:vAlign w:val="top"/>
          </w:tcPr>
          <w:p>
            <w:pPr>
              <w:spacing w:after="40" w:before="0" w:line="259" w:lineRule="auto"/>
            </w:pPr>
            <w:r>
              <w:rPr>
                <w:rFonts w:ascii="Calibri" w:hAnsi="Calibri"/>
                <w:b w:val="0"/>
                <w:i w:val="0"/>
                <w:color w:val="212121"/>
                <w:sz w:val="16"/>
              </w:rPr>
              <w:t>iNPH candidates for shunt surgery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 / Gold standard</w:t>
            </w:r>
          </w:p>
        </w:tc>
        <w:tc>
          <w:tcPr>
            <w:tcW w:type="dxa" w:w="720"/>
            <w:vAlign w:val="top"/>
          </w:tcPr>
          <w:p>
            <w:pPr>
              <w:spacing w:after="40" w:before="0" w:line="259" w:lineRule="auto"/>
            </w:pPr>
            <w:r>
              <w:rPr>
                <w:rFonts w:ascii="Calibri" w:hAnsi="Calibri"/>
                <w:b w:val="0"/>
                <w:i w:val="0"/>
                <w:color w:val="212121"/>
                <w:sz w:val="16"/>
              </w:rPr>
              <w:t>Standardised large-volume protocols improve predictive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(CSF)</w:t>
            </w:r>
          </w:p>
        </w:tc>
        <w:tc>
          <w:tcPr>
            <w:tcW w:type="dxa" w:w="1036"/>
            <w:vAlign w:val="top"/>
          </w:tcPr>
          <w:p>
            <w:pPr>
              <w:spacing w:after="40" w:before="0" w:line="259" w:lineRule="auto"/>
            </w:pPr>
            <w:r>
              <w:rPr>
                <w:rFonts w:ascii="Calibri" w:hAnsi="Calibri"/>
                <w:b w:val="0"/>
                <w:i w:val="0"/>
                <w:color w:val="212121"/>
                <w:sz w:val="16"/>
              </w:rPr>
              <w:t>Cells, protein, glucose, ADA, CBNAAT, cysticercus serology</w:t>
            </w:r>
          </w:p>
        </w:tc>
        <w:tc>
          <w:tcPr>
            <w:tcW w:type="dxa" w:w="892"/>
            <w:vAlign w:val="top"/>
          </w:tcPr>
          <w:p>
            <w:pPr>
              <w:spacing w:after="40" w:before="0" w:line="259" w:lineRule="auto"/>
            </w:pPr>
            <w:r>
              <w:rPr>
                <w:rFonts w:ascii="Calibri" w:hAnsi="Calibri"/>
                <w:b w:val="0"/>
                <w:i w:val="0"/>
                <w:color w:val="212121"/>
                <w:sz w:val="16"/>
              </w:rPr>
              <w:t>CSF Analysis</w:t>
            </w:r>
          </w:p>
        </w:tc>
        <w:tc>
          <w:tcPr>
            <w:tcW w:type="dxa" w:w="950"/>
            <w:vAlign w:val="top"/>
          </w:tcPr>
          <w:p>
            <w:pPr>
              <w:spacing w:after="40" w:before="0" w:line="259" w:lineRule="auto"/>
            </w:pPr>
            <w:r>
              <w:rPr>
                <w:rFonts w:ascii="Calibri" w:hAnsi="Calibri"/>
                <w:b w:val="0"/>
                <w:i w:val="0"/>
                <w:color w:val="212121"/>
                <w:sz w:val="16"/>
              </w:rPr>
              <w:t>Acellular; normal protein and glucose</w:t>
            </w:r>
          </w:p>
        </w:tc>
        <w:tc>
          <w:tcPr>
            <w:tcW w:type="dxa" w:w="950"/>
            <w:vAlign w:val="top"/>
          </w:tcPr>
          <w:p>
            <w:pPr>
              <w:spacing w:after="40" w:before="0" w:line="259" w:lineRule="auto"/>
            </w:pPr>
            <w:r>
              <w:rPr>
                <w:rFonts w:ascii="Calibri" w:hAnsi="Calibri"/>
                <w:b w:val="0"/>
                <w:i w:val="0"/>
                <w:color w:val="212121"/>
                <w:sz w:val="16"/>
              </w:rPr>
              <w:t>Lymphocytic pleocytosis, high protein, low glucose; positive TB / NCC tests</w:t>
            </w:r>
          </w:p>
        </w:tc>
        <w:tc>
          <w:tcPr>
            <w:tcW w:type="dxa" w:w="1036"/>
            <w:vAlign w:val="top"/>
          </w:tcPr>
          <w:p>
            <w:pPr>
              <w:spacing w:after="40" w:before="0" w:line="259" w:lineRule="auto"/>
            </w:pPr>
            <w:r>
              <w:rPr>
                <w:rFonts w:ascii="Calibri" w:hAnsi="Calibri"/>
                <w:b w:val="0"/>
                <w:i w:val="0"/>
                <w:color w:val="212121"/>
                <w:sz w:val="16"/>
              </w:rPr>
              <w:t>Identifies tuberculous or pyogenic meningitis or neurocysticercosis as the cause</w:t>
            </w:r>
          </w:p>
        </w:tc>
        <w:tc>
          <w:tcPr>
            <w:tcW w:type="dxa" w:w="1036"/>
            <w:vAlign w:val="top"/>
          </w:tcPr>
          <w:p>
            <w:pPr>
              <w:spacing w:after="40" w:before="0" w:line="259" w:lineRule="auto"/>
            </w:pPr>
            <w:r>
              <w:rPr>
                <w:rFonts w:ascii="Calibri" w:hAnsi="Calibri"/>
                <w:b w:val="0"/>
                <w:i w:val="0"/>
                <w:color w:val="212121"/>
                <w:sz w:val="16"/>
              </w:rPr>
              <w:t>Acquired / secondary hydrocephalus, endemic-area residents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 (etiology)</w:t>
            </w:r>
          </w:p>
        </w:tc>
        <w:tc>
          <w:tcPr>
            <w:tcW w:type="dxa" w:w="720"/>
            <w:vAlign w:val="top"/>
          </w:tcPr>
          <w:p>
            <w:pPr>
              <w:spacing w:after="40" w:before="0" w:line="259" w:lineRule="auto"/>
            </w:pPr>
            <w:r>
              <w:rPr>
                <w:rFonts w:ascii="Calibri" w:hAnsi="Calibri"/>
                <w:b w:val="0"/>
                <w:i w:val="0"/>
                <w:color w:val="212121"/>
                <w:sz w:val="16"/>
              </w:rPr>
              <w:t>Crucial in the Indian setting given TB burden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Biomarkers</w:t>
            </w:r>
          </w:p>
        </w:tc>
        <w:tc>
          <w:tcPr>
            <w:tcW w:type="dxa" w:w="1036"/>
            <w:vAlign w:val="top"/>
          </w:tcPr>
          <w:p>
            <w:pPr>
              <w:spacing w:after="40" w:before="0" w:line="259" w:lineRule="auto"/>
            </w:pPr>
            <w:r>
              <w:rPr>
                <w:rFonts w:ascii="Calibri" w:hAnsi="Calibri"/>
                <w:b w:val="0"/>
                <w:i w:val="0"/>
                <w:color w:val="212121"/>
                <w:sz w:val="16"/>
              </w:rPr>
              <w:t>CSF amyloid-β42, total-tau, p-tau</w:t>
            </w:r>
          </w:p>
        </w:tc>
        <w:tc>
          <w:tcPr>
            <w:tcW w:type="dxa" w:w="892"/>
            <w:vAlign w:val="top"/>
          </w:tcPr>
          <w:p>
            <w:pPr>
              <w:spacing w:after="40" w:before="0" w:line="259" w:lineRule="auto"/>
            </w:pPr>
            <w:r>
              <w:rPr>
                <w:rFonts w:ascii="Calibri" w:hAnsi="Calibri"/>
                <w:b w:val="0"/>
                <w:i w:val="0"/>
                <w:color w:val="212121"/>
                <w:sz w:val="16"/>
              </w:rPr>
              <w:t>CSF Neurodegeneration Biomarkers</w:t>
            </w:r>
          </w:p>
        </w:tc>
        <w:tc>
          <w:tcPr>
            <w:tcW w:type="dxa" w:w="950"/>
            <w:vAlign w:val="top"/>
          </w:tcPr>
          <w:p>
            <w:pPr>
              <w:spacing w:after="40" w:before="0" w:line="259" w:lineRule="auto"/>
            </w:pPr>
            <w:r>
              <w:rPr>
                <w:rFonts w:ascii="Calibri" w:hAnsi="Calibri"/>
                <w:b w:val="0"/>
                <w:i w:val="0"/>
                <w:color w:val="212121"/>
                <w:sz w:val="16"/>
              </w:rPr>
              <w:t>Normal profile</w:t>
            </w:r>
          </w:p>
        </w:tc>
        <w:tc>
          <w:tcPr>
            <w:tcW w:type="dxa" w:w="950"/>
            <w:vAlign w:val="top"/>
          </w:tcPr>
          <w:p>
            <w:pPr>
              <w:spacing w:after="40" w:before="0" w:line="259" w:lineRule="auto"/>
            </w:pPr>
            <w:r>
              <w:rPr>
                <w:rFonts w:ascii="Calibri" w:hAnsi="Calibri"/>
                <w:b w:val="0"/>
                <w:i w:val="0"/>
                <w:color w:val="212121"/>
                <w:sz w:val="16"/>
              </w:rPr>
              <w:t>AD-type profile (low Aβ42, high p-tau)</w:t>
            </w:r>
          </w:p>
        </w:tc>
        <w:tc>
          <w:tcPr>
            <w:tcW w:type="dxa" w:w="1036"/>
            <w:vAlign w:val="top"/>
          </w:tcPr>
          <w:p>
            <w:pPr>
              <w:spacing w:after="40" w:before="0" w:line="259" w:lineRule="auto"/>
            </w:pPr>
            <w:r>
              <w:rPr>
                <w:rFonts w:ascii="Calibri" w:hAnsi="Calibri"/>
                <w:b w:val="0"/>
                <w:i w:val="0"/>
                <w:color w:val="212121"/>
                <w:sz w:val="16"/>
              </w:rPr>
              <w:t>Detects Alzheimer co-pathology that blunts shunt response</w:t>
            </w:r>
          </w:p>
        </w:tc>
        <w:tc>
          <w:tcPr>
            <w:tcW w:type="dxa" w:w="1036"/>
            <w:vAlign w:val="top"/>
          </w:tcPr>
          <w:p>
            <w:pPr>
              <w:spacing w:after="40" w:before="0" w:line="259" w:lineRule="auto"/>
            </w:pPr>
            <w:r>
              <w:rPr>
                <w:rFonts w:ascii="Calibri" w:hAnsi="Calibri"/>
                <w:b w:val="0"/>
                <w:i w:val="0"/>
                <w:color w:val="212121"/>
                <w:sz w:val="16"/>
              </w:rPr>
              <w:t>iNPH with prominent dementia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Roughly 30% of NPH have Alzheimer co-pathology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Micronutrient</w:t>
            </w:r>
          </w:p>
        </w:tc>
        <w:tc>
          <w:tcPr>
            <w:tcW w:type="dxa" w:w="1036"/>
            <w:vAlign w:val="top"/>
          </w:tcPr>
          <w:p>
            <w:pPr>
              <w:spacing w:after="40" w:before="0" w:line="259" w:lineRule="auto"/>
            </w:pPr>
            <w:r>
              <w:rPr>
                <w:rFonts w:ascii="Calibri" w:hAnsi="Calibri"/>
                <w:b w:val="0"/>
                <w:i w:val="0"/>
                <w:color w:val="212121"/>
                <w:sz w:val="16"/>
              </w:rPr>
              <w:t>Folate, vitamin B12, homocysteine</w:t>
            </w:r>
          </w:p>
        </w:tc>
        <w:tc>
          <w:tcPr>
            <w:tcW w:type="dxa" w:w="892"/>
            <w:vAlign w:val="top"/>
          </w:tcPr>
          <w:p>
            <w:pPr>
              <w:spacing w:after="40" w:before="0" w:line="259" w:lineRule="auto"/>
            </w:pPr>
            <w:r>
              <w:rPr>
                <w:rFonts w:ascii="Calibri" w:hAnsi="Calibri"/>
                <w:b w:val="0"/>
                <w:i w:val="0"/>
                <w:color w:val="212121"/>
                <w:sz w:val="16"/>
              </w:rPr>
              <w:t>Nutritional Labs</w:t>
            </w:r>
          </w:p>
        </w:tc>
        <w:tc>
          <w:tcPr>
            <w:tcW w:type="dxa" w:w="950"/>
            <w:vAlign w:val="top"/>
          </w:tcPr>
          <w:p>
            <w:pPr>
              <w:spacing w:after="40" w:before="0" w:line="259" w:lineRule="auto"/>
            </w:pPr>
            <w:r>
              <w:rPr>
                <w:rFonts w:ascii="Calibri" w:hAnsi="Calibri"/>
                <w:b w:val="0"/>
                <w:i w:val="0"/>
                <w:color w:val="212121"/>
                <w:sz w:val="16"/>
              </w:rPr>
              <w:t>Replete stores</w:t>
            </w:r>
          </w:p>
        </w:tc>
        <w:tc>
          <w:tcPr>
            <w:tcW w:type="dxa" w:w="950"/>
            <w:vAlign w:val="top"/>
          </w:tcPr>
          <w:p>
            <w:pPr>
              <w:spacing w:after="40" w:before="0" w:line="259" w:lineRule="auto"/>
            </w:pPr>
            <w:r>
              <w:rPr>
                <w:rFonts w:ascii="Calibri" w:hAnsi="Calibri"/>
                <w:b w:val="0"/>
                <w:i w:val="0"/>
                <w:color w:val="212121"/>
                <w:sz w:val="16"/>
              </w:rPr>
              <w:t>Deficient / raised homocysteine</w:t>
            </w:r>
          </w:p>
        </w:tc>
        <w:tc>
          <w:tcPr>
            <w:tcW w:type="dxa" w:w="1036"/>
            <w:vAlign w:val="top"/>
          </w:tcPr>
          <w:p>
            <w:pPr>
              <w:spacing w:after="40" w:before="0" w:line="259" w:lineRule="auto"/>
            </w:pPr>
            <w:r>
              <w:rPr>
                <w:rFonts w:ascii="Calibri" w:hAnsi="Calibri"/>
                <w:b w:val="0"/>
                <w:i w:val="0"/>
                <w:color w:val="212121"/>
                <w:sz w:val="16"/>
              </w:rPr>
              <w:t>Guides peri-conceptional NTD prevention (congenital hydrocephalus)</w:t>
            </w:r>
          </w:p>
        </w:tc>
        <w:tc>
          <w:tcPr>
            <w:tcW w:type="dxa" w:w="1036"/>
            <w:vAlign w:val="top"/>
          </w:tcPr>
          <w:p>
            <w:pPr>
              <w:spacing w:after="40" w:before="0" w:line="259" w:lineRule="auto"/>
            </w:pPr>
            <w:r>
              <w:rPr>
                <w:rFonts w:ascii="Calibri" w:hAnsi="Calibri"/>
                <w:b w:val="0"/>
                <w:i w:val="0"/>
                <w:color w:val="212121"/>
                <w:sz w:val="16"/>
              </w:rPr>
              <w:t>Reproductive-age women, vegetarians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Vegetarian Indian diets are prone to B12 deficiency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Gait decline, memory/slowing, urinary urgency (Hakim triad)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of the triad</w:t>
            </w:r>
          </w:p>
        </w:tc>
        <w:tc>
          <w:tcPr>
            <w:tcW w:type="dxa" w:w="1036"/>
            <w:vAlign w:val="top"/>
          </w:tcPr>
          <w:p>
            <w:pPr>
              <w:spacing w:after="40" w:before="0" w:line="259" w:lineRule="auto"/>
            </w:pPr>
            <w:r>
              <w:rPr>
                <w:rFonts w:ascii="Calibri" w:hAnsi="Calibri"/>
                <w:b w:val="0"/>
                <w:i w:val="0"/>
                <w:color w:val="212121"/>
                <w:sz w:val="16"/>
              </w:rPr>
              <w:t>Core clinical syndrome of NPH</w:t>
            </w:r>
          </w:p>
        </w:tc>
        <w:tc>
          <w:tcPr>
            <w:tcW w:type="dxa" w:w="1036"/>
            <w:vAlign w:val="top"/>
          </w:tcPr>
          <w:p>
            <w:pPr>
              <w:spacing w:after="40" w:before="0" w:line="259" w:lineRule="auto"/>
            </w:pPr>
            <w:r>
              <w:rPr>
                <w:rFonts w:ascii="Calibri" w:hAnsi="Calibri"/>
                <w:b w:val="0"/>
                <w:i w:val="0"/>
                <w:color w:val="212121"/>
                <w:sz w:val="16"/>
              </w:rPr>
              <w:t>Older adults, dementia and falls clinics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Gait disturbance is the earliest and most reversible feature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Etiological history</w:t>
            </w:r>
          </w:p>
        </w:tc>
        <w:tc>
          <w:tcPr>
            <w:tcW w:type="dxa" w:w="979"/>
            <w:vAlign w:val="top"/>
          </w:tcPr>
          <w:p>
            <w:pPr>
              <w:spacing w:after="40" w:before="0" w:line="259" w:lineRule="auto"/>
            </w:pPr>
            <w:r>
              <w:rPr>
                <w:rFonts w:ascii="Calibri" w:hAnsi="Calibri"/>
                <w:b w:val="0"/>
                <w:i w:val="0"/>
                <w:color w:val="212121"/>
                <w:sz w:val="16"/>
              </w:rPr>
              <w:t>Prior meningitis/TBM, SAH/IVH, head trauma, birth defects</w:t>
            </w:r>
          </w:p>
        </w:tc>
        <w:tc>
          <w:tcPr>
            <w:tcW w:type="dxa" w:w="950"/>
            <w:vAlign w:val="top"/>
          </w:tcPr>
          <w:p>
            <w:pPr>
              <w:spacing w:after="40" w:before="0" w:line="259" w:lineRule="auto"/>
            </w:pPr>
            <w:r>
              <w:rPr>
                <w:rFonts w:ascii="Calibri" w:hAnsi="Calibri"/>
                <w:b w:val="0"/>
                <w:i w:val="0"/>
                <w:color w:val="212121"/>
                <w:sz w:val="16"/>
              </w:rPr>
              <w:t>No antecedent</w:t>
            </w:r>
          </w:p>
        </w:tc>
        <w:tc>
          <w:tcPr>
            <w:tcW w:type="dxa" w:w="950"/>
            <w:vAlign w:val="top"/>
          </w:tcPr>
          <w:p>
            <w:pPr>
              <w:spacing w:after="40" w:before="0" w:line="259" w:lineRule="auto"/>
            </w:pPr>
            <w:r>
              <w:rPr>
                <w:rFonts w:ascii="Calibri" w:hAnsi="Calibri"/>
                <w:b w:val="0"/>
                <w:i w:val="0"/>
                <w:color w:val="212121"/>
                <w:sz w:val="16"/>
              </w:rPr>
              <w:t>Positive antecedent event</w:t>
            </w:r>
          </w:p>
        </w:tc>
        <w:tc>
          <w:tcPr>
            <w:tcW w:type="dxa" w:w="1036"/>
            <w:vAlign w:val="top"/>
          </w:tcPr>
          <w:p>
            <w:pPr>
              <w:spacing w:after="40" w:before="0" w:line="259" w:lineRule="auto"/>
            </w:pPr>
            <w:r>
              <w:rPr>
                <w:rFonts w:ascii="Calibri" w:hAnsi="Calibri"/>
                <w:b w:val="0"/>
                <w:i w:val="0"/>
                <w:color w:val="212121"/>
                <w:sz w:val="16"/>
              </w:rPr>
              <w:t>Points to secondary / acquired hydrocephalus</w:t>
            </w:r>
          </w:p>
        </w:tc>
        <w:tc>
          <w:tcPr>
            <w:tcW w:type="dxa" w:w="1036"/>
            <w:vAlign w:val="top"/>
          </w:tcPr>
          <w:p>
            <w:pPr>
              <w:spacing w:after="40" w:before="0" w:line="259" w:lineRule="auto"/>
            </w:pPr>
            <w:r>
              <w:rPr>
                <w:rFonts w:ascii="Calibri" w:hAnsi="Calibri"/>
                <w:b w:val="0"/>
                <w:i w:val="0"/>
                <w:color w:val="212121"/>
                <w:sz w:val="16"/>
              </w:rPr>
              <w:t>All ages; India (TB, neurocysticercosis)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Tuberculous meningitis is a leading cause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Gait &amp; balance exam</w:t>
            </w:r>
          </w:p>
        </w:tc>
        <w:tc>
          <w:tcPr>
            <w:tcW w:type="dxa" w:w="950"/>
            <w:vAlign w:val="top"/>
          </w:tcPr>
          <w:p>
            <w:pPr>
              <w:spacing w:after="40" w:before="0" w:line="259" w:lineRule="auto"/>
            </w:pPr>
            <w:r>
              <w:rPr>
                <w:rFonts w:ascii="Calibri" w:hAnsi="Calibri"/>
                <w:b w:val="0"/>
                <w:i w:val="0"/>
                <w:color w:val="212121"/>
                <w:sz w:val="16"/>
              </w:rPr>
              <w:t>Gait assessment</w:t>
            </w:r>
          </w:p>
        </w:tc>
        <w:tc>
          <w:tcPr>
            <w:tcW w:type="dxa" w:w="979"/>
            <w:vAlign w:val="top"/>
          </w:tcPr>
          <w:p>
            <w:pPr>
              <w:spacing w:after="40" w:before="0" w:line="259" w:lineRule="auto"/>
            </w:pPr>
            <w:r>
              <w:rPr>
                <w:rFonts w:ascii="Calibri" w:hAnsi="Calibri"/>
                <w:b w:val="0"/>
                <w:i w:val="0"/>
                <w:color w:val="212121"/>
                <w:sz w:val="16"/>
              </w:rPr>
              <w:t>Wide-based magnetic gait, Timed Up-and-Go, tandem, pull test</w:t>
            </w:r>
          </w:p>
        </w:tc>
        <w:tc>
          <w:tcPr>
            <w:tcW w:type="dxa" w:w="950"/>
            <w:vAlign w:val="top"/>
          </w:tcPr>
          <w:p>
            <w:pPr>
              <w:spacing w:after="40" w:before="0" w:line="259" w:lineRule="auto"/>
            </w:pPr>
            <w:r>
              <w:rPr>
                <w:rFonts w:ascii="Calibri" w:hAnsi="Calibri"/>
                <w:b w:val="0"/>
                <w:i w:val="0"/>
                <w:color w:val="212121"/>
                <w:sz w:val="16"/>
              </w:rPr>
              <w:t>Normal gait and balance</w:t>
            </w:r>
          </w:p>
        </w:tc>
        <w:tc>
          <w:tcPr>
            <w:tcW w:type="dxa" w:w="950"/>
            <w:vAlign w:val="top"/>
          </w:tcPr>
          <w:p>
            <w:pPr>
              <w:spacing w:after="40" w:before="0" w:line="259" w:lineRule="auto"/>
            </w:pPr>
            <w:r>
              <w:rPr>
                <w:rFonts w:ascii="Calibri" w:hAnsi="Calibri"/>
                <w:b w:val="0"/>
                <w:i w:val="0"/>
                <w:color w:val="212121"/>
                <w:sz w:val="16"/>
              </w:rPr>
              <w:t>Shuffling / magnetic gait, retropulsion, falls</w:t>
            </w:r>
          </w:p>
        </w:tc>
        <w:tc>
          <w:tcPr>
            <w:tcW w:type="dxa" w:w="1036"/>
            <w:vAlign w:val="top"/>
          </w:tcPr>
          <w:p>
            <w:pPr>
              <w:spacing w:after="40" w:before="0" w:line="259" w:lineRule="auto"/>
            </w:pPr>
            <w:r>
              <w:rPr>
                <w:rFonts w:ascii="Calibri" w:hAnsi="Calibri"/>
                <w:b w:val="0"/>
                <w:i w:val="0"/>
                <w:color w:val="212121"/>
                <w:sz w:val="16"/>
              </w:rPr>
              <w:t>Frontal-subcortical gait apraxia with high fall risk</w:t>
            </w:r>
          </w:p>
        </w:tc>
        <w:tc>
          <w:tcPr>
            <w:tcW w:type="dxa" w:w="1036"/>
            <w:vAlign w:val="top"/>
          </w:tcPr>
          <w:p>
            <w:pPr>
              <w:spacing w:after="40" w:before="0" w:line="259" w:lineRule="auto"/>
            </w:pPr>
            <w:r>
              <w:rPr>
                <w:rFonts w:ascii="Calibri" w:hAnsi="Calibri"/>
                <w:b w:val="0"/>
                <w:i w:val="0"/>
                <w:color w:val="212121"/>
                <w:sz w:val="16"/>
              </w:rPr>
              <w:t>Elderly, recurrent fallers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 / Prognostic</w:t>
            </w:r>
          </w:p>
        </w:tc>
        <w:tc>
          <w:tcPr>
            <w:tcW w:type="dxa" w:w="720"/>
            <w:vAlign w:val="top"/>
          </w:tcPr>
          <w:p>
            <w:pPr>
              <w:spacing w:after="40" w:before="0" w:line="259" w:lineRule="auto"/>
            </w:pPr>
            <w:r>
              <w:rPr>
                <w:rFonts w:ascii="Calibri" w:hAnsi="Calibri"/>
                <w:b w:val="0"/>
                <w:i w:val="0"/>
                <w:color w:val="212121"/>
                <w:sz w:val="16"/>
              </w:rPr>
              <w:t>Video-document gait before and after tap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exam</w:t>
            </w:r>
          </w:p>
        </w:tc>
        <w:tc>
          <w:tcPr>
            <w:tcW w:type="dxa" w:w="950"/>
            <w:vAlign w:val="top"/>
          </w:tcPr>
          <w:p>
            <w:pPr>
              <w:spacing w:after="40" w:before="0" w:line="259" w:lineRule="auto"/>
            </w:pPr>
            <w:r>
              <w:rPr>
                <w:rFonts w:ascii="Calibri" w:hAnsi="Calibri"/>
                <w:b w:val="0"/>
                <w:i w:val="0"/>
                <w:color w:val="212121"/>
                <w:sz w:val="16"/>
              </w:rPr>
              <w:t>Bedside cognition</w:t>
            </w:r>
          </w:p>
        </w:tc>
        <w:tc>
          <w:tcPr>
            <w:tcW w:type="dxa" w:w="979"/>
            <w:vAlign w:val="top"/>
          </w:tcPr>
          <w:p>
            <w:pPr>
              <w:spacing w:after="40" w:before="0" w:line="259" w:lineRule="auto"/>
            </w:pPr>
            <w:r>
              <w:rPr>
                <w:rFonts w:ascii="Calibri" w:hAnsi="Calibri"/>
                <w:b w:val="0"/>
                <w:i w:val="0"/>
                <w:color w:val="212121"/>
                <w:sz w:val="16"/>
              </w:rPr>
              <w:t>MMSE / MoCA, frontal-executive tests</w:t>
            </w:r>
          </w:p>
        </w:tc>
        <w:tc>
          <w:tcPr>
            <w:tcW w:type="dxa" w:w="950"/>
            <w:vAlign w:val="top"/>
          </w:tcPr>
          <w:p>
            <w:pPr>
              <w:spacing w:after="40" w:before="0" w:line="259" w:lineRule="auto"/>
            </w:pPr>
            <w:r>
              <w:rPr>
                <w:rFonts w:ascii="Calibri" w:hAnsi="Calibri"/>
                <w:b w:val="0"/>
                <w:i w:val="0"/>
                <w:color w:val="212121"/>
                <w:sz w:val="16"/>
              </w:rPr>
              <w:t>Normal scores</w:t>
            </w:r>
          </w:p>
        </w:tc>
        <w:tc>
          <w:tcPr>
            <w:tcW w:type="dxa" w:w="950"/>
            <w:vAlign w:val="top"/>
          </w:tcPr>
          <w:p>
            <w:pPr>
              <w:spacing w:after="40" w:before="0" w:line="259" w:lineRule="auto"/>
            </w:pPr>
            <w:r>
              <w:rPr>
                <w:rFonts w:ascii="Calibri" w:hAnsi="Calibri"/>
                <w:b w:val="0"/>
                <w:i w:val="0"/>
                <w:color w:val="212121"/>
                <w:sz w:val="16"/>
              </w:rPr>
              <w:t>Subcortical-frontal pattern (slowing, inattention, executive dysfunction)</w:t>
            </w:r>
          </w:p>
        </w:tc>
        <w:tc>
          <w:tcPr>
            <w:tcW w:type="dxa" w:w="1036"/>
            <w:vAlign w:val="top"/>
          </w:tcPr>
          <w:p>
            <w:pPr>
              <w:spacing w:after="40" w:before="0" w:line="259" w:lineRule="auto"/>
            </w:pPr>
            <w:r>
              <w:rPr>
                <w:rFonts w:ascii="Calibri" w:hAnsi="Calibri"/>
                <w:b w:val="0"/>
                <w:i w:val="0"/>
                <w:color w:val="212121"/>
                <w:sz w:val="16"/>
              </w:rPr>
              <w:t>Helps distinguish NPH from cortical (Alzheimer) dementia</w:t>
            </w:r>
          </w:p>
        </w:tc>
        <w:tc>
          <w:tcPr>
            <w:tcW w:type="dxa" w:w="1036"/>
            <w:vAlign w:val="top"/>
          </w:tcPr>
          <w:p>
            <w:pPr>
              <w:spacing w:after="40" w:before="0" w:line="259" w:lineRule="auto"/>
            </w:pPr>
            <w:r>
              <w:rPr>
                <w:rFonts w:ascii="Calibri" w:hAnsi="Calibri"/>
                <w:b w:val="0"/>
                <w:i w:val="0"/>
                <w:color w:val="212121"/>
                <w:sz w:val="16"/>
              </w:rPr>
              <w:t>Dementia work-up</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Apathy is common; screen for depression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Fundoscopy &amp; cranial nerves</w:t>
            </w:r>
          </w:p>
        </w:tc>
        <w:tc>
          <w:tcPr>
            <w:tcW w:type="dxa" w:w="979"/>
            <w:vAlign w:val="top"/>
          </w:tcPr>
          <w:p>
            <w:pPr>
              <w:spacing w:after="40" w:before="0" w:line="259" w:lineRule="auto"/>
            </w:pPr>
            <w:r>
              <w:rPr>
                <w:rFonts w:ascii="Calibri" w:hAnsi="Calibri"/>
                <w:b w:val="0"/>
                <w:i w:val="0"/>
                <w:color w:val="212121"/>
                <w:sz w:val="16"/>
              </w:rPr>
              <w:t>Optic disc, VI nerve, upgaze</w:t>
            </w:r>
          </w:p>
        </w:tc>
        <w:tc>
          <w:tcPr>
            <w:tcW w:type="dxa" w:w="950"/>
            <w:vAlign w:val="top"/>
          </w:tcPr>
          <w:p>
            <w:pPr>
              <w:spacing w:after="40" w:before="0" w:line="259" w:lineRule="auto"/>
            </w:pPr>
            <w:r>
              <w:rPr>
                <w:rFonts w:ascii="Calibri" w:hAnsi="Calibri"/>
                <w:b w:val="0"/>
                <w:i w:val="0"/>
                <w:color w:val="212121"/>
                <w:sz w:val="16"/>
              </w:rPr>
              <w:t>Normal discs, no palsy (NPH)</w:t>
            </w:r>
          </w:p>
        </w:tc>
        <w:tc>
          <w:tcPr>
            <w:tcW w:type="dxa" w:w="950"/>
            <w:vAlign w:val="top"/>
          </w:tcPr>
          <w:p>
            <w:pPr>
              <w:spacing w:after="40" w:before="0" w:line="259" w:lineRule="auto"/>
            </w:pPr>
            <w:r>
              <w:rPr>
                <w:rFonts w:ascii="Calibri" w:hAnsi="Calibri"/>
                <w:b w:val="0"/>
                <w:i w:val="0"/>
                <w:color w:val="212121"/>
                <w:sz w:val="16"/>
              </w:rPr>
              <w:t>Papilloedema, VI-nerve palsy, sunset sign (high-pressure / obstructive)</w:t>
            </w:r>
          </w:p>
        </w:tc>
        <w:tc>
          <w:tcPr>
            <w:tcW w:type="dxa" w:w="1036"/>
            <w:vAlign w:val="top"/>
          </w:tcPr>
          <w:p>
            <w:pPr>
              <w:spacing w:after="40" w:before="0" w:line="259" w:lineRule="auto"/>
            </w:pPr>
            <w:r>
              <w:rPr>
                <w:rFonts w:ascii="Calibri" w:hAnsi="Calibri"/>
                <w:b w:val="0"/>
                <w:i w:val="0"/>
                <w:color w:val="212121"/>
                <w:sz w:val="16"/>
              </w:rPr>
              <w:t>Signals raised intracranial pressure</w:t>
            </w:r>
          </w:p>
        </w:tc>
        <w:tc>
          <w:tcPr>
            <w:tcW w:type="dxa" w:w="1036"/>
            <w:vAlign w:val="top"/>
          </w:tcPr>
          <w:p>
            <w:pPr>
              <w:spacing w:after="40" w:before="0" w:line="259" w:lineRule="auto"/>
            </w:pPr>
            <w:r>
              <w:rPr>
                <w:rFonts w:ascii="Calibri" w:hAnsi="Calibri"/>
                <w:b w:val="0"/>
                <w:i w:val="0"/>
                <w:color w:val="212121"/>
                <w:sz w:val="16"/>
              </w:rPr>
              <w:t>Obstructive hydrocephalus,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Papilloedema is absent in NPH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Paediatric exam</w:t>
            </w:r>
          </w:p>
        </w:tc>
        <w:tc>
          <w:tcPr>
            <w:tcW w:type="dxa" w:w="950"/>
            <w:vAlign w:val="top"/>
          </w:tcPr>
          <w:p>
            <w:pPr>
              <w:spacing w:after="40" w:before="0" w:line="259" w:lineRule="auto"/>
            </w:pPr>
            <w:r>
              <w:rPr>
                <w:rFonts w:ascii="Calibri" w:hAnsi="Calibri"/>
                <w:b w:val="0"/>
                <w:i w:val="0"/>
                <w:color w:val="212121"/>
                <w:sz w:val="16"/>
              </w:rPr>
              <w:t>Head circumference &amp; fontanelle</w:t>
            </w:r>
          </w:p>
        </w:tc>
        <w:tc>
          <w:tcPr>
            <w:tcW w:type="dxa" w:w="979"/>
            <w:vAlign w:val="top"/>
          </w:tcPr>
          <w:p>
            <w:pPr>
              <w:spacing w:after="40" w:before="0" w:line="259" w:lineRule="auto"/>
            </w:pPr>
            <w:r>
              <w:rPr>
                <w:rFonts w:ascii="Calibri" w:hAnsi="Calibri"/>
                <w:b w:val="0"/>
                <w:i w:val="0"/>
                <w:color w:val="212121"/>
                <w:sz w:val="16"/>
              </w:rPr>
              <w:t>OFC percentile, fontanelle, sutures</w:t>
            </w:r>
          </w:p>
        </w:tc>
        <w:tc>
          <w:tcPr>
            <w:tcW w:type="dxa" w:w="950"/>
            <w:vAlign w:val="top"/>
          </w:tcPr>
          <w:p>
            <w:pPr>
              <w:spacing w:after="40" w:before="0" w:line="259" w:lineRule="auto"/>
            </w:pPr>
            <w:r>
              <w:rPr>
                <w:rFonts w:ascii="Calibri" w:hAnsi="Calibri"/>
                <w:b w:val="0"/>
                <w:i w:val="0"/>
                <w:color w:val="212121"/>
                <w:sz w:val="16"/>
              </w:rPr>
              <w:t>Normal growth, soft fontanelle</w:t>
            </w:r>
          </w:p>
        </w:tc>
        <w:tc>
          <w:tcPr>
            <w:tcW w:type="dxa" w:w="950"/>
            <w:vAlign w:val="top"/>
          </w:tcPr>
          <w:p>
            <w:pPr>
              <w:spacing w:after="40" w:before="0" w:line="259" w:lineRule="auto"/>
            </w:pPr>
            <w:r>
              <w:rPr>
                <w:rFonts w:ascii="Calibri" w:hAnsi="Calibri"/>
                <w:b w:val="0"/>
                <w:i w:val="0"/>
                <w:color w:val="212121"/>
                <w:sz w:val="16"/>
              </w:rPr>
              <w:t>Rapid OFC growth, bulging fontanelle, split sutures, sunset sign</w:t>
            </w:r>
          </w:p>
        </w:tc>
        <w:tc>
          <w:tcPr>
            <w:tcW w:type="dxa" w:w="1036"/>
            <w:vAlign w:val="top"/>
          </w:tcPr>
          <w:p>
            <w:pPr>
              <w:spacing w:after="40" w:before="0" w:line="259" w:lineRule="auto"/>
            </w:pPr>
            <w:r>
              <w:rPr>
                <w:rFonts w:ascii="Calibri" w:hAnsi="Calibri"/>
                <w:b w:val="0"/>
                <w:i w:val="0"/>
                <w:color w:val="212121"/>
                <w:sz w:val="16"/>
              </w:rPr>
              <w:t>Congenital / infantile hydrocephalus</w:t>
            </w:r>
          </w:p>
        </w:tc>
        <w:tc>
          <w:tcPr>
            <w:tcW w:type="dxa" w:w="1036"/>
            <w:vAlign w:val="top"/>
          </w:tcPr>
          <w:p>
            <w:pPr>
              <w:spacing w:after="40" w:before="0" w:line="259" w:lineRule="auto"/>
            </w:pPr>
            <w:r>
              <w:rPr>
                <w:rFonts w:ascii="Calibri" w:hAnsi="Calibri"/>
                <w:b w:val="0"/>
                <w:i w:val="0"/>
                <w:color w:val="212121"/>
                <w:sz w:val="16"/>
              </w:rPr>
              <w:t>Neonates,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Serial OFC plotting is essential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Gait disturbance (shuffling, wide-based, magnetic)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Feet feel ‘stuck to the floor’; earliest and most shunt-responsive feature of NPH.</w:t>
            </w:r>
          </w:p>
        </w:tc>
      </w:tr>
      <w:tr>
        <w:trPr>
          <w:cantSplit/>
        </w:trPr>
        <w:tc>
          <w:tcPr>
            <w:tcW w:type="dxa" w:w="2304"/>
            <w:vAlign w:val="top"/>
          </w:tcPr>
          <w:p>
            <w:pPr>
              <w:spacing w:after="40" w:before="0" w:line="259" w:lineRule="auto"/>
            </w:pPr>
            <w:r>
              <w:rPr>
                <w:rFonts w:ascii="Calibri" w:hAnsi="Calibri"/>
                <w:b/>
                <w:i w:val="0"/>
                <w:color w:val="212121"/>
                <w:sz w:val="19"/>
              </w:rPr>
              <w:t>Cognitive decline (memory, slowing, apathy, executive)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frontal-subcortical dementia pattern; often mistaken for Alzheimer's or ageing.</w:t>
            </w:r>
          </w:p>
        </w:tc>
      </w:tr>
      <w:tr>
        <w:trPr>
          <w:cantSplit/>
        </w:trPr>
        <w:tc>
          <w:tcPr>
            <w:tcW w:type="dxa" w:w="2304"/>
            <w:vAlign w:val="top"/>
          </w:tcPr>
          <w:p>
            <w:pPr>
              <w:spacing w:after="40" w:before="0" w:line="259" w:lineRule="auto"/>
            </w:pPr>
            <w:r>
              <w:rPr>
                <w:rFonts w:ascii="Calibri" w:hAnsi="Calibri"/>
                <w:b/>
                <w:i w:val="0"/>
                <w:color w:val="212121"/>
                <w:sz w:val="19"/>
              </w:rPr>
              <w:t>Urinary urgency progressing to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Detrusor overactivity with frontal loss of inhibition completes the Hakim–Adams triad.</w:t>
            </w:r>
          </w:p>
        </w:tc>
      </w:tr>
      <w:tr>
        <w:trPr>
          <w:cantSplit/>
        </w:trPr>
        <w:tc>
          <w:tcPr>
            <w:tcW w:type="dxa" w:w="2304"/>
            <w:vAlign w:val="top"/>
          </w:tcPr>
          <w:p>
            <w:pPr>
              <w:spacing w:after="40" w:before="0" w:line="259" w:lineRule="auto"/>
            </w:pPr>
            <w:r>
              <w:rPr>
                <w:rFonts w:ascii="Calibri" w:hAnsi="Calibri"/>
                <w:b/>
                <w:i w:val="0"/>
                <w:color w:val="212121"/>
                <w:sz w:val="19"/>
              </w:rPr>
              <w:t>Impaired balance and frequent falls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Postural instability and retropulsion cause recurrent falls and injury.</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high-pressure / obstructive hydrocephalus; usually absent in NPH.</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 of raised intracranial pressure in obstructive hydrocephalus and shunt malfunction.</w:t>
            </w:r>
          </w:p>
        </w:tc>
      </w:tr>
      <w:tr>
        <w:trPr>
          <w:cantSplit/>
        </w:trPr>
        <w:tc>
          <w:tcPr>
            <w:tcW w:type="dxa" w:w="2304"/>
            <w:vAlign w:val="top"/>
          </w:tcPr>
          <w:p>
            <w:pPr>
              <w:spacing w:after="40" w:before="0" w:line="259" w:lineRule="auto"/>
            </w:pPr>
            <w:r>
              <w:rPr>
                <w:rFonts w:ascii="Calibri" w:hAnsi="Calibri"/>
                <w:b/>
                <w:i w:val="0"/>
                <w:color w:val="212121"/>
                <w:sz w:val="19"/>
              </w:rPr>
              <w:t>Drowsiness / lethargy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raised pressure or significant ventricular enlargement.</w:t>
            </w:r>
          </w:p>
        </w:tc>
      </w:tr>
      <w:tr>
        <w:trPr>
          <w:cantSplit/>
        </w:trPr>
        <w:tc>
          <w:tcPr>
            <w:tcW w:type="dxa" w:w="2304"/>
            <w:vAlign w:val="top"/>
          </w:tcPr>
          <w:p>
            <w:pPr>
              <w:spacing w:after="40" w:before="0" w:line="259" w:lineRule="auto"/>
            </w:pPr>
            <w:r>
              <w:rPr>
                <w:rFonts w:ascii="Calibri" w:hAnsi="Calibri"/>
                <w:b/>
                <w:i w:val="0"/>
                <w:color w:val="212121"/>
                <w:sz w:val="19"/>
              </w:rPr>
              <w:t>Visual disturbance / diplopia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papilloedema or sixth-nerve palsy in high-pressure hydrocephalus.</w:t>
            </w:r>
          </w:p>
        </w:tc>
      </w:tr>
      <w:tr>
        <w:trPr>
          <w:cantSplit/>
        </w:trPr>
        <w:tc>
          <w:tcPr>
            <w:tcW w:type="dxa" w:w="2304"/>
            <w:vAlign w:val="top"/>
          </w:tcPr>
          <w:p>
            <w:pPr>
              <w:spacing w:after="40" w:before="0" w:line="259" w:lineRule="auto"/>
            </w:pPr>
            <w:r>
              <w:rPr>
                <w:rFonts w:ascii="Calibri" w:hAnsi="Calibri"/>
                <w:b/>
                <w:i w:val="0"/>
                <w:color w:val="212121"/>
                <w:sz w:val="19"/>
              </w:rPr>
              <w:t>Personality and behavioural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Apathy, irritability or disinhibition from frontal dysfunction.</w:t>
            </w:r>
          </w:p>
        </w:tc>
      </w:tr>
      <w:tr>
        <w:trPr>
          <w:cantSplit/>
        </w:trPr>
        <w:tc>
          <w:tcPr>
            <w:tcW w:type="dxa" w:w="2304"/>
            <w:vAlign w:val="top"/>
          </w:tcPr>
          <w:p>
            <w:pPr>
              <w:spacing w:after="40" w:before="0" w:line="259" w:lineRule="auto"/>
            </w:pPr>
            <w:r>
              <w:rPr>
                <w:rFonts w:ascii="Calibri" w:hAnsi="Calibri"/>
                <w:b/>
                <w:i w:val="0"/>
                <w:color w:val="212121"/>
                <w:sz w:val="19"/>
              </w:rPr>
              <w:t>Faecal incontinence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late feature of advanced frontal-subcortical involvement.</w:t>
            </w:r>
          </w:p>
        </w:tc>
      </w:tr>
      <w:tr>
        <w:trPr>
          <w:cantSplit/>
        </w:trPr>
        <w:tc>
          <w:tcPr>
            <w:tcW w:type="dxa" w:w="2304"/>
            <w:vAlign w:val="top"/>
          </w:tcPr>
          <w:p>
            <w:pPr>
              <w:spacing w:after="40" w:before="0" w:line="259" w:lineRule="auto"/>
            </w:pPr>
            <w:r>
              <w:rPr>
                <w:rFonts w:ascii="Calibri" w:hAnsi="Calibri"/>
                <w:b/>
                <w:i w:val="0"/>
                <w:color w:val="212121"/>
                <w:sz w:val="19"/>
              </w:rPr>
              <w:t>Psychosis / hallucinations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NPH can rarely present with neuropsychiatric features and be misdiagnosed as a primary psychiatric illness.</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More likely with obstructive lesions, cortical irritation or shunt complications.</w:t>
            </w:r>
          </w:p>
        </w:tc>
      </w:tr>
      <w:tr>
        <w:trPr>
          <w:cantSplit/>
        </w:trPr>
        <w:tc>
          <w:tcPr>
            <w:tcW w:type="dxa" w:w="2304"/>
            <w:vAlign w:val="top"/>
          </w:tcPr>
          <w:p>
            <w:pPr>
              <w:spacing w:after="40" w:before="0" w:line="259" w:lineRule="auto"/>
            </w:pPr>
            <w:r>
              <w:rPr>
                <w:rFonts w:ascii="Calibri" w:hAnsi="Calibri"/>
                <w:b/>
                <w:i w:val="0"/>
                <w:color w:val="212121"/>
                <w:sz w:val="19"/>
              </w:rPr>
              <w:t>Parkinsonian slowness / tremor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Overlap with vascular parkinsonism complicates the differential diagnosis.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Magnetic / apraxic wide-based gait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 shuffling steps with reduced foot clearance and start hesitation — hallmark of NPH.</w:t>
            </w:r>
          </w:p>
        </w:tc>
      </w:tr>
      <w:tr>
        <w:trPr>
          <w:cantSplit/>
        </w:trPr>
        <w:tc>
          <w:tcPr>
            <w:tcW w:type="dxa" w:w="3456"/>
            <w:vAlign w:val="top"/>
          </w:tcPr>
          <w:p>
            <w:pPr>
              <w:spacing w:after="40" w:before="0" w:line="259" w:lineRule="auto"/>
            </w:pPr>
            <w:r>
              <w:rPr>
                <w:rFonts w:ascii="Calibri" w:hAnsi="Calibri"/>
                <w:b/>
                <w:i w:val="0"/>
                <w:color w:val="212121"/>
                <w:sz w:val="19"/>
              </w:rPr>
              <w:t>Postural instability / positive pull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Retropulsion and loss of righting reflexes on the pull test.</w:t>
            </w:r>
          </w:p>
        </w:tc>
      </w:tr>
      <w:tr>
        <w:trPr>
          <w:cantSplit/>
        </w:trPr>
        <w:tc>
          <w:tcPr>
            <w:tcW w:type="dxa" w:w="3456"/>
            <w:vAlign w:val="top"/>
          </w:tcPr>
          <w:p>
            <w:pPr>
              <w:spacing w:after="40" w:before="0" w:line="259" w:lineRule="auto"/>
            </w:pPr>
            <w:r>
              <w:rPr>
                <w:rFonts w:ascii="Calibri" w:hAnsi="Calibri"/>
                <w:b/>
                <w:i w:val="0"/>
                <w:color w:val="212121"/>
                <w:sz w:val="19"/>
              </w:rPr>
              <w:t>Cognitive impairment on MMSE / MoCA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frontal-subcortical pattern with psychomotor slowing and executive deficits.</w:t>
            </w:r>
          </w:p>
        </w:tc>
      </w:tr>
      <w:tr>
        <w:trPr>
          <w:cantSplit/>
        </w:trPr>
        <w:tc>
          <w:tcPr>
            <w:tcW w:type="dxa" w:w="3456"/>
            <w:vAlign w:val="top"/>
          </w:tcPr>
          <w:p>
            <w:pPr>
              <w:spacing w:after="40" w:before="0" w:line="259" w:lineRule="auto"/>
            </w:pPr>
            <w:r>
              <w:rPr>
                <w:rFonts w:ascii="Calibri" w:hAnsi="Calibri"/>
                <w:b/>
                <w:i w:val="0"/>
                <w:color w:val="212121"/>
                <w:sz w:val="19"/>
              </w:rPr>
              <w:t>Frontal release signs / hyperreflexia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Grasp and palmomental reflexes with brisk lower-limb reflexes.</w:t>
            </w:r>
          </w:p>
        </w:tc>
      </w:tr>
      <w:tr>
        <w:trPr>
          <w:cantSplit/>
        </w:trPr>
        <w:tc>
          <w:tcPr>
            <w:tcW w:type="dxa" w:w="3456"/>
            <w:vAlign w:val="top"/>
          </w:tcPr>
          <w:p>
            <w:pPr>
              <w:spacing w:after="40" w:before="0" w:line="259" w:lineRule="auto"/>
            </w:pPr>
            <w:r>
              <w:rPr>
                <w:rFonts w:ascii="Calibri" w:hAnsi="Calibri"/>
                <w:b/>
                <w:i w:val="0"/>
                <w:color w:val="212121"/>
                <w:sz w:val="19"/>
              </w:rPr>
              <w:t>Positive CSF tap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gait and/or cognitive improvement after large-volume lumbar CSF removal — supports shunting.</w:t>
            </w:r>
          </w:p>
        </w:tc>
      </w:tr>
      <w:tr>
        <w:trPr>
          <w:cantSplit/>
        </w:trPr>
        <w:tc>
          <w:tcPr>
            <w:tcW w:type="dxa" w:w="3456"/>
            <w:vAlign w:val="top"/>
          </w:tcPr>
          <w:p>
            <w:pPr>
              <w:spacing w:after="40" w:before="0" w:line="259" w:lineRule="auto"/>
            </w:pPr>
            <w:r>
              <w:rPr>
                <w:rFonts w:ascii="Calibri" w:hAnsi="Calibri"/>
                <w:b/>
                <w:i w:val="0"/>
                <w:color w:val="212121"/>
                <w:sz w:val="19"/>
              </w:rPr>
              <w:t>Ventriculomegaly with Evans index &gt; 0.3 / DESH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Imaging hallmark of hydrocephalus disproportionate to cortical atrophy.</w:t>
            </w:r>
          </w:p>
        </w:tc>
      </w:tr>
      <w:tr>
        <w:trPr>
          <w:cantSplit/>
        </w:trPr>
        <w:tc>
          <w:tcPr>
            <w:tcW w:type="dxa" w:w="3456"/>
            <w:vAlign w:val="top"/>
          </w:tcPr>
          <w:p>
            <w:pPr>
              <w:spacing w:after="40" w:before="0" w:line="259" w:lineRule="auto"/>
            </w:pPr>
            <w:r>
              <w:rPr>
                <w:rFonts w:ascii="Calibri" w:hAnsi="Calibri"/>
                <w:b/>
                <w:i w:val="0"/>
                <w:color w:val="212121"/>
                <w:sz w:val="19"/>
              </w:rPr>
              <w:t>Bradykinesia / hypomimia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Parkinsonian features that overlap with vascular parkinsonism.</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Present in high-pressure / obstructive hydrocephalus; characteristically absent in NPH.</w:t>
            </w:r>
          </w:p>
        </w:tc>
      </w:tr>
      <w:tr>
        <w:trPr>
          <w:cantSplit/>
        </w:trPr>
        <w:tc>
          <w:tcPr>
            <w:tcW w:type="dxa" w:w="3456"/>
            <w:vAlign w:val="top"/>
          </w:tcPr>
          <w:p>
            <w:pPr>
              <w:spacing w:after="40" w:before="0" w:line="259" w:lineRule="auto"/>
            </w:pPr>
            <w:r>
              <w:rPr>
                <w:rFonts w:ascii="Calibri" w:hAnsi="Calibri"/>
                <w:b/>
                <w:i w:val="0"/>
                <w:color w:val="212121"/>
                <w:sz w:val="19"/>
              </w:rPr>
              <w:t>Enlarged head circumference, bulging fontanelle, split sutures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congenital / infantile hydrocephalus.</w:t>
            </w:r>
          </w:p>
        </w:tc>
      </w:tr>
      <w:tr>
        <w:trPr>
          <w:cantSplit/>
        </w:trPr>
        <w:tc>
          <w:tcPr>
            <w:tcW w:type="dxa" w:w="3456"/>
            <w:vAlign w:val="top"/>
          </w:tcPr>
          <w:p>
            <w:pPr>
              <w:spacing w:after="40" w:before="0" w:line="259" w:lineRule="auto"/>
            </w:pPr>
            <w:r>
              <w:rPr>
                <w:rFonts w:ascii="Calibri" w:hAnsi="Calibri"/>
                <w:b/>
                <w:i w:val="0"/>
                <w:color w:val="212121"/>
                <w:sz w:val="19"/>
              </w:rPr>
              <w:t>Sixth-nerve palsy / sunset sign (impaired upgaze)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Raised-pressure signs, chiefly in obstructive hydrocephalus and infants.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Acutely raised intracranial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Brain herniation and coma (acute obstructive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Rapidly progressive gait failure with recurrent falls and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neurological deterioration / shunt-malfunction crisis</w:t>
            </w:r>
          </w:p>
        </w:tc>
        <w:tc>
          <w:tcPr>
            <w:tcW w:type="dxa" w:w="2980"/>
            <w:vAlign w:val="top"/>
          </w:tcPr>
          <w:p>
            <w:pPr>
              <w:spacing w:after="40" w:before="0" w:line="259" w:lineRule="auto"/>
            </w:pPr>
            <w:r>
              <w:rPr>
                <w:rFonts w:ascii="Calibri" w:hAnsi="Calibri"/>
                <w:b w:val="0"/>
                <w:i w:val="0"/>
                <w:color w:val="212121"/>
                <w:sz w:val="19"/>
              </w:rPr>
              <w:t>Direct mechanical and pressure effects of impaired CSF circulation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subcortical dementia and apathy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urinary (± faecal)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Immobility with pressure sores and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Shunt-related: infection, blockage, over-drainage subdural haematoma, under-drainage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Optic atrophy and visual loss (chronic raised pressure)</w:t>
            </w:r>
          </w:p>
        </w:tc>
        <w:tc>
          <w:tcPr>
            <w:tcW w:type="dxa" w:w="2980"/>
            <w:vAlign w:val="top"/>
          </w:tcPr>
          <w:p>
            <w:pPr>
              <w:spacing w:after="40" w:before="0" w:line="259" w:lineRule="auto"/>
            </w:pPr>
            <w:r>
              <w:rPr>
                <w:rFonts w:ascii="Calibri" w:hAnsi="Calibri"/>
                <w:b w:val="0"/>
                <w:i w:val="0"/>
                <w:color w:val="212121"/>
                <w:sz w:val="19"/>
              </w:rPr>
              <w:t>Consequences of sustained ventriculomegaly, disability, and CSF-diversion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Bed-bound, fully dependent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and heavy caregiver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cognitive and gait disability when untreated or treated 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w:t>
            </w:r>
          </w:p>
        </w:tc>
        <w:tc>
          <w:tcPr>
            <w:tcW w:type="dxa" w:w="2980"/>
            <w:vAlign w:val="top"/>
          </w:tcPr>
          <w:p>
            <w:pPr>
              <w:spacing w:after="40" w:before="0" w:line="259" w:lineRule="auto"/>
            </w:pPr>
            <w:r>
              <w:rPr>
                <w:rFonts w:ascii="Calibri" w:hAnsi="Calibri"/>
                <w:b w:val="0"/>
                <w:i w:val="0"/>
                <w:color w:val="212121"/>
                <w:sz w:val="19"/>
              </w:rPr>
              <w:t>End-stage outcomes of untreated or advanced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Tuberculous meningitis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Basal inflammatory exudate blocks CSF flow and absorption, making hydrocephalus the commonest complication of TBM in India.</w:t>
            </w:r>
          </w:p>
          <w:p>
            <w:pPr>
              <w:spacing w:after="40" w:before="0" w:line="259" w:lineRule="auto"/>
            </w:pPr>
            <w:r>
              <w:rPr>
                <w:rFonts w:ascii="Calibri" w:hAnsi="Calibri"/>
                <w:b/>
                <w:i w:val="0"/>
                <w:color w:val="212121"/>
                <w:sz w:val="19"/>
              </w:rPr>
              <w:t>Up to 80%</w:t>
            </w:r>
          </w:p>
        </w:tc>
      </w:tr>
      <w:tr>
        <w:trPr>
          <w:cantSplit/>
        </w:trPr>
        <w:tc>
          <w:tcPr>
            <w:tcW w:type="dxa" w:w="2232"/>
            <w:vAlign w:val="top"/>
          </w:tcPr>
          <w:p>
            <w:pPr>
              <w:spacing w:after="40" w:before="0" w:line="259" w:lineRule="auto"/>
            </w:pPr>
            <w:r>
              <w:rPr>
                <w:rFonts w:ascii="Calibri" w:hAnsi="Calibri"/>
                <w:b/>
                <w:i w:val="0"/>
                <w:color w:val="212121"/>
                <w:sz w:val="19"/>
              </w:rPr>
              <w:t>Alzheimer's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Amyloid/tau co-pathology overlaps with iNPH on CSF biomarkers and imaging and blunts the response to shunt surgery.</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Hypertension &amp; cerebral small-vessel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Periventricular white-matter ischaemia is mechanistically linked to iNPH and predicts poorer surgical outcomes.</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Adds to cerebrovascular disease associated with iNPH and increases operative and shunt-surgery risk.</w:t>
            </w:r>
          </w:p>
        </w:tc>
      </w:tr>
      <w:tr>
        <w:trPr>
          <w:cantSplit/>
        </w:trPr>
        <w:tc>
          <w:tcPr>
            <w:tcW w:type="dxa" w:w="2232"/>
            <w:vAlign w:val="top"/>
          </w:tcPr>
          <w:p>
            <w:pPr>
              <w:spacing w:after="40" w:before="0" w:line="259" w:lineRule="auto"/>
            </w:pPr>
            <w:r>
              <w:rPr>
                <w:rFonts w:ascii="Calibri" w:hAnsi="Calibri"/>
                <w:b/>
                <w:i w:val="0"/>
                <w:color w:val="212121"/>
                <w:sz w:val="19"/>
              </w:rPr>
              <w:t>Parkinson's disease / vascular parkinsonism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gait and bradykinesia features and is a major mimic, complicating diagnosis and treatment selection.</w:t>
            </w:r>
          </w:p>
        </w:tc>
      </w:tr>
      <w:tr>
        <w:trPr>
          <w:cantSplit/>
        </w:trPr>
        <w:tc>
          <w:tcPr>
            <w:tcW w:type="dxa" w:w="2232"/>
            <w:vAlign w:val="top"/>
          </w:tcPr>
          <w:p>
            <w:pPr>
              <w:spacing w:after="40" w:before="0" w:line="259" w:lineRule="auto"/>
            </w:pPr>
            <w:r>
              <w:rPr>
                <w:rFonts w:ascii="Calibri" w:hAnsi="Calibri"/>
                <w:b/>
                <w:i w:val="0"/>
                <w:color w:val="212121"/>
                <w:sz w:val="19"/>
              </w:rPr>
              <w:t>Depression &amp; apathy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Frontal-subcortical dysfunction causes secondary depression and apathy that are often misdiagnosed as primary psychiatric illness.</w:t>
            </w:r>
          </w:p>
        </w:tc>
      </w:tr>
      <w:tr>
        <w:trPr>
          <w:cantSplit/>
        </w:trPr>
        <w:tc>
          <w:tcPr>
            <w:tcW w:type="dxa" w:w="2232"/>
            <w:vAlign w:val="top"/>
          </w:tcPr>
          <w:p>
            <w:pPr>
              <w:spacing w:after="40" w:before="0" w:line="259" w:lineRule="auto"/>
            </w:pPr>
            <w:r>
              <w:rPr>
                <w:rFonts w:ascii="Calibri" w:hAnsi="Calibri"/>
                <w:b/>
                <w:i w:val="0"/>
                <w:color w:val="212121"/>
                <w:sz w:val="19"/>
              </w:rPr>
              <w:t>Neurocysticercosis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Endemic in India; intraventricular or racemose cysts obstruct CSF flow and cause hydrocephalus.</w:t>
            </w:r>
          </w:p>
        </w:tc>
      </w:tr>
      <w:tr>
        <w:trPr>
          <w:cantSplit/>
        </w:trPr>
        <w:tc>
          <w:tcPr>
            <w:tcW w:type="dxa" w:w="2232"/>
            <w:vAlign w:val="top"/>
          </w:tcPr>
          <w:p>
            <w:pPr>
              <w:spacing w:after="40" w:before="0" w:line="259" w:lineRule="auto"/>
            </w:pPr>
            <w:r>
              <w:rPr>
                <w:rFonts w:ascii="Calibri" w:hAnsi="Calibri"/>
                <w:b/>
                <w:i w:val="0"/>
                <w:color w:val="212121"/>
                <w:sz w:val="19"/>
              </w:rPr>
              <w:t>Chronic subdural haematoma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recognised complication of shunt over-drainage and of the head trauma that itself can cause hydrocephalus.</w:t>
            </w:r>
          </w:p>
        </w:tc>
      </w:tr>
      <w:tr>
        <w:trPr>
          <w:cantSplit/>
        </w:trPr>
        <w:tc>
          <w:tcPr>
            <w:tcW w:type="dxa" w:w="2232"/>
            <w:vAlign w:val="top"/>
          </w:tcPr>
          <w:p>
            <w:pPr>
              <w:spacing w:after="40" w:before="0" w:line="259" w:lineRule="auto"/>
            </w:pPr>
            <w:r>
              <w:rPr>
                <w:rFonts w:ascii="Calibri" w:hAnsi="Calibri"/>
                <w:b/>
                <w:i w:val="0"/>
                <w:color w:val="212121"/>
                <w:sz w:val="19"/>
              </w:rPr>
              <w:t>Neural-tube defects / spina bifida (Chiari II)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leading congenital cause of hydrocephalus; India carries a high, largely folate-preventable NTD burden.</w:t>
            </w:r>
          </w:p>
        </w:tc>
      </w:tr>
      <w:tr>
        <w:trPr>
          <w:cantSplit/>
        </w:trPr>
        <w:tc>
          <w:tcPr>
            <w:tcW w:type="dxa" w:w="2232"/>
            <w:vAlign w:val="top"/>
          </w:tcPr>
          <w:p>
            <w:pPr>
              <w:spacing w:after="40" w:before="0" w:line="259" w:lineRule="auto"/>
            </w:pPr>
            <w:r>
              <w:rPr>
                <w:rFonts w:ascii="Calibri" w:hAnsi="Calibri"/>
                <w:b/>
                <w:i w:val="0"/>
                <w:color w:val="212121"/>
                <w:sz w:val="19"/>
              </w:rPr>
              <w:t>Recurrent falls, fractures &amp; urinary tract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Gait failure and incontinence lead to injurious falls and recurrent UTIs, worsening morbidity.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triad — a decline in walking, thinking and bladder control in an older adult is NOT normal ageing; seek neurology/neurosurgery review, as NPH is potentially 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peri-conceptional folic acid (400 µg/day; 4 mg with a prior neural-tube defect) and adequate vitamin B12 to prevent congenital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full anti-tubercular therapy and seek early care for meningitis to prevent post-infective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food hygiene and sanitation and avoid undercooked pork to prevent neurocysticercosis.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shunt surgery, learn the warning signs of shunt malfunction or infection (headache, vomiting, drowsiness, fever) and seek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falls through home safety, appropriate footwear and vision correction given gait instability.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in TB/NCC-endemic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Shunted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Low-antenatal-care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structured physiotherapy focused on gait, balance and transfers, before and after shunting.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supervised strength and balance training to reduce falls and preserve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daily walking within tolerance, using assistive devices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cardiovascular risk factors through activity and weight management to limit the small-vessel disease that contributes to iNPH.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iNPH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Post-shunt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fallers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folate-rich foods daily (green leafy vegetables, legumes, fortified grains) with supplementation before and in early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B12 deficiency, especially in vegetarians, to lower homocysteine and NTD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vascular-protective diet (reduce salt, refined carbohydrate and trans-fat) to limit cerebrovascular disease linked to iNPH.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and nutrition peri-operatively and during CSF drainage.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glymphatic CSF and solute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worsens cerebrovascular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sleep-wake routines and treat nocturia that fragments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to slow the cerebrovascular and white-matter disease implicated in iNPH.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use cessation support (counselling, nicotine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Cessation also lowers peri-operative and shunt-surgery complication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falls and head injury, a cause of post-traumatic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that adds vascular and cognitive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advice on interactions with anticonvulsants and post-operative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Post-trauma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NPH-related apathy and depression from primary psychiatric illness to avoid a missed, treatable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and apathy and provide cognitive and caregiver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rare neuropsychiatric features (including psychosis) and manage collaboratively.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realistic counselling on shunt outcomes, as roughly 60–70% of iNPH patients improve after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iNPH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apathy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5102984/" TargetMode="External"/><Relationship Id="rId10" Type="http://schemas.openxmlformats.org/officeDocument/2006/relationships/hyperlink" Target="https://www.ncbi.nlm.nih.gov/books/NBK560875/" TargetMode="External"/><Relationship Id="rId11" Type="http://schemas.openxmlformats.org/officeDocument/2006/relationships/hyperlink" Target="https://pubmed.ncbi.nlm.nih.gov/29701543/" TargetMode="External"/><Relationship Id="rId12" Type="http://schemas.openxmlformats.org/officeDocument/2006/relationships/hyperlink" Target="https://pubmed.ncbi.nlm.nih.gov/39365302/" TargetMode="External"/><Relationship Id="rId13" Type="http://schemas.openxmlformats.org/officeDocument/2006/relationships/hyperlink" Target="https://pubmed.ncbi.nlm.nih.gov/19770534/" TargetMode="External"/><Relationship Id="rId14" Type="http://schemas.openxmlformats.org/officeDocument/2006/relationships/hyperlink" Target="https://radiopaedia.org/articles/normal-pressure-hydrocephalus" TargetMode="External"/><Relationship Id="rId15" Type="http://schemas.openxmlformats.org/officeDocument/2006/relationships/hyperlink" Target="https://pubmed.ncbi.nlm.nih.gov/29388147/" TargetMode="External"/><Relationship Id="rId16" Type="http://schemas.openxmlformats.org/officeDocument/2006/relationships/hyperlink" Target="https://pubmed.ncbi.nlm.nih.gov/35102991/" TargetMode="External"/><Relationship Id="rId17" Type="http://schemas.openxmlformats.org/officeDocument/2006/relationships/hyperlink" Target="https://pubmed.ncbi.nlm.nih.gov/35103015/" TargetMode="External"/><Relationship Id="rId18" Type="http://schemas.openxmlformats.org/officeDocument/2006/relationships/hyperlink" Target="https://pubmed.ncbi.nlm.nih.gov/38020768/" TargetMode="External"/><Relationship Id="rId19" Type="http://schemas.openxmlformats.org/officeDocument/2006/relationships/hyperlink" Target="https://pubmed.ncbi.nlm.nih.gov/40045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