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Chronic Fatigue Syndrome / Myalgic Encephalomyelitis (ME/CFS)</w:t>
      </w:r>
    </w:p>
    <w:p>
      <w:pPr>
        <w:spacing w:before="0" w:after="160"/>
      </w:pPr>
      <w:r>
        <w:rPr>
          <w:rFonts w:ascii="Calibri" w:hAnsi="Calibri"/>
          <w:b/>
          <w:i w:val="0"/>
          <w:color w:val="212121"/>
          <w:sz w:val="22"/>
        </w:rPr>
        <w:t xml:space="preserve">AKA </w:t>
      </w:r>
      <w:r>
        <w:rPr>
          <w:rFonts w:ascii="Calibri" w:hAnsi="Calibri"/>
          <w:b w:val="0"/>
          <w:i w:val="0"/>
          <w:color w:val="212121"/>
          <w:sz w:val="22"/>
        </w:rPr>
        <w:t>i.e., Myalgic Encephalomyelitis (ME), ME/CFS, Systemic Exertion Intolerance Disease (SEID), Chronic Fatigue Immune Dysfunction Syndrome (CFIDS), Post-viral fatigue syndrome</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Chronic Fatigue Syndrome / Myalgic Encephalomyelitis (ME/CFS) is a serious, chronic, complex multi-system disease characterised by profound, disabling fatigue lasting at least six months (three months by NICE 2021) that is not improved by rest and is worsened by physical, cognitive, emotional or orthostatic exertion. Its cardinal and most specific feature is post-exertional malaise (PEM) — a delayed, disproportionate and prolonged worsening of symptoms after even minor activity — accompanied by unrefreshing sleep, cognitive impairment (‘brain fog’) and/or orthostatic intolerance. It is a biological, not psychiatric, illness that substantially reduces the ability to carry out pre-illness levels of occupational, educational, social and personal activities.</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Robust India-specific epidemiological data are scarce and ME/CFS remains markedly under-recognised and under-diagnosed in Indian clinical practice, frequently mislabelled as ‘weakness’, ‘neurasthenia’ or medically-unexplained fatigue. The best available global meta-analysis estimates a pooled prevalence of about 0.68% (0.89% using the CDC-1994 criteria), with women affected roughly 1.5–2 times more often than men (1.36% vs 0.86%). More than 90% of people with ME/CFS are estimated to be undiagnosed, and the large burden of post-viral fatigue following India’s dengue, chikungunya, typhoid, Epstein–Barr and COVID-19 illnesses has renewed clinical attention to the condition.</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ME/CFS is a positive clinical diagnosis of inclusion (there is no confirmatory laboratory test); the 2015 IOM/NAM criteria require ALL of the first three features PLUS at least one of the final two, after excluding other medical and psychiatric causes of chronic fatigue: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substantial reduction or impairment in the ability to engage in pre-illness levels of occupational, educational, social or personal activities, persisting for more than 6 months (3 months by NICE 2021), accompanied by profound fatigue that is of new/definite onset, is not the result of ongoing exertion, and is not substantially alleviated by rest;</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post-exertional malaise (PEM) — worsening of symptoms after physical, cognitive, emotional or orthostatic exertion, characteristically delayed by hours to days and with a prolonged recovery time — which is the core, required feature;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unrefreshing sleep — feeling exhausted, unrefreshed or flu-like on waking despite adequate sleep duration;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PLUS at least one of: cognitive impairment (‘brain fog’ — slowed processing, poor concentration, and word-finding or short-term memory difficulty) OR orthostatic intolerance (symptoms worsening on standing/upright posture and relieved by lying down);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symptoms should be present at least half of the time with at least moderate intensity, and alternative explanations (thyroid disease, anaemia, B12/vitamin-D deficiency, diabetes, sleep apnoea, depression, malignancy, chronic infection) must be excluded.</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ME/CFS can be framed along four complementary axes — diagnostic case definition, clinical severity, onset/trigger, and overlap phenotype:</w:t>
      </w:r>
    </w:p>
    <w:p>
      <w:pPr>
        <w:spacing w:before="0" w:after="80"/>
      </w:pPr>
      <w:r>
        <w:rPr>
          <w:rFonts w:ascii="Calibri" w:hAnsi="Calibri"/>
          <w:b w:val="0"/>
          <w:i w:val="0"/>
          <w:color w:val="212121"/>
          <w:sz w:val="21"/>
        </w:rPr>
        <w:t>(1) By case definition, which has evolved over time: the CDC/Fukuda 1994 criteria (fatigue plus ≥ 4 of 8 minor symptoms), the Canadian Consensus Criteria (2003) and International Consensus Criteria (2011) which make post-exertional malaise / ‘neuro-immune exhaustion’ mandatory, the IOM/NAM 2015 criteria (which also proposed the name Systemic Exertion Intolerance Disease, SEID), and the NICE NG206 (2021) criteria;</w:t>
      </w:r>
    </w:p>
    <w:p>
      <w:pPr>
        <w:spacing w:before="0" w:after="80"/>
      </w:pPr>
      <w:r>
        <w:rPr>
          <w:rFonts w:ascii="Calibri" w:hAnsi="Calibri"/>
          <w:b w:val="0"/>
          <w:i w:val="0"/>
          <w:color w:val="212121"/>
          <w:sz w:val="21"/>
        </w:rPr>
        <w:t>(2) By severity (NICE): Mild — mobile and self-caring, able to do light domestic tasks but usually having stopped work or education; Moderate — reduced mobility, restricted in most activities of daily living, usually not working; Severe — mostly housebound, needing help with most daily activities and often with marked cognitive difficulty; Very severe — bedbound, dependent for all care, with extreme sensitivity to light, sound and sensory stimuli;</w:t>
      </w:r>
    </w:p>
    <w:p>
      <w:pPr>
        <w:spacing w:before="0" w:after="80"/>
      </w:pPr>
      <w:r>
        <w:rPr>
          <w:rFonts w:ascii="Calibri" w:hAnsi="Calibri"/>
          <w:b w:val="0"/>
          <w:i w:val="0"/>
          <w:color w:val="212121"/>
          <w:sz w:val="21"/>
        </w:rPr>
        <w:t>(3) By onset/trigger: post-infectious/post-viral onset (the commonest, following Epstein–Barr virus, enteroviruses, influenza-like illness, Q fever, giardiasis or SARS-CoV-2), gradual insidious onset, and onset after physical trauma, surgery or major psychological stress;</w:t>
      </w:r>
    </w:p>
    <w:p>
      <w:pPr>
        <w:spacing w:before="0" w:after="80"/>
      </w:pPr>
      <w:r>
        <w:rPr>
          <w:rFonts w:ascii="Calibri" w:hAnsi="Calibri"/>
          <w:b w:val="0"/>
          <w:i w:val="0"/>
          <w:color w:val="212121"/>
          <w:sz w:val="21"/>
        </w:rPr>
        <w:t>(4) By overlap phenotype: ME/CFS frequently coexists with fibromyalgia, postural orthostatic tachycardia syndrome (POTS)/orthostatic intolerance, irritable bowel syndrome and, since 2020, post-COVID-19 condition (‘long COVID’), a substantial proportion of whom meet ME/CFS criteria.</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Post-infectious trigger: About 50–80% of cases begin suddenly with a flu-like or infectious illness (Epstein–Barr virus, enteroviruses, Q fever, giardiasis, SARS-CoV-2) from which the person never fully recovers.</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Immune dysregulation: Reduced natural-killer (NK) cell cytotoxicity, altered cytokine profiles, chronic low-grade inflammation and autoantibodies (e.g., against β-adrenergic and muscarinic acetylcholine receptors) point to a neuro-immune / autoimmune component.</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Mitochondrial and bioenergetic dysfunction: Increased reactive oxygen species damage the electron-transport chain and impair ATP production, contributing to exertional intolerance.</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Autonomic and neuroendocrine dysfunction: Attenuation of the hypothalamic–pituitary–adrenal (HPA) axis with relative hypocortisolism and sympathetic overactivity underlie orthostatic intolerance and post-exertional malaise.</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Neuroinflammation: Glial-cell activation and oxidative stress cause neuroexcitation and the cognitive / ‘brain-fog’ features.</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Genetic predisposition: Familial clustering and higher susceptibility in relatives indicate inherited vulnerability that interacts with environmental and infectious triggers.</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Physical / emotional stressors: Onset can follow injury, surgery, vaccination-like immune challenge or major psychological stress in susceptible individuals.</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w:t>
            </w:r>
          </w:p>
        </w:tc>
        <w:tc>
          <w:tcPr>
            <w:tcW w:type="dxa" w:w="4276"/>
            <w:vAlign w:val="top"/>
          </w:tcPr>
          <w:p>
            <w:pPr>
              <w:spacing w:after="60" w:line="259" w:lineRule="auto"/>
            </w:pPr>
            <w:r>
              <w:rPr>
                <w:rFonts w:ascii="Calibri" w:hAnsi="Calibri"/>
                <w:b w:val="0"/>
                <w:i w:val="0"/>
                <w:color w:val="212121"/>
                <w:sz w:val="19"/>
              </w:rPr>
              <w:t>Peak onset is in young-to-middle adulthood, reflecting cumulative infectious and immune triggers during the most economically active years; the illness then persists for years, so working-age adults carry most of the disability burden.</w:t>
            </w:r>
          </w:p>
          <w:p>
            <w:pPr>
              <w:spacing w:after="40" w:before="60" w:line="259" w:lineRule="auto"/>
            </w:pPr>
            <w:r>
              <w:rPr>
                <w:rFonts w:ascii="Calibri" w:hAnsi="Calibri"/>
                <w:b w:val="0"/>
                <w:i w:val="0"/>
                <w:color w:val="212121"/>
                <w:sz w:val="19"/>
              </w:rPr>
              <w:t>Most commonly diagnosed between 40 and 60 years of age, although onset frequently occurs earlier, in the 20s–40s.</w:t>
            </w:r>
          </w:p>
          <w:p>
            <w:pPr>
              <w:spacing w:after="40" w:line="252" w:lineRule="auto"/>
            </w:pPr>
            <w:hyperlink r:id="rId9">
              <w:r>
                <w:rPr>
                  <w:rFonts w:ascii="Calibri" w:hAnsi="Calibri" w:cs="Calibri"/>
                  <w:sz w:val="18"/>
                  <w:color w:val="1155CC"/>
                  <w:u w:val="single"/>
                </w:rPr>
                <w:t xml:space="preserve">medlineplus.gov — chronic fatigue syndrome</w:t>
              </w:r>
            </w:hyperlink>
          </w:p>
          <w:p>
            <w:pPr>
              <w:spacing w:before="60" w:after="40"/>
            </w:pPr>
            <w:r>
              <w:rPr>
                <w:rFonts w:ascii="Calibri" w:hAnsi="Calibri"/>
                <w:b w:val="0"/>
                <w:i w:val="0"/>
                <w:color w:val="5A5A5A"/>
                <w:sz w:val="18"/>
              </w:rPr>
              <w:t>#mecfs  #postexertionalmalaise  #workingage  #disability  #brainfog</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w:t>
            </w:r>
          </w:p>
        </w:tc>
        <w:tc>
          <w:tcPr>
            <w:tcW w:type="dxa" w:w="4276"/>
            <w:vAlign w:val="top"/>
          </w:tcPr>
          <w:p>
            <w:pPr>
              <w:spacing w:after="60" w:line="259" w:lineRule="auto"/>
            </w:pPr>
            <w:r>
              <w:rPr>
                <w:rFonts w:ascii="Calibri" w:hAnsi="Calibri"/>
                <w:b w:val="0"/>
                <w:i w:val="0"/>
                <w:color w:val="212121"/>
                <w:sz w:val="19"/>
              </w:rPr>
              <w:t>In older adults ME/CFS is easily missed because fatigue is attributed to ageing, polypharmacy and comorbidity; overlap with deconditioning and multimorbidity complicates diagnosis and worsens functional prognosis.</w:t>
            </w:r>
          </w:p>
          <w:p>
            <w:pPr>
              <w:spacing w:before="60" w:after="40"/>
            </w:pPr>
            <w:r>
              <w:rPr>
                <w:rFonts w:ascii="Calibri" w:hAnsi="Calibri"/>
                <w:b w:val="0"/>
                <w:i w:val="0"/>
                <w:color w:val="5A5A5A"/>
                <w:sz w:val="18"/>
              </w:rPr>
              <w:t>#elderly  #underdiagnosed  #comorbidity  #frailty  #polypharmacy</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Adolescents</w:t>
            </w:r>
          </w:p>
        </w:tc>
        <w:tc>
          <w:tcPr>
            <w:tcW w:type="dxa" w:w="4276"/>
            <w:vAlign w:val="top"/>
          </w:tcPr>
          <w:p>
            <w:pPr>
              <w:spacing w:after="60" w:line="259" w:lineRule="auto"/>
            </w:pPr>
            <w:r>
              <w:rPr>
                <w:rFonts w:ascii="Calibri" w:hAnsi="Calibri"/>
                <w:b w:val="0"/>
                <w:i w:val="0"/>
                <w:color w:val="212121"/>
                <w:sz w:val="19"/>
              </w:rPr>
              <w:t>ME/CFS is a leading cause of long-term school absence in adolescents and often follows infectious mononucleosis (EBV); joint hypermobility and orthostatic intolerance are especially common in this group.</w:t>
            </w:r>
          </w:p>
          <w:p>
            <w:pPr>
              <w:spacing w:after="40" w:before="60" w:line="259" w:lineRule="auto"/>
            </w:pPr>
            <w:r>
              <w:rPr>
                <w:rFonts w:ascii="Calibri" w:hAnsi="Calibri"/>
                <w:b w:val="0"/>
                <w:i w:val="0"/>
                <w:color w:val="212121"/>
                <w:sz w:val="19"/>
              </w:rPr>
              <w:t>About 60% of adolescents with ME/CFS have joint hypermobility, compared with roughly 20% of healthy adolescents.</w:t>
            </w:r>
          </w:p>
          <w:p>
            <w:pPr>
              <w:spacing w:after="40" w:line="252" w:lineRule="auto"/>
            </w:pPr>
            <w:hyperlink r:id="rId10">
              <w:r>
                <w:rPr>
                  <w:rFonts w:ascii="Calibri" w:hAnsi="Calibri" w:cs="Calibri"/>
                  <w:sz w:val="18"/>
                  <w:color w:val="1155CC"/>
                  <w:u w:val="single"/>
                </w:rPr>
                <w:t xml:space="preserve">frontiersin.org — ME/CFS in young people (primer)</w:t>
              </w:r>
            </w:hyperlink>
          </w:p>
          <w:p>
            <w:pPr>
              <w:spacing w:before="60" w:after="40"/>
            </w:pPr>
            <w:r>
              <w:rPr>
                <w:rFonts w:ascii="Calibri" w:hAnsi="Calibri"/>
                <w:b w:val="0"/>
                <w:i w:val="0"/>
                <w:color w:val="5A5A5A"/>
                <w:sz w:val="18"/>
              </w:rPr>
              <w:t>#adolescents  #schoolabsence  #EBV  #hypermobility  #orthostatic</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Female</w:t>
            </w:r>
          </w:p>
        </w:tc>
        <w:tc>
          <w:tcPr>
            <w:tcW w:type="dxa" w:w="4276"/>
            <w:vAlign w:val="top"/>
          </w:tcPr>
          <w:p>
            <w:pPr>
              <w:spacing w:after="60" w:line="259" w:lineRule="auto"/>
            </w:pPr>
            <w:r>
              <w:rPr>
                <w:rFonts w:ascii="Calibri" w:hAnsi="Calibri"/>
                <w:b w:val="0"/>
                <w:i w:val="0"/>
                <w:color w:val="212121"/>
                <w:sz w:val="19"/>
              </w:rPr>
              <w:t>Women are affected substantially more often than men, attributed to hormonal and immune differences and a higher predisposition to autoimmune and central-sensitisation conditions.</w:t>
            </w:r>
          </w:p>
          <w:p>
            <w:pPr>
              <w:spacing w:after="40" w:before="60" w:line="259" w:lineRule="auto"/>
            </w:pPr>
            <w:r>
              <w:rPr>
                <w:rFonts w:ascii="Calibri" w:hAnsi="Calibri"/>
                <w:b w:val="0"/>
                <w:i w:val="0"/>
                <w:color w:val="212121"/>
                <w:sz w:val="19"/>
              </w:rPr>
              <w:t>Prevalence ~1.36% in women vs ~0.86% in men — roughly 1.5–2× higher in women across diagnostic criteria.</w:t>
            </w:r>
          </w:p>
          <w:p>
            <w:pPr>
              <w:spacing w:after="40" w:line="252" w:lineRule="auto"/>
            </w:pPr>
            <w:hyperlink r:id="rId11">
              <w:r>
                <w:rPr>
                  <w:rFonts w:ascii="Calibri" w:hAnsi="Calibri" w:cs="Calibri"/>
                  <w:sz w:val="18"/>
                  <w:color w:val="1155CC"/>
                  <w:u w:val="single"/>
                </w:rPr>
                <w:t xml:space="preserve">pmc.ncbi.nlm.nih.gov/PMC7038594 — prevalence meta-analysis</w:t>
              </w:r>
            </w:hyperlink>
          </w:p>
          <w:p>
            <w:pPr>
              <w:spacing w:before="60" w:after="40"/>
            </w:pPr>
            <w:r>
              <w:rPr>
                <w:rFonts w:ascii="Calibri" w:hAnsi="Calibri"/>
                <w:b w:val="0"/>
                <w:i w:val="0"/>
                <w:color w:val="5A5A5A"/>
                <w:sz w:val="18"/>
              </w:rPr>
              <w:t>#female  #autoimmunity  #hormonal  #sexdifference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Lower-income &amp; rural populations (India)</w:t>
            </w:r>
          </w:p>
        </w:tc>
        <w:tc>
          <w:tcPr>
            <w:tcW w:type="dxa" w:w="4276"/>
            <w:vAlign w:val="top"/>
          </w:tcPr>
          <w:p>
            <w:pPr>
              <w:spacing w:after="60" w:line="259" w:lineRule="auto"/>
            </w:pPr>
            <w:r>
              <w:rPr>
                <w:rFonts w:ascii="Calibri" w:hAnsi="Calibri"/>
                <w:b w:val="0"/>
                <w:i w:val="0"/>
                <w:color w:val="212121"/>
                <w:sz w:val="19"/>
              </w:rPr>
              <w:t>Low awareness, limited access to specialists and the invisible nature of the illness lead to under-diagnosis and dismissal as ‘weakness’; manual and daily-wage workers cannot pace or rest, so repeated over-exertion drives a worse disease course.</w:t>
            </w:r>
          </w:p>
          <w:p>
            <w:pPr>
              <w:spacing w:before="60" w:after="40"/>
            </w:pPr>
            <w:r>
              <w:rPr>
                <w:rFonts w:ascii="Calibri" w:hAnsi="Calibri"/>
                <w:b w:val="0"/>
                <w:i w:val="0"/>
                <w:color w:val="5A5A5A"/>
                <w:sz w:val="18"/>
              </w:rPr>
              <w:t>#socioeconomic  #ruralindia  #underdiagnosed  #dailywage  #access</w:t>
            </w:r>
          </w:p>
        </w:tc>
      </w:tr>
      <w:tr>
        <w:trPr>
          <w:cantSplit/>
        </w:trPr>
        <w:tc>
          <w:tcPr>
            <w:tcW w:type="dxa" w:w="1512"/>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 / region</w:t>
            </w:r>
          </w:p>
        </w:tc>
        <w:tc>
          <w:tcPr>
            <w:tcW w:type="dxa" w:w="2160"/>
            <w:vAlign w:val="top"/>
          </w:tcPr>
          <w:p>
            <w:pPr>
              <w:spacing w:after="40" w:before="0" w:line="259" w:lineRule="auto"/>
            </w:pPr>
            <w:r>
              <w:rPr>
                <w:rFonts w:ascii="Calibri" w:hAnsi="Calibri"/>
                <w:b w:val="0"/>
                <w:i w:val="0"/>
                <w:color w:val="212121"/>
                <w:sz w:val="19"/>
              </w:rPr>
              <w:t>India (high post-infectious burden)</w:t>
            </w:r>
          </w:p>
        </w:tc>
        <w:tc>
          <w:tcPr>
            <w:tcW w:type="dxa" w:w="4276"/>
            <w:vAlign w:val="top"/>
          </w:tcPr>
          <w:p>
            <w:pPr>
              <w:spacing w:after="60" w:line="259" w:lineRule="auto"/>
            </w:pPr>
            <w:r>
              <w:rPr>
                <w:rFonts w:ascii="Calibri" w:hAnsi="Calibri"/>
                <w:b w:val="0"/>
                <w:i w:val="0"/>
                <w:color w:val="212121"/>
                <w:sz w:val="19"/>
              </w:rPr>
              <w:t>India’s heavy burden of febrile infections (dengue, chikungunya, typhoid, Epstein–Barr, and COVID-19) provides frequent triggers for post-viral fatigue, yet ME/CFS is rarely formally coded or diagnosed.</w:t>
            </w:r>
          </w:p>
          <w:p>
            <w:pPr>
              <w:spacing w:after="40" w:before="60" w:line="259" w:lineRule="auto"/>
            </w:pPr>
            <w:r>
              <w:rPr>
                <w:rFonts w:ascii="Calibri" w:hAnsi="Calibri"/>
                <w:b w:val="0"/>
                <w:i w:val="0"/>
                <w:color w:val="212121"/>
                <w:sz w:val="19"/>
              </w:rPr>
              <w:t>Globally more than 90% of people with ME/CFS remain undiagnosed; under-recognition is likely even greater in India.</w:t>
            </w:r>
          </w:p>
          <w:p>
            <w:pPr>
              <w:spacing w:after="40" w:line="252" w:lineRule="auto"/>
            </w:pPr>
            <w:hyperlink r:id="rId12">
              <w:r>
                <w:rPr>
                  <w:rFonts w:ascii="Calibri" w:hAnsi="Calibri" w:cs="Calibri"/>
                  <w:sz w:val="18"/>
                  <w:color w:val="1155CC"/>
                  <w:u w:val="single"/>
                </w:rPr>
                <w:t xml:space="preserve">cdc.gov — about ME/CFS</w:t>
              </w:r>
            </w:hyperlink>
          </w:p>
          <w:p>
            <w:pPr>
              <w:spacing w:before="60" w:after="40"/>
            </w:pPr>
            <w:r>
              <w:rPr>
                <w:rFonts w:ascii="Calibri" w:hAnsi="Calibri"/>
                <w:b w:val="0"/>
                <w:i w:val="0"/>
                <w:color w:val="5A5A5A"/>
                <w:sz w:val="18"/>
              </w:rPr>
              <w:t>#india  #postviral  #dengue  #longcovid  #underrecognised</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Over-exertion (boom-and-bust)</w:t>
            </w:r>
          </w:p>
        </w:tc>
        <w:tc>
          <w:tcPr>
            <w:tcW w:type="dxa" w:w="2160"/>
            <w:vAlign w:val="top"/>
          </w:tcPr>
          <w:p>
            <w:pPr>
              <w:spacing w:after="40" w:before="0" w:line="259" w:lineRule="auto"/>
            </w:pPr>
            <w:r>
              <w:rPr>
                <w:rFonts w:ascii="Calibri" w:hAnsi="Calibri"/>
                <w:b w:val="0"/>
                <w:i w:val="0"/>
                <w:color w:val="212121"/>
                <w:sz w:val="19"/>
              </w:rPr>
              <w:t>High-achievers, athletes, people who ‘push through’</w:t>
            </w:r>
          </w:p>
        </w:tc>
        <w:tc>
          <w:tcPr>
            <w:tcW w:type="dxa" w:w="4276"/>
            <w:vAlign w:val="top"/>
          </w:tcPr>
          <w:p>
            <w:pPr>
              <w:spacing w:after="60" w:line="259" w:lineRule="auto"/>
            </w:pPr>
            <w:r>
              <w:rPr>
                <w:rFonts w:ascii="Calibri" w:hAnsi="Calibri"/>
                <w:b w:val="0"/>
                <w:i w:val="0"/>
                <w:color w:val="212121"/>
                <w:sz w:val="19"/>
              </w:rPr>
              <w:t>Repeated activity beyond the individual’s energy envelope provokes post-exertional malaise and worsens the long-term trajectory; unlike most chronic diseases, graded/incremental exercise can cause lasting harm.</w:t>
            </w:r>
          </w:p>
          <w:p>
            <w:pPr>
              <w:spacing w:after="40" w:before="60" w:line="259" w:lineRule="auto"/>
            </w:pPr>
            <w:r>
              <w:rPr>
                <w:rFonts w:ascii="Calibri" w:hAnsi="Calibri"/>
                <w:b w:val="0"/>
                <w:i w:val="0"/>
                <w:color w:val="212121"/>
                <w:sz w:val="19"/>
              </w:rPr>
              <w:t>NICE 2021 advises clinicians NOT to offer graded exercise therapy or programmes based on fixed incremental increases in physical activity.</w:t>
            </w:r>
          </w:p>
          <w:p>
            <w:pPr>
              <w:spacing w:after="40" w:line="252" w:lineRule="auto"/>
            </w:pPr>
            <w:hyperlink r:id="rId13">
              <w:r>
                <w:rPr>
                  <w:rFonts w:ascii="Calibri" w:hAnsi="Calibri" w:cs="Calibri"/>
                  <w:sz w:val="18"/>
                  <w:color w:val="1155CC"/>
                  <w:u w:val="single"/>
                </w:rPr>
                <w:t xml:space="preserve">nice.org.uk — NG206 recommendations</w:t>
              </w:r>
            </w:hyperlink>
          </w:p>
          <w:p>
            <w:pPr>
              <w:spacing w:before="60" w:after="40"/>
            </w:pPr>
            <w:r>
              <w:rPr>
                <w:rFonts w:ascii="Calibri" w:hAnsi="Calibri"/>
                <w:b w:val="0"/>
                <w:i w:val="0"/>
                <w:color w:val="5A5A5A"/>
                <w:sz w:val="18"/>
              </w:rPr>
              <w:t>#pacing  #energyenvelope  #PEM  #nogradedexercise  #boombust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Smokers / biomass-smoke exposure</w:t>
            </w:r>
          </w:p>
        </w:tc>
        <w:tc>
          <w:tcPr>
            <w:tcW w:type="dxa" w:w="4276"/>
            <w:vAlign w:val="top"/>
          </w:tcPr>
          <w:p>
            <w:pPr>
              <w:spacing w:after="60" w:line="259" w:lineRule="auto"/>
            </w:pPr>
            <w:r>
              <w:rPr>
                <w:rFonts w:ascii="Calibri" w:hAnsi="Calibri"/>
                <w:b w:val="0"/>
                <w:i w:val="0"/>
                <w:color w:val="212121"/>
                <w:sz w:val="19"/>
              </w:rPr>
              <w:t>Tobacco and indoor biomass smoke worsen fatigue, mitochondrial and vascular function and cognitive symptoms, and add cardiovascular risk on top of deconditioning.</w:t>
            </w:r>
          </w:p>
          <w:p>
            <w:pPr>
              <w:spacing w:before="60" w:after="40"/>
            </w:pPr>
            <w:r>
              <w:rPr>
                <w:rFonts w:ascii="Calibri" w:hAnsi="Calibri"/>
                <w:b w:val="0"/>
                <w:i w:val="0"/>
                <w:color w:val="5A5A5A"/>
                <w:sz w:val="18"/>
              </w:rPr>
              <w:t>#smoking  #biomass  #mitochondria  #fatigue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Alcohol users</w:t>
            </w:r>
          </w:p>
        </w:tc>
        <w:tc>
          <w:tcPr>
            <w:tcW w:type="dxa" w:w="4276"/>
            <w:vAlign w:val="top"/>
          </w:tcPr>
          <w:p>
            <w:pPr>
              <w:spacing w:after="60" w:line="259" w:lineRule="auto"/>
            </w:pPr>
            <w:r>
              <w:rPr>
                <w:rFonts w:ascii="Calibri" w:hAnsi="Calibri"/>
                <w:b w:val="0"/>
                <w:i w:val="0"/>
                <w:color w:val="212121"/>
                <w:sz w:val="19"/>
              </w:rPr>
              <w:t>New-onset alcohol intolerance is characteristic of ME/CFS; even small amounts can precipitate a marked and prolonged symptom flare.</w:t>
            </w:r>
          </w:p>
          <w:p>
            <w:pPr>
              <w:spacing w:before="60" w:after="40"/>
            </w:pPr>
            <w:r>
              <w:rPr>
                <w:rFonts w:ascii="Calibri" w:hAnsi="Calibri"/>
                <w:b w:val="0"/>
                <w:i w:val="0"/>
                <w:color w:val="5A5A5A"/>
                <w:sz w:val="18"/>
              </w:rPr>
              <w:t>#alcoholintolerance  #flare  #sensitivity</w:t>
            </w:r>
          </w:p>
        </w:tc>
      </w:tr>
      <w:tr>
        <w:trPr>
          <w:cantSplit/>
        </w:trPr>
        <w:tc>
          <w:tcPr>
            <w:tcW w:type="dxa" w:w="1512"/>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Dietary preference</w:t>
            </w:r>
          </w:p>
        </w:tc>
        <w:tc>
          <w:tcPr>
            <w:tcW w:type="dxa" w:w="2160"/>
            <w:vAlign w:val="top"/>
          </w:tcPr>
          <w:p>
            <w:pPr>
              <w:spacing w:after="40" w:before="0" w:line="259" w:lineRule="auto"/>
            </w:pPr>
            <w:r>
              <w:rPr>
                <w:rFonts w:ascii="Calibri" w:hAnsi="Calibri"/>
                <w:b w:val="0"/>
                <w:i w:val="0"/>
                <w:color w:val="212121"/>
                <w:sz w:val="19"/>
              </w:rPr>
              <w:t>Restricted/vegetarian diets, meal skippers</w:t>
            </w:r>
          </w:p>
        </w:tc>
        <w:tc>
          <w:tcPr>
            <w:tcW w:type="dxa" w:w="4276"/>
            <w:vAlign w:val="top"/>
          </w:tcPr>
          <w:p>
            <w:pPr>
              <w:spacing w:after="60" w:line="259" w:lineRule="auto"/>
            </w:pPr>
            <w:r>
              <w:rPr>
                <w:rFonts w:ascii="Calibri" w:hAnsi="Calibri"/>
                <w:b w:val="0"/>
                <w:i w:val="0"/>
                <w:color w:val="212121"/>
                <w:sz w:val="19"/>
              </w:rPr>
              <w:t>Vitamin D, B12 and iron deficiencies — common in India, especially in vegetarian and low-income diets — worsen fatigue and myalgia, while skipped meals and low salt/fluid intake aggravate orthostatic symptoms.</w:t>
            </w:r>
          </w:p>
          <w:p>
            <w:pPr>
              <w:spacing w:before="60" w:after="40"/>
            </w:pPr>
            <w:r>
              <w:rPr>
                <w:rFonts w:ascii="Calibri" w:hAnsi="Calibri"/>
                <w:b w:val="0"/>
                <w:i w:val="0"/>
                <w:color w:val="5A5A5A"/>
                <w:sz w:val="18"/>
              </w:rPr>
              <w:t>#vitaminD  #b12  #irondeficiency  #vegetarian  #saltfluid</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First-degree relatives with ME/CFS or related conditions</w:t>
            </w:r>
          </w:p>
        </w:tc>
        <w:tc>
          <w:tcPr>
            <w:tcW w:type="dxa" w:w="4276"/>
            <w:vAlign w:val="top"/>
          </w:tcPr>
          <w:p>
            <w:pPr>
              <w:spacing w:after="60" w:line="259" w:lineRule="auto"/>
            </w:pPr>
            <w:r>
              <w:rPr>
                <w:rFonts w:ascii="Calibri" w:hAnsi="Calibri"/>
                <w:b w:val="0"/>
                <w:i w:val="0"/>
                <w:color w:val="212121"/>
                <w:sz w:val="19"/>
              </w:rPr>
              <w:t>Familial clustering and greater concordance among relatives indicate an inherited immune and autonomic susceptibility that interacts with infectious triggers.</w:t>
            </w:r>
          </w:p>
          <w:p>
            <w:pPr>
              <w:spacing w:before="60" w:after="40"/>
            </w:pPr>
            <w:r>
              <w:rPr>
                <w:rFonts w:ascii="Calibri" w:hAnsi="Calibri"/>
                <w:b w:val="0"/>
                <w:i w:val="0"/>
                <w:color w:val="5A5A5A"/>
                <w:sz w:val="18"/>
              </w:rPr>
              <w:t>#familyhistory  #genetic  #susceptibility  #immune</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Fibromyalgia</w:t>
            </w:r>
          </w:p>
        </w:tc>
        <w:tc>
          <w:tcPr>
            <w:tcW w:type="dxa" w:w="2160"/>
            <w:vAlign w:val="top"/>
          </w:tcPr>
          <w:p>
            <w:pPr>
              <w:spacing w:after="40" w:before="0" w:line="259" w:lineRule="auto"/>
            </w:pPr>
            <w:r>
              <w:rPr>
                <w:rFonts w:ascii="Calibri" w:hAnsi="Calibri"/>
                <w:b w:val="0"/>
                <w:i w:val="0"/>
                <w:color w:val="212121"/>
                <w:sz w:val="19"/>
              </w:rPr>
              <w:t>Patients with fibromyalgia</w:t>
            </w:r>
          </w:p>
        </w:tc>
        <w:tc>
          <w:tcPr>
            <w:tcW w:type="dxa" w:w="4276"/>
            <w:vAlign w:val="top"/>
          </w:tcPr>
          <w:p>
            <w:pPr>
              <w:spacing w:after="60" w:line="259" w:lineRule="auto"/>
            </w:pPr>
            <w:r>
              <w:rPr>
                <w:rFonts w:ascii="Calibri" w:hAnsi="Calibri"/>
                <w:b w:val="0"/>
                <w:i w:val="0"/>
                <w:color w:val="212121"/>
                <w:sz w:val="19"/>
              </w:rPr>
              <w:t>ME/CFS and fibromyalgia share central sensitisation and pain-processing pathways and very frequently coexist, amplifying pain, fatigue and disability.</w:t>
            </w:r>
          </w:p>
          <w:p>
            <w:pPr>
              <w:spacing w:after="40" w:before="60" w:line="259" w:lineRule="auto"/>
            </w:pPr>
            <w:r>
              <w:rPr>
                <w:rFonts w:ascii="Calibri" w:hAnsi="Calibri"/>
                <w:b w:val="0"/>
                <w:i w:val="0"/>
                <w:color w:val="212121"/>
                <w:sz w:val="19"/>
              </w:rPr>
              <w:t>Co-morbid fibromyalgia pain is found in about 10–30% of (paediatric) ME/CFS patients and overlap is higher in adults.</w:t>
            </w:r>
          </w:p>
          <w:p>
            <w:pPr>
              <w:spacing w:after="40" w:line="252" w:lineRule="auto"/>
            </w:pPr>
            <w:hyperlink r:id="rId10">
              <w:r>
                <w:rPr>
                  <w:rFonts w:ascii="Calibri" w:hAnsi="Calibri" w:cs="Calibri"/>
                  <w:sz w:val="18"/>
                  <w:color w:val="1155CC"/>
                  <w:u w:val="single"/>
                </w:rPr>
                <w:t xml:space="preserve">frontiersin.org — ME/CFS in young people (primer)</w:t>
              </w:r>
            </w:hyperlink>
          </w:p>
          <w:p>
            <w:pPr>
              <w:spacing w:before="60" w:after="40"/>
            </w:pPr>
            <w:r>
              <w:rPr>
                <w:rFonts w:ascii="Calibri" w:hAnsi="Calibri"/>
                <w:b w:val="0"/>
                <w:i w:val="0"/>
                <w:color w:val="5A5A5A"/>
                <w:sz w:val="18"/>
              </w:rPr>
              <w:t>#fibromyalgia  #centralsensitisation  #pain  #overlap</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POTS / orthostatic intolerance</w:t>
            </w:r>
          </w:p>
        </w:tc>
        <w:tc>
          <w:tcPr>
            <w:tcW w:type="dxa" w:w="2160"/>
            <w:vAlign w:val="top"/>
          </w:tcPr>
          <w:p>
            <w:pPr>
              <w:spacing w:after="40" w:before="0" w:line="259" w:lineRule="auto"/>
            </w:pPr>
            <w:r>
              <w:rPr>
                <w:rFonts w:ascii="Calibri" w:hAnsi="Calibri"/>
                <w:b w:val="0"/>
                <w:i w:val="0"/>
                <w:color w:val="212121"/>
                <w:sz w:val="19"/>
              </w:rPr>
              <w:t>Patients with POTS / orthostatic intolerance</w:t>
            </w:r>
          </w:p>
        </w:tc>
        <w:tc>
          <w:tcPr>
            <w:tcW w:type="dxa" w:w="4276"/>
            <w:vAlign w:val="top"/>
          </w:tcPr>
          <w:p>
            <w:pPr>
              <w:spacing w:after="60" w:line="259" w:lineRule="auto"/>
            </w:pPr>
            <w:r>
              <w:rPr>
                <w:rFonts w:ascii="Calibri" w:hAnsi="Calibri"/>
                <w:b w:val="0"/>
                <w:i w:val="0"/>
                <w:color w:val="212121"/>
                <w:sz w:val="19"/>
              </w:rPr>
              <w:t>Autonomic dysfunction makes orthostatic intolerance and postural orthostatic tachycardia one of the most common comorbidities; upright posture provokes symptoms that ease on lying down.</w:t>
            </w:r>
          </w:p>
          <w:p>
            <w:pPr>
              <w:spacing w:after="40" w:before="60" w:line="259" w:lineRule="auto"/>
            </w:pPr>
            <w:r>
              <w:rPr>
                <w:rFonts w:ascii="Calibri" w:hAnsi="Calibri"/>
                <w:b w:val="0"/>
                <w:i w:val="0"/>
                <w:color w:val="212121"/>
                <w:sz w:val="19"/>
              </w:rPr>
              <w:t>POTS / orthostatic intolerance is described as one of the most common comorbidities of ME/CFS.</w:t>
            </w:r>
          </w:p>
          <w:p>
            <w:pPr>
              <w:spacing w:after="40" w:line="252" w:lineRule="auto"/>
            </w:pPr>
            <w:hyperlink r:id="rId14">
              <w:r>
                <w:rPr>
                  <w:rFonts w:ascii="Calibri" w:hAnsi="Calibri" w:cs="Calibri"/>
                  <w:sz w:val="18"/>
                  <w:color w:val="1155CC"/>
                  <w:u w:val="single"/>
                </w:rPr>
                <w:t xml:space="preserve">mdpi.com — ME/CFS comprehensive review</w:t>
              </w:r>
            </w:hyperlink>
          </w:p>
          <w:p>
            <w:pPr>
              <w:spacing w:before="60" w:after="40"/>
            </w:pPr>
            <w:r>
              <w:rPr>
                <w:rFonts w:ascii="Calibri" w:hAnsi="Calibri"/>
                <w:b w:val="0"/>
                <w:i w:val="0"/>
                <w:color w:val="5A5A5A"/>
                <w:sz w:val="18"/>
              </w:rPr>
              <w:t>#POTS  #orthostatic  #dysautonomia  #tachycardia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Depression</w:t>
            </w:r>
          </w:p>
        </w:tc>
        <w:tc>
          <w:tcPr>
            <w:tcW w:type="dxa" w:w="2160"/>
            <w:vAlign w:val="top"/>
          </w:tcPr>
          <w:p>
            <w:pPr>
              <w:spacing w:after="40" w:before="0" w:line="259" w:lineRule="auto"/>
            </w:pPr>
            <w:r>
              <w:rPr>
                <w:rFonts w:ascii="Calibri" w:hAnsi="Calibri"/>
                <w:b w:val="0"/>
                <w:i w:val="0"/>
                <w:color w:val="212121"/>
                <w:sz w:val="19"/>
              </w:rPr>
              <w:t>Patients with depression</w:t>
            </w:r>
          </w:p>
        </w:tc>
        <w:tc>
          <w:tcPr>
            <w:tcW w:type="dxa" w:w="4276"/>
            <w:vAlign w:val="top"/>
          </w:tcPr>
          <w:p>
            <w:pPr>
              <w:spacing w:after="60" w:line="259" w:lineRule="auto"/>
            </w:pPr>
            <w:r>
              <w:rPr>
                <w:rFonts w:ascii="Calibri" w:hAnsi="Calibri"/>
                <w:b w:val="0"/>
                <w:i w:val="0"/>
                <w:color w:val="212121"/>
                <w:sz w:val="19"/>
              </w:rPr>
              <w:t>Depression is a common comorbidity with bidirectional links through inflammatory pathways and the burden of chronic illness; it worsens sleep, cognition and function but does not cause ME/CFS.</w:t>
            </w:r>
          </w:p>
          <w:p>
            <w:pPr>
              <w:spacing w:after="40" w:before="60" w:line="259" w:lineRule="auto"/>
            </w:pPr>
            <w:r>
              <w:rPr>
                <w:rFonts w:ascii="Calibri" w:hAnsi="Calibri"/>
                <w:b w:val="0"/>
                <w:i w:val="0"/>
                <w:color w:val="212121"/>
                <w:sz w:val="19"/>
              </w:rPr>
              <w:t>In a large study about 25% of ME/CFS patients had clinical depression on the Beck scale.</w:t>
            </w:r>
          </w:p>
          <w:p>
            <w:pPr>
              <w:spacing w:after="40" w:line="252" w:lineRule="auto"/>
            </w:pPr>
            <w:hyperlink r:id="rId10">
              <w:r>
                <w:rPr>
                  <w:rFonts w:ascii="Calibri" w:hAnsi="Calibri" w:cs="Calibri"/>
                  <w:sz w:val="18"/>
                  <w:color w:val="1155CC"/>
                  <w:u w:val="single"/>
                </w:rPr>
                <w:t xml:space="preserve">frontiersin.org — ME/CFS in young people (primer)</w:t>
              </w:r>
            </w:hyperlink>
          </w:p>
          <w:p>
            <w:pPr>
              <w:spacing w:before="60" w:after="40"/>
            </w:pPr>
            <w:r>
              <w:rPr>
                <w:rFonts w:ascii="Calibri" w:hAnsi="Calibri"/>
                <w:b w:val="0"/>
                <w:i w:val="0"/>
                <w:color w:val="5A5A5A"/>
                <w:sz w:val="18"/>
              </w:rPr>
              <w:t>#depression  #bidirectional  #mentalhealth  #inflammation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Post-COVID-19 condition</w:t>
            </w:r>
          </w:p>
        </w:tc>
        <w:tc>
          <w:tcPr>
            <w:tcW w:type="dxa" w:w="2160"/>
            <w:vAlign w:val="top"/>
          </w:tcPr>
          <w:p>
            <w:pPr>
              <w:spacing w:after="40" w:before="0" w:line="259" w:lineRule="auto"/>
            </w:pPr>
            <w:r>
              <w:rPr>
                <w:rFonts w:ascii="Calibri" w:hAnsi="Calibri"/>
                <w:b w:val="0"/>
                <w:i w:val="0"/>
                <w:color w:val="212121"/>
                <w:sz w:val="19"/>
              </w:rPr>
              <w:t>Long-COVID patients</w:t>
            </w:r>
          </w:p>
        </w:tc>
        <w:tc>
          <w:tcPr>
            <w:tcW w:type="dxa" w:w="4276"/>
            <w:vAlign w:val="top"/>
          </w:tcPr>
          <w:p>
            <w:pPr>
              <w:spacing w:after="60" w:line="259" w:lineRule="auto"/>
            </w:pPr>
            <w:r>
              <w:rPr>
                <w:rFonts w:ascii="Calibri" w:hAnsi="Calibri"/>
                <w:b w:val="0"/>
                <w:i w:val="0"/>
                <w:color w:val="212121"/>
                <w:sz w:val="19"/>
              </w:rPr>
              <w:t>A substantial proportion of people with persistent post-COVID-19 symptoms meet ME/CFS criteria, sharing post-viral onset with dominant post-exertional malaise, brain fog and orthostatic intolerance.</w:t>
            </w:r>
          </w:p>
          <w:p>
            <w:pPr>
              <w:spacing w:before="60" w:after="40"/>
            </w:pPr>
            <w:r>
              <w:rPr>
                <w:rFonts w:ascii="Calibri" w:hAnsi="Calibri"/>
                <w:b w:val="0"/>
                <w:i w:val="0"/>
                <w:color w:val="5A5A5A"/>
                <w:sz w:val="18"/>
              </w:rPr>
              <w:t>#longcovid  #postviral  #PEM  #SARSCoV2</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Irritable bowel syndrome</w:t>
            </w:r>
          </w:p>
        </w:tc>
        <w:tc>
          <w:tcPr>
            <w:tcW w:type="dxa" w:w="2160"/>
            <w:vAlign w:val="top"/>
          </w:tcPr>
          <w:p>
            <w:pPr>
              <w:spacing w:after="40" w:before="0" w:line="259" w:lineRule="auto"/>
            </w:pPr>
            <w:r>
              <w:rPr>
                <w:rFonts w:ascii="Calibri" w:hAnsi="Calibri"/>
                <w:b w:val="0"/>
                <w:i w:val="0"/>
                <w:color w:val="212121"/>
                <w:sz w:val="19"/>
              </w:rPr>
              <w:t>Patients with IBS</w:t>
            </w:r>
          </w:p>
        </w:tc>
        <w:tc>
          <w:tcPr>
            <w:tcW w:type="dxa" w:w="4276"/>
            <w:vAlign w:val="top"/>
          </w:tcPr>
          <w:p>
            <w:pPr>
              <w:spacing w:after="60" w:line="259" w:lineRule="auto"/>
            </w:pPr>
            <w:r>
              <w:rPr>
                <w:rFonts w:ascii="Calibri" w:hAnsi="Calibri"/>
                <w:b w:val="0"/>
                <w:i w:val="0"/>
                <w:color w:val="212121"/>
                <w:sz w:val="19"/>
              </w:rPr>
              <w:t>Gut–brain axis and autonomic overlap mean irritable bowel syndrome commonly coexists with ME/CFS, adding pain, bloating and altered bowel habit to the symptom burden.</w:t>
            </w:r>
          </w:p>
          <w:p>
            <w:pPr>
              <w:spacing w:before="60" w:after="40"/>
            </w:pPr>
            <w:r>
              <w:rPr>
                <w:rFonts w:ascii="Calibri" w:hAnsi="Calibri"/>
                <w:b w:val="0"/>
                <w:i w:val="0"/>
                <w:color w:val="5A5A5A"/>
                <w:sz w:val="18"/>
              </w:rPr>
              <w:t>#IBS  #gutbrainaxis  #functional  #autonomic</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Exertion is the central modifier: activity beyond the individual’s ‘energy envelope’ triggers post-exertional malaise. Unlike most chronic diseases, graded or incremental exercise is NOT recommended (NICE 2021) and can cause lasting harm; pacing to stay within limits is protective.</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No specific causal diet exists, but nutritional deficiencies (vitamin D, B12, iron), skipped meals and large high-glycaemic meals worsen fatigue and orthostatic symptoms; adequate salt and fluid help orthostatic intolerance.</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Unrefreshing, non-restorative sleep is a core diagnostic feature; disrupted sleep architecture and reversed sleep–wake cycles worsen fatigue, pain and cognition.</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Tobacco and biomass smoke worsen fatigue, mitochondrial and vascular function and cognitive symptoms and compound cardiovascular risk from deconditioning.</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New-onset alcohol intolerance is characteristically reported in ME/CFS; even small amounts can precipitate marked, prolonged symptom flares.</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Depression and anxiety are common comorbidities that bidirectionally worsen fatigue, sleep and function, though ME/CFS is a biological, not psychiatric, illness; chronic stress can trigger onset and relapse.</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Adequate hydration (with liberal salt, if no contraindication) expands plasma volume and reduces orthostatic intolerance / POTS symptoms; dehydration worsens dizziness and fatigue.</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Many patients are caffeine-sensitive; caffeine can transiently mask fatigue but disrupts sleep and can worsen orthostatic symptoms and the boom-and-bust cycle.</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General hygiene reduces recurrent infections, which can precipitate post-exertional crashes and relapses in susceptible patients.</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Infections (viral/bacterial), physical or cognitive over-exertion, orthostatic stress, poor sleep, emotional stress, surgery and immune challenges commonly trigger onset and relapses (PEM ‘crashes’).</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Upright posture provokes orthostatic intolerance / POTS symptoms; recumbent or reclined positioning, leg elevation and compression garments relieve them, and horizontal rest aids recovery.</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Activity within energy envelope (pacing)</w:t>
            </w:r>
          </w:p>
        </w:tc>
        <w:tc>
          <w:tcPr>
            <w:tcW w:type="dxa" w:w="1655"/>
            <w:vAlign w:val="top"/>
          </w:tcPr>
          <w:p>
            <w:pPr>
              <w:spacing w:after="40" w:before="0" w:line="259" w:lineRule="auto"/>
            </w:pPr>
            <w:r>
              <w:rPr>
                <w:rFonts w:ascii="Calibri" w:hAnsi="Calibri"/>
                <w:b w:val="0"/>
                <w:i w:val="0"/>
                <w:color w:val="212121"/>
                <w:sz w:val="19"/>
              </w:rPr>
              <w:t>All patients with ME/CFS</w:t>
            </w:r>
          </w:p>
        </w:tc>
        <w:tc>
          <w:tcPr>
            <w:tcW w:type="dxa" w:w="1512"/>
            <w:vAlign w:val="top"/>
          </w:tcPr>
          <w:p>
            <w:pPr>
              <w:spacing w:after="40" w:before="0" w:line="259" w:lineRule="auto"/>
            </w:pPr>
            <w:r>
              <w:rPr>
                <w:rFonts w:ascii="Calibri" w:hAnsi="Calibri"/>
                <w:b w:val="0"/>
                <w:i w:val="0"/>
                <w:color w:val="212121"/>
                <w:sz w:val="19"/>
              </w:rPr>
              <w:t>Stay within an individualised energy envelope; no post-exertional crash 24–48 h later</w:t>
            </w:r>
          </w:p>
        </w:tc>
        <w:tc>
          <w:tcPr>
            <w:tcW w:type="dxa" w:w="1512"/>
            <w:vAlign w:val="top"/>
          </w:tcPr>
          <w:p>
            <w:pPr>
              <w:spacing w:after="40" w:before="0" w:line="259" w:lineRule="auto"/>
            </w:pPr>
            <w:r>
              <w:rPr>
                <w:rFonts w:ascii="Calibri" w:hAnsi="Calibri"/>
                <w:b w:val="0"/>
                <w:i w:val="0"/>
                <w:color w:val="212121"/>
                <w:sz w:val="19"/>
              </w:rPr>
              <w:t>Any activity that provokes delayed PEM / a crash lasting &gt; 24 h</w:t>
            </w:r>
          </w:p>
        </w:tc>
        <w:tc>
          <w:tcPr>
            <w:tcW w:type="dxa" w:w="1468"/>
            <w:vAlign w:val="top"/>
          </w:tcPr>
          <w:p>
            <w:pPr>
              <w:spacing w:after="60" w:line="259" w:lineRule="auto"/>
            </w:pPr>
            <w:r>
              <w:rPr>
                <w:rFonts w:ascii="Calibri" w:hAnsi="Calibri"/>
                <w:b w:val="0"/>
                <w:i w:val="0"/>
                <w:color w:val="212121"/>
                <w:sz w:val="19"/>
              </w:rPr>
              <w:t>Actigraphy or heart-rate monitoring can guide pacing; avoid graded/incremental exercise</w:t>
            </w:r>
          </w:p>
          <w:p>
            <w:pPr>
              <w:spacing w:after="40" w:line="252" w:lineRule="auto"/>
            </w:pPr>
            <w:hyperlink r:id="rId13">
              <w:r>
                <w:rPr>
                  <w:rFonts w:ascii="Calibri" w:hAnsi="Calibri" w:cs="Calibri"/>
                  <w:sz w:val="18"/>
                  <w:color w:val="1155CC"/>
                  <w:u w:val="single"/>
                </w:rPr>
                <w:t xml:space="preserve">https://www.nice.org.uk/guidance/ng206/chapter/Recommendations</w:t>
              </w:r>
            </w:hyperlink>
          </w:p>
        </w:tc>
      </w:tr>
      <w:tr>
        <w:trPr>
          <w:cantSplit/>
        </w:trPr>
        <w:tc>
          <w:tcPr>
            <w:tcW w:type="dxa" w:w="1512"/>
            <w:vAlign w:val="center"/>
          </w:tcPr>
          <w:p>
            <w:pPr>
              <w:spacing w:after="40"/>
            </w:pPr>
            <w:r>
              <w:rPr>
                <w:rFonts w:ascii="Calibri" w:hAnsi="Calibri"/>
                <w:b w:val="0"/>
                <w:i w:val="0"/>
                <w:color w:val="212121"/>
                <w:sz w:val="19"/>
              </w:rPr>
              <w:t>Posture</w:t>
            </w:r>
          </w:p>
        </w:tc>
        <w:tc>
          <w:tcPr>
            <w:tcW w:type="dxa" w:w="1944"/>
            <w:vAlign w:val="top"/>
          </w:tcPr>
          <w:p>
            <w:pPr>
              <w:spacing w:after="40" w:before="0" w:line="259" w:lineRule="auto"/>
            </w:pPr>
            <w:r>
              <w:rPr>
                <w:rFonts w:ascii="Calibri" w:hAnsi="Calibri"/>
                <w:b w:val="0"/>
                <w:i w:val="0"/>
                <w:color w:val="212121"/>
                <w:sz w:val="19"/>
              </w:rPr>
              <w:t>10-minute active-stand / lean test (HR rise)</w:t>
            </w:r>
          </w:p>
        </w:tc>
        <w:tc>
          <w:tcPr>
            <w:tcW w:type="dxa" w:w="1655"/>
            <w:vAlign w:val="top"/>
          </w:tcPr>
          <w:p>
            <w:pPr>
              <w:spacing w:after="40" w:before="0" w:line="259" w:lineRule="auto"/>
            </w:pPr>
            <w:r>
              <w:rPr>
                <w:rFonts w:ascii="Calibri" w:hAnsi="Calibri"/>
                <w:b w:val="0"/>
                <w:i w:val="0"/>
                <w:color w:val="212121"/>
                <w:sz w:val="19"/>
              </w:rPr>
              <w:t>Patients with orthostatic symptoms</w:t>
            </w:r>
          </w:p>
        </w:tc>
        <w:tc>
          <w:tcPr>
            <w:tcW w:type="dxa" w:w="1512"/>
            <w:vAlign w:val="top"/>
          </w:tcPr>
          <w:p>
            <w:pPr>
              <w:spacing w:after="40" w:before="0" w:line="259" w:lineRule="auto"/>
            </w:pPr>
            <w:r>
              <w:rPr>
                <w:rFonts w:ascii="Calibri" w:hAnsi="Calibri"/>
                <w:b w:val="0"/>
                <w:i w:val="0"/>
                <w:color w:val="212121"/>
                <w:sz w:val="19"/>
              </w:rPr>
              <w:t>HR rise &lt; 30 bpm (adults) / &lt; 40 bpm (12–19 y) without hypotension</w:t>
            </w:r>
          </w:p>
        </w:tc>
        <w:tc>
          <w:tcPr>
            <w:tcW w:type="dxa" w:w="1512"/>
            <w:vAlign w:val="top"/>
          </w:tcPr>
          <w:p>
            <w:pPr>
              <w:spacing w:after="40" w:before="0" w:line="259" w:lineRule="auto"/>
            </w:pPr>
            <w:r>
              <w:rPr>
                <w:rFonts w:ascii="Calibri" w:hAnsi="Calibri"/>
                <w:b w:val="0"/>
                <w:i w:val="0"/>
                <w:color w:val="212121"/>
                <w:sz w:val="19"/>
              </w:rPr>
              <w:t>Sustained HR rise ≥ 30 bpm (≥ 40 bpm in adolescents) = POTS</w:t>
            </w:r>
          </w:p>
        </w:tc>
        <w:tc>
          <w:tcPr>
            <w:tcW w:type="dxa" w:w="1468"/>
            <w:vAlign w:val="top"/>
          </w:tcPr>
          <w:p>
            <w:pPr>
              <w:spacing w:after="60" w:line="259" w:lineRule="auto"/>
            </w:pPr>
            <w:r>
              <w:rPr>
                <w:rFonts w:ascii="Calibri" w:hAnsi="Calibri"/>
                <w:b w:val="0"/>
                <w:i w:val="0"/>
                <w:color w:val="212121"/>
                <w:sz w:val="19"/>
              </w:rPr>
              <w:t>Bedside orthostatic vitals (HR &amp; BP sitting and standing) screen for orthostatic intolerance / POTS</w:t>
            </w:r>
          </w:p>
          <w:p>
            <w:pPr>
              <w:spacing w:after="40" w:line="252" w:lineRule="auto"/>
            </w:pPr>
            <w:hyperlink r:id="rId10">
              <w:r>
                <w:rPr>
                  <w:rFonts w:ascii="Calibri" w:hAnsi="Calibri" w:cs="Calibri"/>
                  <w:sz w:val="18"/>
                  <w:color w:val="1155CC"/>
                  <w:u w:val="single"/>
                </w:rPr>
                <w:t xml:space="preserve">https://www.frontiersin.org/articles/10.3389/fped.2017.00121/full</w:t>
              </w:r>
            </w:hyperlink>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 duration &amp; restorativeness</w:t>
            </w:r>
          </w:p>
        </w:tc>
        <w:tc>
          <w:tcPr>
            <w:tcW w:type="dxa" w:w="1655"/>
            <w:vAlign w:val="top"/>
          </w:tcPr>
          <w:p>
            <w:pPr>
              <w:spacing w:after="40" w:before="0" w:line="259" w:lineRule="auto"/>
            </w:pPr>
            <w:r>
              <w:rPr>
                <w:rFonts w:ascii="Calibri" w:hAnsi="Calibri"/>
                <w:b w:val="0"/>
                <w:i w:val="0"/>
                <w:color w:val="212121"/>
                <w:sz w:val="19"/>
              </w:rPr>
              <w:t>All patients</w:t>
            </w:r>
          </w:p>
        </w:tc>
        <w:tc>
          <w:tcPr>
            <w:tcW w:type="dxa" w:w="1512"/>
            <w:vAlign w:val="top"/>
          </w:tcPr>
          <w:p>
            <w:pPr>
              <w:spacing w:after="40" w:before="0" w:line="259" w:lineRule="auto"/>
            </w:pPr>
            <w:r>
              <w:rPr>
                <w:rFonts w:ascii="Calibri" w:hAnsi="Calibri"/>
                <w:b w:val="0"/>
                <w:i w:val="0"/>
                <w:color w:val="212121"/>
                <w:sz w:val="19"/>
              </w:rPr>
              <w:t>7–9 h with refreshed waking; consistent sleep–wake timing</w:t>
            </w:r>
          </w:p>
        </w:tc>
        <w:tc>
          <w:tcPr>
            <w:tcW w:type="dxa" w:w="1512"/>
            <w:vAlign w:val="top"/>
          </w:tcPr>
          <w:p>
            <w:pPr>
              <w:spacing w:after="40" w:before="0" w:line="259" w:lineRule="auto"/>
            </w:pPr>
            <w:r>
              <w:rPr>
                <w:rFonts w:ascii="Calibri" w:hAnsi="Calibri"/>
                <w:b w:val="0"/>
                <w:i w:val="0"/>
                <w:color w:val="212121"/>
                <w:sz w:val="19"/>
              </w:rPr>
              <w:t>Unrefreshing sleep, &lt; 6 h, reversed cycle or hypersomnia</w:t>
            </w:r>
          </w:p>
        </w:tc>
        <w:tc>
          <w:tcPr>
            <w:tcW w:type="dxa" w:w="1468"/>
            <w:vAlign w:val="top"/>
          </w:tcPr>
          <w:p>
            <w:pPr>
              <w:spacing w:after="40" w:before="0" w:line="259" w:lineRule="auto"/>
            </w:pPr>
            <w:r>
              <w:rPr>
                <w:rFonts w:ascii="Calibri" w:hAnsi="Calibri"/>
                <w:b w:val="0"/>
                <w:i w:val="0"/>
                <w:color w:val="212121"/>
                <w:sz w:val="19"/>
              </w:rPr>
              <w:t>Unrefreshing sleep is a core diagnostic feature; treat coexisting sleep disorders</w:t>
            </w:r>
          </w:p>
        </w:tc>
      </w:tr>
      <w:tr>
        <w:trPr>
          <w:cantSplit/>
        </w:trPr>
        <w:tc>
          <w:tcPr>
            <w:tcW w:type="dxa" w:w="1512"/>
            <w:vAlign w:val="center"/>
          </w:tcPr>
          <w:p>
            <w:pPr>
              <w:spacing w:after="40"/>
            </w:pPr>
            <w:r>
              <w:rPr>
                <w:rFonts w:ascii="Calibri" w:hAnsi="Calibri"/>
                <w:b w:val="0"/>
                <w:i w:val="0"/>
                <w:color w:val="212121"/>
                <w:sz w:val="19"/>
              </w:rPr>
              <w:t>Water</w:t>
            </w:r>
          </w:p>
        </w:tc>
        <w:tc>
          <w:tcPr>
            <w:tcW w:type="dxa" w:w="1944"/>
            <w:vAlign w:val="top"/>
          </w:tcPr>
          <w:p>
            <w:pPr>
              <w:spacing w:after="40" w:before="0" w:line="259" w:lineRule="auto"/>
            </w:pPr>
            <w:r>
              <w:rPr>
                <w:rFonts w:ascii="Calibri" w:hAnsi="Calibri"/>
                <w:b w:val="0"/>
                <w:i w:val="0"/>
                <w:color w:val="212121"/>
                <w:sz w:val="19"/>
              </w:rPr>
              <w:t>Daily fluid &amp; salt intake (if orthostatic intolerance)</w:t>
            </w:r>
          </w:p>
        </w:tc>
        <w:tc>
          <w:tcPr>
            <w:tcW w:type="dxa" w:w="1655"/>
            <w:vAlign w:val="top"/>
          </w:tcPr>
          <w:p>
            <w:pPr>
              <w:spacing w:after="40" w:before="0" w:line="259" w:lineRule="auto"/>
            </w:pPr>
            <w:r>
              <w:rPr>
                <w:rFonts w:ascii="Calibri" w:hAnsi="Calibri"/>
                <w:b w:val="0"/>
                <w:i w:val="0"/>
                <w:color w:val="212121"/>
                <w:sz w:val="19"/>
              </w:rPr>
              <w:t>Patients with OI / POTS</w:t>
            </w:r>
          </w:p>
        </w:tc>
        <w:tc>
          <w:tcPr>
            <w:tcW w:type="dxa" w:w="1512"/>
            <w:vAlign w:val="top"/>
          </w:tcPr>
          <w:p>
            <w:pPr>
              <w:spacing w:after="40" w:before="0" w:line="259" w:lineRule="auto"/>
            </w:pPr>
            <w:r>
              <w:rPr>
                <w:rFonts w:ascii="Calibri" w:hAnsi="Calibri"/>
                <w:b w:val="0"/>
                <w:i w:val="0"/>
                <w:color w:val="212121"/>
                <w:sz w:val="19"/>
              </w:rPr>
              <w:t>~2–3 L fluid/day with liberal salt, if no cardiac/renal contraindication</w:t>
            </w:r>
          </w:p>
        </w:tc>
        <w:tc>
          <w:tcPr>
            <w:tcW w:type="dxa" w:w="1512"/>
            <w:vAlign w:val="top"/>
          </w:tcPr>
          <w:p>
            <w:pPr>
              <w:spacing w:after="40" w:before="0" w:line="259" w:lineRule="auto"/>
            </w:pPr>
            <w:r>
              <w:rPr>
                <w:rFonts w:ascii="Calibri" w:hAnsi="Calibri"/>
                <w:b w:val="0"/>
                <w:i w:val="0"/>
                <w:color w:val="212121"/>
                <w:sz w:val="19"/>
              </w:rPr>
              <w:t>Low fluid/salt intake worsening dizziness and fatigue</w:t>
            </w:r>
          </w:p>
        </w:tc>
        <w:tc>
          <w:tcPr>
            <w:tcW w:type="dxa" w:w="1468"/>
            <w:vAlign w:val="top"/>
          </w:tcPr>
          <w:p>
            <w:pPr>
              <w:spacing w:after="40" w:before="0" w:line="259" w:lineRule="auto"/>
            </w:pPr>
            <w:r>
              <w:rPr>
                <w:rFonts w:ascii="Calibri" w:hAnsi="Calibri"/>
                <w:b w:val="0"/>
                <w:i w:val="0"/>
                <w:color w:val="212121"/>
                <w:sz w:val="19"/>
              </w:rPr>
              <w:t>Volume expansion reduces orthostatic symptoms</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per day</w:t>
            </w:r>
          </w:p>
        </w:tc>
        <w:tc>
          <w:tcPr>
            <w:tcW w:type="dxa" w:w="1655"/>
            <w:vAlign w:val="top"/>
          </w:tcPr>
          <w:p>
            <w:pPr>
              <w:spacing w:after="40" w:before="0" w:line="259" w:lineRule="auto"/>
            </w:pPr>
            <w:r>
              <w:rPr>
                <w:rFonts w:ascii="Calibri" w:hAnsi="Calibri"/>
                <w:b w:val="0"/>
                <w:i w:val="0"/>
                <w:color w:val="212121"/>
                <w:sz w:val="19"/>
              </w:rPr>
              <w:t>Adults, adolescents</w:t>
            </w:r>
          </w:p>
        </w:tc>
        <w:tc>
          <w:tcPr>
            <w:tcW w:type="dxa" w:w="1512"/>
            <w:vAlign w:val="top"/>
          </w:tcPr>
          <w:p>
            <w:pPr>
              <w:spacing w:after="40" w:before="0" w:line="259" w:lineRule="auto"/>
            </w:pPr>
            <w:r>
              <w:rPr>
                <w:rFonts w:ascii="Calibri" w:hAnsi="Calibri"/>
                <w:b w:val="0"/>
                <w:i w:val="0"/>
                <w:color w:val="212121"/>
                <w:sz w:val="19"/>
              </w:rPr>
              <w:t>0 cigarettes/day; no biomass-smoke exposure</w:t>
            </w:r>
          </w:p>
        </w:tc>
        <w:tc>
          <w:tcPr>
            <w:tcW w:type="dxa" w:w="1512"/>
            <w:vAlign w:val="top"/>
          </w:tcPr>
          <w:p>
            <w:pPr>
              <w:spacing w:after="40" w:before="0" w:line="259" w:lineRule="auto"/>
            </w:pPr>
            <w:r>
              <w:rPr>
                <w:rFonts w:ascii="Calibri" w:hAnsi="Calibri"/>
                <w:b w:val="0"/>
                <w:i w:val="0"/>
                <w:color w:val="212121"/>
                <w:sz w:val="19"/>
              </w:rPr>
              <w:t>≥ 1 cigarette/day</w:t>
            </w:r>
          </w:p>
        </w:tc>
        <w:tc>
          <w:tcPr>
            <w:tcW w:type="dxa" w:w="1468"/>
            <w:vAlign w:val="top"/>
          </w:tcPr>
          <w:p>
            <w:pPr>
              <w:spacing w:after="40" w:before="0" w:line="259" w:lineRule="auto"/>
            </w:pPr>
            <w:r>
              <w:rPr>
                <w:rFonts w:ascii="Calibri" w:hAnsi="Calibri"/>
                <w:b w:val="0"/>
                <w:i w:val="0"/>
                <w:color w:val="212121"/>
                <w:sz w:val="19"/>
              </w:rPr>
              <w:t>Tobacco worsens fatigue and vascular/mitochondrial function</w:t>
            </w:r>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Drinks per week</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Minimal or none; many patients are intolerant</w:t>
            </w:r>
          </w:p>
        </w:tc>
        <w:tc>
          <w:tcPr>
            <w:tcW w:type="dxa" w:w="1512"/>
            <w:vAlign w:val="top"/>
          </w:tcPr>
          <w:p>
            <w:pPr>
              <w:spacing w:after="40" w:before="0" w:line="259" w:lineRule="auto"/>
            </w:pPr>
            <w:r>
              <w:rPr>
                <w:rFonts w:ascii="Calibri" w:hAnsi="Calibri"/>
                <w:b w:val="0"/>
                <w:i w:val="0"/>
                <w:color w:val="212121"/>
                <w:sz w:val="19"/>
              </w:rPr>
              <w:t>Any amount that provokes a symptom flare</w:t>
            </w:r>
          </w:p>
        </w:tc>
        <w:tc>
          <w:tcPr>
            <w:tcW w:type="dxa" w:w="1468"/>
            <w:vAlign w:val="top"/>
          </w:tcPr>
          <w:p>
            <w:pPr>
              <w:spacing w:after="40" w:before="0" w:line="259" w:lineRule="auto"/>
            </w:pPr>
            <w:r>
              <w:rPr>
                <w:rFonts w:ascii="Calibri" w:hAnsi="Calibri"/>
                <w:b w:val="0"/>
                <w:i w:val="0"/>
                <w:color w:val="212121"/>
                <w:sz w:val="19"/>
              </w:rPr>
              <w:t>New alcohol intolerance is characteristic of ME/CFS</w:t>
            </w:r>
          </w:p>
        </w:tc>
      </w:tr>
      <w:tr>
        <w:trPr>
          <w:cantSplit/>
        </w:trPr>
        <w:tc>
          <w:tcPr>
            <w:tcW w:type="dxa" w:w="1512"/>
            <w:vAlign w:val="center"/>
          </w:tcPr>
          <w:p>
            <w:pPr>
              <w:spacing w:after="40"/>
            </w:pPr>
            <w:r>
              <w:rPr>
                <w:rFonts w:ascii="Calibri" w:hAnsi="Calibri"/>
                <w:b w:val="0"/>
                <w:i w:val="0"/>
                <w:color w:val="212121"/>
                <w:sz w:val="19"/>
              </w:rPr>
              <w:t>Caffeine</w:t>
            </w:r>
          </w:p>
        </w:tc>
        <w:tc>
          <w:tcPr>
            <w:tcW w:type="dxa" w:w="1944"/>
            <w:vAlign w:val="top"/>
          </w:tcPr>
          <w:p>
            <w:pPr>
              <w:spacing w:after="40" w:before="0" w:line="259" w:lineRule="auto"/>
            </w:pPr>
            <w:r>
              <w:rPr>
                <w:rFonts w:ascii="Calibri" w:hAnsi="Calibri"/>
                <w:b w:val="0"/>
                <w:i w:val="0"/>
                <w:color w:val="212121"/>
                <w:sz w:val="19"/>
              </w:rPr>
              <w:t>Caffeine intake (mg/day)</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&lt; 200 mg/day, none in the evening</w:t>
            </w:r>
          </w:p>
        </w:tc>
        <w:tc>
          <w:tcPr>
            <w:tcW w:type="dxa" w:w="1512"/>
            <w:vAlign w:val="top"/>
          </w:tcPr>
          <w:p>
            <w:pPr>
              <w:spacing w:after="40" w:before="0" w:line="259" w:lineRule="auto"/>
            </w:pPr>
            <w:r>
              <w:rPr>
                <w:rFonts w:ascii="Calibri" w:hAnsi="Calibri"/>
                <w:b w:val="0"/>
                <w:i w:val="0"/>
                <w:color w:val="212121"/>
                <w:sz w:val="19"/>
              </w:rPr>
              <w:t>Evening or high intake disrupting sleep / orthostatic symptoms</w:t>
            </w:r>
          </w:p>
        </w:tc>
        <w:tc>
          <w:tcPr>
            <w:tcW w:type="dxa" w:w="1468"/>
            <w:vAlign w:val="top"/>
          </w:tcPr>
          <w:p>
            <w:pPr>
              <w:spacing w:after="40" w:before="0" w:line="259" w:lineRule="auto"/>
            </w:pPr>
            <w:r>
              <w:rPr>
                <w:rFonts w:ascii="Calibri" w:hAnsi="Calibri"/>
                <w:b w:val="0"/>
                <w:i w:val="0"/>
                <w:color w:val="212121"/>
                <w:sz w:val="19"/>
              </w:rPr>
              <w:t>Use cautiously; can mask fatigue and disturb sleep</w:t>
            </w:r>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Serum 25-hydroxy vitamin D</w:t>
            </w:r>
          </w:p>
        </w:tc>
        <w:tc>
          <w:tcPr>
            <w:tcW w:type="dxa" w:w="1655"/>
            <w:vAlign w:val="top"/>
          </w:tcPr>
          <w:p>
            <w:pPr>
              <w:spacing w:after="40" w:before="0" w:line="259" w:lineRule="auto"/>
            </w:pPr>
            <w:r>
              <w:rPr>
                <w:rFonts w:ascii="Calibri" w:hAnsi="Calibri"/>
                <w:b w:val="0"/>
                <w:i w:val="0"/>
                <w:color w:val="212121"/>
                <w:sz w:val="19"/>
              </w:rPr>
              <w:t>All patients (deficiency common in India)</w:t>
            </w:r>
          </w:p>
        </w:tc>
        <w:tc>
          <w:tcPr>
            <w:tcW w:type="dxa" w:w="1512"/>
            <w:vAlign w:val="top"/>
          </w:tcPr>
          <w:p>
            <w:pPr>
              <w:spacing w:after="40" w:before="0" w:line="259" w:lineRule="auto"/>
            </w:pPr>
            <w:r>
              <w:rPr>
                <w:rFonts w:ascii="Calibri" w:hAnsi="Calibri"/>
                <w:b w:val="0"/>
                <w:i w:val="0"/>
                <w:color w:val="212121"/>
                <w:sz w:val="19"/>
              </w:rPr>
              <w:t>30–100 ng/mL (≥ 30)</w:t>
            </w:r>
          </w:p>
        </w:tc>
        <w:tc>
          <w:tcPr>
            <w:tcW w:type="dxa" w:w="1512"/>
            <w:vAlign w:val="top"/>
          </w:tcPr>
          <w:p>
            <w:pPr>
              <w:spacing w:after="40" w:before="0" w:line="259" w:lineRule="auto"/>
            </w:pPr>
            <w:r>
              <w:rPr>
                <w:rFonts w:ascii="Calibri" w:hAnsi="Calibri"/>
                <w:b w:val="0"/>
                <w:i w:val="0"/>
                <w:color w:val="212121"/>
                <w:sz w:val="19"/>
              </w:rPr>
              <w:t>&lt; 20 ng/mL (deficiency)</w:t>
            </w:r>
          </w:p>
        </w:tc>
        <w:tc>
          <w:tcPr>
            <w:tcW w:type="dxa" w:w="1468"/>
            <w:vAlign w:val="top"/>
          </w:tcPr>
          <w:p>
            <w:pPr>
              <w:spacing w:after="40" w:before="0" w:line="259" w:lineRule="auto"/>
            </w:pPr>
            <w:r>
              <w:rPr>
                <w:rFonts w:ascii="Calibri" w:hAnsi="Calibri"/>
                <w:b w:val="0"/>
                <w:i w:val="0"/>
                <w:color w:val="212121"/>
                <w:sz w:val="19"/>
              </w:rPr>
              <w:t>Deficiency is a common, reversible contributor to fatigue and myalgia</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Serum vitamin B12</w:t>
            </w:r>
          </w:p>
        </w:tc>
        <w:tc>
          <w:tcPr>
            <w:tcW w:type="dxa" w:w="1655"/>
            <w:vAlign w:val="top"/>
          </w:tcPr>
          <w:p>
            <w:pPr>
              <w:spacing w:after="40" w:before="0" w:line="259" w:lineRule="auto"/>
            </w:pPr>
            <w:r>
              <w:rPr>
                <w:rFonts w:ascii="Calibri" w:hAnsi="Calibri"/>
                <w:b w:val="0"/>
                <w:i w:val="0"/>
                <w:color w:val="212121"/>
                <w:sz w:val="19"/>
              </w:rPr>
              <w:t>Vegetarians, elderly</w:t>
            </w:r>
          </w:p>
        </w:tc>
        <w:tc>
          <w:tcPr>
            <w:tcW w:type="dxa" w:w="1512"/>
            <w:vAlign w:val="top"/>
          </w:tcPr>
          <w:p>
            <w:pPr>
              <w:spacing w:after="40" w:before="0" w:line="259" w:lineRule="auto"/>
            </w:pPr>
            <w:r>
              <w:rPr>
                <w:rFonts w:ascii="Calibri" w:hAnsi="Calibri"/>
                <w:b w:val="0"/>
                <w:i w:val="0"/>
                <w:color w:val="212121"/>
                <w:sz w:val="19"/>
              </w:rPr>
              <w:t>&gt; 300 pg/mL</w:t>
            </w:r>
          </w:p>
        </w:tc>
        <w:tc>
          <w:tcPr>
            <w:tcW w:type="dxa" w:w="1512"/>
            <w:vAlign w:val="top"/>
          </w:tcPr>
          <w:p>
            <w:pPr>
              <w:spacing w:after="40" w:before="0" w:line="259" w:lineRule="auto"/>
            </w:pPr>
            <w:r>
              <w:rPr>
                <w:rFonts w:ascii="Calibri" w:hAnsi="Calibri"/>
                <w:b w:val="0"/>
                <w:i w:val="0"/>
                <w:color w:val="212121"/>
                <w:sz w:val="19"/>
              </w:rPr>
              <w:t>&lt; 200 pg/mL (deficiency)</w:t>
            </w:r>
          </w:p>
        </w:tc>
        <w:tc>
          <w:tcPr>
            <w:tcW w:type="dxa" w:w="1468"/>
            <w:vAlign w:val="top"/>
          </w:tcPr>
          <w:p>
            <w:pPr>
              <w:spacing w:after="40" w:before="0" w:line="259" w:lineRule="auto"/>
            </w:pPr>
            <w:r>
              <w:rPr>
                <w:rFonts w:ascii="Calibri" w:hAnsi="Calibri"/>
                <w:b w:val="0"/>
                <w:i w:val="0"/>
                <w:color w:val="212121"/>
                <w:sz w:val="19"/>
              </w:rPr>
              <w:t>Correct as a reversible cause of fatigue and cognitive symptoms</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Serum ferritin / haemoglobin</w:t>
            </w:r>
          </w:p>
        </w:tc>
        <w:tc>
          <w:tcPr>
            <w:tcW w:type="dxa" w:w="1655"/>
            <w:vAlign w:val="top"/>
          </w:tcPr>
          <w:p>
            <w:pPr>
              <w:spacing w:after="40" w:before="0" w:line="259" w:lineRule="auto"/>
            </w:pPr>
            <w:r>
              <w:rPr>
                <w:rFonts w:ascii="Calibri" w:hAnsi="Calibri"/>
                <w:b w:val="0"/>
                <w:i w:val="0"/>
                <w:color w:val="212121"/>
                <w:sz w:val="19"/>
              </w:rPr>
              <w:t>Menstruating women, poor diet</w:t>
            </w:r>
          </w:p>
        </w:tc>
        <w:tc>
          <w:tcPr>
            <w:tcW w:type="dxa" w:w="1512"/>
            <w:vAlign w:val="top"/>
          </w:tcPr>
          <w:p>
            <w:pPr>
              <w:spacing w:after="40" w:before="0" w:line="259" w:lineRule="auto"/>
            </w:pPr>
            <w:r>
              <w:rPr>
                <w:rFonts w:ascii="Calibri" w:hAnsi="Calibri"/>
                <w:b w:val="0"/>
                <w:i w:val="0"/>
                <w:color w:val="212121"/>
                <w:sz w:val="19"/>
              </w:rPr>
              <w:t>Ferritin normal; Hb ≥ 12 g/dL (F) / ≥ 13 g/dL (M)</w:t>
            </w:r>
          </w:p>
        </w:tc>
        <w:tc>
          <w:tcPr>
            <w:tcW w:type="dxa" w:w="1512"/>
            <w:vAlign w:val="top"/>
          </w:tcPr>
          <w:p>
            <w:pPr>
              <w:spacing w:after="40" w:before="0" w:line="259" w:lineRule="auto"/>
            </w:pPr>
            <w:r>
              <w:rPr>
                <w:rFonts w:ascii="Calibri" w:hAnsi="Calibri"/>
                <w:b w:val="0"/>
                <w:i w:val="0"/>
                <w:color w:val="212121"/>
                <w:sz w:val="19"/>
              </w:rPr>
              <w:t>Iron deficiency / anaemia</w:t>
            </w:r>
          </w:p>
        </w:tc>
        <w:tc>
          <w:tcPr>
            <w:tcW w:type="dxa" w:w="1468"/>
            <w:vAlign w:val="top"/>
          </w:tcPr>
          <w:p>
            <w:pPr>
              <w:spacing w:after="40" w:before="0" w:line="259" w:lineRule="auto"/>
            </w:pPr>
            <w:r>
              <w:rPr>
                <w:rFonts w:ascii="Calibri" w:hAnsi="Calibri"/>
                <w:b w:val="0"/>
                <w:i w:val="0"/>
                <w:color w:val="212121"/>
                <w:sz w:val="19"/>
              </w:rPr>
              <w:t>Exclude and treat iron deficiency and anaemia as reversible fatigue causes</w:t>
            </w:r>
          </w:p>
        </w:tc>
      </w:tr>
      <w:tr>
        <w:trPr>
          <w:cantSplit/>
        </w:trPr>
        <w:tc>
          <w:tcPr>
            <w:tcW w:type="dxa" w:w="1512"/>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PHQ-9 / GAD-7 screen</w:t>
            </w:r>
          </w:p>
        </w:tc>
        <w:tc>
          <w:tcPr>
            <w:tcW w:type="dxa" w:w="1655"/>
            <w:vAlign w:val="top"/>
          </w:tcPr>
          <w:p>
            <w:pPr>
              <w:spacing w:after="40" w:before="0" w:line="259" w:lineRule="auto"/>
            </w:pPr>
            <w:r>
              <w:rPr>
                <w:rFonts w:ascii="Calibri" w:hAnsi="Calibri"/>
                <w:b w:val="0"/>
                <w:i w:val="0"/>
                <w:color w:val="212121"/>
                <w:sz w:val="19"/>
              </w:rPr>
              <w:t>All patients</w:t>
            </w:r>
          </w:p>
        </w:tc>
        <w:tc>
          <w:tcPr>
            <w:tcW w:type="dxa" w:w="1512"/>
            <w:vAlign w:val="top"/>
          </w:tcPr>
          <w:p>
            <w:pPr>
              <w:spacing w:after="40" w:before="0" w:line="259" w:lineRule="auto"/>
            </w:pPr>
            <w:r>
              <w:rPr>
                <w:rFonts w:ascii="Calibri" w:hAnsi="Calibri"/>
                <w:b w:val="0"/>
                <w:i w:val="0"/>
                <w:color w:val="212121"/>
                <w:sz w:val="19"/>
              </w:rPr>
              <w:t>Minimal (PHQ-9 &lt; 5; GAD-7 &lt; 5)</w:t>
            </w:r>
          </w:p>
        </w:tc>
        <w:tc>
          <w:tcPr>
            <w:tcW w:type="dxa" w:w="1512"/>
            <w:vAlign w:val="top"/>
          </w:tcPr>
          <w:p>
            <w:pPr>
              <w:spacing w:after="40" w:before="0" w:line="259" w:lineRule="auto"/>
            </w:pPr>
            <w:r>
              <w:rPr>
                <w:rFonts w:ascii="Calibri" w:hAnsi="Calibri"/>
                <w:b w:val="0"/>
                <w:i w:val="0"/>
                <w:color w:val="212121"/>
                <w:sz w:val="19"/>
              </w:rPr>
              <w:t>Elevated scores indicating depression/anxiety</w:t>
            </w:r>
          </w:p>
        </w:tc>
        <w:tc>
          <w:tcPr>
            <w:tcW w:type="dxa" w:w="1468"/>
            <w:vAlign w:val="top"/>
          </w:tcPr>
          <w:p>
            <w:pPr>
              <w:spacing w:after="40" w:before="0" w:line="259" w:lineRule="auto"/>
            </w:pPr>
            <w:r>
              <w:rPr>
                <w:rFonts w:ascii="Calibri" w:hAnsi="Calibri"/>
                <w:b w:val="0"/>
                <w:i w:val="0"/>
                <w:color w:val="212121"/>
                <w:sz w:val="19"/>
              </w:rPr>
              <w:t>Screen and treat comorbid mood/anxiety without labelling ME/CFS as psychiatric</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 / Haematological</w:t>
            </w:r>
          </w:p>
        </w:tc>
        <w:tc>
          <w:tcPr>
            <w:tcW w:type="dxa" w:w="1036"/>
            <w:vAlign w:val="top"/>
          </w:tcPr>
          <w:p>
            <w:pPr>
              <w:spacing w:after="40" w:before="0" w:line="259" w:lineRule="auto"/>
            </w:pPr>
            <w:r>
              <w:rPr>
                <w:rFonts w:ascii="Calibri" w:hAnsi="Calibri"/>
                <w:b w:val="0"/>
                <w:i w:val="0"/>
                <w:color w:val="212121"/>
                <w:sz w:val="16"/>
              </w:rPr>
              <w:t>Full blood count (CBC)</w:t>
            </w:r>
          </w:p>
        </w:tc>
        <w:tc>
          <w:tcPr>
            <w:tcW w:type="dxa" w:w="892"/>
            <w:vAlign w:val="top"/>
          </w:tcPr>
          <w:p>
            <w:pPr>
              <w:spacing w:after="40" w:before="0" w:line="259" w:lineRule="auto"/>
            </w:pPr>
            <w:r>
              <w:rPr>
                <w:rFonts w:ascii="Calibri" w:hAnsi="Calibri"/>
                <w:b w:val="0"/>
                <w:i w:val="0"/>
                <w:color w:val="212121"/>
                <w:sz w:val="16"/>
              </w:rPr>
              <w:t>Exclusionary blood panel</w:t>
            </w:r>
          </w:p>
        </w:tc>
        <w:tc>
          <w:tcPr>
            <w:tcW w:type="dxa" w:w="950"/>
            <w:vAlign w:val="top"/>
          </w:tcPr>
          <w:p>
            <w:pPr>
              <w:spacing w:after="40" w:before="0" w:line="259" w:lineRule="auto"/>
            </w:pPr>
            <w:r>
              <w:rPr>
                <w:rFonts w:ascii="Calibri" w:hAnsi="Calibri"/>
                <w:b w:val="0"/>
                <w:i w:val="0"/>
                <w:color w:val="212121"/>
                <w:sz w:val="16"/>
              </w:rPr>
              <w:t>Normal indices</w:t>
            </w:r>
          </w:p>
        </w:tc>
        <w:tc>
          <w:tcPr>
            <w:tcW w:type="dxa" w:w="950"/>
            <w:vAlign w:val="top"/>
          </w:tcPr>
          <w:p>
            <w:pPr>
              <w:spacing w:after="40" w:before="0" w:line="259" w:lineRule="auto"/>
            </w:pPr>
            <w:r>
              <w:rPr>
                <w:rFonts w:ascii="Calibri" w:hAnsi="Calibri"/>
                <w:b w:val="0"/>
                <w:i w:val="0"/>
                <w:color w:val="212121"/>
                <w:sz w:val="16"/>
              </w:rPr>
              <w:t>Anaemia, leucocytosis, cytopenias</w:t>
            </w:r>
          </w:p>
        </w:tc>
        <w:tc>
          <w:tcPr>
            <w:tcW w:type="dxa" w:w="1036"/>
            <w:vAlign w:val="top"/>
          </w:tcPr>
          <w:p>
            <w:pPr>
              <w:spacing w:after="40" w:before="0" w:line="259" w:lineRule="auto"/>
            </w:pPr>
            <w:r>
              <w:rPr>
                <w:rFonts w:ascii="Calibri" w:hAnsi="Calibri"/>
                <w:b w:val="0"/>
                <w:i w:val="0"/>
                <w:color w:val="212121"/>
                <w:sz w:val="16"/>
              </w:rPr>
              <w:t>Excludes anaemia, occult infection and haematological causes of fatigue</w:t>
            </w:r>
          </w:p>
        </w:tc>
        <w:tc>
          <w:tcPr>
            <w:tcW w:type="dxa" w:w="1036"/>
            <w:vAlign w:val="top"/>
          </w:tcPr>
          <w:p>
            <w:pPr>
              <w:spacing w:after="40" w:before="0" w:line="259" w:lineRule="auto"/>
            </w:pPr>
            <w:r>
              <w:rPr>
                <w:rFonts w:ascii="Calibri" w:hAnsi="Calibri"/>
                <w:b w:val="0"/>
                <w:i w:val="0"/>
                <w:color w:val="212121"/>
                <w:sz w:val="16"/>
              </w:rPr>
              <w:t>All patients being evaluated for chronic fatigue</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Exclusionary (first-line)</w:t>
            </w:r>
          </w:p>
        </w:tc>
        <w:tc>
          <w:tcPr>
            <w:tcW w:type="dxa" w:w="720"/>
            <w:vAlign w:val="top"/>
          </w:tcPr>
          <w:p>
            <w:pPr>
              <w:spacing w:after="40" w:before="0" w:line="259" w:lineRule="auto"/>
            </w:pPr>
            <w:r>
              <w:rPr>
                <w:rFonts w:ascii="Calibri" w:hAnsi="Calibri"/>
                <w:b w:val="0"/>
                <w:i w:val="0"/>
                <w:color w:val="212121"/>
                <w:sz w:val="16"/>
              </w:rPr>
              <w:t>ME/CFS has no diagnostic lab test; labs are to exclude mimics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Endocrine</w:t>
            </w:r>
          </w:p>
        </w:tc>
        <w:tc>
          <w:tcPr>
            <w:tcW w:type="dxa" w:w="1036"/>
            <w:vAlign w:val="top"/>
          </w:tcPr>
          <w:p>
            <w:pPr>
              <w:spacing w:after="40" w:before="0" w:line="259" w:lineRule="auto"/>
            </w:pPr>
            <w:r>
              <w:rPr>
                <w:rFonts w:ascii="Calibri" w:hAnsi="Calibri"/>
                <w:b w:val="0"/>
                <w:i w:val="0"/>
                <w:color w:val="212121"/>
                <w:sz w:val="16"/>
              </w:rPr>
              <w:t>TSH ± free T4</w:t>
            </w:r>
          </w:p>
        </w:tc>
        <w:tc>
          <w:tcPr>
            <w:tcW w:type="dxa" w:w="892"/>
            <w:vAlign w:val="top"/>
          </w:tcPr>
          <w:p>
            <w:pPr>
              <w:spacing w:after="40" w:before="0" w:line="259" w:lineRule="auto"/>
            </w:pPr>
            <w:r>
              <w:rPr>
                <w:rFonts w:ascii="Calibri" w:hAnsi="Calibri"/>
                <w:b w:val="0"/>
                <w:i w:val="0"/>
                <w:color w:val="212121"/>
                <w:sz w:val="16"/>
              </w:rPr>
              <w:t>Thyroid function test</w:t>
            </w:r>
          </w:p>
        </w:tc>
        <w:tc>
          <w:tcPr>
            <w:tcW w:type="dxa" w:w="950"/>
            <w:vAlign w:val="top"/>
          </w:tcPr>
          <w:p>
            <w:pPr>
              <w:spacing w:after="40" w:before="0" w:line="259" w:lineRule="auto"/>
            </w:pPr>
            <w:r>
              <w:rPr>
                <w:rFonts w:ascii="Calibri" w:hAnsi="Calibri"/>
                <w:b w:val="0"/>
                <w:i w:val="0"/>
                <w:color w:val="212121"/>
                <w:sz w:val="16"/>
              </w:rPr>
              <w:t>TSH 0.4–4.0 mIU/L</w:t>
            </w:r>
          </w:p>
        </w:tc>
        <w:tc>
          <w:tcPr>
            <w:tcW w:type="dxa" w:w="950"/>
            <w:vAlign w:val="top"/>
          </w:tcPr>
          <w:p>
            <w:pPr>
              <w:spacing w:after="40" w:before="0" w:line="259" w:lineRule="auto"/>
            </w:pPr>
            <w:r>
              <w:rPr>
                <w:rFonts w:ascii="Calibri" w:hAnsi="Calibri"/>
                <w:b w:val="0"/>
                <w:i w:val="0"/>
                <w:color w:val="212121"/>
                <w:sz w:val="16"/>
              </w:rPr>
              <w:t>Elevated or suppressed TSH</w:t>
            </w:r>
          </w:p>
        </w:tc>
        <w:tc>
          <w:tcPr>
            <w:tcW w:type="dxa" w:w="1036"/>
            <w:vAlign w:val="top"/>
          </w:tcPr>
          <w:p>
            <w:pPr>
              <w:spacing w:after="40" w:before="0" w:line="259" w:lineRule="auto"/>
            </w:pPr>
            <w:r>
              <w:rPr>
                <w:rFonts w:ascii="Calibri" w:hAnsi="Calibri"/>
                <w:b w:val="0"/>
                <w:i w:val="0"/>
                <w:color w:val="212121"/>
                <w:sz w:val="16"/>
              </w:rPr>
              <w:t>Excludes hypo-/hyperthyroidism, a common reversible cause of fatigue</w:t>
            </w:r>
          </w:p>
        </w:tc>
        <w:tc>
          <w:tcPr>
            <w:tcW w:type="dxa" w:w="1036"/>
            <w:vAlign w:val="top"/>
          </w:tcPr>
          <w:p>
            <w:pPr>
              <w:spacing w:after="40" w:before="0" w:line="259" w:lineRule="auto"/>
            </w:pPr>
            <w:r>
              <w:rPr>
                <w:rFonts w:ascii="Calibri" w:hAnsi="Calibri"/>
                <w:b w:val="0"/>
                <w:i w:val="0"/>
                <w:color w:val="212121"/>
                <w:sz w:val="16"/>
              </w:rPr>
              <w:t>All patients, especially women</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Exclusionary (first-line)</w:t>
            </w:r>
          </w:p>
        </w:tc>
        <w:tc>
          <w:tcPr>
            <w:tcW w:type="dxa" w:w="720"/>
            <w:vAlign w:val="top"/>
          </w:tcPr>
          <w:p>
            <w:pPr>
              <w:spacing w:after="40" w:before="0" w:line="259" w:lineRule="auto"/>
            </w:pPr>
            <w:r>
              <w:rPr>
                <w:rFonts w:ascii="Calibri" w:hAnsi="Calibri"/>
                <w:b w:val="0"/>
                <w:i w:val="0"/>
                <w:color w:val="212121"/>
                <w:sz w:val="16"/>
              </w:rPr>
              <w:t>Hypothyroidism must be excluded before diagnosis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Fasting glucose / HbA1c</w:t>
            </w:r>
          </w:p>
        </w:tc>
        <w:tc>
          <w:tcPr>
            <w:tcW w:type="dxa" w:w="892"/>
            <w:vAlign w:val="top"/>
          </w:tcPr>
          <w:p>
            <w:pPr>
              <w:spacing w:after="40" w:before="0" w:line="259" w:lineRule="auto"/>
            </w:pPr>
            <w:r>
              <w:rPr>
                <w:rFonts w:ascii="Calibri" w:hAnsi="Calibri"/>
                <w:b w:val="0"/>
                <w:i w:val="0"/>
                <w:color w:val="212121"/>
                <w:sz w:val="16"/>
              </w:rPr>
              <w:t>Glycaemic screen</w:t>
            </w:r>
          </w:p>
        </w:tc>
        <w:tc>
          <w:tcPr>
            <w:tcW w:type="dxa" w:w="950"/>
            <w:vAlign w:val="top"/>
          </w:tcPr>
          <w:p>
            <w:pPr>
              <w:spacing w:after="40" w:before="0" w:line="259" w:lineRule="auto"/>
            </w:pPr>
            <w:r>
              <w:rPr>
                <w:rFonts w:ascii="Calibri" w:hAnsi="Calibri"/>
                <w:b w:val="0"/>
                <w:i w:val="0"/>
                <w:color w:val="212121"/>
                <w:sz w:val="16"/>
              </w:rPr>
              <w:t>FBS 70–99 mg/dL; HbA1c &lt; 5.7%</w:t>
            </w:r>
          </w:p>
        </w:tc>
        <w:tc>
          <w:tcPr>
            <w:tcW w:type="dxa" w:w="950"/>
            <w:vAlign w:val="top"/>
          </w:tcPr>
          <w:p>
            <w:pPr>
              <w:spacing w:after="40" w:before="0" w:line="259" w:lineRule="auto"/>
            </w:pPr>
            <w:r>
              <w:rPr>
                <w:rFonts w:ascii="Calibri" w:hAnsi="Calibri"/>
                <w:b w:val="0"/>
                <w:i w:val="0"/>
                <w:color w:val="212121"/>
                <w:sz w:val="16"/>
              </w:rPr>
              <w:t>FBS ≥ 126 mg/dL; HbA1c ≥ 6.5%</w:t>
            </w:r>
          </w:p>
        </w:tc>
        <w:tc>
          <w:tcPr>
            <w:tcW w:type="dxa" w:w="1036"/>
            <w:vAlign w:val="top"/>
          </w:tcPr>
          <w:p>
            <w:pPr>
              <w:spacing w:after="40" w:before="0" w:line="259" w:lineRule="auto"/>
            </w:pPr>
            <w:r>
              <w:rPr>
                <w:rFonts w:ascii="Calibri" w:hAnsi="Calibri"/>
                <w:b w:val="0"/>
                <w:i w:val="0"/>
                <w:color w:val="212121"/>
                <w:sz w:val="16"/>
              </w:rPr>
              <w:t>Excludes diabetes as a cause of fatigue</w:t>
            </w:r>
          </w:p>
        </w:tc>
        <w:tc>
          <w:tcPr>
            <w:tcW w:type="dxa" w:w="1036"/>
            <w:vAlign w:val="top"/>
          </w:tcPr>
          <w:p>
            <w:pPr>
              <w:spacing w:after="40" w:before="0" w:line="259" w:lineRule="auto"/>
            </w:pPr>
            <w:r>
              <w:rPr>
                <w:rFonts w:ascii="Calibri" w:hAnsi="Calibri"/>
                <w:b w:val="0"/>
                <w:i w:val="0"/>
                <w:color w:val="212121"/>
                <w:sz w:val="16"/>
              </w:rPr>
              <w:t>Adults with fatigue, high-risk Indian population</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Exclusionary</w:t>
            </w:r>
          </w:p>
        </w:tc>
        <w:tc>
          <w:tcPr>
            <w:tcW w:type="dxa" w:w="720"/>
            <w:vAlign w:val="top"/>
          </w:tcPr>
          <w:p>
            <w:pPr>
              <w:spacing w:after="40" w:before="0" w:line="259" w:lineRule="auto"/>
            </w:pPr>
            <w:r>
              <w:rPr>
                <w:rFonts w:ascii="Calibri" w:hAnsi="Calibri"/>
                <w:b w:val="0"/>
                <w:i w:val="0"/>
                <w:color w:val="212121"/>
                <w:sz w:val="16"/>
              </w:rPr>
              <w:t>India has a high diabetes prevalence — screen routinely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Inflammatory</w:t>
            </w:r>
          </w:p>
        </w:tc>
        <w:tc>
          <w:tcPr>
            <w:tcW w:type="dxa" w:w="1036"/>
            <w:vAlign w:val="top"/>
          </w:tcPr>
          <w:p>
            <w:pPr>
              <w:spacing w:after="40" w:before="0" w:line="259" w:lineRule="auto"/>
            </w:pPr>
            <w:r>
              <w:rPr>
                <w:rFonts w:ascii="Calibri" w:hAnsi="Calibri"/>
                <w:b w:val="0"/>
                <w:i w:val="0"/>
                <w:color w:val="212121"/>
                <w:sz w:val="16"/>
              </w:rPr>
              <w:t>ESR / CRP</w:t>
            </w:r>
          </w:p>
        </w:tc>
        <w:tc>
          <w:tcPr>
            <w:tcW w:type="dxa" w:w="892"/>
            <w:vAlign w:val="top"/>
          </w:tcPr>
          <w:p>
            <w:pPr>
              <w:spacing w:after="40" w:before="0" w:line="259" w:lineRule="auto"/>
            </w:pPr>
            <w:r>
              <w:rPr>
                <w:rFonts w:ascii="Calibri" w:hAnsi="Calibri"/>
                <w:b w:val="0"/>
                <w:i w:val="0"/>
                <w:color w:val="212121"/>
                <w:sz w:val="16"/>
              </w:rPr>
              <w:t>Inflammatory markers</w:t>
            </w:r>
          </w:p>
        </w:tc>
        <w:tc>
          <w:tcPr>
            <w:tcW w:type="dxa" w:w="950"/>
            <w:vAlign w:val="top"/>
          </w:tcPr>
          <w:p>
            <w:pPr>
              <w:spacing w:after="40" w:before="0" w:line="259" w:lineRule="auto"/>
            </w:pPr>
            <w:r>
              <w:rPr>
                <w:rFonts w:ascii="Calibri" w:hAnsi="Calibri"/>
                <w:b w:val="0"/>
                <w:i w:val="0"/>
                <w:color w:val="212121"/>
                <w:sz w:val="16"/>
              </w:rPr>
              <w:t>ESR/CRP normal or mildly raised</w:t>
            </w:r>
          </w:p>
        </w:tc>
        <w:tc>
          <w:tcPr>
            <w:tcW w:type="dxa" w:w="950"/>
            <w:vAlign w:val="top"/>
          </w:tcPr>
          <w:p>
            <w:pPr>
              <w:spacing w:after="40" w:before="0" w:line="259" w:lineRule="auto"/>
            </w:pPr>
            <w:r>
              <w:rPr>
                <w:rFonts w:ascii="Calibri" w:hAnsi="Calibri"/>
                <w:b w:val="0"/>
                <w:i w:val="0"/>
                <w:color w:val="212121"/>
                <w:sz w:val="16"/>
              </w:rPr>
              <w:t>Markedly elevated</w:t>
            </w:r>
          </w:p>
        </w:tc>
        <w:tc>
          <w:tcPr>
            <w:tcW w:type="dxa" w:w="1036"/>
            <w:vAlign w:val="top"/>
          </w:tcPr>
          <w:p>
            <w:pPr>
              <w:spacing w:after="40" w:before="0" w:line="259" w:lineRule="auto"/>
            </w:pPr>
            <w:r>
              <w:rPr>
                <w:rFonts w:ascii="Calibri" w:hAnsi="Calibri"/>
                <w:b w:val="0"/>
                <w:i w:val="0"/>
                <w:color w:val="212121"/>
                <w:sz w:val="16"/>
              </w:rPr>
              <w:t>Usually near-normal in ME/CFS; marked elevation suggests an inflammatory/infective alternative</w:t>
            </w:r>
          </w:p>
        </w:tc>
        <w:tc>
          <w:tcPr>
            <w:tcW w:type="dxa" w:w="1036"/>
            <w:vAlign w:val="top"/>
          </w:tcPr>
          <w:p>
            <w:pPr>
              <w:spacing w:after="40" w:before="0" w:line="259" w:lineRule="auto"/>
            </w:pPr>
            <w:r>
              <w:rPr>
                <w:rFonts w:ascii="Calibri" w:hAnsi="Calibri"/>
                <w:b w:val="0"/>
                <w:i w:val="0"/>
                <w:color w:val="212121"/>
                <w:sz w:val="16"/>
              </w:rPr>
              <w:t>All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Exclusionary</w:t>
            </w:r>
          </w:p>
        </w:tc>
        <w:tc>
          <w:tcPr>
            <w:tcW w:type="dxa" w:w="720"/>
            <w:vAlign w:val="top"/>
          </w:tcPr>
          <w:p>
            <w:pPr>
              <w:spacing w:after="40" w:before="0" w:line="259" w:lineRule="auto"/>
            </w:pPr>
            <w:r>
              <w:rPr>
                <w:rFonts w:ascii="Calibri" w:hAnsi="Calibri"/>
                <w:b w:val="0"/>
                <w:i w:val="0"/>
                <w:color w:val="212121"/>
                <w:sz w:val="16"/>
              </w:rPr>
              <w:t>Very high values warrant a search for another diagnosis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Nutritional</w:t>
            </w:r>
          </w:p>
        </w:tc>
        <w:tc>
          <w:tcPr>
            <w:tcW w:type="dxa" w:w="1036"/>
            <w:vAlign w:val="top"/>
          </w:tcPr>
          <w:p>
            <w:pPr>
              <w:spacing w:after="40" w:before="0" w:line="259" w:lineRule="auto"/>
            </w:pPr>
            <w:r>
              <w:rPr>
                <w:rFonts w:ascii="Calibri" w:hAnsi="Calibri"/>
                <w:b w:val="0"/>
                <w:i w:val="0"/>
                <w:color w:val="212121"/>
                <w:sz w:val="16"/>
              </w:rPr>
              <w:t>Vitamin D, B12, iron/ferritin</w:t>
            </w:r>
          </w:p>
        </w:tc>
        <w:tc>
          <w:tcPr>
            <w:tcW w:type="dxa" w:w="892"/>
            <w:vAlign w:val="top"/>
          </w:tcPr>
          <w:p>
            <w:pPr>
              <w:spacing w:after="40" w:before="0" w:line="259" w:lineRule="auto"/>
            </w:pPr>
            <w:r>
              <w:rPr>
                <w:rFonts w:ascii="Calibri" w:hAnsi="Calibri"/>
                <w:b w:val="0"/>
                <w:i w:val="0"/>
                <w:color w:val="212121"/>
                <w:sz w:val="16"/>
              </w:rPr>
              <w:t>Deficiency panel</w:t>
            </w:r>
          </w:p>
        </w:tc>
        <w:tc>
          <w:tcPr>
            <w:tcW w:type="dxa" w:w="950"/>
            <w:vAlign w:val="top"/>
          </w:tcPr>
          <w:p>
            <w:pPr>
              <w:spacing w:after="40" w:before="0" w:line="259" w:lineRule="auto"/>
            </w:pPr>
            <w:r>
              <w:rPr>
                <w:rFonts w:ascii="Calibri" w:hAnsi="Calibri"/>
                <w:b w:val="0"/>
                <w:i w:val="0"/>
                <w:color w:val="212121"/>
                <w:sz w:val="16"/>
              </w:rPr>
              <w:t>Within reference ranges</w:t>
            </w:r>
          </w:p>
        </w:tc>
        <w:tc>
          <w:tcPr>
            <w:tcW w:type="dxa" w:w="950"/>
            <w:vAlign w:val="top"/>
          </w:tcPr>
          <w:p>
            <w:pPr>
              <w:spacing w:after="40" w:before="0" w:line="259" w:lineRule="auto"/>
            </w:pPr>
            <w:r>
              <w:rPr>
                <w:rFonts w:ascii="Calibri" w:hAnsi="Calibri"/>
                <w:b w:val="0"/>
                <w:i w:val="0"/>
                <w:color w:val="212121"/>
                <w:sz w:val="16"/>
              </w:rPr>
              <w:t>Low vitamin D / B12 / ferritin</w:t>
            </w:r>
          </w:p>
        </w:tc>
        <w:tc>
          <w:tcPr>
            <w:tcW w:type="dxa" w:w="1036"/>
            <w:vAlign w:val="top"/>
          </w:tcPr>
          <w:p>
            <w:pPr>
              <w:spacing w:after="40" w:before="0" w:line="259" w:lineRule="auto"/>
            </w:pPr>
            <w:r>
              <w:rPr>
                <w:rFonts w:ascii="Calibri" w:hAnsi="Calibri"/>
                <w:b w:val="0"/>
                <w:i w:val="0"/>
                <w:color w:val="212121"/>
                <w:sz w:val="16"/>
              </w:rPr>
              <w:t>Identifies common, reversible contributors to fatigue (frequent in India)</w:t>
            </w:r>
          </w:p>
        </w:tc>
        <w:tc>
          <w:tcPr>
            <w:tcW w:type="dxa" w:w="1036"/>
            <w:vAlign w:val="top"/>
          </w:tcPr>
          <w:p>
            <w:pPr>
              <w:spacing w:after="40" w:before="0" w:line="259" w:lineRule="auto"/>
            </w:pPr>
            <w:r>
              <w:rPr>
                <w:rFonts w:ascii="Calibri" w:hAnsi="Calibri"/>
                <w:b w:val="0"/>
                <w:i w:val="0"/>
                <w:color w:val="212121"/>
                <w:sz w:val="16"/>
              </w:rPr>
              <w:t>Vegetarians, women, elderly, poor diet</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Exclusionary</w:t>
            </w:r>
          </w:p>
        </w:tc>
        <w:tc>
          <w:tcPr>
            <w:tcW w:type="dxa" w:w="720"/>
            <w:vAlign w:val="top"/>
          </w:tcPr>
          <w:p>
            <w:pPr>
              <w:spacing w:after="40" w:before="0" w:line="259" w:lineRule="auto"/>
            </w:pPr>
            <w:r>
              <w:rPr>
                <w:rFonts w:ascii="Calibri" w:hAnsi="Calibri"/>
                <w:b w:val="0"/>
                <w:i w:val="0"/>
                <w:color w:val="212121"/>
                <w:sz w:val="16"/>
              </w:rPr>
              <w:t>Correct deficiencies before attributing fatigue solely to ME/CFS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Electrolytes, urea, creatinine, LFTs</w:t>
            </w:r>
          </w:p>
        </w:tc>
        <w:tc>
          <w:tcPr>
            <w:tcW w:type="dxa" w:w="892"/>
            <w:vAlign w:val="top"/>
          </w:tcPr>
          <w:p>
            <w:pPr>
              <w:spacing w:after="40" w:before="0" w:line="259" w:lineRule="auto"/>
            </w:pPr>
            <w:r>
              <w:rPr>
                <w:rFonts w:ascii="Calibri" w:hAnsi="Calibri"/>
                <w:b w:val="0"/>
                <w:i w:val="0"/>
                <w:color w:val="212121"/>
                <w:sz w:val="16"/>
              </w:rPr>
              <w:t>Renal &amp; hepatic panel</w:t>
            </w:r>
          </w:p>
        </w:tc>
        <w:tc>
          <w:tcPr>
            <w:tcW w:type="dxa" w:w="950"/>
            <w:vAlign w:val="top"/>
          </w:tcPr>
          <w:p>
            <w:pPr>
              <w:spacing w:after="40" w:before="0" w:line="259" w:lineRule="auto"/>
            </w:pPr>
            <w:r>
              <w:rPr>
                <w:rFonts w:ascii="Calibri" w:hAnsi="Calibri"/>
                <w:b w:val="0"/>
                <w:i w:val="0"/>
                <w:color w:val="212121"/>
                <w:sz w:val="16"/>
              </w:rPr>
              <w:t>Normal</w:t>
            </w:r>
          </w:p>
        </w:tc>
        <w:tc>
          <w:tcPr>
            <w:tcW w:type="dxa" w:w="950"/>
            <w:vAlign w:val="top"/>
          </w:tcPr>
          <w:p>
            <w:pPr>
              <w:spacing w:after="40" w:before="0" w:line="259" w:lineRule="auto"/>
            </w:pPr>
            <w:r>
              <w:rPr>
                <w:rFonts w:ascii="Calibri" w:hAnsi="Calibri"/>
                <w:b w:val="0"/>
                <w:i w:val="0"/>
                <w:color w:val="212121"/>
                <w:sz w:val="16"/>
              </w:rPr>
              <w:t>Deranged electrolytes / organ function</w:t>
            </w:r>
          </w:p>
        </w:tc>
        <w:tc>
          <w:tcPr>
            <w:tcW w:type="dxa" w:w="1036"/>
            <w:vAlign w:val="top"/>
          </w:tcPr>
          <w:p>
            <w:pPr>
              <w:spacing w:after="40" w:before="0" w:line="259" w:lineRule="auto"/>
            </w:pPr>
            <w:r>
              <w:rPr>
                <w:rFonts w:ascii="Calibri" w:hAnsi="Calibri"/>
                <w:b w:val="0"/>
                <w:i w:val="0"/>
                <w:color w:val="212121"/>
                <w:sz w:val="16"/>
              </w:rPr>
              <w:t>Excludes renal, hepatic and electrolyte causes of fatigue</w:t>
            </w:r>
          </w:p>
        </w:tc>
        <w:tc>
          <w:tcPr>
            <w:tcW w:type="dxa" w:w="1036"/>
            <w:vAlign w:val="top"/>
          </w:tcPr>
          <w:p>
            <w:pPr>
              <w:spacing w:after="40" w:before="0" w:line="259" w:lineRule="auto"/>
            </w:pPr>
            <w:r>
              <w:rPr>
                <w:rFonts w:ascii="Calibri" w:hAnsi="Calibri"/>
                <w:b w:val="0"/>
                <w:i w:val="0"/>
                <w:color w:val="212121"/>
                <w:sz w:val="16"/>
              </w:rPr>
              <w:t>All patients</w:t>
            </w:r>
          </w:p>
        </w:tc>
        <w:tc>
          <w:tcPr>
            <w:tcW w:type="dxa" w:w="720"/>
            <w:vAlign w:val="top"/>
          </w:tcPr>
          <w:p>
            <w:pPr>
              <w:spacing w:after="40" w:before="0" w:line="259" w:lineRule="auto"/>
            </w:pPr>
            <w:r>
              <w:rPr>
                <w:rFonts w:ascii="Calibri" w:hAnsi="Calibri"/>
                <w:b w:val="0"/>
                <w:i w:val="0"/>
                <w:color w:val="212121"/>
                <w:sz w:val="16"/>
              </w:rPr>
              <w:t>Water</w:t>
            </w:r>
          </w:p>
        </w:tc>
        <w:tc>
          <w:tcPr>
            <w:tcW w:type="dxa" w:w="720"/>
            <w:vAlign w:val="top"/>
          </w:tcPr>
          <w:p>
            <w:pPr>
              <w:spacing w:after="40" w:before="0" w:line="259" w:lineRule="auto"/>
            </w:pPr>
            <w:r>
              <w:rPr>
                <w:rFonts w:ascii="Calibri" w:hAnsi="Calibri"/>
                <w:b w:val="0"/>
                <w:i w:val="0"/>
                <w:color w:val="212121"/>
                <w:sz w:val="16"/>
              </w:rPr>
              <w:t>Exclusionary</w:t>
            </w:r>
          </w:p>
        </w:tc>
        <w:tc>
          <w:tcPr>
            <w:tcW w:type="dxa" w:w="720"/>
            <w:vAlign w:val="top"/>
          </w:tcPr>
          <w:p>
            <w:pPr>
              <w:spacing w:after="40" w:before="0" w:line="259" w:lineRule="auto"/>
            </w:pPr>
            <w:r>
              <w:rPr>
                <w:rFonts w:ascii="Calibri" w:hAnsi="Calibri"/>
                <w:b w:val="0"/>
                <w:i w:val="0"/>
                <w:color w:val="212121"/>
                <w:sz w:val="16"/>
              </w:rPr>
              <w:t>Baseline organ-function assessment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Autonomic / Cardiac</w:t>
            </w:r>
          </w:p>
        </w:tc>
        <w:tc>
          <w:tcPr>
            <w:tcW w:type="dxa" w:w="1036"/>
            <w:vAlign w:val="top"/>
          </w:tcPr>
          <w:p>
            <w:pPr>
              <w:spacing w:after="40" w:before="0" w:line="259" w:lineRule="auto"/>
            </w:pPr>
            <w:r>
              <w:rPr>
                <w:rFonts w:ascii="Calibri" w:hAnsi="Calibri"/>
                <w:b w:val="0"/>
                <w:i w:val="0"/>
                <w:color w:val="212121"/>
                <w:sz w:val="16"/>
              </w:rPr>
              <w:t>10-min active-stand or head-up tilt (HR &amp; BP)</w:t>
            </w:r>
          </w:p>
        </w:tc>
        <w:tc>
          <w:tcPr>
            <w:tcW w:type="dxa" w:w="892"/>
            <w:vAlign w:val="top"/>
          </w:tcPr>
          <w:p>
            <w:pPr>
              <w:spacing w:after="40" w:before="0" w:line="259" w:lineRule="auto"/>
            </w:pPr>
            <w:r>
              <w:rPr>
                <w:rFonts w:ascii="Calibri" w:hAnsi="Calibri"/>
                <w:b w:val="0"/>
                <w:i w:val="0"/>
                <w:color w:val="212121"/>
                <w:sz w:val="16"/>
              </w:rPr>
              <w:t>Orthostatic testing</w:t>
            </w:r>
          </w:p>
        </w:tc>
        <w:tc>
          <w:tcPr>
            <w:tcW w:type="dxa" w:w="950"/>
            <w:vAlign w:val="top"/>
          </w:tcPr>
          <w:p>
            <w:pPr>
              <w:spacing w:after="40" w:before="0" w:line="259" w:lineRule="auto"/>
            </w:pPr>
            <w:r>
              <w:rPr>
                <w:rFonts w:ascii="Calibri" w:hAnsi="Calibri"/>
                <w:b w:val="0"/>
                <w:i w:val="0"/>
                <w:color w:val="212121"/>
                <w:sz w:val="16"/>
              </w:rPr>
              <w:t>HR rise &lt; 30 bpm (adults); no sustained fall in BP</w:t>
            </w:r>
          </w:p>
        </w:tc>
        <w:tc>
          <w:tcPr>
            <w:tcW w:type="dxa" w:w="950"/>
            <w:vAlign w:val="top"/>
          </w:tcPr>
          <w:p>
            <w:pPr>
              <w:spacing w:after="40" w:before="0" w:line="259" w:lineRule="auto"/>
            </w:pPr>
            <w:r>
              <w:rPr>
                <w:rFonts w:ascii="Calibri" w:hAnsi="Calibri"/>
                <w:b w:val="0"/>
                <w:i w:val="0"/>
                <w:color w:val="212121"/>
                <w:sz w:val="16"/>
              </w:rPr>
              <w:t>HR rise ≥ 30 bpm (≥ 40 in 12–19 y) = POTS; orthostatic hypotension</w:t>
            </w:r>
          </w:p>
        </w:tc>
        <w:tc>
          <w:tcPr>
            <w:tcW w:type="dxa" w:w="1036"/>
            <w:vAlign w:val="top"/>
          </w:tcPr>
          <w:p>
            <w:pPr>
              <w:spacing w:after="40" w:before="0" w:line="259" w:lineRule="auto"/>
            </w:pPr>
            <w:r>
              <w:rPr>
                <w:rFonts w:ascii="Calibri" w:hAnsi="Calibri"/>
                <w:b w:val="0"/>
                <w:i w:val="0"/>
                <w:color w:val="212121"/>
                <w:sz w:val="16"/>
              </w:rPr>
              <w:t>Objectively documents orthostatic intolerance / POTS, a common comorbidity</w:t>
            </w:r>
          </w:p>
        </w:tc>
        <w:tc>
          <w:tcPr>
            <w:tcW w:type="dxa" w:w="1036"/>
            <w:vAlign w:val="top"/>
          </w:tcPr>
          <w:p>
            <w:pPr>
              <w:spacing w:after="40" w:before="0" w:line="259" w:lineRule="auto"/>
            </w:pPr>
            <w:r>
              <w:rPr>
                <w:rFonts w:ascii="Calibri" w:hAnsi="Calibri"/>
                <w:b w:val="0"/>
                <w:i w:val="0"/>
                <w:color w:val="212121"/>
                <w:sz w:val="16"/>
              </w:rPr>
              <w:t>Patients with dizziness on standing</w:t>
            </w:r>
          </w:p>
        </w:tc>
        <w:tc>
          <w:tcPr>
            <w:tcW w:type="dxa" w:w="720"/>
            <w:vAlign w:val="top"/>
          </w:tcPr>
          <w:p>
            <w:pPr>
              <w:spacing w:after="40" w:before="0" w:line="259" w:lineRule="auto"/>
            </w:pPr>
            <w:r>
              <w:rPr>
                <w:rFonts w:ascii="Calibri" w:hAnsi="Calibri"/>
                <w:b w:val="0"/>
                <w:i w:val="0"/>
                <w:color w:val="212121"/>
                <w:sz w:val="16"/>
              </w:rPr>
              <w:t>Posture</w:t>
            </w:r>
          </w:p>
        </w:tc>
        <w:tc>
          <w:tcPr>
            <w:tcW w:type="dxa" w:w="720"/>
            <w:vAlign w:val="top"/>
          </w:tcPr>
          <w:p>
            <w:pPr>
              <w:spacing w:after="40" w:before="0" w:line="259" w:lineRule="auto"/>
            </w:pPr>
            <w:r>
              <w:rPr>
                <w:rFonts w:ascii="Calibri" w:hAnsi="Calibri"/>
                <w:b w:val="0"/>
                <w:i w:val="0"/>
                <w:color w:val="212121"/>
                <w:sz w:val="16"/>
              </w:rPr>
              <w:t>Confirmatory for OI/POTS</w:t>
            </w:r>
          </w:p>
        </w:tc>
        <w:tc>
          <w:tcPr>
            <w:tcW w:type="dxa" w:w="720"/>
            <w:vAlign w:val="top"/>
          </w:tcPr>
          <w:p>
            <w:pPr>
              <w:spacing w:after="40" w:before="0" w:line="259" w:lineRule="auto"/>
            </w:pPr>
            <w:r>
              <w:rPr>
                <w:rFonts w:ascii="Calibri" w:hAnsi="Calibri"/>
                <w:b w:val="0"/>
                <w:i w:val="0"/>
                <w:color w:val="212121"/>
                <w:sz w:val="16"/>
              </w:rPr>
              <w:t>Bedside NASA lean test is a practical alternative to tilt-table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Immunological (selective)</w:t>
            </w:r>
          </w:p>
        </w:tc>
        <w:tc>
          <w:tcPr>
            <w:tcW w:type="dxa" w:w="1036"/>
            <w:vAlign w:val="top"/>
          </w:tcPr>
          <w:p>
            <w:pPr>
              <w:spacing w:after="40" w:before="0" w:line="259" w:lineRule="auto"/>
            </w:pPr>
            <w:r>
              <w:rPr>
                <w:rFonts w:ascii="Calibri" w:hAnsi="Calibri"/>
                <w:b w:val="0"/>
                <w:i w:val="0"/>
                <w:color w:val="212121"/>
                <w:sz w:val="16"/>
              </w:rPr>
              <w:t>Coeliac serology / morning cortisol / ANA</w:t>
            </w:r>
          </w:p>
        </w:tc>
        <w:tc>
          <w:tcPr>
            <w:tcW w:type="dxa" w:w="892"/>
            <w:vAlign w:val="top"/>
          </w:tcPr>
          <w:p>
            <w:pPr>
              <w:spacing w:after="40" w:before="0" w:line="259" w:lineRule="auto"/>
            </w:pPr>
            <w:r>
              <w:rPr>
                <w:rFonts w:ascii="Calibri" w:hAnsi="Calibri"/>
                <w:b w:val="0"/>
                <w:i w:val="0"/>
                <w:color w:val="212121"/>
                <w:sz w:val="16"/>
              </w:rPr>
              <w:t>Targeted second-line tests</w:t>
            </w:r>
          </w:p>
        </w:tc>
        <w:tc>
          <w:tcPr>
            <w:tcW w:type="dxa" w:w="950"/>
            <w:vAlign w:val="top"/>
          </w:tcPr>
          <w:p>
            <w:pPr>
              <w:spacing w:after="40" w:before="0" w:line="259" w:lineRule="auto"/>
            </w:pPr>
            <w:r>
              <w:rPr>
                <w:rFonts w:ascii="Calibri" w:hAnsi="Calibri"/>
                <w:b w:val="0"/>
                <w:i w:val="0"/>
                <w:color w:val="212121"/>
                <w:sz w:val="16"/>
              </w:rPr>
              <w:t>Negative / normal</w:t>
            </w:r>
          </w:p>
        </w:tc>
        <w:tc>
          <w:tcPr>
            <w:tcW w:type="dxa" w:w="950"/>
            <w:vAlign w:val="top"/>
          </w:tcPr>
          <w:p>
            <w:pPr>
              <w:spacing w:after="40" w:before="0" w:line="259" w:lineRule="auto"/>
            </w:pPr>
            <w:r>
              <w:rPr>
                <w:rFonts w:ascii="Calibri" w:hAnsi="Calibri"/>
                <w:b w:val="0"/>
                <w:i w:val="0"/>
                <w:color w:val="212121"/>
                <w:sz w:val="16"/>
              </w:rPr>
              <w:t>Positive coeliac serology; low cortisol; positive ANA</w:t>
            </w:r>
          </w:p>
        </w:tc>
        <w:tc>
          <w:tcPr>
            <w:tcW w:type="dxa" w:w="1036"/>
            <w:vAlign w:val="top"/>
          </w:tcPr>
          <w:p>
            <w:pPr>
              <w:spacing w:after="40" w:before="0" w:line="259" w:lineRule="auto"/>
            </w:pPr>
            <w:r>
              <w:rPr>
                <w:rFonts w:ascii="Calibri" w:hAnsi="Calibri"/>
                <w:b w:val="0"/>
                <w:i w:val="0"/>
                <w:color w:val="212121"/>
                <w:sz w:val="16"/>
              </w:rPr>
              <w:t>Excludes coeliac disease, adrenal insufficiency and connective-tissue disease when clinically indicated</w:t>
            </w:r>
          </w:p>
        </w:tc>
        <w:tc>
          <w:tcPr>
            <w:tcW w:type="dxa" w:w="1036"/>
            <w:vAlign w:val="top"/>
          </w:tcPr>
          <w:p>
            <w:pPr>
              <w:spacing w:after="40" w:before="0" w:line="259" w:lineRule="auto"/>
            </w:pPr>
            <w:r>
              <w:rPr>
                <w:rFonts w:ascii="Calibri" w:hAnsi="Calibri"/>
                <w:b w:val="0"/>
                <w:i w:val="0"/>
                <w:color w:val="212121"/>
                <w:sz w:val="16"/>
              </w:rPr>
              <w:t>Selected patients with suggestive features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Selective exclusionary</w:t>
            </w:r>
          </w:p>
        </w:tc>
        <w:tc>
          <w:tcPr>
            <w:tcW w:type="dxa" w:w="720"/>
            <w:vAlign w:val="top"/>
          </w:tcPr>
          <w:p>
            <w:pPr>
              <w:spacing w:after="40" w:before="0" w:line="259" w:lineRule="auto"/>
            </w:pPr>
            <w:r>
              <w:rPr>
                <w:rFonts w:ascii="Calibri" w:hAnsi="Calibri"/>
                <w:b w:val="0"/>
                <w:i w:val="0"/>
                <w:color w:val="212121"/>
                <w:sz w:val="16"/>
              </w:rPr>
              <w:t>Order only when history/exam suggests these mimics</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Post-exertional malaise (chief complaint)</w:t>
            </w:r>
          </w:p>
        </w:tc>
        <w:tc>
          <w:tcPr>
            <w:tcW w:type="dxa" w:w="979"/>
            <w:vAlign w:val="top"/>
          </w:tcPr>
          <w:p>
            <w:pPr>
              <w:spacing w:after="40" w:before="0" w:line="259" w:lineRule="auto"/>
            </w:pPr>
            <w:r>
              <w:rPr>
                <w:rFonts w:ascii="Calibri" w:hAnsi="Calibri"/>
                <w:b w:val="0"/>
                <w:i w:val="0"/>
                <w:color w:val="212121"/>
                <w:sz w:val="16"/>
              </w:rPr>
              <w:t>Delayed, prolonged symptom worsening after exertion</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Present — delayed by hours–days, disproportionate, prolonged recovery</w:t>
            </w:r>
          </w:p>
        </w:tc>
        <w:tc>
          <w:tcPr>
            <w:tcW w:type="dxa" w:w="1036"/>
            <w:vAlign w:val="top"/>
          </w:tcPr>
          <w:p>
            <w:pPr>
              <w:spacing w:after="40" w:before="0" w:line="259" w:lineRule="auto"/>
            </w:pPr>
            <w:r>
              <w:rPr>
                <w:rFonts w:ascii="Calibri" w:hAnsi="Calibri"/>
                <w:b w:val="0"/>
                <w:i w:val="0"/>
                <w:color w:val="212121"/>
                <w:sz w:val="16"/>
              </w:rPr>
              <w:t>Cardinal, required feature distinguishing ME/CFS from ordinary fatigue/deconditioning</w:t>
            </w:r>
          </w:p>
        </w:tc>
        <w:tc>
          <w:tcPr>
            <w:tcW w:type="dxa" w:w="1036"/>
            <w:vAlign w:val="top"/>
          </w:tcPr>
          <w:p>
            <w:pPr>
              <w:spacing w:after="40" w:before="0" w:line="259" w:lineRule="auto"/>
            </w:pPr>
            <w:r>
              <w:rPr>
                <w:rFonts w:ascii="Calibri" w:hAnsi="Calibri"/>
                <w:b w:val="0"/>
                <w:i w:val="0"/>
                <w:color w:val="212121"/>
                <w:sz w:val="16"/>
              </w:rPr>
              <w:t>All suspected patients</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Diagnostic (core)</w:t>
            </w:r>
          </w:p>
        </w:tc>
        <w:tc>
          <w:tcPr>
            <w:tcW w:type="dxa" w:w="720"/>
            <w:vAlign w:val="top"/>
          </w:tcPr>
          <w:p>
            <w:pPr>
              <w:spacing w:after="40" w:before="0" w:line="259" w:lineRule="auto"/>
            </w:pPr>
            <w:r>
              <w:rPr>
                <w:rFonts w:ascii="Calibri" w:hAnsi="Calibri"/>
                <w:b w:val="0"/>
                <w:i w:val="0"/>
                <w:color w:val="212121"/>
                <w:sz w:val="16"/>
              </w:rPr>
              <w:t>Ask specifically about a delayed ‘crash’ after activity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Duration &amp; functional impact</w:t>
            </w:r>
          </w:p>
        </w:tc>
        <w:tc>
          <w:tcPr>
            <w:tcW w:type="dxa" w:w="979"/>
            <w:vAlign w:val="top"/>
          </w:tcPr>
          <w:p>
            <w:pPr>
              <w:spacing w:after="40" w:before="0" w:line="259" w:lineRule="auto"/>
            </w:pPr>
            <w:r>
              <w:rPr>
                <w:rFonts w:ascii="Calibri" w:hAnsi="Calibri"/>
                <w:b w:val="0"/>
                <w:i w:val="0"/>
                <w:color w:val="212121"/>
                <w:sz w:val="16"/>
              </w:rPr>
              <w:t>Fatigue ≥ 6 months (≥ 3 months NICE) with substantial activity reduction</w:t>
            </w:r>
          </w:p>
        </w:tc>
        <w:tc>
          <w:tcPr>
            <w:tcW w:type="dxa" w:w="950"/>
            <w:vAlign w:val="top"/>
          </w:tcPr>
          <w:p>
            <w:pPr>
              <w:spacing w:after="40" w:before="0" w:line="259" w:lineRule="auto"/>
            </w:pPr>
            <w:r>
              <w:rPr>
                <w:rFonts w:ascii="Calibri" w:hAnsi="Calibri"/>
                <w:b w:val="0"/>
                <w:i w:val="0"/>
                <w:color w:val="212121"/>
                <w:sz w:val="16"/>
              </w:rPr>
              <w:t>&lt; 3 months or minimal impact</w:t>
            </w:r>
          </w:p>
        </w:tc>
        <w:tc>
          <w:tcPr>
            <w:tcW w:type="dxa" w:w="950"/>
            <w:vAlign w:val="top"/>
          </w:tcPr>
          <w:p>
            <w:pPr>
              <w:spacing w:after="40" w:before="0" w:line="259" w:lineRule="auto"/>
            </w:pPr>
            <w:r>
              <w:rPr>
                <w:rFonts w:ascii="Calibri" w:hAnsi="Calibri"/>
                <w:b w:val="0"/>
                <w:i w:val="0"/>
                <w:color w:val="212121"/>
                <w:sz w:val="16"/>
              </w:rPr>
              <w:t>Persistent, substantial reduction from pre-illness baseline</w:t>
            </w:r>
          </w:p>
        </w:tc>
        <w:tc>
          <w:tcPr>
            <w:tcW w:type="dxa" w:w="1036"/>
            <w:vAlign w:val="top"/>
          </w:tcPr>
          <w:p>
            <w:pPr>
              <w:spacing w:after="40" w:before="0" w:line="259" w:lineRule="auto"/>
            </w:pPr>
            <w:r>
              <w:rPr>
                <w:rFonts w:ascii="Calibri" w:hAnsi="Calibri"/>
                <w:b w:val="0"/>
                <w:i w:val="0"/>
                <w:color w:val="212121"/>
                <w:sz w:val="16"/>
              </w:rPr>
              <w:t>Establishes chronicity and the required substantial functional reduction</w:t>
            </w:r>
          </w:p>
        </w:tc>
        <w:tc>
          <w:tcPr>
            <w:tcW w:type="dxa" w:w="1036"/>
            <w:vAlign w:val="top"/>
          </w:tcPr>
          <w:p>
            <w:pPr>
              <w:spacing w:after="40" w:before="0" w:line="259" w:lineRule="auto"/>
            </w:pPr>
            <w:r>
              <w:rPr>
                <w:rFonts w:ascii="Calibri" w:hAnsi="Calibri"/>
                <w:b w:val="0"/>
                <w:i w:val="0"/>
                <w:color w:val="212121"/>
                <w:sz w:val="16"/>
              </w:rPr>
              <w:t>All suspected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Quantify with a disability/functional scale (e.g., Bell CFIDS scale)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Sleep &amp; cognitive review</w:t>
            </w:r>
          </w:p>
        </w:tc>
        <w:tc>
          <w:tcPr>
            <w:tcW w:type="dxa" w:w="979"/>
            <w:vAlign w:val="top"/>
          </w:tcPr>
          <w:p>
            <w:pPr>
              <w:spacing w:after="40" w:before="0" w:line="259" w:lineRule="auto"/>
            </w:pPr>
            <w:r>
              <w:rPr>
                <w:rFonts w:ascii="Calibri" w:hAnsi="Calibri"/>
                <w:b w:val="0"/>
                <w:i w:val="0"/>
                <w:color w:val="212121"/>
                <w:sz w:val="16"/>
              </w:rPr>
              <w:t>Unrefreshing sleep; ‘brain fog’ (concentration, memory, word-finding)</w:t>
            </w:r>
          </w:p>
        </w:tc>
        <w:tc>
          <w:tcPr>
            <w:tcW w:type="dxa" w:w="950"/>
            <w:vAlign w:val="top"/>
          </w:tcPr>
          <w:p>
            <w:pPr>
              <w:spacing w:after="40" w:before="0" w:line="259" w:lineRule="auto"/>
            </w:pPr>
            <w:r>
              <w:rPr>
                <w:rFonts w:ascii="Calibri" w:hAnsi="Calibri"/>
                <w:b w:val="0"/>
                <w:i w:val="0"/>
                <w:color w:val="212121"/>
                <w:sz w:val="16"/>
              </w:rPr>
              <w:t>Refreshed sleep, intact cognition</w:t>
            </w:r>
          </w:p>
        </w:tc>
        <w:tc>
          <w:tcPr>
            <w:tcW w:type="dxa" w:w="950"/>
            <w:vAlign w:val="top"/>
          </w:tcPr>
          <w:p>
            <w:pPr>
              <w:spacing w:after="40" w:before="0" w:line="259" w:lineRule="auto"/>
            </w:pPr>
            <w:r>
              <w:rPr>
                <w:rFonts w:ascii="Calibri" w:hAnsi="Calibri"/>
                <w:b w:val="0"/>
                <w:i w:val="0"/>
                <w:color w:val="212121"/>
                <w:sz w:val="16"/>
              </w:rPr>
              <w:t>Non-restorative sleep and/or cognitive impairment</w:t>
            </w:r>
          </w:p>
        </w:tc>
        <w:tc>
          <w:tcPr>
            <w:tcW w:type="dxa" w:w="1036"/>
            <w:vAlign w:val="top"/>
          </w:tcPr>
          <w:p>
            <w:pPr>
              <w:spacing w:after="40" w:before="0" w:line="259" w:lineRule="auto"/>
            </w:pPr>
            <w:r>
              <w:rPr>
                <w:rFonts w:ascii="Calibri" w:hAnsi="Calibri"/>
                <w:b w:val="0"/>
                <w:i w:val="0"/>
                <w:color w:val="212121"/>
                <w:sz w:val="16"/>
              </w:rPr>
              <w:t>Confirms core supportive criteria</w:t>
            </w:r>
          </w:p>
        </w:tc>
        <w:tc>
          <w:tcPr>
            <w:tcW w:type="dxa" w:w="1036"/>
            <w:vAlign w:val="top"/>
          </w:tcPr>
          <w:p>
            <w:pPr>
              <w:spacing w:after="40" w:before="0" w:line="259" w:lineRule="auto"/>
            </w:pPr>
            <w:r>
              <w:rPr>
                <w:rFonts w:ascii="Calibri" w:hAnsi="Calibri"/>
                <w:b w:val="0"/>
                <w:i w:val="0"/>
                <w:color w:val="212121"/>
                <w:sz w:val="16"/>
              </w:rPr>
              <w:t>All suspected patients</w:t>
            </w:r>
          </w:p>
        </w:tc>
        <w:tc>
          <w:tcPr>
            <w:tcW w:type="dxa" w:w="720"/>
            <w:vAlign w:val="top"/>
          </w:tcPr>
          <w:p>
            <w:pPr>
              <w:spacing w:after="40" w:before="0" w:line="259" w:lineRule="auto"/>
            </w:pPr>
            <w:r>
              <w:rPr>
                <w:rFonts w:ascii="Calibri" w:hAnsi="Calibri"/>
                <w:b w:val="0"/>
                <w:i w:val="0"/>
                <w:color w:val="212121"/>
                <w:sz w:val="16"/>
              </w:rPr>
              <w:t>Sleep</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Screen for and treat coexisting primary sleep disorders (e.g., OSA)</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Trigger / infection history</w:t>
            </w:r>
          </w:p>
        </w:tc>
        <w:tc>
          <w:tcPr>
            <w:tcW w:type="dxa" w:w="979"/>
            <w:vAlign w:val="top"/>
          </w:tcPr>
          <w:p>
            <w:pPr>
              <w:spacing w:after="40" w:before="0" w:line="259" w:lineRule="auto"/>
            </w:pPr>
            <w:r>
              <w:rPr>
                <w:rFonts w:ascii="Calibri" w:hAnsi="Calibri"/>
                <w:b w:val="0"/>
                <w:i w:val="0"/>
                <w:color w:val="212121"/>
                <w:sz w:val="16"/>
              </w:rPr>
              <w:t>Preceding viral/infectious illness or major stressor</w:t>
            </w:r>
          </w:p>
        </w:tc>
        <w:tc>
          <w:tcPr>
            <w:tcW w:type="dxa" w:w="950"/>
            <w:vAlign w:val="top"/>
          </w:tcPr>
          <w:p>
            <w:pPr>
              <w:spacing w:after="40" w:before="0" w:line="259" w:lineRule="auto"/>
            </w:pPr>
            <w:r>
              <w:rPr>
                <w:rFonts w:ascii="Calibri" w:hAnsi="Calibri"/>
                <w:b w:val="0"/>
                <w:i w:val="0"/>
                <w:color w:val="212121"/>
                <w:sz w:val="16"/>
              </w:rPr>
              <w:t>No identifiable trigger</w:t>
            </w:r>
          </w:p>
        </w:tc>
        <w:tc>
          <w:tcPr>
            <w:tcW w:type="dxa" w:w="950"/>
            <w:vAlign w:val="top"/>
          </w:tcPr>
          <w:p>
            <w:pPr>
              <w:spacing w:after="40" w:before="0" w:line="259" w:lineRule="auto"/>
            </w:pPr>
            <w:r>
              <w:rPr>
                <w:rFonts w:ascii="Calibri" w:hAnsi="Calibri"/>
                <w:b w:val="0"/>
                <w:i w:val="0"/>
                <w:color w:val="212121"/>
                <w:sz w:val="16"/>
              </w:rPr>
              <w:t>Sudden post-infectious onset (EBV, dengue, COVID-19) or post-stress onset</w:t>
            </w:r>
          </w:p>
        </w:tc>
        <w:tc>
          <w:tcPr>
            <w:tcW w:type="dxa" w:w="1036"/>
            <w:vAlign w:val="top"/>
          </w:tcPr>
          <w:p>
            <w:pPr>
              <w:spacing w:after="40" w:before="0" w:line="259" w:lineRule="auto"/>
            </w:pPr>
            <w:r>
              <w:rPr>
                <w:rFonts w:ascii="Calibri" w:hAnsi="Calibri"/>
                <w:b w:val="0"/>
                <w:i w:val="0"/>
                <w:color w:val="212121"/>
                <w:sz w:val="16"/>
              </w:rPr>
              <w:t>Supports post-viral phenotype and clarifies onset</w:t>
            </w:r>
          </w:p>
        </w:tc>
        <w:tc>
          <w:tcPr>
            <w:tcW w:type="dxa" w:w="1036"/>
            <w:vAlign w:val="top"/>
          </w:tcPr>
          <w:p>
            <w:pPr>
              <w:spacing w:after="40" w:before="0" w:line="259" w:lineRule="auto"/>
            </w:pPr>
            <w:r>
              <w:rPr>
                <w:rFonts w:ascii="Calibri" w:hAnsi="Calibri"/>
                <w:b w:val="0"/>
                <w:i w:val="0"/>
                <w:color w:val="212121"/>
                <w:sz w:val="16"/>
              </w:rPr>
              <w:t>Post-viral and long-COVID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 / supportive</w:t>
            </w:r>
          </w:p>
        </w:tc>
        <w:tc>
          <w:tcPr>
            <w:tcW w:type="dxa" w:w="720"/>
            <w:vAlign w:val="top"/>
          </w:tcPr>
          <w:p>
            <w:pPr>
              <w:spacing w:after="40" w:before="0" w:line="259" w:lineRule="auto"/>
            </w:pPr>
            <w:r>
              <w:rPr>
                <w:rFonts w:ascii="Calibri" w:hAnsi="Calibri"/>
                <w:b w:val="0"/>
                <w:i w:val="0"/>
                <w:color w:val="212121"/>
                <w:sz w:val="16"/>
              </w:rPr>
              <w:t>Document the trigger and time-course of non-recovery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Orthostatic vitals</w:t>
            </w:r>
          </w:p>
        </w:tc>
        <w:tc>
          <w:tcPr>
            <w:tcW w:type="dxa" w:w="979"/>
            <w:vAlign w:val="top"/>
          </w:tcPr>
          <w:p>
            <w:pPr>
              <w:spacing w:after="40" w:before="0" w:line="259" w:lineRule="auto"/>
            </w:pPr>
            <w:r>
              <w:rPr>
                <w:rFonts w:ascii="Calibri" w:hAnsi="Calibri"/>
                <w:b w:val="0"/>
                <w:i w:val="0"/>
                <w:color w:val="212121"/>
                <w:sz w:val="16"/>
              </w:rPr>
              <w:t>HR &amp; BP sitting then standing (active stand)</w:t>
            </w:r>
          </w:p>
        </w:tc>
        <w:tc>
          <w:tcPr>
            <w:tcW w:type="dxa" w:w="950"/>
            <w:vAlign w:val="top"/>
          </w:tcPr>
          <w:p>
            <w:pPr>
              <w:spacing w:after="40" w:before="0" w:line="259" w:lineRule="auto"/>
            </w:pPr>
            <w:r>
              <w:rPr>
                <w:rFonts w:ascii="Calibri" w:hAnsi="Calibri"/>
                <w:b w:val="0"/>
                <w:i w:val="0"/>
                <w:color w:val="212121"/>
                <w:sz w:val="16"/>
              </w:rPr>
              <w:t>HR rise &lt; 30 bpm; BP maintained</w:t>
            </w:r>
          </w:p>
        </w:tc>
        <w:tc>
          <w:tcPr>
            <w:tcW w:type="dxa" w:w="950"/>
            <w:vAlign w:val="top"/>
          </w:tcPr>
          <w:p>
            <w:pPr>
              <w:spacing w:after="40" w:before="0" w:line="259" w:lineRule="auto"/>
            </w:pPr>
            <w:r>
              <w:rPr>
                <w:rFonts w:ascii="Calibri" w:hAnsi="Calibri"/>
                <w:b w:val="0"/>
                <w:i w:val="0"/>
                <w:color w:val="212121"/>
                <w:sz w:val="16"/>
              </w:rPr>
              <w:t>HR rise ≥ 30 bpm / orthostatic hypotension</w:t>
            </w:r>
          </w:p>
        </w:tc>
        <w:tc>
          <w:tcPr>
            <w:tcW w:type="dxa" w:w="1036"/>
            <w:vAlign w:val="top"/>
          </w:tcPr>
          <w:p>
            <w:pPr>
              <w:spacing w:after="40" w:before="0" w:line="259" w:lineRule="auto"/>
            </w:pPr>
            <w:r>
              <w:rPr>
                <w:rFonts w:ascii="Calibri" w:hAnsi="Calibri"/>
                <w:b w:val="0"/>
                <w:i w:val="0"/>
                <w:color w:val="212121"/>
                <w:sz w:val="16"/>
              </w:rPr>
              <w:t>Detects orthostatic intolerance / POTS at the bedside</w:t>
            </w:r>
          </w:p>
        </w:tc>
        <w:tc>
          <w:tcPr>
            <w:tcW w:type="dxa" w:w="1036"/>
            <w:vAlign w:val="top"/>
          </w:tcPr>
          <w:p>
            <w:pPr>
              <w:spacing w:after="40" w:before="0" w:line="259" w:lineRule="auto"/>
            </w:pPr>
            <w:r>
              <w:rPr>
                <w:rFonts w:ascii="Calibri" w:hAnsi="Calibri"/>
                <w:b w:val="0"/>
                <w:i w:val="0"/>
                <w:color w:val="212121"/>
                <w:sz w:val="16"/>
              </w:rPr>
              <w:t>Patients reporting dizziness on standing</w:t>
            </w:r>
          </w:p>
        </w:tc>
        <w:tc>
          <w:tcPr>
            <w:tcW w:type="dxa" w:w="720"/>
            <w:vAlign w:val="top"/>
          </w:tcPr>
          <w:p>
            <w:pPr>
              <w:spacing w:after="40" w:before="0" w:line="259" w:lineRule="auto"/>
            </w:pPr>
            <w:r>
              <w:rPr>
                <w:rFonts w:ascii="Calibri" w:hAnsi="Calibri"/>
                <w:b w:val="0"/>
                <w:i w:val="0"/>
                <w:color w:val="212121"/>
                <w:sz w:val="16"/>
              </w:rPr>
              <w:t>Posture</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Simple, reproducible bedside test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Head &amp; neck / lymphoreticular</w:t>
            </w:r>
          </w:p>
        </w:tc>
        <w:tc>
          <w:tcPr>
            <w:tcW w:type="dxa" w:w="979"/>
            <w:vAlign w:val="top"/>
          </w:tcPr>
          <w:p>
            <w:pPr>
              <w:spacing w:after="40" w:before="0" w:line="259" w:lineRule="auto"/>
            </w:pPr>
            <w:r>
              <w:rPr>
                <w:rFonts w:ascii="Calibri" w:hAnsi="Calibri"/>
                <w:b w:val="0"/>
                <w:i w:val="0"/>
                <w:color w:val="212121"/>
                <w:sz w:val="16"/>
              </w:rPr>
              <w:t>Tender cervical/axillary nodes, pharyngeal injection</w:t>
            </w:r>
          </w:p>
        </w:tc>
        <w:tc>
          <w:tcPr>
            <w:tcW w:type="dxa" w:w="950"/>
            <w:vAlign w:val="top"/>
          </w:tcPr>
          <w:p>
            <w:pPr>
              <w:spacing w:after="40" w:before="0" w:line="259" w:lineRule="auto"/>
            </w:pPr>
            <w:r>
              <w:rPr>
                <w:rFonts w:ascii="Calibri" w:hAnsi="Calibri"/>
                <w:b w:val="0"/>
                <w:i w:val="0"/>
                <w:color w:val="212121"/>
                <w:sz w:val="16"/>
              </w:rPr>
              <w:t>No tenderness, normal pharynx</w:t>
            </w:r>
          </w:p>
        </w:tc>
        <w:tc>
          <w:tcPr>
            <w:tcW w:type="dxa" w:w="950"/>
            <w:vAlign w:val="top"/>
          </w:tcPr>
          <w:p>
            <w:pPr>
              <w:spacing w:after="40" w:before="0" w:line="259" w:lineRule="auto"/>
            </w:pPr>
            <w:r>
              <w:rPr>
                <w:rFonts w:ascii="Calibri" w:hAnsi="Calibri"/>
                <w:b w:val="0"/>
                <w:i w:val="0"/>
                <w:color w:val="212121"/>
                <w:sz w:val="16"/>
              </w:rPr>
              <w:t>Tender non-enlarged nodes, non-exudative sore throat</w:t>
            </w:r>
          </w:p>
        </w:tc>
        <w:tc>
          <w:tcPr>
            <w:tcW w:type="dxa" w:w="1036"/>
            <w:vAlign w:val="top"/>
          </w:tcPr>
          <w:p>
            <w:pPr>
              <w:spacing w:after="40" w:before="0" w:line="259" w:lineRule="auto"/>
            </w:pPr>
            <w:r>
              <w:rPr>
                <w:rFonts w:ascii="Calibri" w:hAnsi="Calibri"/>
                <w:b w:val="0"/>
                <w:i w:val="0"/>
                <w:color w:val="212121"/>
                <w:sz w:val="16"/>
              </w:rPr>
              <w:t>Common supportive findings; also helps exclude infective mimics</w:t>
            </w:r>
          </w:p>
        </w:tc>
        <w:tc>
          <w:tcPr>
            <w:tcW w:type="dxa" w:w="1036"/>
            <w:vAlign w:val="top"/>
          </w:tcPr>
          <w:p>
            <w:pPr>
              <w:spacing w:after="40" w:before="0" w:line="259" w:lineRule="auto"/>
            </w:pPr>
            <w:r>
              <w:rPr>
                <w:rFonts w:ascii="Calibri" w:hAnsi="Calibri"/>
                <w:b w:val="0"/>
                <w:i w:val="0"/>
                <w:color w:val="212121"/>
                <w:sz w:val="16"/>
              </w:rPr>
              <w:t>All suspected patients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Findings are typically subtle; marked lymphadenopathy warrants other work-up</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Musculoskeletal / connective tissue</w:t>
            </w:r>
          </w:p>
        </w:tc>
        <w:tc>
          <w:tcPr>
            <w:tcW w:type="dxa" w:w="979"/>
            <w:vAlign w:val="top"/>
          </w:tcPr>
          <w:p>
            <w:pPr>
              <w:spacing w:after="40" w:before="0" w:line="259" w:lineRule="auto"/>
            </w:pPr>
            <w:r>
              <w:rPr>
                <w:rFonts w:ascii="Calibri" w:hAnsi="Calibri"/>
                <w:b w:val="0"/>
                <w:i w:val="0"/>
                <w:color w:val="212121"/>
                <w:sz w:val="16"/>
              </w:rPr>
              <w:t>Beighton hypermobility score; muscle/tender-point tenderness</w:t>
            </w:r>
          </w:p>
        </w:tc>
        <w:tc>
          <w:tcPr>
            <w:tcW w:type="dxa" w:w="950"/>
            <w:vAlign w:val="top"/>
          </w:tcPr>
          <w:p>
            <w:pPr>
              <w:spacing w:after="40" w:before="0" w:line="259" w:lineRule="auto"/>
            </w:pPr>
            <w:r>
              <w:rPr>
                <w:rFonts w:ascii="Calibri" w:hAnsi="Calibri"/>
                <w:b w:val="0"/>
                <w:i w:val="0"/>
                <w:color w:val="212121"/>
                <w:sz w:val="16"/>
              </w:rPr>
              <w:t>Beighton &lt; 4; no tender points</w:t>
            </w:r>
          </w:p>
        </w:tc>
        <w:tc>
          <w:tcPr>
            <w:tcW w:type="dxa" w:w="950"/>
            <w:vAlign w:val="top"/>
          </w:tcPr>
          <w:p>
            <w:pPr>
              <w:spacing w:after="40" w:before="0" w:line="259" w:lineRule="auto"/>
            </w:pPr>
            <w:r>
              <w:rPr>
                <w:rFonts w:ascii="Calibri" w:hAnsi="Calibri"/>
                <w:b w:val="0"/>
                <w:i w:val="0"/>
                <w:color w:val="212121"/>
                <w:sz w:val="16"/>
              </w:rPr>
              <w:t>Beighton ≥ 4; widespread tender points (fibromyalgia overlap)</w:t>
            </w:r>
          </w:p>
        </w:tc>
        <w:tc>
          <w:tcPr>
            <w:tcW w:type="dxa" w:w="1036"/>
            <w:vAlign w:val="top"/>
          </w:tcPr>
          <w:p>
            <w:pPr>
              <w:spacing w:after="40" w:before="0" w:line="259" w:lineRule="auto"/>
            </w:pPr>
            <w:r>
              <w:rPr>
                <w:rFonts w:ascii="Calibri" w:hAnsi="Calibri"/>
                <w:b w:val="0"/>
                <w:i w:val="0"/>
                <w:color w:val="212121"/>
                <w:sz w:val="16"/>
              </w:rPr>
              <w:t>Identifies joint hypermobility and fibromyalgia overlap that alter management</w:t>
            </w:r>
          </w:p>
        </w:tc>
        <w:tc>
          <w:tcPr>
            <w:tcW w:type="dxa" w:w="1036"/>
            <w:vAlign w:val="top"/>
          </w:tcPr>
          <w:p>
            <w:pPr>
              <w:spacing w:after="40" w:before="0" w:line="259" w:lineRule="auto"/>
            </w:pPr>
            <w:r>
              <w:rPr>
                <w:rFonts w:ascii="Calibri" w:hAnsi="Calibri"/>
                <w:b w:val="0"/>
                <w:i w:val="0"/>
                <w:color w:val="212121"/>
                <w:sz w:val="16"/>
              </w:rPr>
              <w:t>Adolescents, women, fibromyalgia overlap</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Hypermobility is common in adolescent ME/CFS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 / screen</w:t>
            </w:r>
          </w:p>
        </w:tc>
        <w:tc>
          <w:tcPr>
            <w:tcW w:type="dxa" w:w="950"/>
            <w:vAlign w:val="top"/>
          </w:tcPr>
          <w:p>
            <w:pPr>
              <w:spacing w:after="40" w:before="0" w:line="259" w:lineRule="auto"/>
            </w:pPr>
            <w:r>
              <w:rPr>
                <w:rFonts w:ascii="Calibri" w:hAnsi="Calibri"/>
                <w:b w:val="0"/>
                <w:i w:val="0"/>
                <w:color w:val="212121"/>
                <w:sz w:val="16"/>
              </w:rPr>
              <w:t>General exam &amp; mood screen</w:t>
            </w:r>
          </w:p>
        </w:tc>
        <w:tc>
          <w:tcPr>
            <w:tcW w:type="dxa" w:w="979"/>
            <w:vAlign w:val="top"/>
          </w:tcPr>
          <w:p>
            <w:pPr>
              <w:spacing w:after="40" w:before="0" w:line="259" w:lineRule="auto"/>
            </w:pPr>
            <w:r>
              <w:rPr>
                <w:rFonts w:ascii="Calibri" w:hAnsi="Calibri"/>
                <w:b w:val="0"/>
                <w:i w:val="0"/>
                <w:color w:val="212121"/>
                <w:sz w:val="16"/>
              </w:rPr>
              <w:t>Periorbital changes, general status; PHQ-9/GAD-7</w:t>
            </w:r>
          </w:p>
        </w:tc>
        <w:tc>
          <w:tcPr>
            <w:tcW w:type="dxa" w:w="950"/>
            <w:vAlign w:val="top"/>
          </w:tcPr>
          <w:p>
            <w:pPr>
              <w:spacing w:after="40" w:before="0" w:line="259" w:lineRule="auto"/>
            </w:pPr>
            <w:r>
              <w:rPr>
                <w:rFonts w:ascii="Calibri" w:hAnsi="Calibri"/>
                <w:b w:val="0"/>
                <w:i w:val="0"/>
                <w:color w:val="212121"/>
                <w:sz w:val="16"/>
              </w:rPr>
              <w:t>Unremarkable exam; low mood scores</w:t>
            </w:r>
          </w:p>
        </w:tc>
        <w:tc>
          <w:tcPr>
            <w:tcW w:type="dxa" w:w="950"/>
            <w:vAlign w:val="top"/>
          </w:tcPr>
          <w:p>
            <w:pPr>
              <w:spacing w:after="40" w:before="0" w:line="259" w:lineRule="auto"/>
            </w:pPr>
            <w:r>
              <w:rPr>
                <w:rFonts w:ascii="Calibri" w:hAnsi="Calibri"/>
                <w:b w:val="0"/>
                <w:i w:val="0"/>
                <w:color w:val="212121"/>
                <w:sz w:val="16"/>
              </w:rPr>
              <w:t>Puffy/periorbital hyperpigmentation, drooped posture; elevated mood scores</w:t>
            </w:r>
          </w:p>
        </w:tc>
        <w:tc>
          <w:tcPr>
            <w:tcW w:type="dxa" w:w="1036"/>
            <w:vAlign w:val="top"/>
          </w:tcPr>
          <w:p>
            <w:pPr>
              <w:spacing w:after="40" w:before="0" w:line="259" w:lineRule="auto"/>
            </w:pPr>
            <w:r>
              <w:rPr>
                <w:rFonts w:ascii="Calibri" w:hAnsi="Calibri"/>
                <w:b w:val="0"/>
                <w:i w:val="0"/>
                <w:color w:val="212121"/>
                <w:sz w:val="16"/>
              </w:rPr>
              <w:t>Exam is often unremarkable (contributing to under-diagnosis); screens for comorbid mood disorder</w:t>
            </w:r>
          </w:p>
        </w:tc>
        <w:tc>
          <w:tcPr>
            <w:tcW w:type="dxa" w:w="1036"/>
            <w:vAlign w:val="top"/>
          </w:tcPr>
          <w:p>
            <w:pPr>
              <w:spacing w:after="40" w:before="0" w:line="259" w:lineRule="auto"/>
            </w:pPr>
            <w:r>
              <w:rPr>
                <w:rFonts w:ascii="Calibri" w:hAnsi="Calibri"/>
                <w:b w:val="0"/>
                <w:i w:val="0"/>
                <w:color w:val="212121"/>
                <w:sz w:val="16"/>
              </w:rPr>
              <w:t>All patients</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A near-normal exam does not exclude ME/CFS</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Profound, disabling fatigue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New-onset, unexplained fatigue not relieved by rest that substantially reduces pre-illness activity.</w:t>
            </w:r>
          </w:p>
        </w:tc>
      </w:tr>
      <w:tr>
        <w:trPr>
          <w:cantSplit/>
        </w:trPr>
        <w:tc>
          <w:tcPr>
            <w:tcW w:type="dxa" w:w="2304"/>
            <w:vAlign w:val="top"/>
          </w:tcPr>
          <w:p>
            <w:pPr>
              <w:spacing w:after="40" w:before="0" w:line="259" w:lineRule="auto"/>
            </w:pPr>
            <w:r>
              <w:rPr>
                <w:rFonts w:ascii="Calibri" w:hAnsi="Calibri"/>
                <w:b/>
                <w:i w:val="0"/>
                <w:color w:val="212121"/>
                <w:sz w:val="19"/>
              </w:rPr>
              <w:t>Post-exertional malaise (PEM)</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Cardinal feature: delayed, disproportionate, prolonged worsening of symptoms after physical, cognitive or emotional exertion.</w:t>
            </w:r>
          </w:p>
        </w:tc>
      </w:tr>
      <w:tr>
        <w:trPr>
          <w:cantSplit/>
        </w:trPr>
        <w:tc>
          <w:tcPr>
            <w:tcW w:type="dxa" w:w="2304"/>
            <w:vAlign w:val="top"/>
          </w:tcPr>
          <w:p>
            <w:pPr>
              <w:spacing w:after="40" w:before="0" w:line="259" w:lineRule="auto"/>
            </w:pPr>
            <w:r>
              <w:rPr>
                <w:rFonts w:ascii="Calibri" w:hAnsi="Calibri"/>
                <w:b/>
                <w:i w:val="0"/>
                <w:color w:val="212121"/>
                <w:sz w:val="19"/>
              </w:rPr>
              <w:t>Unrefreshing sleep</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Waking exhausted or flu-like despite adequate sleep; broken sleep, altered pattern or hypersomnia.</w:t>
            </w:r>
          </w:p>
        </w:tc>
      </w:tr>
      <w:tr>
        <w:trPr>
          <w:cantSplit/>
        </w:trPr>
        <w:tc>
          <w:tcPr>
            <w:tcW w:type="dxa" w:w="2304"/>
            <w:vAlign w:val="top"/>
          </w:tcPr>
          <w:p>
            <w:pPr>
              <w:spacing w:after="40" w:before="0" w:line="259" w:lineRule="auto"/>
            </w:pPr>
            <w:r>
              <w:rPr>
                <w:rFonts w:ascii="Calibri" w:hAnsi="Calibri"/>
                <w:b/>
                <w:i w:val="0"/>
                <w:color w:val="212121"/>
                <w:sz w:val="19"/>
              </w:rPr>
              <w:t>Cognitive impairment (‘brain fog’)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Slowed processing, poor concentration, word-finding and short-term memory difficulty.</w:t>
            </w:r>
          </w:p>
        </w:tc>
      </w:tr>
      <w:tr>
        <w:trPr>
          <w:cantSplit/>
        </w:trPr>
        <w:tc>
          <w:tcPr>
            <w:tcW w:type="dxa" w:w="2304"/>
            <w:vAlign w:val="top"/>
          </w:tcPr>
          <w:p>
            <w:pPr>
              <w:spacing w:after="40" w:before="0" w:line="259" w:lineRule="auto"/>
            </w:pPr>
            <w:r>
              <w:rPr>
                <w:rFonts w:ascii="Calibri" w:hAnsi="Calibri"/>
                <w:b/>
                <w:i w:val="0"/>
                <w:color w:val="212121"/>
                <w:sz w:val="19"/>
              </w:rPr>
              <w:t>Orthostatic intolerance / dizziness on standing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Light-headedness, palpitations or visual changes on standing, relieved by lying down.</w:t>
            </w:r>
          </w:p>
        </w:tc>
      </w:tr>
      <w:tr>
        <w:trPr>
          <w:cantSplit/>
        </w:trPr>
        <w:tc>
          <w:tcPr>
            <w:tcW w:type="dxa" w:w="2304"/>
            <w:vAlign w:val="top"/>
          </w:tcPr>
          <w:p>
            <w:pPr>
              <w:spacing w:after="40" w:before="0" w:line="259" w:lineRule="auto"/>
            </w:pPr>
            <w:r>
              <w:rPr>
                <w:rFonts w:ascii="Calibri" w:hAnsi="Calibri"/>
                <w:b/>
                <w:i w:val="0"/>
                <w:color w:val="212121"/>
                <w:sz w:val="19"/>
              </w:rPr>
              <w:t>Muscle and joint pain (myalgia/arthralgia)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Widespread pain without swelling; often overlaps with fibromyalgia.</w:t>
            </w:r>
          </w:p>
        </w:tc>
      </w:tr>
      <w:tr>
        <w:trPr>
          <w:cantSplit/>
        </w:trPr>
        <w:tc>
          <w:tcPr>
            <w:tcW w:type="dxa" w:w="2304"/>
            <w:vAlign w:val="top"/>
          </w:tcPr>
          <w:p>
            <w:pPr>
              <w:spacing w:after="40" w:before="0" w:line="259" w:lineRule="auto"/>
            </w:pPr>
            <w:r>
              <w:rPr>
                <w:rFonts w:ascii="Calibri" w:hAnsi="Calibri"/>
                <w:b/>
                <w:i w:val="0"/>
                <w:color w:val="212121"/>
                <w:sz w:val="19"/>
              </w:rPr>
              <w:t>New-pattern headaches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Headaches of a new type, pattern or severity.</w:t>
            </w:r>
          </w:p>
        </w:tc>
      </w:tr>
      <w:tr>
        <w:trPr>
          <w:cantSplit/>
        </w:trPr>
        <w:tc>
          <w:tcPr>
            <w:tcW w:type="dxa" w:w="2304"/>
            <w:vAlign w:val="top"/>
          </w:tcPr>
          <w:p>
            <w:pPr>
              <w:spacing w:after="40" w:before="0" w:line="259" w:lineRule="auto"/>
            </w:pPr>
            <w:r>
              <w:rPr>
                <w:rFonts w:ascii="Calibri" w:hAnsi="Calibri"/>
                <w:b/>
                <w:i w:val="0"/>
                <w:color w:val="212121"/>
                <w:sz w:val="19"/>
              </w:rPr>
              <w:t>Sore throat &amp; tender lymph nodes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Recurrent non-exudative sore throat with tender cervical/axillary nodes — a flu-like feeling.</w:t>
            </w:r>
          </w:p>
        </w:tc>
      </w:tr>
      <w:tr>
        <w:trPr>
          <w:cantSplit/>
        </w:trPr>
        <w:tc>
          <w:tcPr>
            <w:tcW w:type="dxa" w:w="2304"/>
            <w:vAlign w:val="top"/>
          </w:tcPr>
          <w:p>
            <w:pPr>
              <w:spacing w:after="40" w:before="0" w:line="259" w:lineRule="auto"/>
            </w:pPr>
            <w:r>
              <w:rPr>
                <w:rFonts w:ascii="Calibri" w:hAnsi="Calibri"/>
                <w:b/>
                <w:i w:val="0"/>
                <w:color w:val="212121"/>
                <w:sz w:val="19"/>
              </w:rPr>
              <w:t>Sensory hypersensitivity</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Heightened sensitivity to light, sound, odours, foods, chemicals or medications.</w:t>
            </w:r>
          </w:p>
        </w:tc>
      </w:tr>
      <w:tr>
        <w:trPr>
          <w:cantSplit/>
        </w:trPr>
        <w:tc>
          <w:tcPr>
            <w:tcW w:type="dxa" w:w="2304"/>
            <w:vAlign w:val="top"/>
          </w:tcPr>
          <w:p>
            <w:pPr>
              <w:spacing w:after="40" w:before="0" w:line="259" w:lineRule="auto"/>
            </w:pPr>
            <w:r>
              <w:rPr>
                <w:rFonts w:ascii="Calibri" w:hAnsi="Calibri"/>
                <w:b/>
                <w:i w:val="0"/>
                <w:color w:val="212121"/>
                <w:sz w:val="19"/>
              </w:rPr>
              <w:t>Palpitations / racing heart</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Often reflects orthostatic intolerance / POTS.</w:t>
            </w:r>
          </w:p>
        </w:tc>
      </w:tr>
      <w:tr>
        <w:trPr>
          <w:cantSplit/>
        </w:trPr>
        <w:tc>
          <w:tcPr>
            <w:tcW w:type="dxa" w:w="2304"/>
            <w:vAlign w:val="top"/>
          </w:tcPr>
          <w:p>
            <w:pPr>
              <w:spacing w:after="40" w:before="0" w:line="259" w:lineRule="auto"/>
            </w:pPr>
            <w:r>
              <w:rPr>
                <w:rFonts w:ascii="Calibri" w:hAnsi="Calibri"/>
                <w:b/>
                <w:i w:val="0"/>
                <w:color w:val="212121"/>
                <w:sz w:val="19"/>
              </w:rPr>
              <w:t>Alcohol intolerance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New inability to tolerate even small amounts of alcohol, provoking flares.</w:t>
            </w:r>
          </w:p>
        </w:tc>
      </w:tr>
      <w:tr>
        <w:trPr>
          <w:cantSplit/>
        </w:trPr>
        <w:tc>
          <w:tcPr>
            <w:tcW w:type="dxa" w:w="2304"/>
            <w:vAlign w:val="top"/>
          </w:tcPr>
          <w:p>
            <w:pPr>
              <w:spacing w:after="40" w:before="0" w:line="259" w:lineRule="auto"/>
            </w:pPr>
            <w:r>
              <w:rPr>
                <w:rFonts w:ascii="Calibri" w:hAnsi="Calibri"/>
                <w:b/>
                <w:i w:val="0"/>
                <w:color w:val="212121"/>
                <w:sz w:val="19"/>
              </w:rPr>
              <w:t>Gastrointestinal disturbance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IBS-like bloating, abdominal pain and altered bowel habit.</w:t>
            </w:r>
          </w:p>
        </w:tc>
      </w:tr>
      <w:tr>
        <w:trPr>
          <w:cantSplit/>
        </w:trPr>
        <w:tc>
          <w:tcPr>
            <w:tcW w:type="dxa" w:w="2304"/>
            <w:vAlign w:val="top"/>
          </w:tcPr>
          <w:p>
            <w:pPr>
              <w:spacing w:after="40" w:before="0" w:line="259" w:lineRule="auto"/>
            </w:pPr>
            <w:r>
              <w:rPr>
                <w:rFonts w:ascii="Calibri" w:hAnsi="Calibri"/>
                <w:b/>
                <w:i w:val="0"/>
                <w:color w:val="212121"/>
                <w:sz w:val="19"/>
              </w:rPr>
              <w:t>Recurrent low-grade feverishness / chills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Intermittent flu-like feeling and night sweats without documented infection.</w:t>
            </w:r>
          </w:p>
        </w:tc>
      </w:tr>
      <w:tr>
        <w:trPr>
          <w:cantSplit/>
        </w:trPr>
        <w:tc>
          <w:tcPr>
            <w:tcW w:type="dxa" w:w="2304"/>
            <w:vAlign w:val="top"/>
          </w:tcPr>
          <w:p>
            <w:pPr>
              <w:spacing w:after="40" w:before="0" w:line="259" w:lineRule="auto"/>
            </w:pPr>
            <w:r>
              <w:rPr>
                <w:rFonts w:ascii="Calibri" w:hAnsi="Calibri"/>
                <w:b/>
                <w:i w:val="0"/>
                <w:color w:val="212121"/>
                <w:sz w:val="19"/>
              </w:rPr>
              <w:t>Very severe, bedbound state</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A minority become bedbound and dependent, with extreme intolerance of light, sound and sensory stimuli.</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Generally unremarkable routine examination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Objective findings are often absent, which contributes to under-recognition; ME/CFS remains a clinical diagnosis.</w:t>
            </w:r>
          </w:p>
        </w:tc>
      </w:tr>
      <w:tr>
        <w:trPr>
          <w:cantSplit/>
        </w:trPr>
        <w:tc>
          <w:tcPr>
            <w:tcW w:type="dxa" w:w="3456"/>
            <w:vAlign w:val="top"/>
          </w:tcPr>
          <w:p>
            <w:pPr>
              <w:spacing w:after="40" w:before="0" w:line="259" w:lineRule="auto"/>
            </w:pPr>
            <w:r>
              <w:rPr>
                <w:rFonts w:ascii="Calibri" w:hAnsi="Calibri"/>
                <w:b/>
                <w:i w:val="0"/>
                <w:color w:val="212121"/>
                <w:sz w:val="19"/>
              </w:rPr>
              <w:t>Orthostatic tachycardia / abnormal active-stand test</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HR rise ≥ 30 bpm (≥ 40 bpm in adolescents) on standing, or orthostatic hypotension — POTS/OI.</w:t>
            </w:r>
          </w:p>
        </w:tc>
      </w:tr>
      <w:tr>
        <w:trPr>
          <w:cantSplit/>
        </w:trPr>
        <w:tc>
          <w:tcPr>
            <w:tcW w:type="dxa" w:w="3456"/>
            <w:vAlign w:val="top"/>
          </w:tcPr>
          <w:p>
            <w:pPr>
              <w:spacing w:after="40" w:before="0" w:line="259" w:lineRule="auto"/>
            </w:pPr>
            <w:r>
              <w:rPr>
                <w:rFonts w:ascii="Calibri" w:hAnsi="Calibri"/>
                <w:b/>
                <w:i w:val="0"/>
                <w:color w:val="212121"/>
                <w:sz w:val="19"/>
              </w:rPr>
              <w:t>Tender cervical/axillary lymphadenopathy</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Palpable, tender, non-enlarged nodes without another cause.</w:t>
            </w:r>
          </w:p>
        </w:tc>
      </w:tr>
      <w:tr>
        <w:trPr>
          <w:cantSplit/>
        </w:trPr>
        <w:tc>
          <w:tcPr>
            <w:tcW w:type="dxa" w:w="3456"/>
            <w:vAlign w:val="top"/>
          </w:tcPr>
          <w:p>
            <w:pPr>
              <w:spacing w:after="40" w:before="0" w:line="259" w:lineRule="auto"/>
            </w:pPr>
            <w:r>
              <w:rPr>
                <w:rFonts w:ascii="Calibri" w:hAnsi="Calibri"/>
                <w:b/>
                <w:i w:val="0"/>
                <w:color w:val="212121"/>
                <w:sz w:val="19"/>
              </w:rPr>
              <w:t>Non-exudative pharyngeal injection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Recurrent mild sore throat on examination without bacterial exudate.</w:t>
            </w:r>
          </w:p>
        </w:tc>
      </w:tr>
      <w:tr>
        <w:trPr>
          <w:cantSplit/>
        </w:trPr>
        <w:tc>
          <w:tcPr>
            <w:tcW w:type="dxa" w:w="3456"/>
            <w:vAlign w:val="top"/>
          </w:tcPr>
          <w:p>
            <w:pPr>
              <w:spacing w:after="40" w:before="0" w:line="259" w:lineRule="auto"/>
            </w:pPr>
            <w:r>
              <w:rPr>
                <w:rFonts w:ascii="Calibri" w:hAnsi="Calibri"/>
                <w:b/>
                <w:i w:val="0"/>
                <w:color w:val="212121"/>
                <w:sz w:val="19"/>
              </w:rPr>
              <w:t>Joint hypermobility (Beighton ≥ 4)</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Especially in adolescents; ~60% of adolescent patients versus ~20% of controls.</w:t>
            </w:r>
          </w:p>
        </w:tc>
      </w:tr>
      <w:tr>
        <w:trPr>
          <w:cantSplit/>
        </w:trPr>
        <w:tc>
          <w:tcPr>
            <w:tcW w:type="dxa" w:w="3456"/>
            <w:vAlign w:val="top"/>
          </w:tcPr>
          <w:p>
            <w:pPr>
              <w:spacing w:after="40" w:before="0" w:line="259" w:lineRule="auto"/>
            </w:pPr>
            <w:r>
              <w:rPr>
                <w:rFonts w:ascii="Calibri" w:hAnsi="Calibri"/>
                <w:b/>
                <w:i w:val="0"/>
                <w:color w:val="212121"/>
                <w:sz w:val="19"/>
              </w:rPr>
              <w:t>Periorbital hyperpigmentation / puffy eyes &amp; drooped posture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Described in ME/CFS reviews; reflect fatigue and autonomic changes.</w:t>
            </w:r>
          </w:p>
        </w:tc>
      </w:tr>
      <w:tr>
        <w:trPr>
          <w:cantSplit/>
        </w:trPr>
        <w:tc>
          <w:tcPr>
            <w:tcW w:type="dxa" w:w="3456"/>
            <w:vAlign w:val="top"/>
          </w:tcPr>
          <w:p>
            <w:pPr>
              <w:spacing w:after="40" w:before="0" w:line="259" w:lineRule="auto"/>
            </w:pPr>
            <w:r>
              <w:rPr>
                <w:rFonts w:ascii="Calibri" w:hAnsi="Calibri"/>
                <w:b/>
                <w:i w:val="0"/>
                <w:color w:val="212121"/>
                <w:sz w:val="19"/>
              </w:rPr>
              <w:t>Widespread muscle tenderness / fibromyalgia tender points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Indicates fibromyalgia overlap.</w:t>
            </w:r>
          </w:p>
        </w:tc>
      </w:tr>
      <w:tr>
        <w:trPr>
          <w:cantSplit/>
        </w:trPr>
        <w:tc>
          <w:tcPr>
            <w:tcW w:type="dxa" w:w="3456"/>
            <w:vAlign w:val="top"/>
          </w:tcPr>
          <w:p>
            <w:pPr>
              <w:spacing w:after="40" w:before="0" w:line="259" w:lineRule="auto"/>
            </w:pPr>
            <w:r>
              <w:rPr>
                <w:rFonts w:ascii="Calibri" w:hAnsi="Calibri"/>
                <w:b/>
                <w:i w:val="0"/>
                <w:color w:val="212121"/>
                <w:sz w:val="19"/>
              </w:rPr>
              <w:t>Cognitive slowing on bedside testing</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Slowed responses and reduced working memory on brief cognitive screening.</w:t>
            </w:r>
          </w:p>
        </w:tc>
      </w:tr>
      <w:tr>
        <w:trPr>
          <w:cantSplit/>
        </w:trPr>
        <w:tc>
          <w:tcPr>
            <w:tcW w:type="dxa" w:w="3456"/>
            <w:vAlign w:val="top"/>
          </w:tcPr>
          <w:p>
            <w:pPr>
              <w:spacing w:after="40" w:before="0" w:line="259" w:lineRule="auto"/>
            </w:pPr>
            <w:r>
              <w:rPr>
                <w:rFonts w:ascii="Calibri" w:hAnsi="Calibri"/>
                <w:b/>
                <w:i w:val="0"/>
                <w:color w:val="212121"/>
                <w:sz w:val="19"/>
              </w:rPr>
              <w:t>Impaired balance / positive Romberg</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Subtle balance and coordination difficulty may be present.</w:t>
            </w:r>
          </w:p>
        </w:tc>
      </w:tr>
      <w:tr>
        <w:trPr>
          <w:cantSplit/>
        </w:trPr>
        <w:tc>
          <w:tcPr>
            <w:tcW w:type="dxa" w:w="3456"/>
            <w:vAlign w:val="top"/>
          </w:tcPr>
          <w:p>
            <w:pPr>
              <w:spacing w:after="40" w:before="0" w:line="259" w:lineRule="auto"/>
            </w:pPr>
            <w:r>
              <w:rPr>
                <w:rFonts w:ascii="Calibri" w:hAnsi="Calibri"/>
                <w:b/>
                <w:i w:val="0"/>
                <w:color w:val="212121"/>
                <w:sz w:val="19"/>
              </w:rPr>
              <w:t>Pupillary abnormalities (diminished accommodation)</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Oscillation of the pupils or diminished pupillary accommodation reported in some patients.</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Post-exertional ‘crashes’ / relapses after over-exertion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Prolonged, sometimes step-wise, deterioration in function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Progression to severe or very severe (housebound/bedbound)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Orthostatic collapse / recurrent pre-syncope from POTS/OI</w:t>
            </w:r>
          </w:p>
        </w:tc>
        <w:tc>
          <w:tcPr>
            <w:tcW w:type="dxa" w:w="2980"/>
            <w:vAlign w:val="top"/>
          </w:tcPr>
          <w:p>
            <w:pPr>
              <w:spacing w:after="40" w:before="0" w:line="259" w:lineRule="auto"/>
            </w:pPr>
            <w:r>
              <w:rPr>
                <w:rFonts w:ascii="Calibri" w:hAnsi="Calibri"/>
                <w:b w:val="0"/>
                <w:i w:val="0"/>
                <w:color w:val="212121"/>
                <w:sz w:val="19"/>
              </w:rPr>
              <w:t>Direct consequences of the core exertion-intolerance and autonomic pathophysiology</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Physical deconditioning and muscle wasting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widespread pain (fibromyalgia overlap)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Depression and anxiety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Sleep disorders and reversed sleep–wake cycle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Nutritional deficiency (vitamin D, B12, iron)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Loss of employment, education and income; social isolation</w:t>
            </w:r>
          </w:p>
        </w:tc>
        <w:tc>
          <w:tcPr>
            <w:tcW w:type="dxa" w:w="2980"/>
            <w:vAlign w:val="top"/>
          </w:tcPr>
          <w:p>
            <w:pPr>
              <w:spacing w:after="40" w:before="0" w:line="259" w:lineRule="auto"/>
            </w:pPr>
            <w:r>
              <w:rPr>
                <w:rFonts w:ascii="Calibri" w:hAnsi="Calibri"/>
                <w:b w:val="0"/>
                <w:i w:val="0"/>
                <w:color w:val="212121"/>
                <w:sz w:val="19"/>
              </w:rPr>
              <w:t>Result from chronic disability, inactivity and the biopsychosocial burden of the illness</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Long-term disability and dependence on caregivers / wheelchair use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unemployment and poverty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Severe malnutrition and tube-feeding in very severe, bedbound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Increased risk of suicide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Iatrogenic harm from inappropriate graded exercise therapy</w:t>
            </w:r>
          </w:p>
        </w:tc>
        <w:tc>
          <w:tcPr>
            <w:tcW w:type="dxa" w:w="2980"/>
            <w:vAlign w:val="top"/>
          </w:tcPr>
          <w:p>
            <w:pPr>
              <w:spacing w:after="40" w:before="0" w:line="259" w:lineRule="auto"/>
            </w:pPr>
            <w:r>
              <w:rPr>
                <w:rFonts w:ascii="Calibri" w:hAnsi="Calibri"/>
                <w:b w:val="0"/>
                <w:i w:val="0"/>
                <w:color w:val="212121"/>
                <w:sz w:val="19"/>
              </w:rPr>
              <w:t>Irreversible or disabling outcomes of longstanding severe disease and, at times, inappropriate management</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Fibromyalgia</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Shares central sensitisation and pain-processing mechanisms; frequently coexists and amplifies pain, fatigue and disability.</w:t>
            </w:r>
          </w:p>
          <w:p>
            <w:pPr>
              <w:spacing w:after="40" w:before="0" w:line="259" w:lineRule="auto"/>
            </w:pPr>
            <w:r>
              <w:rPr>
                <w:rFonts w:ascii="Calibri" w:hAnsi="Calibri"/>
                <w:b/>
                <w:i w:val="0"/>
                <w:color w:val="212121"/>
                <w:sz w:val="19"/>
              </w:rPr>
              <w:t>~10–30% (higher in adults)</w:t>
            </w:r>
          </w:p>
        </w:tc>
      </w:tr>
      <w:tr>
        <w:trPr>
          <w:cantSplit/>
        </w:trPr>
        <w:tc>
          <w:tcPr>
            <w:tcW w:type="dxa" w:w="2232"/>
            <w:vAlign w:val="top"/>
          </w:tcPr>
          <w:p>
            <w:pPr>
              <w:spacing w:after="40" w:before="0" w:line="259" w:lineRule="auto"/>
            </w:pPr>
            <w:r>
              <w:rPr>
                <w:rFonts w:ascii="Calibri" w:hAnsi="Calibri"/>
                <w:b/>
                <w:i w:val="0"/>
                <w:color w:val="212121"/>
                <w:sz w:val="19"/>
              </w:rPr>
              <w:t>Postural orthostatic tachycardia syndrome (POTS) / orthostatic intolerance</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Autonomic dysfunction is intrinsic to ME/CFS; POTS is among its most common comorbidities and worsens exertion tolerance.</w:t>
            </w:r>
          </w:p>
        </w:tc>
      </w:tr>
      <w:tr>
        <w:trPr>
          <w:cantSplit/>
        </w:trPr>
        <w:tc>
          <w:tcPr>
            <w:tcW w:type="dxa" w:w="2232"/>
            <w:vAlign w:val="top"/>
          </w:tcPr>
          <w:p>
            <w:pPr>
              <w:spacing w:after="40" w:before="0" w:line="259" w:lineRule="auto"/>
            </w:pPr>
            <w:r>
              <w:rPr>
                <w:rFonts w:ascii="Calibri" w:hAnsi="Calibri"/>
                <w:b/>
                <w:i w:val="0"/>
                <w:color w:val="212121"/>
                <w:sz w:val="19"/>
              </w:rPr>
              <w:t>Depression</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Common comorbidity with bidirectional links via inflammatory pathways and chronic-illness burden; worsens function but does not cause ME/CFS.</w:t>
            </w:r>
          </w:p>
          <w:p>
            <w:pPr>
              <w:spacing w:after="40" w:before="0" w:line="259" w:lineRule="auto"/>
            </w:pPr>
            <w:r>
              <w:rPr>
                <w:rFonts w:ascii="Calibri" w:hAnsi="Calibri"/>
                <w:b/>
                <w:i w:val="0"/>
                <w:color w:val="212121"/>
                <w:sz w:val="19"/>
              </w:rPr>
              <w:t>~25%</w:t>
            </w:r>
          </w:p>
        </w:tc>
      </w:tr>
      <w:tr>
        <w:trPr>
          <w:cantSplit/>
        </w:trPr>
        <w:tc>
          <w:tcPr>
            <w:tcW w:type="dxa" w:w="2232"/>
            <w:vAlign w:val="top"/>
          </w:tcPr>
          <w:p>
            <w:pPr>
              <w:spacing w:after="40" w:before="0" w:line="259" w:lineRule="auto"/>
            </w:pPr>
            <w:r>
              <w:rPr>
                <w:rFonts w:ascii="Calibri" w:hAnsi="Calibri"/>
                <w:b/>
                <w:i w:val="0"/>
                <w:color w:val="212121"/>
                <w:sz w:val="19"/>
              </w:rPr>
              <w:t>Anxiety disorders</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Frequently coexist and heighten symptom perception, sleep disturbance and autonomic arousal.</w:t>
            </w:r>
          </w:p>
        </w:tc>
      </w:tr>
      <w:tr>
        <w:trPr>
          <w:cantSplit/>
        </w:trPr>
        <w:tc>
          <w:tcPr>
            <w:tcW w:type="dxa" w:w="2232"/>
            <w:vAlign w:val="top"/>
          </w:tcPr>
          <w:p>
            <w:pPr>
              <w:spacing w:after="40" w:before="0" w:line="259" w:lineRule="auto"/>
            </w:pPr>
            <w:r>
              <w:rPr>
                <w:rFonts w:ascii="Calibri" w:hAnsi="Calibri"/>
                <w:b/>
                <w:i w:val="0"/>
                <w:color w:val="212121"/>
                <w:sz w:val="19"/>
              </w:rPr>
              <w:t>Irritable bowel syndrome</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Gut–brain axis and autonomic overlap; adds abdominal pain, bloating and altered bowel habit.</w:t>
            </w:r>
          </w:p>
        </w:tc>
      </w:tr>
      <w:tr>
        <w:trPr>
          <w:cantSplit/>
        </w:trPr>
        <w:tc>
          <w:tcPr>
            <w:tcW w:type="dxa" w:w="2232"/>
            <w:vAlign w:val="top"/>
          </w:tcPr>
          <w:p>
            <w:pPr>
              <w:spacing w:after="40" w:before="0" w:line="259" w:lineRule="auto"/>
            </w:pPr>
            <w:r>
              <w:rPr>
                <w:rFonts w:ascii="Calibri" w:hAnsi="Calibri"/>
                <w:b/>
                <w:i w:val="0"/>
                <w:color w:val="212121"/>
                <w:sz w:val="19"/>
              </w:rPr>
              <w:t>Post-COVID-19 condition (long COVID)</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 substantial proportion of long-COVID patients meet ME/CFS criteria, sharing post-viral onset with dominant post-exertional malaise.</w:t>
            </w:r>
          </w:p>
        </w:tc>
      </w:tr>
      <w:tr>
        <w:trPr>
          <w:cantSplit/>
        </w:trPr>
        <w:tc>
          <w:tcPr>
            <w:tcW w:type="dxa" w:w="2232"/>
            <w:vAlign w:val="top"/>
          </w:tcPr>
          <w:p>
            <w:pPr>
              <w:spacing w:after="40" w:before="0" w:line="259" w:lineRule="auto"/>
            </w:pPr>
            <w:r>
              <w:rPr>
                <w:rFonts w:ascii="Calibri" w:hAnsi="Calibri"/>
                <w:b/>
                <w:i w:val="0"/>
                <w:color w:val="212121"/>
                <w:sz w:val="19"/>
              </w:rPr>
              <w:t>Migraine / chronic headache</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Shared central pain and autonomic mechanisms; migraine commonly coexists and worsens the headache burden.</w:t>
            </w:r>
          </w:p>
        </w:tc>
      </w:tr>
      <w:tr>
        <w:trPr>
          <w:cantSplit/>
        </w:trPr>
        <w:tc>
          <w:tcPr>
            <w:tcW w:type="dxa" w:w="2232"/>
            <w:vAlign w:val="top"/>
          </w:tcPr>
          <w:p>
            <w:pPr>
              <w:spacing w:after="40" w:before="0" w:line="259" w:lineRule="auto"/>
            </w:pPr>
            <w:r>
              <w:rPr>
                <w:rFonts w:ascii="Calibri" w:hAnsi="Calibri"/>
                <w:b/>
                <w:i w:val="0"/>
                <w:color w:val="212121"/>
                <w:sz w:val="19"/>
              </w:rPr>
              <w:t>Joint hypermobility / hypermobility spectrum (incl. hEDS)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Especially common in adolescents (~60%); linked to autonomic dysfunction and orthostatic intolerance.</w:t>
            </w:r>
          </w:p>
          <w:p>
            <w:pPr>
              <w:spacing w:after="40" w:before="0" w:line="259" w:lineRule="auto"/>
            </w:pPr>
            <w:r>
              <w:rPr>
                <w:rFonts w:ascii="Calibri" w:hAnsi="Calibri"/>
                <w:b/>
                <w:i w:val="0"/>
                <w:color w:val="212121"/>
                <w:sz w:val="19"/>
              </w:rPr>
              <w:t>~60% of adolescents</w:t>
            </w:r>
          </w:p>
        </w:tc>
      </w:tr>
      <w:tr>
        <w:trPr>
          <w:cantSplit/>
        </w:trPr>
        <w:tc>
          <w:tcPr>
            <w:tcW w:type="dxa" w:w="2232"/>
            <w:vAlign w:val="top"/>
          </w:tcPr>
          <w:p>
            <w:pPr>
              <w:spacing w:after="40" w:before="0" w:line="259" w:lineRule="auto"/>
            </w:pPr>
            <w:r>
              <w:rPr>
                <w:rFonts w:ascii="Calibri" w:hAnsi="Calibri"/>
                <w:b/>
                <w:i w:val="0"/>
                <w:color w:val="212121"/>
                <w:sz w:val="19"/>
              </w:rPr>
              <w:t>Hypothyroidism, anaemia &amp; nutritional deficiency</w:t>
            </w:r>
          </w:p>
        </w:tc>
        <w:tc>
          <w:tcPr>
            <w:tcW w:type="dxa" w:w="2520"/>
            <w:vAlign w:val="top"/>
          </w:tcPr>
          <w:p>
            <w:pPr>
              <w:spacing w:after="40" w:before="0" w:line="259" w:lineRule="auto"/>
            </w:pPr>
            <w:r>
              <w:rPr>
                <w:rFonts w:ascii="Calibri" w:hAnsi="Calibri"/>
                <w:b w:val="0"/>
                <w:i w:val="0"/>
                <w:color w:val="212121"/>
                <w:sz w:val="18"/>
              </w:rPr>
              <w:t>• Clinical Management Impact</w:t>
            </w:r>
          </w:p>
          <w:p>
            <w:pPr>
              <w:spacing w:after="40" w:before="0" w:line="259" w:lineRule="auto"/>
            </w:pPr>
            <w:r>
              <w:rPr>
                <w:rFonts w:ascii="Calibri" w:hAnsi="Calibri"/>
                <w:b w:val="0"/>
                <w:i w:val="0"/>
                <w:color w:val="212121"/>
                <w:sz w:val="18"/>
              </w:rPr>
              <w:t>• Treatment Interaction</w:t>
            </w:r>
          </w:p>
        </w:tc>
        <w:tc>
          <w:tcPr>
            <w:tcW w:type="dxa" w:w="4852"/>
            <w:vAlign w:val="top"/>
          </w:tcPr>
          <w:p>
            <w:pPr>
              <w:spacing w:after="40" w:before="0" w:line="259" w:lineRule="auto"/>
            </w:pPr>
            <w:r>
              <w:rPr>
                <w:rFonts w:ascii="Calibri" w:hAnsi="Calibri"/>
                <w:b w:val="0"/>
                <w:i w:val="0"/>
                <w:color w:val="212121"/>
                <w:sz w:val="19"/>
              </w:rPr>
              <w:t>Must be excluded as mimics; when co-existing they compound fatigue and alter monitoring.</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ME/CFS as a real, biological illness — persistent fatigue with post-exertional malaise beyond 3–6 months warrants evaluation, not dismissal as ‘weakness’.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Learn the concepts of the ‘energy envelope’ and pacing, and avoid boom-and-bust activity patterns.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After infections (dengue, chikungunya, typhoid, EBV, COVID-19) allow adequate convalescence and avoid premature return to full exertion.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graded exercise therapy is no longer recommended (NICE 2021) and can worsen the illness.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early assessment to exclude reversible causes (thyroid disease, anaemia, B12/vitamin-D deficiency, diabetes, sleep apnoea).</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General public</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Post-viral / long-COVID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High-risk / recently infected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Families and caregivers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Employers and educators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Practise activity management / PACING within the individual energy envelope; stop before symptoms escalate (‘stay in the green zone’).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undertake fixed graded/incremental exercise programmes or ‘push through’ post-exertional malaise (NICE 2021).</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heart-rate or step monitoring and pre-emptive scheduled rest to prevent crashes.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For orthostatic intolerance, use recumbent or seated exercises, leg elevation and compression garments before any upright activity.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Introduce gentle mobility/stretching only within tolerance, with adequate recovery, and scale back during flares.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ME/CFS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Post-viral fatigue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POTS / orthostatic-intolerance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Severe / very severe housebound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regular, balanced meals; avoid skipping meals to prevent fatigue and hypoglycaemic dips.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protein, whole grains/millets, pulses, fruit and vegetables; correct vitamin D, B12 and iron deficiencies common in India.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Increase salt and fluid intake if orthostatic intolerance is present and there is no cardiac/renal contraindication.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Prefer smaller, frequent, lower-glycaemic meals to reduce post-prandial fatigue and orthostatic symptoms.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Trial reduction of alcohol and caffeine; if IBS overlaps, consider a structured, dietitian-guided low-FODMAP approach.</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patients with ME/CFS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Vegetarians / restricted diets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orthostatic intolerance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IBS overlap</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consistent sleep–wake timing and good sleep hygiene; treat coexisting sleep disorders such as obstructive sleep apnoea.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daytime napping to short, scheduled rests and avoid reversed sleep–wake cycles.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 evening caffeine, screens and stimulants; create a dark, quiet, cool environment.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Manage pain that disrupts sleep and address restless, unrefreshing sleep with a clinician.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patients with ME/CFS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reversed sleep cycles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comorbid pain</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all tobacco use; smoking worsens fatigue and vascular/mitochondrial function.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second-hand smoke and reduce indoor biomass-smoke exposure common in Indian households.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cessation support (counselling, nicotine replacement) rather than abrupt high-stress attempts that could trigger a flare.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 with ME/CFS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Households using biomass fuel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cardiovascular risk</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Minimise or avoid alcohol — new alcohol intolerance is characteristic and small amounts can trigger prolonged flares.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use alcohol as a sleep aid, as it worsens unrefreshing sleep.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Monitor individual tolerance and stop if symptoms worsen after intake.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ME/CFS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reporting alcohol intolerance</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treat comorbid depression and anxiety; ME/CFS is biological, but mood disorders worsen sleep, cognition and function.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supportive cognitive behavioural therapy to aid coping and adaptation — as support, not a cure — only if the patient wants it.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validation, stress reduction, relaxation and activity pacing; involve family and caregivers.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social isolation and arrange workplace/school accommodations and disability support.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clear safety-netting and monitor mood, given the raised suicide risk in severe disease.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ME/CFS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comorbid depression/anxiety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Severely affected / isolated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Caregivers and families</w:t>
            </w:r>
          </w:p>
        </w:tc>
        <w:tc>
          <w:tcPr>
            <w:tcW w:type="dxa" w:w="1036"/>
            <w:vAlign w:val="top"/>
          </w:tcPr>
          <w:p>
            <w:pPr>
              <w:spacing w:after="40" w:before="0" w:line="259" w:lineRule="auto"/>
            </w:pPr>
            <w:r>
              <w:rPr>
                <w:rFonts w:ascii="Calibri" w:hAnsi="Calibri"/>
                <w:b w:val="0"/>
                <w:i w:val="0"/>
                <w:color w:val="212121"/>
                <w:sz w:val="19"/>
              </w:rPr>
              <w:t>High</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medlineplus.gov/chronicfatiguesyndrome.html" TargetMode="External"/><Relationship Id="rId10" Type="http://schemas.openxmlformats.org/officeDocument/2006/relationships/hyperlink" Target="https://www.frontiersin.org/articles/10.3389/fped.2017.00121/full" TargetMode="External"/><Relationship Id="rId11" Type="http://schemas.openxmlformats.org/officeDocument/2006/relationships/hyperlink" Target="https://pmc.ncbi.nlm.nih.gov/articles/PMC7038594/" TargetMode="External"/><Relationship Id="rId12" Type="http://schemas.openxmlformats.org/officeDocument/2006/relationships/hyperlink" Target="https://www.cdc.gov/me-cfs/about/index.html" TargetMode="External"/><Relationship Id="rId13" Type="http://schemas.openxmlformats.org/officeDocument/2006/relationships/hyperlink" Target="https://www.nice.org.uk/guidance/ng206/chapter/Recommendations" TargetMode="External"/><Relationship Id="rId14" Type="http://schemas.openxmlformats.org/officeDocument/2006/relationships/hyperlink" Target="https://www.mdpi.com/2075-4418/9/3/9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