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Agoraphobia</w:t>
      </w:r>
    </w:p>
    <w:p>
      <w:pPr>
        <w:spacing w:before="0" w:after="160"/>
      </w:pPr>
      <w:r>
        <w:rPr>
          <w:rFonts w:ascii="Calibri" w:hAnsi="Calibri"/>
          <w:b/>
          <w:i w:val="0"/>
          <w:color w:val="212121"/>
          <w:sz w:val="22"/>
        </w:rPr>
        <w:t xml:space="preserve">AKA </w:t>
      </w:r>
      <w:r>
        <w:rPr>
          <w:rFonts w:ascii="Calibri" w:hAnsi="Calibri"/>
          <w:b w:val="0"/>
          <w:i w:val="0"/>
          <w:color w:val="212121"/>
          <w:sz w:val="22"/>
        </w:rPr>
        <w:t>i.e., Fear of open or public places, fear of leaving home (ICD-10 F40.0; ICD-11 6B02); historically the “housebound” syndrome; frequently co-occurs with panic disorder (“agoraphobia with panic disorder”)</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Agoraphobia is an anxiety disorder characterised by marked fear or anxiety about at least two of five situations — using public transport, being in open spaces, being in enclosed spaces, standing in a queue or crowd, and being outside the home alone — arising from the thought that escape might be difficult or help unavailable if panic-like or other incapacitating or embarrassing symptoms occur. The feared situations almost always provoke anxiety and are actively avoided, require a trusted companion, or are endured with intense distress; the fear is out of proportion to any real danger, lasts six months or more, and causes clinically significant impairment. In severe cases the person becomes largely or completely housebound. In DSM-5 agoraphobia is a stand-alone diagnosis that commonly, but not always, co-occurs with panic disorder.</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India’s National Mental Health Survey (NMHS) 2015–16 estimated neurotic and stress-related disorders (ICD-10 F40–F48, the group that contains agoraphobia and the other phobic disorders) at about 3.7% current prevalence, against an overall current mental-morbidity of 10.6% and a treatment gap exceeding 84% for mental disorders. Agoraphobia itself is less common than specific phobia: population surveys report a past-year prevalence around 0.9–1.7% and a lifetime prevalence near 1.3% in adults, roughly twice as high in women (about 2.0%) as in men (about 0.9%), with onset usually before age 35. Because Indian patients frequently present with bodily (somatic) symptoms and because homebound behaviour in women is often normalised as a cultural role rather than recognised as illness, agoraphobia is heavily under-diagnosed and most affected people never reach mental-health care.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Agoraphobia is a clinical diagnosis based on DSM-5 (or ICD-11) criteria, made after excluding medical conditions and substance effects that can drive situational fear. The core requirements are: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marked fear or anxiety about at least two of five situations: using public transport (buses, trains, planes); being in open spaces (car parks, markets, bridges); being in enclosed places (shops, cinemas, lifts); standing in a queue or being in a crowd; and being outside the home alone;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situations are feared or avoided because escape might be difficult, or help unavailable, if panic-like symptoms or other incapacitating or embarrassing symptoms develop (e.g., fear of falling in the elderly, fear of incontinence);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phobic situations almost always provoke fear or anxiety;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situations are actively avoided, require the presence of a companion, or are endured with intense fear or anxiety;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fear or anxiety is out of proportion to the actual danger posed and to the sociocultural context;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fear, anxiety or avoidance is persistent, typically lasting six months or more, and causes clinically significant distress or impairment in social, occupational or other important functioning;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disturbance is not better explained by another mental disorder — but if the criteria for panic disorder are also met, both diagnoses are assigned.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Agoraphobia is not formally staged; it is described by its relationship to panic disorder, the situational domains involved and the severity of avoidance:</w:t>
      </w:r>
    </w:p>
    <w:p>
      <w:pPr>
        <w:spacing w:before="0" w:after="80"/>
      </w:pPr>
      <w:r>
        <w:rPr>
          <w:rFonts w:ascii="Calibri" w:hAnsi="Calibri"/>
          <w:b w:val="0"/>
          <w:i w:val="0"/>
          <w:color w:val="212121"/>
          <w:sz w:val="21"/>
        </w:rPr>
        <w:t>(1) Agoraphobia with panic disorder — in DSM-5 both diagnoses are coded; ICD-10 codes it as F40.01. This is the more common and historically the more disabling presentation, in which agoraphobic avoidance develops around the fear of further panic attacks;</w:t>
      </w:r>
    </w:p>
    <w:p>
      <w:pPr>
        <w:spacing w:before="0" w:after="80"/>
      </w:pPr>
      <w:r>
        <w:rPr>
          <w:rFonts w:ascii="Calibri" w:hAnsi="Calibri"/>
          <w:b w:val="0"/>
          <w:i w:val="0"/>
          <w:color w:val="212121"/>
          <w:sz w:val="21"/>
        </w:rPr>
        <w:t>(2) Agoraphobia without panic disorder — a DSM-5 stand-alone diagnosis (ICD-10 F40.00), in which avoidance is driven by fear of other incapacitating or embarrassing symptoms (falling, vomiting, incontinence, a medical event) rather than full panic attacks;</w:t>
      </w:r>
    </w:p>
    <w:p>
      <w:pPr>
        <w:spacing w:before="0" w:after="80"/>
      </w:pPr>
      <w:r>
        <w:rPr>
          <w:rFonts w:ascii="Calibri" w:hAnsi="Calibri"/>
          <w:b w:val="0"/>
          <w:i w:val="0"/>
          <w:color w:val="212121"/>
          <w:sz w:val="21"/>
        </w:rPr>
        <w:t>(3) By situational domain — public transport, open spaces, enclosed spaces, crowds/queues, and being outside the home alone; most patients fear several domains at once, and the diagnosis requires at least two;</w:t>
      </w:r>
    </w:p>
    <w:p>
      <w:pPr>
        <w:spacing w:before="0" w:after="80"/>
      </w:pPr>
      <w:r>
        <w:rPr>
          <w:rFonts w:ascii="Calibri" w:hAnsi="Calibri"/>
          <w:b w:val="0"/>
          <w:i w:val="0"/>
          <w:color w:val="212121"/>
          <w:sz w:val="21"/>
        </w:rPr>
        <w:t>(4) By severity and course — mild (enters feared situations but with distress), moderate (needs a companion or restricts travel) and severe (largely or completely housebound); untreated, the course is typically persistent and chronic, with progressive spread of avoidance.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predisposition: Agoraphobia is substantially heritable (estimated 48–61%) and clusters in families, sharing polygenic vulnerability with panic disorder and other anxiety and mood disorders.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Panic and interoceptive conditioning: Frightening panic or panic-like bodily sensations (palpitations, dizziness, breathlessness, diarrhoea) become linked to the situations in which they occurred, so those places are then feared and avoided; agoraphobia frequently develops out of panic disorder.</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Temperament and personality: Neuroticism, high anxiety sensitivity, behavioural inhibition and avoidant or dependent traits lower the threshold for fear and for avoidance-based coping.</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Adverse childhood experiences and parenting: Childhood trauma, abuse, bereavement, lack of warmth and overprotective parenting increase later risk, as do major stressful life events such as assault or the death of a parent.</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Neurobiology: A hyper-responsive amygdala-centred fear network with weak prefrontal top-down regulation and dysregulated serotonergic, noradrenergic and GABAergic signalling drives exaggerated threat responses.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Female sex and hormonal factors: Women are affected about twice as often as men, with contributions from hormonal, temperamental and reporting differences.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Operant reinforcement of avoidance: Each escape or avoidance brings immediate relief, negatively reinforcing the behaviour and progressively expanding the range of avoided situations toward a housebound state.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Adolescents &amp; young adults</w:t>
            </w:r>
          </w:p>
        </w:tc>
        <w:tc>
          <w:tcPr>
            <w:tcW w:type="dxa" w:w="4276"/>
            <w:vAlign w:val="top"/>
          </w:tcPr>
          <w:p>
            <w:pPr>
              <w:spacing w:after="60" w:line="259" w:lineRule="auto"/>
            </w:pPr>
            <w:r>
              <w:rPr>
                <w:rFonts w:ascii="Calibri" w:hAnsi="Calibri"/>
                <w:b w:val="0"/>
                <w:i w:val="0"/>
                <w:color w:val="212121"/>
                <w:sz w:val="19"/>
              </w:rPr>
              <w:t>Agoraphobia usually begins in the late teens or early adulthood, generally before age 35, as independent travel, study and work increase exposure to crowds, transport and open spaces and as panic sensitivity peaks.</w:t>
            </w:r>
          </w:p>
          <w:p>
            <w:pPr>
              <w:spacing w:after="40" w:before="60" w:line="259" w:lineRule="auto"/>
            </w:pPr>
            <w:r>
              <w:rPr>
                <w:rFonts w:ascii="Calibri" w:hAnsi="Calibri"/>
                <w:b w:val="0"/>
                <w:i w:val="0"/>
                <w:color w:val="212121"/>
                <w:sz w:val="19"/>
              </w:rPr>
              <w:t>Lifetime prevalence is highest in adolescents — an estimated 2.4% of 13–18-year-olds, rising to 3.4% in adolescent girls.</w:t>
            </w:r>
          </w:p>
          <w:p>
            <w:pPr>
              <w:spacing w:after="40" w:line="252" w:lineRule="auto"/>
            </w:pPr>
            <w:hyperlink r:id="rId9">
              <w:r>
                <w:rPr>
                  <w:rFonts w:ascii="Calibri" w:hAnsi="Calibri" w:cs="Calibri"/>
                  <w:sz w:val="18"/>
                  <w:color w:val="1155CC"/>
                  <w:u w:val="single"/>
                </w:rPr>
                <w:t xml:space="preserve">nimh.nih.gov — agoraphobia statistics</w:t>
              </w:r>
            </w:hyperlink>
          </w:p>
          <w:p>
            <w:pPr>
              <w:spacing w:before="60" w:after="40"/>
            </w:pPr>
            <w:r>
              <w:rPr>
                <w:rFonts w:ascii="Calibri" w:hAnsi="Calibri"/>
                <w:b w:val="0"/>
                <w:i w:val="0"/>
                <w:color w:val="5A5A5A"/>
                <w:sz w:val="18"/>
              </w:rPr>
              <w:t>#agoraphobia  #youngadults  #onset  #adolescents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Prevalence declines with age, but agoraphobia persists into later life and can emerge anew around a fear of falling, fainting or a medical event; new situational fear in older adults warrants exclusion of cardiac, vestibular and neurological disease first.</w:t>
            </w:r>
          </w:p>
          <w:p>
            <w:pPr>
              <w:spacing w:after="40" w:before="60" w:line="259" w:lineRule="auto"/>
            </w:pPr>
            <w:r>
              <w:rPr>
                <w:rFonts w:ascii="Calibri" w:hAnsi="Calibri"/>
                <w:b w:val="0"/>
                <w:i w:val="0"/>
                <w:color w:val="212121"/>
                <w:sz w:val="19"/>
              </w:rPr>
              <w:t>Past-year prevalence falls to about 0.4% in adults aged 60 and older.</w:t>
            </w:r>
          </w:p>
          <w:p>
            <w:pPr>
              <w:spacing w:after="40" w:line="252" w:lineRule="auto"/>
            </w:pPr>
            <w:hyperlink r:id="rId9">
              <w:r>
                <w:rPr>
                  <w:rFonts w:ascii="Calibri" w:hAnsi="Calibri" w:cs="Calibri"/>
                  <w:sz w:val="18"/>
                  <w:color w:val="1155CC"/>
                  <w:u w:val="single"/>
                </w:rPr>
                <w:t xml:space="preserve">nimh.nih.gov — agoraphobia statistics</w:t>
              </w:r>
            </w:hyperlink>
          </w:p>
          <w:p>
            <w:pPr>
              <w:spacing w:before="60" w:after="40"/>
            </w:pPr>
            <w:r>
              <w:rPr>
                <w:rFonts w:ascii="Calibri" w:hAnsi="Calibri"/>
                <w:b w:val="0"/>
                <w:i w:val="0"/>
                <w:color w:val="5A5A5A"/>
                <w:sz w:val="18"/>
              </w:rPr>
              <w:t>#elderly  #fearoffalling  #lateonset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are affected roughly twice as often as men, reflecting hormonal, temperamental and reporting differences and a greater tendency to avoidance-based coping.</w:t>
            </w:r>
          </w:p>
          <w:p>
            <w:pPr>
              <w:spacing w:after="40" w:before="60" w:line="259" w:lineRule="auto"/>
            </w:pPr>
            <w:r>
              <w:rPr>
                <w:rFonts w:ascii="Calibri" w:hAnsi="Calibri"/>
                <w:b w:val="0"/>
                <w:i w:val="0"/>
                <w:color w:val="212121"/>
                <w:sz w:val="19"/>
              </w:rPr>
              <w:t>Lifetime prevalence is about 2.0% in women versus 0.9% in men (roughly a 2:1 ratio).</w:t>
            </w:r>
          </w:p>
          <w:p>
            <w:pPr>
              <w:spacing w:after="40" w:line="252" w:lineRule="auto"/>
            </w:pPr>
            <w:hyperlink r:id="rId10">
              <w:r>
                <w:rPr>
                  <w:rFonts w:ascii="Calibri" w:hAnsi="Calibri" w:cs="Calibri"/>
                  <w:sz w:val="18"/>
                  <w:color w:val="1155CC"/>
                  <w:u w:val="single"/>
                </w:rPr>
                <w:t xml:space="preserve">statpearls (ncbi.nlm.nih.gov) — agoraphobia</w:t>
              </w:r>
            </w:hyperlink>
          </w:p>
          <w:p>
            <w:pPr>
              <w:spacing w:before="60" w:after="40"/>
            </w:pPr>
            <w:r>
              <w:rPr>
                <w:rFonts w:ascii="Calibri" w:hAnsi="Calibri"/>
                <w:b w:val="0"/>
                <w:i w:val="0"/>
                <w:color w:val="5A5A5A"/>
                <w:sz w:val="18"/>
              </w:rPr>
              <w:t>#women  #sexdifference  #twiceascommon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&amp; less-educated adults</w:t>
            </w:r>
          </w:p>
        </w:tc>
        <w:tc>
          <w:tcPr>
            <w:tcW w:type="dxa" w:w="4276"/>
            <w:vAlign w:val="top"/>
          </w:tcPr>
          <w:p>
            <w:pPr>
              <w:spacing w:after="60" w:line="259" w:lineRule="auto"/>
            </w:pPr>
            <w:r>
              <w:rPr>
                <w:rFonts w:ascii="Calibri" w:hAnsi="Calibri"/>
                <w:b w:val="0"/>
                <w:i w:val="0"/>
                <w:color w:val="212121"/>
                <w:sz w:val="19"/>
              </w:rPr>
              <w:t>Chronic financial strain, insecure work and limited mental-health literacy raise vulnerability to anxiety disorders and, in India, sharply reduce the chance of timely diagnosis and evidence-based treatment.</w:t>
            </w:r>
          </w:p>
          <w:p>
            <w:pPr>
              <w:spacing w:after="40" w:before="60" w:line="259" w:lineRule="auto"/>
            </w:pPr>
            <w:r>
              <w:rPr>
                <w:rFonts w:ascii="Calibri" w:hAnsi="Calibri"/>
                <w:b w:val="0"/>
                <w:i w:val="0"/>
                <w:color w:val="212121"/>
                <w:sz w:val="19"/>
              </w:rPr>
              <w:t>NMHS 2015–16 found mental morbidity higher in less-educated and lower-income households, with an overall treatment gap of 84.5%.</w:t>
            </w:r>
          </w:p>
          <w:p>
            <w:pPr>
              <w:spacing w:after="40" w:line="252" w:lineRule="auto"/>
            </w:pPr>
            <w:hyperlink r:id="rId11">
              <w:r>
                <w:rPr>
                  <w:rFonts w:ascii="Calibri" w:hAnsi="Calibri" w:cs="Calibri"/>
                  <w:sz w:val="18"/>
                  <w:color w:val="1155CC"/>
                  <w:u w:val="single"/>
                </w:rPr>
                <w:t xml:space="preserve">NMHS India 2015–16 (Int J Soc Psychiatry)</w:t>
              </w:r>
            </w:hyperlink>
          </w:p>
          <w:p>
            <w:pPr>
              <w:spacing w:before="60" w:after="40"/>
            </w:pPr>
            <w:r>
              <w:rPr>
                <w:rFonts w:ascii="Calibri" w:hAnsi="Calibri"/>
                <w:b w:val="0"/>
                <w:i w:val="0"/>
                <w:color w:val="5A5A5A"/>
                <w:sz w:val="18"/>
              </w:rPr>
              <w:t>#socioeconomic  #treatmentgap  #india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Residence</w:t>
            </w:r>
          </w:p>
        </w:tc>
        <w:tc>
          <w:tcPr>
            <w:tcW w:type="dxa" w:w="2160"/>
            <w:vAlign w:val="top"/>
          </w:tcPr>
          <w:p>
            <w:pPr>
              <w:spacing w:after="40" w:before="0" w:line="259" w:lineRule="auto"/>
            </w:pPr>
            <w:r>
              <w:rPr>
                <w:rFonts w:ascii="Calibri" w:hAnsi="Calibri"/>
                <w:b w:val="0"/>
                <w:i w:val="0"/>
                <w:color w:val="212121"/>
                <w:sz w:val="19"/>
              </w:rPr>
              <w:t>Urban-metro residents (India)</w:t>
            </w:r>
          </w:p>
        </w:tc>
        <w:tc>
          <w:tcPr>
            <w:tcW w:type="dxa" w:w="4276"/>
            <w:vAlign w:val="top"/>
          </w:tcPr>
          <w:p>
            <w:pPr>
              <w:spacing w:after="60" w:line="259" w:lineRule="auto"/>
            </w:pPr>
            <w:r>
              <w:rPr>
                <w:rFonts w:ascii="Calibri" w:hAnsi="Calibri"/>
                <w:b w:val="0"/>
                <w:i w:val="0"/>
                <w:color w:val="212121"/>
                <w:sz w:val="19"/>
              </w:rPr>
              <w:t>Dense urban living multiplies agoraphobia-relevant situations — crowded local trains and buses, malls, lifts, flyovers and long commutes — and NMHS found higher overall mental morbidity in Indian metros than in rural areas.</w:t>
            </w:r>
          </w:p>
          <w:p>
            <w:pPr>
              <w:spacing w:after="40" w:before="60" w:line="259" w:lineRule="auto"/>
            </w:pPr>
            <w:r>
              <w:rPr>
                <w:rFonts w:ascii="Calibri" w:hAnsi="Calibri"/>
                <w:b w:val="0"/>
                <w:i w:val="0"/>
                <w:color w:val="212121"/>
                <w:sz w:val="19"/>
              </w:rPr>
              <w:t>NMHS 2015–16 reported higher current mental morbidity in urban-metro areas than in rural areas.</w:t>
            </w:r>
          </w:p>
          <w:p>
            <w:pPr>
              <w:spacing w:after="40" w:line="252" w:lineRule="auto"/>
            </w:pPr>
            <w:hyperlink r:id="rId11">
              <w:r>
                <w:rPr>
                  <w:rFonts w:ascii="Calibri" w:hAnsi="Calibri" w:cs="Calibri"/>
                  <w:sz w:val="18"/>
                  <w:color w:val="1155CC"/>
                  <w:u w:val="single"/>
                </w:rPr>
                <w:t xml:space="preserve">NMHS India 2015–16 (Int J Soc Psychiatry)</w:t>
              </w:r>
            </w:hyperlink>
          </w:p>
          <w:p>
            <w:pPr>
              <w:spacing w:before="60" w:after="40"/>
            </w:pPr>
            <w:r>
              <w:rPr>
                <w:rFonts w:ascii="Calibri" w:hAnsi="Calibri"/>
                <w:b w:val="0"/>
                <w:i w:val="0"/>
                <w:color w:val="5A5A5A"/>
                <w:sz w:val="18"/>
              </w:rPr>
              <w:t>#urban  #metrostress  #india  #publictransport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 &amp; culture</w:t>
            </w:r>
          </w:p>
        </w:tc>
        <w:tc>
          <w:tcPr>
            <w:tcW w:type="dxa" w:w="2160"/>
            <w:vAlign w:val="top"/>
          </w:tcPr>
          <w:p>
            <w:pPr>
              <w:spacing w:after="40" w:before="0" w:line="259" w:lineRule="auto"/>
            </w:pPr>
            <w:r>
              <w:rPr>
                <w:rFonts w:ascii="Calibri" w:hAnsi="Calibri"/>
                <w:b w:val="0"/>
                <w:i w:val="0"/>
                <w:color w:val="212121"/>
                <w:sz w:val="19"/>
              </w:rPr>
              <w:t>South Asian women &amp; somatic presenters</w:t>
            </w:r>
          </w:p>
        </w:tc>
        <w:tc>
          <w:tcPr>
            <w:tcW w:type="dxa" w:w="4276"/>
            <w:vAlign w:val="top"/>
          </w:tcPr>
          <w:p>
            <w:pPr>
              <w:spacing w:after="60" w:line="259" w:lineRule="auto"/>
            </w:pPr>
            <w:r>
              <w:rPr>
                <w:rFonts w:ascii="Calibri" w:hAnsi="Calibri"/>
                <w:b w:val="0"/>
                <w:i w:val="0"/>
                <w:color w:val="212121"/>
                <w:sz w:val="19"/>
              </w:rPr>
              <w:t>In Indian and other South Asian settings, homebound behaviour in women is often normalised as a domestic role rather than recognised as illness, and distress is frequently expressed through bodily symptoms, so agoraphobic avoidance is repeatedly mistaken for a general-medical problem or simply overlooked.</w:t>
            </w:r>
          </w:p>
          <w:p>
            <w:pPr>
              <w:spacing w:after="40" w:before="60" w:line="259" w:lineRule="auto"/>
            </w:pPr>
            <w:r>
              <w:rPr>
                <w:rFonts w:ascii="Calibri" w:hAnsi="Calibri"/>
                <w:b w:val="0"/>
                <w:i w:val="0"/>
                <w:color w:val="212121"/>
                <w:sz w:val="19"/>
              </w:rPr>
              <w:t>The very high Indian treatment gap (84.5% overall in NMHS 2015–16) means most phobic-anxiety disorders are never brought to clinical attention.</w:t>
            </w:r>
          </w:p>
          <w:p>
            <w:pPr>
              <w:spacing w:after="40" w:line="252" w:lineRule="auto"/>
            </w:pPr>
            <w:hyperlink r:id="rId11">
              <w:r>
                <w:rPr>
                  <w:rFonts w:ascii="Calibri" w:hAnsi="Calibri" w:cs="Calibri"/>
                  <w:sz w:val="18"/>
                  <w:color w:val="1155CC"/>
                  <w:u w:val="single"/>
                </w:rPr>
                <w:t xml:space="preserve">NMHS India 2015–16 (Int J Soc Psychiatry)</w:t>
              </w:r>
            </w:hyperlink>
          </w:p>
          <w:p>
            <w:pPr>
              <w:spacing w:before="60" w:after="40"/>
            </w:pPr>
            <w:r>
              <w:rPr>
                <w:rFonts w:ascii="Calibri" w:hAnsi="Calibri"/>
                <w:b w:val="0"/>
                <w:i w:val="0"/>
                <w:color w:val="5A5A5A"/>
                <w:sz w:val="18"/>
              </w:rPr>
              <w:t>#culture  #somatisation  #underdiagnosis  #india</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Housebound, physically inactive adults</w:t>
            </w:r>
          </w:p>
        </w:tc>
        <w:tc>
          <w:tcPr>
            <w:tcW w:type="dxa" w:w="4276"/>
            <w:vAlign w:val="top"/>
          </w:tcPr>
          <w:p>
            <w:pPr>
              <w:spacing w:after="60" w:line="259" w:lineRule="auto"/>
            </w:pPr>
            <w:r>
              <w:rPr>
                <w:rFonts w:ascii="Calibri" w:hAnsi="Calibri"/>
                <w:b w:val="0"/>
                <w:i w:val="0"/>
                <w:color w:val="212121"/>
                <w:sz w:val="19"/>
              </w:rPr>
              <w:t>Avoidance is the defining behaviour of agoraphobia; restricting travel and outings reduces physical activity and cardiorespiratory fitness, which heightens sensitivity to bodily sensations, while regular exercise lowers baseline anxiety and supports exposure-based recovery.</w:t>
            </w:r>
          </w:p>
          <w:p>
            <w:pPr>
              <w:spacing w:after="40" w:before="60" w:line="259" w:lineRule="auto"/>
            </w:pPr>
            <w:r>
              <w:rPr>
                <w:rFonts w:ascii="Calibri" w:hAnsi="Calibri"/>
                <w:b w:val="0"/>
                <w:i w:val="0"/>
                <w:color w:val="212121"/>
                <w:sz w:val="19"/>
              </w:rPr>
              <w:t>Higher levels of regular physical activity are prospectively associated with a lower risk of developing anxiety disorders.</w:t>
            </w:r>
          </w:p>
          <w:p>
            <w:pPr>
              <w:spacing w:after="40" w:line="252" w:lineRule="auto"/>
            </w:pPr>
            <w:hyperlink r:id="rId12">
              <w:r>
                <w:rPr>
                  <w:rFonts w:ascii="Calibri" w:hAnsi="Calibri" w:cs="Calibri"/>
                  <w:sz w:val="18"/>
                  <w:color w:val="1155CC"/>
                  <w:u w:val="single"/>
                </w:rPr>
                <w:t xml:space="preserve">pubmed — physical activity &amp; incident anxiety</w:t>
              </w:r>
            </w:hyperlink>
          </w:p>
          <w:p>
            <w:pPr>
              <w:spacing w:before="60" w:after="40"/>
            </w:pPr>
            <w:r>
              <w:rPr>
                <w:rFonts w:ascii="Calibri" w:hAnsi="Calibri"/>
                <w:b w:val="0"/>
                <w:i w:val="0"/>
                <w:color w:val="5A5A5A"/>
                <w:sz w:val="18"/>
              </w:rPr>
              <w:t>#sedentary  #deconditioning  #avoidance  #exercise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w:t>
            </w:r>
          </w:p>
        </w:tc>
        <w:tc>
          <w:tcPr>
            <w:tcW w:type="dxa" w:w="4276"/>
            <w:vAlign w:val="top"/>
          </w:tcPr>
          <w:p>
            <w:pPr>
              <w:spacing w:after="60" w:line="259" w:lineRule="auto"/>
            </w:pPr>
            <w:r>
              <w:rPr>
                <w:rFonts w:ascii="Calibri" w:hAnsi="Calibri"/>
                <w:b w:val="0"/>
                <w:i w:val="0"/>
                <w:color w:val="212121"/>
                <w:sz w:val="19"/>
              </w:rPr>
              <w:t>Nicotine stimulates the sympathetic nervous system and withdrawal provokes anxiety and arousal; smoking and nicotine dependence are associated with panic attacks and anxiety disorders that can seed and maintain agoraphobic avoidance.</w:t>
            </w:r>
          </w:p>
          <w:p>
            <w:pPr>
              <w:spacing w:after="40" w:before="60" w:line="259" w:lineRule="auto"/>
            </w:pPr>
            <w:r>
              <w:rPr>
                <w:rFonts w:ascii="Calibri" w:hAnsi="Calibri"/>
                <w:b w:val="0"/>
                <w:i w:val="0"/>
                <w:color w:val="212121"/>
                <w:sz w:val="19"/>
              </w:rPr>
              <w:t>Smoking and nicotine dependence are associated with an increased likelihood of panic attacks and anxiety disorders.</w:t>
            </w:r>
          </w:p>
          <w:p>
            <w:pPr>
              <w:spacing w:after="40" w:line="252" w:lineRule="auto"/>
            </w:pPr>
            <w:hyperlink r:id="rId13">
              <w:r>
                <w:rPr>
                  <w:rFonts w:ascii="Calibri" w:hAnsi="Calibri" w:cs="Calibri"/>
                  <w:sz w:val="18"/>
                  <w:color w:val="1155CC"/>
                  <w:u w:val="single"/>
                </w:rPr>
                <w:t xml:space="preserve">pubmed — smoking, nicotine dependence &amp; anxiety</w:t>
              </w:r>
            </w:hyperlink>
          </w:p>
          <w:p>
            <w:pPr>
              <w:spacing w:before="60" w:after="40"/>
            </w:pPr>
            <w:r>
              <w:rPr>
                <w:rFonts w:ascii="Calibri" w:hAnsi="Calibri"/>
                <w:b w:val="0"/>
                <w:i w:val="0"/>
                <w:color w:val="5A5A5A"/>
                <w:sz w:val="18"/>
              </w:rPr>
              <w:t>#smoking  #nicotine  #panic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People who “drink to cope” before going out</w:t>
            </w:r>
          </w:p>
        </w:tc>
        <w:tc>
          <w:tcPr>
            <w:tcW w:type="dxa" w:w="4276"/>
            <w:vAlign w:val="top"/>
          </w:tcPr>
          <w:p>
            <w:pPr>
              <w:spacing w:after="60" w:line="259" w:lineRule="auto"/>
            </w:pPr>
            <w:r>
              <w:rPr>
                <w:rFonts w:ascii="Calibri" w:hAnsi="Calibri"/>
                <w:b w:val="0"/>
                <w:i w:val="0"/>
                <w:color w:val="212121"/>
                <w:sz w:val="19"/>
              </w:rPr>
              <w:t>Alcohol and sedatives are commonly used to get through anticipated outings or crowds; this reinforces avoidance, blunts the corrective learning that exposure therapy depends on, and can progress to misuse and dependence.</w:t>
            </w:r>
          </w:p>
          <w:p>
            <w:pPr>
              <w:spacing w:after="40" w:before="60" w:line="259" w:lineRule="auto"/>
            </w:pPr>
            <w:r>
              <w:rPr>
                <w:rFonts w:ascii="Calibri" w:hAnsi="Calibri"/>
                <w:b w:val="0"/>
                <w:i w:val="0"/>
                <w:color w:val="212121"/>
                <w:sz w:val="19"/>
              </w:rPr>
              <w:t>Agoraphobia is complicated by an increased risk of alcohol or drug misuse.</w:t>
            </w:r>
          </w:p>
          <w:p>
            <w:pPr>
              <w:spacing w:after="40" w:line="252" w:lineRule="auto"/>
            </w:pPr>
            <w:hyperlink r:id="rId14">
              <w:r>
                <w:rPr>
                  <w:rFonts w:ascii="Calibri" w:hAnsi="Calibri" w:cs="Calibri"/>
                  <w:sz w:val="18"/>
                  <w:color w:val="1155CC"/>
                  <w:u w:val="single"/>
                </w:rPr>
                <w:t xml:space="preserve">mayoclinic.org — agoraphobia (complications)</w:t>
              </w:r>
            </w:hyperlink>
          </w:p>
          <w:p>
            <w:pPr>
              <w:spacing w:before="60" w:after="40"/>
            </w:pPr>
            <w:r>
              <w:rPr>
                <w:rFonts w:ascii="Calibri" w:hAnsi="Calibri"/>
                <w:b w:val="0"/>
                <w:i w:val="0"/>
                <w:color w:val="5A5A5A"/>
                <w:sz w:val="18"/>
              </w:rPr>
              <w:t>#alcohol  #selfmedication  #avoidance  #substancerisk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Sleep deprivation</w:t>
            </w:r>
          </w:p>
        </w:tc>
        <w:tc>
          <w:tcPr>
            <w:tcW w:type="dxa" w:w="2160"/>
            <w:vAlign w:val="top"/>
          </w:tcPr>
          <w:p>
            <w:pPr>
              <w:spacing w:after="40" w:before="0" w:line="259" w:lineRule="auto"/>
            </w:pPr>
            <w:r>
              <w:rPr>
                <w:rFonts w:ascii="Calibri" w:hAnsi="Calibri"/>
                <w:b w:val="0"/>
                <w:i w:val="0"/>
                <w:color w:val="212121"/>
                <w:sz w:val="19"/>
              </w:rPr>
              <w:t>Sleep-deprived &amp; shift workers</w:t>
            </w:r>
          </w:p>
        </w:tc>
        <w:tc>
          <w:tcPr>
            <w:tcW w:type="dxa" w:w="4276"/>
            <w:vAlign w:val="top"/>
          </w:tcPr>
          <w:p>
            <w:pPr>
              <w:spacing w:after="60" w:line="259" w:lineRule="auto"/>
            </w:pPr>
            <w:r>
              <w:rPr>
                <w:rFonts w:ascii="Calibri" w:hAnsi="Calibri"/>
                <w:b w:val="0"/>
                <w:i w:val="0"/>
                <w:color w:val="212121"/>
                <w:sz w:val="19"/>
              </w:rPr>
              <w:t>Short or fragmented sleep and circadian disruption heighten autonomic arousal, worry and anxiety sensitivity, lowering the threshold for panic-like symptoms that trigger and maintain avoidance.</w:t>
            </w:r>
          </w:p>
          <w:p>
            <w:pPr>
              <w:spacing w:after="40" w:before="60" w:line="259" w:lineRule="auto"/>
            </w:pPr>
            <w:r>
              <w:rPr>
                <w:rFonts w:ascii="Calibri" w:hAnsi="Calibri"/>
                <w:b w:val="0"/>
                <w:i w:val="0"/>
                <w:color w:val="212121"/>
                <w:sz w:val="19"/>
              </w:rPr>
              <w:t>Short and fragmented sleep heighten next-day worry, arousal and anxiety reactivity.</w:t>
            </w:r>
          </w:p>
          <w:p>
            <w:pPr>
              <w:spacing w:after="40" w:line="252" w:lineRule="auto"/>
            </w:pPr>
            <w:hyperlink r:id="rId15">
              <w:r>
                <w:rPr>
                  <w:rFonts w:ascii="Calibri" w:hAnsi="Calibri" w:cs="Calibri"/>
                  <w:sz w:val="18"/>
                  <w:color w:val="1155CC"/>
                  <w:u w:val="single"/>
                </w:rPr>
                <w:t xml:space="preserve">pubmed — sleep loss, worry &amp; arousal</w:t>
              </w:r>
            </w:hyperlink>
          </w:p>
          <w:p>
            <w:pPr>
              <w:spacing w:before="60" w:after="40"/>
            </w:pPr>
            <w:r>
              <w:rPr>
                <w:rFonts w:ascii="Calibri" w:hAnsi="Calibri"/>
                <w:b w:val="0"/>
                <w:i w:val="0"/>
                <w:color w:val="5A5A5A"/>
                <w:sz w:val="18"/>
              </w:rPr>
              <w:t>#sleeploss  #arousal  #shiftwork</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Caffeine</w:t>
            </w:r>
          </w:p>
        </w:tc>
        <w:tc>
          <w:tcPr>
            <w:tcW w:type="dxa" w:w="2160"/>
            <w:vAlign w:val="top"/>
          </w:tcPr>
          <w:p>
            <w:pPr>
              <w:spacing w:after="40" w:before="0" w:line="259" w:lineRule="auto"/>
            </w:pPr>
            <w:r>
              <w:rPr>
                <w:rFonts w:ascii="Calibri" w:hAnsi="Calibri"/>
                <w:b w:val="0"/>
                <w:i w:val="0"/>
                <w:color w:val="212121"/>
                <w:sz w:val="19"/>
              </w:rPr>
              <w:t>High caffeine &amp; energy-drink consumers</w:t>
            </w:r>
          </w:p>
        </w:tc>
        <w:tc>
          <w:tcPr>
            <w:tcW w:type="dxa" w:w="4276"/>
            <w:vAlign w:val="top"/>
          </w:tcPr>
          <w:p>
            <w:pPr>
              <w:spacing w:after="60" w:line="259" w:lineRule="auto"/>
            </w:pPr>
            <w:r>
              <w:rPr>
                <w:rFonts w:ascii="Calibri" w:hAnsi="Calibri"/>
                <w:b w:val="0"/>
                <w:i w:val="0"/>
                <w:color w:val="212121"/>
                <w:sz w:val="19"/>
              </w:rPr>
              <w:t>Caffeine is a dose-dependent panicogen that raises adrenergic tone and reliably provokes palpitations, tremor and anxiety in susceptible people; the resulting bodily sensations feed the catastrophic fear and avoidance at the core of agoraphobia.</w:t>
            </w:r>
          </w:p>
          <w:p>
            <w:pPr>
              <w:spacing w:after="40" w:before="60" w:line="259" w:lineRule="auto"/>
            </w:pPr>
            <w:r>
              <w:rPr>
                <w:rFonts w:ascii="Calibri" w:hAnsi="Calibri"/>
                <w:b w:val="0"/>
                <w:i w:val="0"/>
                <w:color w:val="212121"/>
                <w:sz w:val="19"/>
              </w:rPr>
              <w:t>Excessive caffeine intake is a recognised trigger for panic attacks.</w:t>
            </w:r>
          </w:p>
          <w:p>
            <w:pPr>
              <w:spacing w:after="40" w:line="252" w:lineRule="auto"/>
            </w:pPr>
            <w:hyperlink r:id="rId16">
              <w:r>
                <w:rPr>
                  <w:rFonts w:ascii="Calibri" w:hAnsi="Calibri" w:cs="Calibri"/>
                  <w:sz w:val="18"/>
                  <w:color w:val="1155CC"/>
                  <w:u w:val="single"/>
                </w:rPr>
                <w:t xml:space="preserve">mayoclinic.org — panic attacks (triggers)</w:t>
              </w:r>
            </w:hyperlink>
          </w:p>
          <w:p>
            <w:pPr>
              <w:spacing w:before="60" w:after="40"/>
            </w:pPr>
            <w:r>
              <w:rPr>
                <w:rFonts w:ascii="Calibri" w:hAnsi="Calibri"/>
                <w:b w:val="0"/>
                <w:i w:val="0"/>
                <w:color w:val="5A5A5A"/>
                <w:sz w:val="18"/>
              </w:rPr>
              <w:t>#caffeine  #energydrinks  #panicogen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agoraphobia or panic disorder</w:t>
            </w:r>
          </w:p>
        </w:tc>
        <w:tc>
          <w:tcPr>
            <w:tcW w:type="dxa" w:w="4276"/>
            <w:vAlign w:val="top"/>
          </w:tcPr>
          <w:p>
            <w:pPr>
              <w:spacing w:after="60" w:line="259" w:lineRule="auto"/>
            </w:pPr>
            <w:r>
              <w:rPr>
                <w:rFonts w:ascii="Calibri" w:hAnsi="Calibri"/>
                <w:b w:val="0"/>
                <w:i w:val="0"/>
                <w:color w:val="212121"/>
                <w:sz w:val="19"/>
              </w:rPr>
              <w:t>Agoraphobia aggregates strongly in families through shared polygenic vulnerability affecting the fear network and neurotransmitter systems; a blood relative with agoraphobia is a recognised risk factor.</w:t>
            </w:r>
          </w:p>
          <w:p>
            <w:pPr>
              <w:spacing w:after="40" w:before="60" w:line="259" w:lineRule="auto"/>
            </w:pPr>
            <w:r>
              <w:rPr>
                <w:rFonts w:ascii="Calibri" w:hAnsi="Calibri"/>
                <w:b w:val="0"/>
                <w:i w:val="0"/>
                <w:color w:val="212121"/>
                <w:sz w:val="19"/>
              </w:rPr>
              <w:t>Heritability of agoraphobia is estimated at about 48–61%.</w:t>
            </w:r>
          </w:p>
          <w:p>
            <w:pPr>
              <w:spacing w:after="40" w:line="252" w:lineRule="auto"/>
            </w:pPr>
            <w:hyperlink r:id="rId10">
              <w:r>
                <w:rPr>
                  <w:rFonts w:ascii="Calibri" w:hAnsi="Calibri" w:cs="Calibri"/>
                  <w:sz w:val="18"/>
                  <w:color w:val="1155CC"/>
                  <w:u w:val="single"/>
                </w:rPr>
                <w:t xml:space="preserve">statpearls (ncbi.nlm.nih.gov) — agoraphobia</w:t>
              </w:r>
            </w:hyperlink>
          </w:p>
          <w:p>
            <w:pPr>
              <w:spacing w:before="60" w:after="40"/>
            </w:pPr>
            <w:r>
              <w:rPr>
                <w:rFonts w:ascii="Calibri" w:hAnsi="Calibri"/>
                <w:b w:val="0"/>
                <w:i w:val="0"/>
                <w:color w:val="5A5A5A"/>
                <w:sz w:val="18"/>
              </w:rPr>
              <w:t>#familyhistory  #genetic  #heritability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Temperament</w:t>
            </w:r>
          </w:p>
        </w:tc>
        <w:tc>
          <w:tcPr>
            <w:tcW w:type="dxa" w:w="2160"/>
            <w:vAlign w:val="top"/>
          </w:tcPr>
          <w:p>
            <w:pPr>
              <w:spacing w:after="40" w:before="0" w:line="259" w:lineRule="auto"/>
            </w:pPr>
            <w:r>
              <w:rPr>
                <w:rFonts w:ascii="Calibri" w:hAnsi="Calibri"/>
                <w:b w:val="0"/>
                <w:i w:val="0"/>
                <w:color w:val="212121"/>
                <w:sz w:val="19"/>
              </w:rPr>
              <w:t>High anxiety-sensitivity / behavioural inhibition</w:t>
            </w:r>
          </w:p>
        </w:tc>
        <w:tc>
          <w:tcPr>
            <w:tcW w:type="dxa" w:w="4276"/>
            <w:vAlign w:val="top"/>
          </w:tcPr>
          <w:p>
            <w:pPr>
              <w:spacing w:after="60" w:line="259" w:lineRule="auto"/>
            </w:pPr>
            <w:r>
              <w:rPr>
                <w:rFonts w:ascii="Calibri" w:hAnsi="Calibri"/>
                <w:b w:val="0"/>
                <w:i w:val="0"/>
                <w:color w:val="212121"/>
                <w:sz w:val="19"/>
              </w:rPr>
              <w:t>A temperamental tendency to fear bodily sensations (“anxiety sensitivity”), high neuroticism, behavioural inhibition and avoidant or dependent traits predispose to agoraphobia and amplify catastrophic misinterpretation of arousal.</w:t>
            </w:r>
          </w:p>
          <w:p>
            <w:pPr>
              <w:spacing w:after="40" w:before="60" w:line="259" w:lineRule="auto"/>
            </w:pPr>
            <w:r>
              <w:rPr>
                <w:rFonts w:ascii="Calibri" w:hAnsi="Calibri"/>
                <w:b w:val="0"/>
                <w:i w:val="0"/>
                <w:color w:val="212121"/>
                <w:sz w:val="19"/>
              </w:rPr>
              <w:t>Neuroticism, low extroversion, anxiety sensitivity and avoidant/dependent traits are established temperamental risk markers for agoraphobia.</w:t>
            </w:r>
          </w:p>
          <w:p>
            <w:pPr>
              <w:spacing w:after="40" w:line="252" w:lineRule="auto"/>
            </w:pPr>
            <w:hyperlink r:id="rId10">
              <w:r>
                <w:rPr>
                  <w:rFonts w:ascii="Calibri" w:hAnsi="Calibri" w:cs="Calibri"/>
                  <w:sz w:val="18"/>
                  <w:color w:val="1155CC"/>
                  <w:u w:val="single"/>
                </w:rPr>
                <w:t xml:space="preserve">statpearls (ncbi.nlm.nih.gov) — agoraphobia</w:t>
              </w:r>
            </w:hyperlink>
          </w:p>
          <w:p>
            <w:pPr>
              <w:spacing w:before="60" w:after="40"/>
            </w:pPr>
            <w:r>
              <w:rPr>
                <w:rFonts w:ascii="Calibri" w:hAnsi="Calibri"/>
                <w:b w:val="0"/>
                <w:i w:val="0"/>
                <w:color w:val="5A5A5A"/>
                <w:sz w:val="18"/>
              </w:rPr>
              <w:t>#anxietysensitivity  #temperament  #neuroticism</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Panic disorder</w:t>
            </w:r>
          </w:p>
        </w:tc>
        <w:tc>
          <w:tcPr>
            <w:tcW w:type="dxa" w:w="2160"/>
            <w:vAlign w:val="top"/>
          </w:tcPr>
          <w:p>
            <w:pPr>
              <w:spacing w:after="40" w:before="0" w:line="259" w:lineRule="auto"/>
            </w:pPr>
            <w:r>
              <w:rPr>
                <w:rFonts w:ascii="Calibri" w:hAnsi="Calibri"/>
                <w:b w:val="0"/>
                <w:i w:val="0"/>
                <w:color w:val="212121"/>
                <w:sz w:val="19"/>
              </w:rPr>
              <w:t>Patients with panic disorder</w:t>
            </w:r>
          </w:p>
        </w:tc>
        <w:tc>
          <w:tcPr>
            <w:tcW w:type="dxa" w:w="4276"/>
            <w:vAlign w:val="top"/>
          </w:tcPr>
          <w:p>
            <w:pPr>
              <w:spacing w:after="60" w:line="259" w:lineRule="auto"/>
            </w:pPr>
            <w:r>
              <w:rPr>
                <w:rFonts w:ascii="Calibri" w:hAnsi="Calibri"/>
                <w:b w:val="0"/>
                <w:i w:val="0"/>
                <w:color w:val="212121"/>
                <w:sz w:val="19"/>
              </w:rPr>
              <w:t>Agoraphobia frequently develops out of panic disorder as the person begins to avoid the situations in which attacks occurred; the two share fear-network pathophysiology and their combination is the most disabling presentation.</w:t>
            </w:r>
          </w:p>
          <w:p>
            <w:pPr>
              <w:spacing w:after="40" w:before="60" w:line="259" w:lineRule="auto"/>
            </w:pPr>
            <w:r>
              <w:rPr>
                <w:rFonts w:ascii="Calibri" w:hAnsi="Calibri"/>
                <w:b w:val="0"/>
                <w:i w:val="0"/>
                <w:color w:val="212121"/>
                <w:sz w:val="19"/>
              </w:rPr>
              <w:t>About one-third of people with agoraphobia also have panic disorder (a comorbidity rate of roughly 26% is reported).</w:t>
            </w:r>
          </w:p>
          <w:p>
            <w:pPr>
              <w:spacing w:after="40" w:line="252" w:lineRule="auto"/>
            </w:pPr>
            <w:hyperlink r:id="rId17">
              <w:r>
                <w:rPr>
                  <w:rFonts w:ascii="Calibri" w:hAnsi="Calibri" w:cs="Calibri"/>
                  <w:sz w:val="18"/>
                  <w:color w:val="1155CC"/>
                  <w:u w:val="single"/>
                </w:rPr>
                <w:t xml:space="preserve">clevelandclinic.org — agoraphobia</w:t>
              </w:r>
            </w:hyperlink>
          </w:p>
          <w:p>
            <w:pPr>
              <w:spacing w:before="60" w:after="40"/>
            </w:pPr>
            <w:r>
              <w:rPr>
                <w:rFonts w:ascii="Calibri" w:hAnsi="Calibri"/>
                <w:b w:val="0"/>
                <w:i w:val="0"/>
                <w:color w:val="5A5A5A"/>
                <w:sz w:val="18"/>
              </w:rPr>
              <w:t>#panicdisorder  #comorbidity  #disability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w:t>
            </w:r>
          </w:p>
        </w:tc>
        <w:tc>
          <w:tcPr>
            <w:tcW w:type="dxa" w:w="2160"/>
            <w:vAlign w:val="top"/>
          </w:tcPr>
          <w:p>
            <w:pPr>
              <w:spacing w:after="40" w:before="0" w:line="259" w:lineRule="auto"/>
            </w:pPr>
            <w:r>
              <w:rPr>
                <w:rFonts w:ascii="Calibri" w:hAnsi="Calibri"/>
                <w:b w:val="0"/>
                <w:i w:val="0"/>
                <w:color w:val="212121"/>
                <w:sz w:val="19"/>
              </w:rPr>
              <w:t>Patients with major depression</w:t>
            </w:r>
          </w:p>
        </w:tc>
        <w:tc>
          <w:tcPr>
            <w:tcW w:type="dxa" w:w="4276"/>
            <w:vAlign w:val="top"/>
          </w:tcPr>
          <w:p>
            <w:pPr>
              <w:spacing w:after="60" w:line="259" w:lineRule="auto"/>
            </w:pPr>
            <w:r>
              <w:rPr>
                <w:rFonts w:ascii="Calibri" w:hAnsi="Calibri"/>
                <w:b w:val="0"/>
                <w:i w:val="0"/>
                <w:color w:val="212121"/>
                <w:sz w:val="19"/>
              </w:rPr>
              <w:t>Depression and agoraphobia share monoaminergic and stress-axis mechanisms and frequently co-occur; avoidance and isolation deepen depression, and depression worsens the course and raises suicide risk.</w:t>
            </w:r>
          </w:p>
          <w:p>
            <w:pPr>
              <w:spacing w:after="40" w:before="60" w:line="259" w:lineRule="auto"/>
            </w:pPr>
            <w:r>
              <w:rPr>
                <w:rFonts w:ascii="Calibri" w:hAnsi="Calibri"/>
                <w:b w:val="0"/>
                <w:i w:val="0"/>
                <w:color w:val="212121"/>
                <w:sz w:val="19"/>
              </w:rPr>
              <w:t>About 12% of people with agoraphobia have comorbid major depressive disorder.</w:t>
            </w:r>
          </w:p>
          <w:p>
            <w:pPr>
              <w:spacing w:after="40" w:line="252" w:lineRule="auto"/>
            </w:pPr>
            <w:hyperlink r:id="rId10">
              <w:r>
                <w:rPr>
                  <w:rFonts w:ascii="Calibri" w:hAnsi="Calibri" w:cs="Calibri"/>
                  <w:sz w:val="18"/>
                  <w:color w:val="1155CC"/>
                  <w:u w:val="single"/>
                </w:rPr>
                <w:t xml:space="preserve">statpearls (ncbi.nlm.nih.gov) — agoraphobia</w:t>
              </w:r>
            </w:hyperlink>
          </w:p>
          <w:p>
            <w:pPr>
              <w:spacing w:before="60" w:after="40"/>
            </w:pPr>
            <w:r>
              <w:rPr>
                <w:rFonts w:ascii="Calibri" w:hAnsi="Calibri"/>
                <w:b w:val="0"/>
                <w:i w:val="0"/>
                <w:color w:val="5A5A5A"/>
                <w:sz w:val="18"/>
              </w:rPr>
              <w:t>#depression  #comorbidity  #suiciderisk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Other anxiety &amp; related disorders</w:t>
            </w:r>
          </w:p>
        </w:tc>
        <w:tc>
          <w:tcPr>
            <w:tcW w:type="dxa" w:w="2160"/>
            <w:vAlign w:val="top"/>
          </w:tcPr>
          <w:p>
            <w:pPr>
              <w:spacing w:after="40" w:before="0" w:line="259" w:lineRule="auto"/>
            </w:pPr>
            <w:r>
              <w:rPr>
                <w:rFonts w:ascii="Calibri" w:hAnsi="Calibri"/>
                <w:b w:val="0"/>
                <w:i w:val="0"/>
                <w:color w:val="212121"/>
                <w:sz w:val="19"/>
              </w:rPr>
              <w:t>Patients with GAD, social/specific phobia, OCD or PTSD</w:t>
            </w:r>
          </w:p>
        </w:tc>
        <w:tc>
          <w:tcPr>
            <w:tcW w:type="dxa" w:w="4276"/>
            <w:vAlign w:val="top"/>
          </w:tcPr>
          <w:p>
            <w:pPr>
              <w:spacing w:after="60" w:line="259" w:lineRule="auto"/>
            </w:pPr>
            <w:r>
              <w:rPr>
                <w:rFonts w:ascii="Calibri" w:hAnsi="Calibri"/>
                <w:b w:val="0"/>
                <w:i w:val="0"/>
                <w:color w:val="212121"/>
                <w:sz w:val="19"/>
              </w:rPr>
              <w:t>Agoraphobia shares vulnerability and anxiety sensitivity with the other anxiety and related disorders, which commonly coexist and drive chronicity and disability.</w:t>
            </w:r>
          </w:p>
          <w:p>
            <w:pPr>
              <w:spacing w:after="40" w:before="60" w:line="259" w:lineRule="auto"/>
            </w:pPr>
            <w:r>
              <w:rPr>
                <w:rFonts w:ascii="Calibri" w:hAnsi="Calibri"/>
                <w:b w:val="0"/>
                <w:i w:val="0"/>
                <w:color w:val="212121"/>
                <w:sz w:val="19"/>
              </w:rPr>
              <w:t>Reported comorbidity includes generalised anxiety disorder 7%, specific phobia 5%, social phobia 4%, OCD 4% and PTSD 2%.</w:t>
            </w:r>
          </w:p>
          <w:p>
            <w:pPr>
              <w:spacing w:after="40" w:line="252" w:lineRule="auto"/>
            </w:pPr>
            <w:hyperlink r:id="rId10">
              <w:r>
                <w:rPr>
                  <w:rFonts w:ascii="Calibri" w:hAnsi="Calibri" w:cs="Calibri"/>
                  <w:sz w:val="18"/>
                  <w:color w:val="1155CC"/>
                  <w:u w:val="single"/>
                </w:rPr>
                <w:t xml:space="preserve">statpearls (ncbi.nlm.nih.gov) — agoraphobia</w:t>
              </w:r>
            </w:hyperlink>
          </w:p>
          <w:p>
            <w:pPr>
              <w:spacing w:before="60" w:after="40"/>
            </w:pPr>
            <w:r>
              <w:rPr>
                <w:rFonts w:ascii="Calibri" w:hAnsi="Calibri"/>
                <w:b w:val="0"/>
                <w:i w:val="0"/>
                <w:color w:val="5A5A5A"/>
                <w:sz w:val="18"/>
              </w:rPr>
              <w:t>#anxiety  #comorbidity  #OCD  #PTSD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Suicidality</w:t>
            </w:r>
          </w:p>
        </w:tc>
        <w:tc>
          <w:tcPr>
            <w:tcW w:type="dxa" w:w="2160"/>
            <w:vAlign w:val="top"/>
          </w:tcPr>
          <w:p>
            <w:pPr>
              <w:spacing w:after="40" w:before="0" w:line="259" w:lineRule="auto"/>
            </w:pPr>
            <w:r>
              <w:rPr>
                <w:rFonts w:ascii="Calibri" w:hAnsi="Calibri"/>
                <w:b w:val="0"/>
                <w:i w:val="0"/>
                <w:color w:val="212121"/>
                <w:sz w:val="19"/>
              </w:rPr>
              <w:t>Patients with suicidal ideation</w:t>
            </w:r>
          </w:p>
        </w:tc>
        <w:tc>
          <w:tcPr>
            <w:tcW w:type="dxa" w:w="4276"/>
            <w:vAlign w:val="top"/>
          </w:tcPr>
          <w:p>
            <w:pPr>
              <w:spacing w:after="60" w:line="259" w:lineRule="auto"/>
            </w:pPr>
            <w:r>
              <w:rPr>
                <w:rFonts w:ascii="Calibri" w:hAnsi="Calibri"/>
                <w:b w:val="0"/>
                <w:i w:val="0"/>
                <w:color w:val="212121"/>
                <w:sz w:val="19"/>
              </w:rPr>
              <w:t>The isolation, dependency and demoralisation of severe agoraphobia, often compounded by comorbid depression and substance misuse, substantially raise suicide risk and must be actively assessed.</w:t>
            </w:r>
          </w:p>
          <w:p>
            <w:pPr>
              <w:spacing w:after="40" w:before="60" w:line="259" w:lineRule="auto"/>
            </w:pPr>
            <w:r>
              <w:rPr>
                <w:rFonts w:ascii="Calibri" w:hAnsi="Calibri"/>
                <w:b w:val="0"/>
                <w:i w:val="0"/>
                <w:color w:val="212121"/>
                <w:sz w:val="19"/>
              </w:rPr>
              <w:t>About 15% of people with agoraphobia experience suicidal ideation.</w:t>
            </w:r>
          </w:p>
          <w:p>
            <w:pPr>
              <w:spacing w:after="40" w:line="252" w:lineRule="auto"/>
            </w:pPr>
            <w:hyperlink r:id="rId10">
              <w:r>
                <w:rPr>
                  <w:rFonts w:ascii="Calibri" w:hAnsi="Calibri" w:cs="Calibri"/>
                  <w:sz w:val="18"/>
                  <w:color w:val="1155CC"/>
                  <w:u w:val="single"/>
                </w:rPr>
                <w:t xml:space="preserve">statpearls (ncbi.nlm.nih.gov) — agoraphobia</w:t>
              </w:r>
            </w:hyperlink>
          </w:p>
          <w:p>
            <w:pPr>
              <w:spacing w:before="60" w:after="40"/>
            </w:pPr>
            <w:r>
              <w:rPr>
                <w:rFonts w:ascii="Calibri" w:hAnsi="Calibri"/>
                <w:b w:val="0"/>
                <w:i w:val="0"/>
                <w:color w:val="5A5A5A"/>
                <w:sz w:val="18"/>
              </w:rPr>
              <w:t>#suicidality  #isolation  #riskassessment</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Avoidance and homebound behaviour reduce activity and fitness and heighten fear of bodily sensations; regular aerobic exercise lowers baseline anxiety and higher activity levels are prospectively linked to fewer incident anxiety disorders.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Skipped meals and reactive hypoglycaemia produce adrenergic symptoms that can be misread as the onset of panic and reinforce avoidance, but a direct causal link to agoraphobia is weak.</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Short, fragmented or irregular sleep raises autonomic arousal, worry and anxiety sensitivity, lowering the threshold for the panic-like symptoms that trigger avoidance.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and nicotine dependence are associated with panic attacks and anxiety disorders, and nicotine withdrawal raises arousal; both can seed and maintain agoraphobic avoidance.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and sedatives used to “get through” outings reinforce avoidance and blunt exposure-based learning; heavy use and withdrawal precipitate anxiety and can progress to dependence.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Comorbid panic disorder, depression and other anxiety disorders, together with high anxiety sensitivity, are the strongest drivers of onset, severity, chronicity and suicide risk.</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Dehydration can cause palpitations, dizziness and light-headedness that may be misinterpreted as incapacitating symptoms, but a direct link to agoraphobia is weak and under-studied.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Caffeine is a dose-dependent panicogen; the palpitations, tremor and anxiety it provokes in susceptible people feed the catastrophic fear of bodily sensations that underlies avoidance.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direct relationship with the onset or course of agoraphobia.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Discrete precipitants — a panic attack, entering a crowd or public transport, being alone or far from home, acute stress, caffeine/stimulants and sleep loss — trigger anxiety and avoidance.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Hyperventilation and orthostatic dizziness can perpetuate the hypocapnic bodily sensations that feed an attack, but posture is not a primary cause of agoraphobia.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Moderate-to-vigorous activity (min/week)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60" w:line="259" w:lineRule="auto"/>
            </w:pPr>
            <w:r>
              <w:rPr>
                <w:rFonts w:ascii="Calibri" w:hAnsi="Calibri"/>
                <w:b w:val="0"/>
                <w:i w:val="0"/>
                <w:color w:val="212121"/>
                <w:sz w:val="19"/>
              </w:rPr>
              <w:t>Regular aerobic activity lowers anxiety and supports exposure-based recovery</w:t>
            </w:r>
          </w:p>
          <w:p>
            <w:pPr>
              <w:spacing w:after="40" w:line="252" w:lineRule="auto"/>
            </w:pPr>
            <w:hyperlink r:id="rId12">
              <w:r>
                <w:rPr>
                  <w:rFonts w:ascii="Calibri" w:hAnsi="Calibri" w:cs="Calibri"/>
                  <w:sz w:val="18"/>
                  <w:color w:val="1155CC"/>
                  <w:u w:val="single"/>
                </w:rPr>
                <w:t xml:space="preserve">https://pubmed.ncbi.nlm.nih.gov/31209958/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Housebound/inactive adults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 25 (overweight); ≥ 30 (obesity)</w:t>
            </w:r>
          </w:p>
        </w:tc>
        <w:tc>
          <w:tcPr>
            <w:tcW w:type="dxa" w:w="1468"/>
            <w:vAlign w:val="top"/>
          </w:tcPr>
          <w:p>
            <w:pPr>
              <w:spacing w:after="40" w:before="0" w:line="259" w:lineRule="auto"/>
            </w:pPr>
            <w:r>
              <w:rPr>
                <w:rFonts w:ascii="Calibri" w:hAnsi="Calibri"/>
                <w:b w:val="0"/>
                <w:i w:val="0"/>
                <w:color w:val="212121"/>
                <w:sz w:val="19"/>
              </w:rPr>
              <w:t>Prolonged avoidance and inactivity promote weight gain and deconditioning</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 or fragmented sleep</w:t>
            </w:r>
          </w:p>
        </w:tc>
        <w:tc>
          <w:tcPr>
            <w:tcW w:type="dxa" w:w="1468"/>
            <w:vAlign w:val="top"/>
          </w:tcPr>
          <w:p>
            <w:pPr>
              <w:spacing w:after="60" w:line="259" w:lineRule="auto"/>
            </w:pPr>
            <w:r>
              <w:rPr>
                <w:rFonts w:ascii="Calibri" w:hAnsi="Calibri"/>
                <w:b w:val="0"/>
                <w:i w:val="0"/>
                <w:color w:val="212121"/>
                <w:sz w:val="19"/>
              </w:rPr>
              <w:t>Sleep loss raises arousal and anxiety sensitivity</w:t>
            </w:r>
          </w:p>
          <w:p>
            <w:pPr>
              <w:spacing w:after="40" w:line="252" w:lineRule="auto"/>
            </w:pPr>
            <w:hyperlink r:id="rId15">
              <w:r>
                <w:rPr>
                  <w:rFonts w:ascii="Calibri" w:hAnsi="Calibri" w:cs="Calibri"/>
                  <w:sz w:val="18"/>
                  <w:color w:val="1155CC"/>
                  <w:u w:val="single"/>
                </w:rPr>
                <w:t xml:space="preserve">https://pubmed.ncbi.nlm.nih.gov/30455849/</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 (mg/day)</w:t>
            </w:r>
          </w:p>
        </w:tc>
        <w:tc>
          <w:tcPr>
            <w:tcW w:type="dxa" w:w="1655"/>
            <w:vAlign w:val="top"/>
          </w:tcPr>
          <w:p>
            <w:pPr>
              <w:spacing w:after="40" w:before="0" w:line="259" w:lineRule="auto"/>
            </w:pPr>
            <w:r>
              <w:rPr>
                <w:rFonts w:ascii="Calibri" w:hAnsi="Calibri"/>
                <w:b w:val="0"/>
                <w:i w:val="0"/>
                <w:color w:val="212121"/>
                <w:sz w:val="19"/>
              </w:rPr>
              <w:t>Sensitive adults</w:t>
            </w:r>
          </w:p>
        </w:tc>
        <w:tc>
          <w:tcPr>
            <w:tcW w:type="dxa" w:w="1512"/>
            <w:vAlign w:val="top"/>
          </w:tcPr>
          <w:p>
            <w:pPr>
              <w:spacing w:after="40" w:before="0" w:line="259" w:lineRule="auto"/>
            </w:pPr>
            <w:r>
              <w:rPr>
                <w:rFonts w:ascii="Calibri" w:hAnsi="Calibri"/>
                <w:b w:val="0"/>
                <w:i w:val="0"/>
                <w:color w:val="212121"/>
                <w:sz w:val="19"/>
              </w:rPr>
              <w:t>&lt; 400 mg/day (less if sensitive)</w:t>
            </w:r>
          </w:p>
        </w:tc>
        <w:tc>
          <w:tcPr>
            <w:tcW w:type="dxa" w:w="1512"/>
            <w:vAlign w:val="top"/>
          </w:tcPr>
          <w:p>
            <w:pPr>
              <w:spacing w:after="40" w:before="0" w:line="259" w:lineRule="auto"/>
            </w:pPr>
            <w:r>
              <w:rPr>
                <w:rFonts w:ascii="Calibri" w:hAnsi="Calibri"/>
                <w:b w:val="0"/>
                <w:i w:val="0"/>
                <w:color w:val="212121"/>
                <w:sz w:val="19"/>
              </w:rPr>
              <w:t>&gt; 400 mg/day or acute high dose</w:t>
            </w:r>
          </w:p>
        </w:tc>
        <w:tc>
          <w:tcPr>
            <w:tcW w:type="dxa" w:w="1468"/>
            <w:vAlign w:val="top"/>
          </w:tcPr>
          <w:p>
            <w:pPr>
              <w:spacing w:after="60" w:line="259" w:lineRule="auto"/>
            </w:pPr>
            <w:r>
              <w:rPr>
                <w:rFonts w:ascii="Calibri" w:hAnsi="Calibri"/>
                <w:b w:val="0"/>
                <w:i w:val="0"/>
                <w:color w:val="212121"/>
                <w:sz w:val="19"/>
              </w:rPr>
              <w:t>Caffeine is a dose-dependent panicogen that fuels feared sensations</w:t>
            </w:r>
          </w:p>
          <w:p>
            <w:pPr>
              <w:spacing w:after="40" w:line="252" w:lineRule="auto"/>
            </w:pPr>
            <w:hyperlink r:id="rId16">
              <w:r>
                <w:rPr>
                  <w:rFonts w:ascii="Calibri" w:hAnsi="Calibri" w:cs="Calibri"/>
                  <w:sz w:val="18"/>
                  <w:color w:val="1155CC"/>
                  <w:u w:val="single"/>
                </w:rPr>
                <w:t xml:space="preserve">https://www.mayoclinic.org/diseases-conditions/panic-attacks/symptoms-causes/syc-20376021</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Adolescents, 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60" w:line="259" w:lineRule="auto"/>
            </w:pPr>
            <w:r>
              <w:rPr>
                <w:rFonts w:ascii="Calibri" w:hAnsi="Calibri"/>
                <w:b w:val="0"/>
                <w:i w:val="0"/>
                <w:color w:val="212121"/>
                <w:sz w:val="19"/>
              </w:rPr>
              <w:t>Smoking and nicotine withdrawal raise arousal and panic risk</w:t>
            </w:r>
          </w:p>
          <w:p>
            <w:pPr>
              <w:spacing w:after="40" w:line="252" w:lineRule="auto"/>
            </w:pPr>
            <w:hyperlink r:id="rId13">
              <w:r>
                <w:rPr>
                  <w:rFonts w:ascii="Calibri" w:hAnsi="Calibri" w:cs="Calibri"/>
                  <w:sz w:val="18"/>
                  <w:color w:val="1155CC"/>
                  <w:u w:val="single"/>
                </w:rPr>
                <w:t xml:space="preserve">https://pubmed.ncbi.nlm.nih.gov/23083451/</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Standard drinks per 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Within low-risk limits; no “drinking to cope”</w:t>
            </w:r>
          </w:p>
        </w:tc>
        <w:tc>
          <w:tcPr>
            <w:tcW w:type="dxa" w:w="1512"/>
            <w:vAlign w:val="top"/>
          </w:tcPr>
          <w:p>
            <w:pPr>
              <w:spacing w:after="40" w:before="0" w:line="259" w:lineRule="auto"/>
            </w:pPr>
            <w:r>
              <w:rPr>
                <w:rFonts w:ascii="Calibri" w:hAnsi="Calibri"/>
                <w:b w:val="0"/>
                <w:i w:val="0"/>
                <w:color w:val="212121"/>
                <w:sz w:val="19"/>
              </w:rPr>
              <w:t>Drinking before outings, binge use or withdrawal</w:t>
            </w:r>
          </w:p>
        </w:tc>
        <w:tc>
          <w:tcPr>
            <w:tcW w:type="dxa" w:w="1468"/>
            <w:vAlign w:val="top"/>
          </w:tcPr>
          <w:p>
            <w:pPr>
              <w:spacing w:after="40" w:before="0" w:line="259" w:lineRule="auto"/>
            </w:pPr>
            <w:r>
              <w:rPr>
                <w:rFonts w:ascii="Calibri" w:hAnsi="Calibri"/>
                <w:b w:val="0"/>
                <w:i w:val="0"/>
                <w:color w:val="212121"/>
                <w:sz w:val="19"/>
              </w:rPr>
              <w:t>Self-medication reinforces avoidance and blunts exposure learning</w:t>
            </w:r>
          </w:p>
        </w:tc>
      </w:tr>
      <w:tr>
        <w:trPr>
          <w:cantSplit/>
        </w:trPr>
        <w:tc>
          <w:tcPr>
            <w:tcW w:type="dxa" w:w="1512"/>
            <w:vMerge w:val="restart"/>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GAD-7 anxiety screen (score)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 5 (minimal)</w:t>
            </w:r>
          </w:p>
        </w:tc>
        <w:tc>
          <w:tcPr>
            <w:tcW w:type="dxa" w:w="1512"/>
            <w:vAlign w:val="top"/>
          </w:tcPr>
          <w:p>
            <w:pPr>
              <w:spacing w:after="40" w:before="0" w:line="259" w:lineRule="auto"/>
            </w:pPr>
            <w:r>
              <w:rPr>
                <w:rFonts w:ascii="Calibri" w:hAnsi="Calibri"/>
                <w:b w:val="0"/>
                <w:i w:val="0"/>
                <w:color w:val="212121"/>
                <w:sz w:val="19"/>
              </w:rPr>
              <w:t>≥ 10 (moderate–severe)</w:t>
            </w:r>
          </w:p>
        </w:tc>
        <w:tc>
          <w:tcPr>
            <w:tcW w:type="dxa" w:w="1468"/>
            <w:vAlign w:val="top"/>
          </w:tcPr>
          <w:p>
            <w:pPr>
              <w:spacing w:after="40" w:before="0" w:line="259" w:lineRule="auto"/>
            </w:pPr>
            <w:r>
              <w:rPr>
                <w:rFonts w:ascii="Calibri" w:hAnsi="Calibri"/>
                <w:b w:val="0"/>
                <w:i w:val="0"/>
                <w:color w:val="212121"/>
                <w:sz w:val="19"/>
              </w:rPr>
              <w:t>Screens comorbid anxiety severity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PHQ-9 depression screen (score)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 5</w:t>
            </w:r>
          </w:p>
        </w:tc>
        <w:tc>
          <w:tcPr>
            <w:tcW w:type="dxa" w:w="1512"/>
            <w:vAlign w:val="top"/>
          </w:tcPr>
          <w:p>
            <w:pPr>
              <w:spacing w:after="40" w:before="0" w:line="259" w:lineRule="auto"/>
            </w:pPr>
            <w:r>
              <w:rPr>
                <w:rFonts w:ascii="Calibri" w:hAnsi="Calibri"/>
                <w:b w:val="0"/>
                <w:i w:val="0"/>
                <w:color w:val="212121"/>
                <w:sz w:val="19"/>
              </w:rPr>
              <w:t>≥ 10</w:t>
            </w:r>
          </w:p>
        </w:tc>
        <w:tc>
          <w:tcPr>
            <w:tcW w:type="dxa" w:w="1468"/>
            <w:vAlign w:val="top"/>
          </w:tcPr>
          <w:p>
            <w:pPr>
              <w:spacing w:after="40" w:before="0" w:line="259" w:lineRule="auto"/>
            </w:pPr>
            <w:r>
              <w:rPr>
                <w:rFonts w:ascii="Calibri" w:hAnsi="Calibri"/>
                <w:b w:val="0"/>
                <w:i w:val="0"/>
                <w:color w:val="212121"/>
                <w:sz w:val="19"/>
              </w:rPr>
              <w:t>Detects comorbid depression that raises suicide risk</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Avoidance severity (Mobility Inventory / Panic-and-Agoraphobia Scale)</w:t>
            </w:r>
          </w:p>
        </w:tc>
        <w:tc>
          <w:tcPr>
            <w:tcW w:type="dxa" w:w="1655"/>
            <w:vAlign w:val="top"/>
          </w:tcPr>
          <w:p>
            <w:pPr>
              <w:spacing w:after="40" w:before="0" w:line="259" w:lineRule="auto"/>
            </w:pPr>
            <w:r>
              <w:rPr>
                <w:rFonts w:ascii="Calibri" w:hAnsi="Calibri"/>
                <w:b w:val="0"/>
                <w:i w:val="0"/>
                <w:color w:val="212121"/>
                <w:sz w:val="19"/>
              </w:rPr>
              <w:t>Diagnosed patients</w:t>
            </w:r>
          </w:p>
        </w:tc>
        <w:tc>
          <w:tcPr>
            <w:tcW w:type="dxa" w:w="1512"/>
            <w:vAlign w:val="top"/>
          </w:tcPr>
          <w:p>
            <w:pPr>
              <w:spacing w:after="40" w:before="0" w:line="259" w:lineRule="auto"/>
            </w:pPr>
            <w:r>
              <w:rPr>
                <w:rFonts w:ascii="Calibri" w:hAnsi="Calibri"/>
                <w:b w:val="0"/>
                <w:i w:val="0"/>
                <w:color w:val="212121"/>
                <w:sz w:val="19"/>
              </w:rPr>
              <w:t>No/minimal avoidance</w:t>
            </w:r>
          </w:p>
        </w:tc>
        <w:tc>
          <w:tcPr>
            <w:tcW w:type="dxa" w:w="1512"/>
            <w:vAlign w:val="top"/>
          </w:tcPr>
          <w:p>
            <w:pPr>
              <w:spacing w:after="40" w:before="0" w:line="259" w:lineRule="auto"/>
            </w:pPr>
            <w:r>
              <w:rPr>
                <w:rFonts w:ascii="Calibri" w:hAnsi="Calibri"/>
                <w:b w:val="0"/>
                <w:i w:val="0"/>
                <w:color w:val="212121"/>
                <w:sz w:val="19"/>
              </w:rPr>
              <w:t>Extensive avoidance or housebound</w:t>
            </w:r>
          </w:p>
        </w:tc>
        <w:tc>
          <w:tcPr>
            <w:tcW w:type="dxa" w:w="1468"/>
            <w:vAlign w:val="top"/>
          </w:tcPr>
          <w:p>
            <w:pPr>
              <w:spacing w:after="40" w:before="0" w:line="259" w:lineRule="auto"/>
            </w:pPr>
            <w:r>
              <w:rPr>
                <w:rFonts w:ascii="Calibri" w:hAnsi="Calibri"/>
                <w:b w:val="0"/>
                <w:i w:val="0"/>
                <w:color w:val="212121"/>
                <w:sz w:val="19"/>
              </w:rPr>
              <w:t>Quantifies agoraphobic avoidance and tracks treatment response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Panic-attack frequency (per week)</w:t>
            </w:r>
          </w:p>
        </w:tc>
        <w:tc>
          <w:tcPr>
            <w:tcW w:type="dxa" w:w="1655"/>
            <w:vAlign w:val="top"/>
          </w:tcPr>
          <w:p>
            <w:pPr>
              <w:spacing w:after="40" w:before="0" w:line="259" w:lineRule="auto"/>
            </w:pPr>
            <w:r>
              <w:rPr>
                <w:rFonts w:ascii="Calibri" w:hAnsi="Calibri"/>
                <w:b w:val="0"/>
                <w:i w:val="0"/>
                <w:color w:val="212121"/>
                <w:sz w:val="19"/>
              </w:rPr>
              <w:t>Diagnosed patients</w:t>
            </w:r>
          </w:p>
        </w:tc>
        <w:tc>
          <w:tcPr>
            <w:tcW w:type="dxa" w:w="1512"/>
            <w:vAlign w:val="top"/>
          </w:tcPr>
          <w:p>
            <w:pPr>
              <w:spacing w:after="40" w:before="0" w:line="259" w:lineRule="auto"/>
            </w:pPr>
            <w:r>
              <w:rPr>
                <w:rFonts w:ascii="Calibri" w:hAnsi="Calibri"/>
                <w:b w:val="0"/>
                <w:i w:val="0"/>
                <w:color w:val="212121"/>
                <w:sz w:val="19"/>
              </w:rPr>
              <w:t>0 attacks</w:t>
            </w:r>
          </w:p>
        </w:tc>
        <w:tc>
          <w:tcPr>
            <w:tcW w:type="dxa" w:w="1512"/>
            <w:vAlign w:val="top"/>
          </w:tcPr>
          <w:p>
            <w:pPr>
              <w:spacing w:after="40" w:before="0" w:line="259" w:lineRule="auto"/>
            </w:pPr>
            <w:r>
              <w:rPr>
                <w:rFonts w:ascii="Calibri" w:hAnsi="Calibri"/>
                <w:b w:val="0"/>
                <w:i w:val="0"/>
                <w:color w:val="212121"/>
                <w:sz w:val="19"/>
              </w:rPr>
              <w:t>≥ 1 attack in a feared situation</w:t>
            </w:r>
          </w:p>
        </w:tc>
        <w:tc>
          <w:tcPr>
            <w:tcW w:type="dxa" w:w="1468"/>
            <w:vAlign w:val="top"/>
          </w:tcPr>
          <w:p>
            <w:pPr>
              <w:spacing w:after="40" w:before="0" w:line="259" w:lineRule="auto"/>
            </w:pPr>
            <w:r>
              <w:rPr>
                <w:rFonts w:ascii="Calibri" w:hAnsi="Calibri"/>
                <w:b w:val="0"/>
                <w:i w:val="0"/>
                <w:color w:val="212121"/>
                <w:sz w:val="19"/>
              </w:rPr>
              <w:t>Attacks in feared settings drive and maintain situational avoidance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w:t>
            </w:r>
          </w:p>
        </w:tc>
        <w:tc>
          <w:tcPr>
            <w:tcW w:type="dxa" w:w="1036"/>
            <w:vAlign w:val="top"/>
          </w:tcPr>
          <w:p>
            <w:pPr>
              <w:spacing w:after="40" w:before="0" w:line="259" w:lineRule="auto"/>
            </w:pPr>
            <w:r>
              <w:rPr>
                <w:rFonts w:ascii="Calibri" w:hAnsi="Calibri"/>
                <w:b w:val="0"/>
                <w:i w:val="0"/>
                <w:color w:val="212121"/>
                <w:sz w:val="16"/>
              </w:rPr>
              <w:t>Heart rate &amp; rhythm</w:t>
            </w:r>
          </w:p>
        </w:tc>
        <w:tc>
          <w:tcPr>
            <w:tcW w:type="dxa" w:w="892"/>
            <w:vAlign w:val="top"/>
          </w:tcPr>
          <w:p>
            <w:pPr>
              <w:spacing w:after="40" w:before="0" w:line="259" w:lineRule="auto"/>
            </w:pPr>
            <w:r>
              <w:rPr>
                <w:rFonts w:ascii="Calibri" w:hAnsi="Calibri"/>
                <w:b w:val="0"/>
                <w:i w:val="0"/>
                <w:color w:val="212121"/>
                <w:sz w:val="16"/>
              </w:rPr>
              <w:t>12-lead ECG</w:t>
            </w:r>
          </w:p>
        </w:tc>
        <w:tc>
          <w:tcPr>
            <w:tcW w:type="dxa" w:w="950"/>
            <w:vAlign w:val="top"/>
          </w:tcPr>
          <w:p>
            <w:pPr>
              <w:spacing w:after="40" w:before="0" w:line="259" w:lineRule="auto"/>
            </w:pPr>
            <w:r>
              <w:rPr>
                <w:rFonts w:ascii="Calibri" w:hAnsi="Calibri"/>
                <w:b w:val="0"/>
                <w:i w:val="0"/>
                <w:color w:val="212121"/>
                <w:sz w:val="16"/>
              </w:rPr>
              <w:t>Normal sinus rhythm, no ischaemia</w:t>
            </w:r>
          </w:p>
        </w:tc>
        <w:tc>
          <w:tcPr>
            <w:tcW w:type="dxa" w:w="950"/>
            <w:vAlign w:val="top"/>
          </w:tcPr>
          <w:p>
            <w:pPr>
              <w:spacing w:after="40" w:before="0" w:line="259" w:lineRule="auto"/>
            </w:pPr>
            <w:r>
              <w:rPr>
                <w:rFonts w:ascii="Calibri" w:hAnsi="Calibri"/>
                <w:b w:val="0"/>
                <w:i w:val="0"/>
                <w:color w:val="212121"/>
                <w:sz w:val="16"/>
              </w:rPr>
              <w:t>Arrhythmia or ischaemic changes</w:t>
            </w:r>
          </w:p>
        </w:tc>
        <w:tc>
          <w:tcPr>
            <w:tcW w:type="dxa" w:w="1036"/>
            <w:vAlign w:val="top"/>
          </w:tcPr>
          <w:p>
            <w:pPr>
              <w:spacing w:after="40" w:before="0" w:line="259" w:lineRule="auto"/>
            </w:pPr>
            <w:r>
              <w:rPr>
                <w:rFonts w:ascii="Calibri" w:hAnsi="Calibri"/>
                <w:b w:val="0"/>
                <w:i w:val="0"/>
                <w:color w:val="212121"/>
                <w:sz w:val="16"/>
              </w:rPr>
              <w:t>Excludes arrhythmia/ischaemia that mimics the panic-like symptoms driving avoidance</w:t>
            </w:r>
          </w:p>
        </w:tc>
        <w:tc>
          <w:tcPr>
            <w:tcW w:type="dxa" w:w="1036"/>
            <w:vAlign w:val="top"/>
          </w:tcPr>
          <w:p>
            <w:pPr>
              <w:spacing w:after="40" w:before="0" w:line="259" w:lineRule="auto"/>
            </w:pPr>
            <w:r>
              <w:rPr>
                <w:rFonts w:ascii="Calibri" w:hAnsi="Calibri"/>
                <w:b w:val="0"/>
                <w:i w:val="0"/>
                <w:color w:val="212121"/>
                <w:sz w:val="16"/>
              </w:rPr>
              <w:t>Adults with palpitations/chest pain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 exclusion</w:t>
            </w:r>
          </w:p>
        </w:tc>
        <w:tc>
          <w:tcPr>
            <w:tcW w:type="dxa" w:w="720"/>
            <w:vAlign w:val="top"/>
          </w:tcPr>
          <w:p>
            <w:pPr>
              <w:spacing w:after="40" w:before="0" w:line="259" w:lineRule="auto"/>
            </w:pPr>
            <w:r>
              <w:rPr>
                <w:rFonts w:ascii="Calibri" w:hAnsi="Calibri"/>
                <w:b w:val="0"/>
                <w:i w:val="0"/>
                <w:color w:val="212121"/>
                <w:sz w:val="16"/>
              </w:rPr>
              <w:t>Typically normal in agoraphobia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TSH, free T4</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TSH 0.4–4.0 mIU/L</w:t>
            </w:r>
          </w:p>
        </w:tc>
        <w:tc>
          <w:tcPr>
            <w:tcW w:type="dxa" w:w="950"/>
            <w:vAlign w:val="top"/>
          </w:tcPr>
          <w:p>
            <w:pPr>
              <w:spacing w:after="40" w:before="0" w:line="259" w:lineRule="auto"/>
            </w:pPr>
            <w:r>
              <w:rPr>
                <w:rFonts w:ascii="Calibri" w:hAnsi="Calibri"/>
                <w:b w:val="0"/>
                <w:i w:val="0"/>
                <w:color w:val="212121"/>
                <w:sz w:val="16"/>
              </w:rPr>
              <w:t>Suppressed TSH / raised free T4 (thyrotoxicosis)</w:t>
            </w:r>
          </w:p>
        </w:tc>
        <w:tc>
          <w:tcPr>
            <w:tcW w:type="dxa" w:w="1036"/>
            <w:vAlign w:val="top"/>
          </w:tcPr>
          <w:p>
            <w:pPr>
              <w:spacing w:after="40" w:before="0" w:line="259" w:lineRule="auto"/>
            </w:pPr>
            <w:r>
              <w:rPr>
                <w:rFonts w:ascii="Calibri" w:hAnsi="Calibri"/>
                <w:b w:val="0"/>
                <w:i w:val="0"/>
                <w:color w:val="212121"/>
                <w:sz w:val="16"/>
              </w:rPr>
              <w:t>Hyperthyroidism mimics panic/anxiety and must be excluded</w:t>
            </w:r>
          </w:p>
        </w:tc>
        <w:tc>
          <w:tcPr>
            <w:tcW w:type="dxa" w:w="1036"/>
            <w:vAlign w:val="top"/>
          </w:tcPr>
          <w:p>
            <w:pPr>
              <w:spacing w:after="40" w:before="0" w:line="259" w:lineRule="auto"/>
            </w:pPr>
            <w:r>
              <w:rPr>
                <w:rFonts w:ascii="Calibri" w:hAnsi="Calibri"/>
                <w:b w:val="0"/>
                <w:i w:val="0"/>
                <w:color w:val="212121"/>
                <w:sz w:val="16"/>
              </w:rPr>
              <w:t>Adults with palpitations, tremor, weight loss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Essential exclusion</w:t>
            </w:r>
          </w:p>
        </w:tc>
        <w:tc>
          <w:tcPr>
            <w:tcW w:type="dxa" w:w="720"/>
            <w:vAlign w:val="top"/>
          </w:tcPr>
          <w:p>
            <w:pPr>
              <w:spacing w:after="40" w:before="0" w:line="259" w:lineRule="auto"/>
            </w:pPr>
            <w:r>
              <w:rPr>
                <w:rFonts w:ascii="Calibri" w:hAnsi="Calibri"/>
                <w:b w:val="0"/>
                <w:i w:val="0"/>
                <w:color w:val="212121"/>
                <w:sz w:val="16"/>
              </w:rPr>
              <w:t>Common treatable mimic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Blood glucose</w:t>
            </w:r>
          </w:p>
        </w:tc>
        <w:tc>
          <w:tcPr>
            <w:tcW w:type="dxa" w:w="892"/>
            <w:vAlign w:val="top"/>
          </w:tcPr>
          <w:p>
            <w:pPr>
              <w:spacing w:after="40" w:before="0" w:line="259" w:lineRule="auto"/>
            </w:pPr>
            <w:r>
              <w:rPr>
                <w:rFonts w:ascii="Calibri" w:hAnsi="Calibri"/>
                <w:b w:val="0"/>
                <w:i w:val="0"/>
                <w:color w:val="212121"/>
                <w:sz w:val="16"/>
              </w:rPr>
              <w:t>Fasting/random glucose</w:t>
            </w:r>
          </w:p>
        </w:tc>
        <w:tc>
          <w:tcPr>
            <w:tcW w:type="dxa" w:w="950"/>
            <w:vAlign w:val="top"/>
          </w:tcPr>
          <w:p>
            <w:pPr>
              <w:spacing w:after="40" w:before="0" w:line="259" w:lineRule="auto"/>
            </w:pPr>
            <w:r>
              <w:rPr>
                <w:rFonts w:ascii="Calibri" w:hAnsi="Calibri"/>
                <w:b w:val="0"/>
                <w:i w:val="0"/>
                <w:color w:val="212121"/>
                <w:sz w:val="16"/>
              </w:rPr>
              <w:t>70–99 mg/dL fasting</w:t>
            </w:r>
          </w:p>
        </w:tc>
        <w:tc>
          <w:tcPr>
            <w:tcW w:type="dxa" w:w="950"/>
            <w:vAlign w:val="top"/>
          </w:tcPr>
          <w:p>
            <w:pPr>
              <w:spacing w:after="40" w:before="0" w:line="259" w:lineRule="auto"/>
            </w:pPr>
            <w:r>
              <w:rPr>
                <w:rFonts w:ascii="Calibri" w:hAnsi="Calibri"/>
                <w:b w:val="0"/>
                <w:i w:val="0"/>
                <w:color w:val="212121"/>
                <w:sz w:val="16"/>
              </w:rPr>
              <w:t>Hypoglycaemia &lt; 70 mg/dL</w:t>
            </w:r>
          </w:p>
        </w:tc>
        <w:tc>
          <w:tcPr>
            <w:tcW w:type="dxa" w:w="1036"/>
            <w:vAlign w:val="top"/>
          </w:tcPr>
          <w:p>
            <w:pPr>
              <w:spacing w:after="40" w:before="0" w:line="259" w:lineRule="auto"/>
            </w:pPr>
            <w:r>
              <w:rPr>
                <w:rFonts w:ascii="Calibri" w:hAnsi="Calibri"/>
                <w:b w:val="0"/>
                <w:i w:val="0"/>
                <w:color w:val="212121"/>
                <w:sz w:val="16"/>
              </w:rPr>
              <w:t>Hypoglycaemia produces adrenergic symptoms resembling panic</w:t>
            </w:r>
          </w:p>
        </w:tc>
        <w:tc>
          <w:tcPr>
            <w:tcW w:type="dxa" w:w="1036"/>
            <w:vAlign w:val="top"/>
          </w:tcPr>
          <w:p>
            <w:pPr>
              <w:spacing w:after="40" w:before="0" w:line="259" w:lineRule="auto"/>
            </w:pPr>
            <w:r>
              <w:rPr>
                <w:rFonts w:ascii="Calibri" w:hAnsi="Calibri"/>
                <w:b w:val="0"/>
                <w:i w:val="0"/>
                <w:color w:val="212121"/>
                <w:sz w:val="16"/>
              </w:rPr>
              <w:t>Adults with attacks; diabetics on treatment</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Best checked during symptoms if feasible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Haemoglobin</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Hb within normal range</w:t>
            </w:r>
          </w:p>
        </w:tc>
        <w:tc>
          <w:tcPr>
            <w:tcW w:type="dxa" w:w="950"/>
            <w:vAlign w:val="top"/>
          </w:tcPr>
          <w:p>
            <w:pPr>
              <w:spacing w:after="40" w:before="0" w:line="259" w:lineRule="auto"/>
            </w:pPr>
            <w:r>
              <w:rPr>
                <w:rFonts w:ascii="Calibri" w:hAnsi="Calibri"/>
                <w:b w:val="0"/>
                <w:i w:val="0"/>
                <w:color w:val="212121"/>
                <w:sz w:val="16"/>
              </w:rPr>
              <w:t>Anaemia</w:t>
            </w:r>
          </w:p>
        </w:tc>
        <w:tc>
          <w:tcPr>
            <w:tcW w:type="dxa" w:w="1036"/>
            <w:vAlign w:val="top"/>
          </w:tcPr>
          <w:p>
            <w:pPr>
              <w:spacing w:after="40" w:before="0" w:line="259" w:lineRule="auto"/>
            </w:pPr>
            <w:r>
              <w:rPr>
                <w:rFonts w:ascii="Calibri" w:hAnsi="Calibri"/>
                <w:b w:val="0"/>
                <w:i w:val="0"/>
                <w:color w:val="212121"/>
                <w:sz w:val="16"/>
              </w:rPr>
              <w:t>Anaemia causes palpitations/breathlessness mimicking panic</w:t>
            </w:r>
          </w:p>
        </w:tc>
        <w:tc>
          <w:tcPr>
            <w:tcW w:type="dxa" w:w="1036"/>
            <w:vAlign w:val="top"/>
          </w:tcPr>
          <w:p>
            <w:pPr>
              <w:spacing w:after="40" w:before="0" w:line="259" w:lineRule="auto"/>
            </w:pPr>
            <w:r>
              <w:rPr>
                <w:rFonts w:ascii="Calibri" w:hAnsi="Calibri"/>
                <w:b w:val="0"/>
                <w:i w:val="0"/>
                <w:color w:val="212121"/>
                <w:sz w:val="16"/>
              </w:rPr>
              <w:t>Women, adults with fatigue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Anaemia is common in Indian women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Electrolytes &amp; calcium</w:t>
            </w:r>
          </w:p>
        </w:tc>
        <w:tc>
          <w:tcPr>
            <w:tcW w:type="dxa" w:w="892"/>
            <w:vAlign w:val="top"/>
          </w:tcPr>
          <w:p>
            <w:pPr>
              <w:spacing w:after="40" w:before="0" w:line="259" w:lineRule="auto"/>
            </w:pPr>
            <w:r>
              <w:rPr>
                <w:rFonts w:ascii="Calibri" w:hAnsi="Calibri"/>
                <w:b w:val="0"/>
                <w:i w:val="0"/>
                <w:color w:val="212121"/>
                <w:sz w:val="16"/>
              </w:rPr>
              <w:t>Electrolyte panel</w:t>
            </w:r>
          </w:p>
        </w:tc>
        <w:tc>
          <w:tcPr>
            <w:tcW w:type="dxa" w:w="950"/>
            <w:vAlign w:val="top"/>
          </w:tcPr>
          <w:p>
            <w:pPr>
              <w:spacing w:after="40" w:before="0" w:line="259" w:lineRule="auto"/>
            </w:pPr>
            <w:r>
              <w:rPr>
                <w:rFonts w:ascii="Calibri" w:hAnsi="Calibri"/>
                <w:b w:val="0"/>
                <w:i w:val="0"/>
                <w:color w:val="212121"/>
                <w:sz w:val="16"/>
              </w:rPr>
              <w:t>Normal Na/K/Ca</w:t>
            </w:r>
          </w:p>
        </w:tc>
        <w:tc>
          <w:tcPr>
            <w:tcW w:type="dxa" w:w="950"/>
            <w:vAlign w:val="top"/>
          </w:tcPr>
          <w:p>
            <w:pPr>
              <w:spacing w:after="40" w:before="0" w:line="259" w:lineRule="auto"/>
            </w:pPr>
            <w:r>
              <w:rPr>
                <w:rFonts w:ascii="Calibri" w:hAnsi="Calibri"/>
                <w:b w:val="0"/>
                <w:i w:val="0"/>
                <w:color w:val="212121"/>
                <w:sz w:val="16"/>
              </w:rPr>
              <w:t>Hypocalcaemia / electrolyte disturbance</w:t>
            </w:r>
          </w:p>
        </w:tc>
        <w:tc>
          <w:tcPr>
            <w:tcW w:type="dxa" w:w="1036"/>
            <w:vAlign w:val="top"/>
          </w:tcPr>
          <w:p>
            <w:pPr>
              <w:spacing w:after="40" w:before="0" w:line="259" w:lineRule="auto"/>
            </w:pPr>
            <w:r>
              <w:rPr>
                <w:rFonts w:ascii="Calibri" w:hAnsi="Calibri"/>
                <w:b w:val="0"/>
                <w:i w:val="0"/>
                <w:color w:val="212121"/>
                <w:sz w:val="16"/>
              </w:rPr>
              <w:t>Excludes metabolic causes of paraesthesia and tetany</w:t>
            </w:r>
          </w:p>
        </w:tc>
        <w:tc>
          <w:tcPr>
            <w:tcW w:type="dxa" w:w="1036"/>
            <w:vAlign w:val="top"/>
          </w:tcPr>
          <w:p>
            <w:pPr>
              <w:spacing w:after="40" w:before="0" w:line="259" w:lineRule="auto"/>
            </w:pPr>
            <w:r>
              <w:rPr>
                <w:rFonts w:ascii="Calibri" w:hAnsi="Calibri"/>
                <w:b w:val="0"/>
                <w:i w:val="0"/>
                <w:color w:val="212121"/>
                <w:sz w:val="16"/>
              </w:rPr>
              <w:t>Patients with tingling/carpopedal spasm</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Hyperventilation lowers ionised calcium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Toxicology</w:t>
            </w:r>
          </w:p>
        </w:tc>
        <w:tc>
          <w:tcPr>
            <w:tcW w:type="dxa" w:w="1036"/>
            <w:vAlign w:val="top"/>
          </w:tcPr>
          <w:p>
            <w:pPr>
              <w:spacing w:after="40" w:before="0" w:line="259" w:lineRule="auto"/>
            </w:pPr>
            <w:r>
              <w:rPr>
                <w:rFonts w:ascii="Calibri" w:hAnsi="Calibri"/>
                <w:b w:val="0"/>
                <w:i w:val="0"/>
                <w:color w:val="212121"/>
                <w:sz w:val="16"/>
              </w:rPr>
              <w:t>Stimulant/drug screen</w:t>
            </w:r>
          </w:p>
        </w:tc>
        <w:tc>
          <w:tcPr>
            <w:tcW w:type="dxa" w:w="892"/>
            <w:vAlign w:val="top"/>
          </w:tcPr>
          <w:p>
            <w:pPr>
              <w:spacing w:after="40" w:before="0" w:line="259" w:lineRule="auto"/>
            </w:pPr>
            <w:r>
              <w:rPr>
                <w:rFonts w:ascii="Calibri" w:hAnsi="Calibri"/>
                <w:b w:val="0"/>
                <w:i w:val="0"/>
                <w:color w:val="212121"/>
                <w:sz w:val="16"/>
              </w:rPr>
              <w:t>Urine toxicology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Stimulant / cannabis positive</w:t>
            </w:r>
          </w:p>
        </w:tc>
        <w:tc>
          <w:tcPr>
            <w:tcW w:type="dxa" w:w="1036"/>
            <w:vAlign w:val="top"/>
          </w:tcPr>
          <w:p>
            <w:pPr>
              <w:spacing w:after="40" w:before="0" w:line="259" w:lineRule="auto"/>
            </w:pPr>
            <w:r>
              <w:rPr>
                <w:rFonts w:ascii="Calibri" w:hAnsi="Calibri"/>
                <w:b w:val="0"/>
                <w:i w:val="0"/>
                <w:color w:val="212121"/>
                <w:sz w:val="16"/>
              </w:rPr>
              <w:t>Identifies substance-induced anxiety/attacks</w:t>
            </w:r>
          </w:p>
        </w:tc>
        <w:tc>
          <w:tcPr>
            <w:tcW w:type="dxa" w:w="1036"/>
            <w:vAlign w:val="top"/>
          </w:tcPr>
          <w:p>
            <w:pPr>
              <w:spacing w:after="40" w:before="0" w:line="259" w:lineRule="auto"/>
            </w:pPr>
            <w:r>
              <w:rPr>
                <w:rFonts w:ascii="Calibri" w:hAnsi="Calibri"/>
                <w:b w:val="0"/>
                <w:i w:val="0"/>
                <w:color w:val="212121"/>
                <w:sz w:val="16"/>
              </w:rPr>
              <w:t>Young adults, stimulant/energy-drink users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Pair with caffeine/energy-drink history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24-hour urinary metanephrines</w:t>
            </w:r>
          </w:p>
        </w:tc>
        <w:tc>
          <w:tcPr>
            <w:tcW w:type="dxa" w:w="892"/>
            <w:vAlign w:val="top"/>
          </w:tcPr>
          <w:p>
            <w:pPr>
              <w:spacing w:after="40" w:before="0" w:line="259" w:lineRule="auto"/>
            </w:pPr>
            <w:r>
              <w:rPr>
                <w:rFonts w:ascii="Calibri" w:hAnsi="Calibri"/>
                <w:b w:val="0"/>
                <w:i w:val="0"/>
                <w:color w:val="212121"/>
                <w:sz w:val="16"/>
              </w:rPr>
              <w:t>Catecholamine metabolites</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Elevated (phaeochromocytoma)</w:t>
            </w:r>
          </w:p>
        </w:tc>
        <w:tc>
          <w:tcPr>
            <w:tcW w:type="dxa" w:w="1036"/>
            <w:vAlign w:val="top"/>
          </w:tcPr>
          <w:p>
            <w:pPr>
              <w:spacing w:after="40" w:before="0" w:line="259" w:lineRule="auto"/>
            </w:pPr>
            <w:r>
              <w:rPr>
                <w:rFonts w:ascii="Calibri" w:hAnsi="Calibri"/>
                <w:b w:val="0"/>
                <w:i w:val="0"/>
                <w:color w:val="212121"/>
                <w:sz w:val="16"/>
              </w:rPr>
              <w:t>Excludes phaeochromocytoma when paroxysmal hypertension is present</w:t>
            </w:r>
          </w:p>
        </w:tc>
        <w:tc>
          <w:tcPr>
            <w:tcW w:type="dxa" w:w="1036"/>
            <w:vAlign w:val="top"/>
          </w:tcPr>
          <w:p>
            <w:pPr>
              <w:spacing w:after="40" w:before="0" w:line="259" w:lineRule="auto"/>
            </w:pPr>
            <w:r>
              <w:rPr>
                <w:rFonts w:ascii="Calibri" w:hAnsi="Calibri"/>
                <w:b w:val="0"/>
                <w:i w:val="0"/>
                <w:color w:val="212121"/>
                <w:sz w:val="16"/>
              </w:rPr>
              <w:t>Adults with paroxysmal HTN, headache, sweating</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Only if red-flag features present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Fear &amp; avoidance of ≥ 2 of 5 agoraphobic situations</w:t>
            </w:r>
          </w:p>
        </w:tc>
        <w:tc>
          <w:tcPr>
            <w:tcW w:type="dxa" w:w="950"/>
            <w:vAlign w:val="top"/>
          </w:tcPr>
          <w:p>
            <w:pPr>
              <w:spacing w:after="40" w:before="0" w:line="259" w:lineRule="auto"/>
            </w:pPr>
            <w:r>
              <w:rPr>
                <w:rFonts w:ascii="Calibri" w:hAnsi="Calibri"/>
                <w:b w:val="0"/>
                <w:i w:val="0"/>
                <w:color w:val="212121"/>
                <w:sz w:val="16"/>
              </w:rPr>
              <w:t>No situational fear/avoidance</w:t>
            </w:r>
          </w:p>
        </w:tc>
        <w:tc>
          <w:tcPr>
            <w:tcW w:type="dxa" w:w="950"/>
            <w:vAlign w:val="top"/>
          </w:tcPr>
          <w:p>
            <w:pPr>
              <w:spacing w:after="40" w:before="0" w:line="259" w:lineRule="auto"/>
            </w:pPr>
            <w:r>
              <w:rPr>
                <w:rFonts w:ascii="Calibri" w:hAnsi="Calibri"/>
                <w:b w:val="0"/>
                <w:i w:val="0"/>
                <w:color w:val="212121"/>
                <w:sz w:val="16"/>
              </w:rPr>
              <w:t>Fear/avoidance of transport, open/enclosed spaces, crowds or being alone</w:t>
            </w:r>
          </w:p>
        </w:tc>
        <w:tc>
          <w:tcPr>
            <w:tcW w:type="dxa" w:w="1036"/>
            <w:vAlign w:val="top"/>
          </w:tcPr>
          <w:p>
            <w:pPr>
              <w:spacing w:after="40" w:before="0" w:line="259" w:lineRule="auto"/>
            </w:pPr>
            <w:r>
              <w:rPr>
                <w:rFonts w:ascii="Calibri" w:hAnsi="Calibri"/>
                <w:b w:val="0"/>
                <w:i w:val="0"/>
                <w:color w:val="212121"/>
                <w:sz w:val="16"/>
              </w:rPr>
              <w:t>Core diagnostic feature</w:t>
            </w:r>
          </w:p>
        </w:tc>
        <w:tc>
          <w:tcPr>
            <w:tcW w:type="dxa" w:w="1036"/>
            <w:vAlign w:val="top"/>
          </w:tcPr>
          <w:p>
            <w:pPr>
              <w:spacing w:after="40" w:before="0" w:line="259" w:lineRule="auto"/>
            </w:pPr>
            <w:r>
              <w:rPr>
                <w:rFonts w:ascii="Calibri" w:hAnsi="Calibri"/>
                <w:b w:val="0"/>
                <w:i w:val="0"/>
                <w:color w:val="212121"/>
                <w:sz w:val="16"/>
              </w:rPr>
              <w:t>Adults avoiding public situations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Requires ≥ 2 of the five domains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Reason for fear</w:t>
            </w:r>
          </w:p>
        </w:tc>
        <w:tc>
          <w:tcPr>
            <w:tcW w:type="dxa" w:w="979"/>
            <w:vAlign w:val="top"/>
          </w:tcPr>
          <w:p>
            <w:pPr>
              <w:spacing w:after="40" w:before="0" w:line="259" w:lineRule="auto"/>
            </w:pPr>
            <w:r>
              <w:rPr>
                <w:rFonts w:ascii="Calibri" w:hAnsi="Calibri"/>
                <w:b w:val="0"/>
                <w:i w:val="0"/>
                <w:color w:val="212121"/>
                <w:sz w:val="16"/>
              </w:rPr>
              <w:t>Fear that escape is difficult or help unavailable</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 with panic-like or incapacitating/embarrassing symptoms</w:t>
            </w:r>
          </w:p>
        </w:tc>
        <w:tc>
          <w:tcPr>
            <w:tcW w:type="dxa" w:w="1036"/>
            <w:vAlign w:val="top"/>
          </w:tcPr>
          <w:p>
            <w:pPr>
              <w:spacing w:after="40" w:before="0" w:line="259" w:lineRule="auto"/>
            </w:pPr>
            <w:r>
              <w:rPr>
                <w:rFonts w:ascii="Calibri" w:hAnsi="Calibri"/>
                <w:b w:val="0"/>
                <w:i w:val="0"/>
                <w:color w:val="212121"/>
                <w:sz w:val="16"/>
              </w:rPr>
              <w:t>Distinguishes agoraphobia from specific/social phobia</w:t>
            </w:r>
          </w:p>
        </w:tc>
        <w:tc>
          <w:tcPr>
            <w:tcW w:type="dxa" w:w="1036"/>
            <w:vAlign w:val="top"/>
          </w:tcPr>
          <w:p>
            <w:pPr>
              <w:spacing w:after="40" w:before="0" w:line="259" w:lineRule="auto"/>
            </w:pPr>
            <w:r>
              <w:rPr>
                <w:rFonts w:ascii="Calibri" w:hAnsi="Calibri"/>
                <w:b w:val="0"/>
                <w:i w:val="0"/>
                <w:color w:val="212121"/>
                <w:sz w:val="16"/>
              </w:rPr>
              <w:t>Patients avoiding “trapped” situations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Ask about fear of falling/incontinence in the elderly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Course &amp; duration</w:t>
            </w:r>
          </w:p>
        </w:tc>
        <w:tc>
          <w:tcPr>
            <w:tcW w:type="dxa" w:w="979"/>
            <w:vAlign w:val="top"/>
          </w:tcPr>
          <w:p>
            <w:pPr>
              <w:spacing w:after="40" w:before="0" w:line="259" w:lineRule="auto"/>
            </w:pPr>
            <w:r>
              <w:rPr>
                <w:rFonts w:ascii="Calibri" w:hAnsi="Calibri"/>
                <w:b w:val="0"/>
                <w:i w:val="0"/>
                <w:color w:val="212121"/>
                <w:sz w:val="16"/>
              </w:rPr>
              <w:t>≥ 6 months of persistent fear/avoidance</w:t>
            </w:r>
          </w:p>
        </w:tc>
        <w:tc>
          <w:tcPr>
            <w:tcW w:type="dxa" w:w="950"/>
            <w:vAlign w:val="top"/>
          </w:tcPr>
          <w:p>
            <w:pPr>
              <w:spacing w:after="40" w:before="0" w:line="259" w:lineRule="auto"/>
            </w:pPr>
            <w:r>
              <w:rPr>
                <w:rFonts w:ascii="Calibri" w:hAnsi="Calibri"/>
                <w:b w:val="0"/>
                <w:i w:val="0"/>
                <w:color w:val="212121"/>
                <w:sz w:val="16"/>
              </w:rPr>
              <w:t>Transient/situational fear only</w:t>
            </w:r>
          </w:p>
        </w:tc>
        <w:tc>
          <w:tcPr>
            <w:tcW w:type="dxa" w:w="950"/>
            <w:vAlign w:val="top"/>
          </w:tcPr>
          <w:p>
            <w:pPr>
              <w:spacing w:after="40" w:before="0" w:line="259" w:lineRule="auto"/>
            </w:pPr>
            <w:r>
              <w:rPr>
                <w:rFonts w:ascii="Calibri" w:hAnsi="Calibri"/>
                <w:b w:val="0"/>
                <w:i w:val="0"/>
                <w:color w:val="212121"/>
                <w:sz w:val="16"/>
              </w:rPr>
              <w:t>Persistent avoidance, companion-dependence or housebound</w:t>
            </w:r>
          </w:p>
        </w:tc>
        <w:tc>
          <w:tcPr>
            <w:tcW w:type="dxa" w:w="1036"/>
            <w:vAlign w:val="top"/>
          </w:tcPr>
          <w:p>
            <w:pPr>
              <w:spacing w:after="40" w:before="0" w:line="259" w:lineRule="auto"/>
            </w:pPr>
            <w:r>
              <w:rPr>
                <w:rFonts w:ascii="Calibri" w:hAnsi="Calibri"/>
                <w:b w:val="0"/>
                <w:i w:val="0"/>
                <w:color w:val="212121"/>
                <w:sz w:val="16"/>
              </w:rPr>
              <w:t>Separates agoraphobia from short-lived anxiety</w:t>
            </w:r>
          </w:p>
        </w:tc>
        <w:tc>
          <w:tcPr>
            <w:tcW w:type="dxa" w:w="1036"/>
            <w:vAlign w:val="top"/>
          </w:tcPr>
          <w:p>
            <w:pPr>
              <w:spacing w:after="40" w:before="0" w:line="259" w:lineRule="auto"/>
            </w:pPr>
            <w:r>
              <w:rPr>
                <w:rFonts w:ascii="Calibri" w:hAnsi="Calibri"/>
                <w:b w:val="0"/>
                <w:i w:val="0"/>
                <w:color w:val="212121"/>
                <w:sz w:val="16"/>
              </w:rPr>
              <w:t>Adults with chronic avoidance</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Assess how far the avoidance has spread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Panic, substance &amp; caffeine history</w:t>
            </w:r>
          </w:p>
        </w:tc>
        <w:tc>
          <w:tcPr>
            <w:tcW w:type="dxa" w:w="979"/>
            <w:vAlign w:val="top"/>
          </w:tcPr>
          <w:p>
            <w:pPr>
              <w:spacing w:after="40" w:before="0" w:line="259" w:lineRule="auto"/>
            </w:pPr>
            <w:r>
              <w:rPr>
                <w:rFonts w:ascii="Calibri" w:hAnsi="Calibri"/>
                <w:b w:val="0"/>
                <w:i w:val="0"/>
                <w:color w:val="212121"/>
                <w:sz w:val="16"/>
              </w:rPr>
              <w:t>Panic attacks, caffeine/stimulants, alcohol/sedative use</w:t>
            </w:r>
          </w:p>
        </w:tc>
        <w:tc>
          <w:tcPr>
            <w:tcW w:type="dxa" w:w="950"/>
            <w:vAlign w:val="top"/>
          </w:tcPr>
          <w:p>
            <w:pPr>
              <w:spacing w:after="40" w:before="0" w:line="259" w:lineRule="auto"/>
            </w:pPr>
            <w:r>
              <w:rPr>
                <w:rFonts w:ascii="Calibri" w:hAnsi="Calibri"/>
                <w:b w:val="0"/>
                <w:i w:val="0"/>
                <w:color w:val="212121"/>
                <w:sz w:val="16"/>
              </w:rPr>
              <w:t>No panic; low caffeine; no misuse</w:t>
            </w:r>
          </w:p>
        </w:tc>
        <w:tc>
          <w:tcPr>
            <w:tcW w:type="dxa" w:w="950"/>
            <w:vAlign w:val="top"/>
          </w:tcPr>
          <w:p>
            <w:pPr>
              <w:spacing w:after="40" w:before="0" w:line="259" w:lineRule="auto"/>
            </w:pPr>
            <w:r>
              <w:rPr>
                <w:rFonts w:ascii="Calibri" w:hAnsi="Calibri"/>
                <w:b w:val="0"/>
                <w:i w:val="0"/>
                <w:color w:val="212121"/>
                <w:sz w:val="16"/>
              </w:rPr>
              <w:t>Panic attacks, high caffeine, alcohol/sedative self-medication</w:t>
            </w:r>
          </w:p>
        </w:tc>
        <w:tc>
          <w:tcPr>
            <w:tcW w:type="dxa" w:w="1036"/>
            <w:vAlign w:val="top"/>
          </w:tcPr>
          <w:p>
            <w:pPr>
              <w:spacing w:after="40" w:before="0" w:line="259" w:lineRule="auto"/>
            </w:pPr>
            <w:r>
              <w:rPr>
                <w:rFonts w:ascii="Calibri" w:hAnsi="Calibri"/>
                <w:b w:val="0"/>
                <w:i w:val="0"/>
                <w:color w:val="212121"/>
                <w:sz w:val="16"/>
              </w:rPr>
              <w:t>Identifies the panic driver and provocants/mimics</w:t>
            </w:r>
          </w:p>
        </w:tc>
        <w:tc>
          <w:tcPr>
            <w:tcW w:type="dxa" w:w="1036"/>
            <w:vAlign w:val="top"/>
          </w:tcPr>
          <w:p>
            <w:pPr>
              <w:spacing w:after="40" w:before="0" w:line="259" w:lineRule="auto"/>
            </w:pPr>
            <w:r>
              <w:rPr>
                <w:rFonts w:ascii="Calibri" w:hAnsi="Calibri"/>
                <w:b w:val="0"/>
                <w:i w:val="0"/>
                <w:color w:val="212121"/>
                <w:sz w:val="16"/>
              </w:rPr>
              <w:t>Young adults, heavy caffeine users</w:t>
            </w:r>
          </w:p>
        </w:tc>
        <w:tc>
          <w:tcPr>
            <w:tcW w:type="dxa" w:w="720"/>
            <w:vAlign w:val="top"/>
          </w:tcPr>
          <w:p>
            <w:pPr>
              <w:spacing w:after="40" w:before="0" w:line="259" w:lineRule="auto"/>
            </w:pPr>
            <w:r>
              <w:rPr>
                <w:rFonts w:ascii="Calibri" w:hAnsi="Calibri"/>
                <w:b w:val="0"/>
                <w:i w:val="0"/>
                <w:color w:val="212121"/>
                <w:sz w:val="16"/>
              </w:rPr>
              <w:t>Caffeine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Quantify caffeine in mg/day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psychiatric history</w:t>
            </w:r>
          </w:p>
        </w:tc>
        <w:tc>
          <w:tcPr>
            <w:tcW w:type="dxa" w:w="979"/>
            <w:vAlign w:val="top"/>
          </w:tcPr>
          <w:p>
            <w:pPr>
              <w:spacing w:after="40" w:before="0" w:line="259" w:lineRule="auto"/>
            </w:pPr>
            <w:r>
              <w:rPr>
                <w:rFonts w:ascii="Calibri" w:hAnsi="Calibri"/>
                <w:b w:val="0"/>
                <w:i w:val="0"/>
                <w:color w:val="212121"/>
                <w:sz w:val="16"/>
              </w:rPr>
              <w:t>First-degree relative with agoraphobia/panic/anxiety</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 1 affected first-degree relative</w:t>
            </w:r>
          </w:p>
        </w:tc>
        <w:tc>
          <w:tcPr>
            <w:tcW w:type="dxa" w:w="1036"/>
            <w:vAlign w:val="top"/>
          </w:tcPr>
          <w:p>
            <w:pPr>
              <w:spacing w:after="40" w:before="0" w:line="259" w:lineRule="auto"/>
            </w:pPr>
            <w:r>
              <w:rPr>
                <w:rFonts w:ascii="Calibri" w:hAnsi="Calibri"/>
                <w:b w:val="0"/>
                <w:i w:val="0"/>
                <w:color w:val="212121"/>
                <w:sz w:val="16"/>
              </w:rPr>
              <w:t>Genetic predisposition and comorbidity risk</w:t>
            </w:r>
          </w:p>
        </w:tc>
        <w:tc>
          <w:tcPr>
            <w:tcW w:type="dxa" w:w="1036"/>
            <w:vAlign w:val="top"/>
          </w:tcPr>
          <w:p>
            <w:pPr>
              <w:spacing w:after="40" w:before="0" w:line="259" w:lineRule="auto"/>
            </w:pPr>
            <w:r>
              <w:rPr>
                <w:rFonts w:ascii="Calibri" w:hAnsi="Calibri"/>
                <w:b w:val="0"/>
                <w:i w:val="0"/>
                <w:color w:val="212121"/>
                <w:sz w:val="16"/>
              </w:rPr>
              <w:t>Relatives of affected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childhood trauma/overprotective parenting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Mental status exam</w:t>
            </w:r>
          </w:p>
        </w:tc>
        <w:tc>
          <w:tcPr>
            <w:tcW w:type="dxa" w:w="950"/>
            <w:vAlign w:val="top"/>
          </w:tcPr>
          <w:p>
            <w:pPr>
              <w:spacing w:after="40" w:before="0" w:line="259" w:lineRule="auto"/>
            </w:pPr>
            <w:r>
              <w:rPr>
                <w:rFonts w:ascii="Calibri" w:hAnsi="Calibri"/>
                <w:b w:val="0"/>
                <w:i w:val="0"/>
                <w:color w:val="212121"/>
                <w:sz w:val="16"/>
              </w:rPr>
              <w:t>Cognitions, mood &amp; risk</w:t>
            </w:r>
          </w:p>
        </w:tc>
        <w:tc>
          <w:tcPr>
            <w:tcW w:type="dxa" w:w="979"/>
            <w:vAlign w:val="top"/>
          </w:tcPr>
          <w:p>
            <w:pPr>
              <w:spacing w:after="40" w:before="0" w:line="259" w:lineRule="auto"/>
            </w:pPr>
            <w:r>
              <w:rPr>
                <w:rFonts w:ascii="Calibri" w:hAnsi="Calibri"/>
                <w:b w:val="0"/>
                <w:i w:val="0"/>
                <w:color w:val="212121"/>
                <w:sz w:val="16"/>
              </w:rPr>
              <w:t>Catastrophic beliefs about escape/help, mood, suicidal ideation</w:t>
            </w:r>
          </w:p>
        </w:tc>
        <w:tc>
          <w:tcPr>
            <w:tcW w:type="dxa" w:w="950"/>
            <w:vAlign w:val="top"/>
          </w:tcPr>
          <w:p>
            <w:pPr>
              <w:spacing w:after="40" w:before="0" w:line="259" w:lineRule="auto"/>
            </w:pPr>
            <w:r>
              <w:rPr>
                <w:rFonts w:ascii="Calibri" w:hAnsi="Calibri"/>
                <w:b w:val="0"/>
                <w:i w:val="0"/>
                <w:color w:val="212121"/>
                <w:sz w:val="16"/>
              </w:rPr>
              <w:t>No catastrophic beliefs, euthymic, no ideation</w:t>
            </w:r>
          </w:p>
        </w:tc>
        <w:tc>
          <w:tcPr>
            <w:tcW w:type="dxa" w:w="950"/>
            <w:vAlign w:val="top"/>
          </w:tcPr>
          <w:p>
            <w:pPr>
              <w:spacing w:after="40" w:before="0" w:line="259" w:lineRule="auto"/>
            </w:pPr>
            <w:r>
              <w:rPr>
                <w:rFonts w:ascii="Calibri" w:hAnsi="Calibri"/>
                <w:b w:val="0"/>
                <w:i w:val="0"/>
                <w:color w:val="212121"/>
                <w:sz w:val="16"/>
              </w:rPr>
              <w:t>Catastrophic cognitions, low mood, suicidal thoughts</w:t>
            </w:r>
          </w:p>
        </w:tc>
        <w:tc>
          <w:tcPr>
            <w:tcW w:type="dxa" w:w="1036"/>
            <w:vAlign w:val="top"/>
          </w:tcPr>
          <w:p>
            <w:pPr>
              <w:spacing w:after="40" w:before="0" w:line="259" w:lineRule="auto"/>
            </w:pPr>
            <w:r>
              <w:rPr>
                <w:rFonts w:ascii="Calibri" w:hAnsi="Calibri"/>
                <w:b w:val="0"/>
                <w:i w:val="0"/>
                <w:color w:val="212121"/>
                <w:sz w:val="16"/>
              </w:rPr>
              <w:t>Reveals cognitive drivers and comorbid depression/suicide risk</w:t>
            </w:r>
          </w:p>
        </w:tc>
        <w:tc>
          <w:tcPr>
            <w:tcW w:type="dxa" w:w="1036"/>
            <w:vAlign w:val="top"/>
          </w:tcPr>
          <w:p>
            <w:pPr>
              <w:spacing w:after="40" w:before="0" w:line="259" w:lineRule="auto"/>
            </w:pPr>
            <w:r>
              <w:rPr>
                <w:rFonts w:ascii="Calibri" w:hAnsi="Calibri"/>
                <w:b w:val="0"/>
                <w:i w:val="0"/>
                <w:color w:val="212121"/>
                <w:sz w:val="16"/>
              </w:rPr>
              <w:t>Anxious, avoidant or isolated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Always screen suicide risk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Screening scales</w:t>
            </w:r>
          </w:p>
        </w:tc>
        <w:tc>
          <w:tcPr>
            <w:tcW w:type="dxa" w:w="950"/>
            <w:vAlign w:val="top"/>
          </w:tcPr>
          <w:p>
            <w:pPr>
              <w:spacing w:after="40" w:before="0" w:line="259" w:lineRule="auto"/>
            </w:pPr>
            <w:r>
              <w:rPr>
                <w:rFonts w:ascii="Calibri" w:hAnsi="Calibri"/>
                <w:b w:val="0"/>
                <w:i w:val="0"/>
                <w:color w:val="212121"/>
                <w:sz w:val="16"/>
              </w:rPr>
              <w:t>GAD-7 / PHQ-9 / Panic-and-Agoraphobia Scale</w:t>
            </w:r>
          </w:p>
        </w:tc>
        <w:tc>
          <w:tcPr>
            <w:tcW w:type="dxa" w:w="979"/>
            <w:vAlign w:val="top"/>
          </w:tcPr>
          <w:p>
            <w:pPr>
              <w:spacing w:after="40" w:before="0" w:line="259" w:lineRule="auto"/>
            </w:pPr>
            <w:r>
              <w:rPr>
                <w:rFonts w:ascii="Calibri" w:hAnsi="Calibri"/>
                <w:b w:val="0"/>
                <w:i w:val="0"/>
                <w:color w:val="212121"/>
                <w:sz w:val="16"/>
              </w:rPr>
              <w:t>Anxiety, depression and avoidance-severity scores</w:t>
            </w:r>
          </w:p>
        </w:tc>
        <w:tc>
          <w:tcPr>
            <w:tcW w:type="dxa" w:w="950"/>
            <w:vAlign w:val="top"/>
          </w:tcPr>
          <w:p>
            <w:pPr>
              <w:spacing w:after="40" w:before="0" w:line="259" w:lineRule="auto"/>
            </w:pPr>
            <w:r>
              <w:rPr>
                <w:rFonts w:ascii="Calibri" w:hAnsi="Calibri"/>
                <w:b w:val="0"/>
                <w:i w:val="0"/>
                <w:color w:val="212121"/>
                <w:sz w:val="16"/>
              </w:rPr>
              <w:t>Low scores</w:t>
            </w:r>
          </w:p>
        </w:tc>
        <w:tc>
          <w:tcPr>
            <w:tcW w:type="dxa" w:w="950"/>
            <w:vAlign w:val="top"/>
          </w:tcPr>
          <w:p>
            <w:pPr>
              <w:spacing w:after="40" w:before="0" w:line="259" w:lineRule="auto"/>
            </w:pPr>
            <w:r>
              <w:rPr>
                <w:rFonts w:ascii="Calibri" w:hAnsi="Calibri"/>
                <w:b w:val="0"/>
                <w:i w:val="0"/>
                <w:color w:val="212121"/>
                <w:sz w:val="16"/>
              </w:rPr>
              <w:t>Elevated scores</w:t>
            </w:r>
          </w:p>
        </w:tc>
        <w:tc>
          <w:tcPr>
            <w:tcW w:type="dxa" w:w="1036"/>
            <w:vAlign w:val="top"/>
          </w:tcPr>
          <w:p>
            <w:pPr>
              <w:spacing w:after="40" w:before="0" w:line="259" w:lineRule="auto"/>
            </w:pPr>
            <w:r>
              <w:rPr>
                <w:rFonts w:ascii="Calibri" w:hAnsi="Calibri"/>
                <w:b w:val="0"/>
                <w:i w:val="0"/>
                <w:color w:val="212121"/>
                <w:sz w:val="16"/>
              </w:rPr>
              <w:t>Quantifies severity and comorbidity and tracks treatment response</w:t>
            </w:r>
          </w:p>
        </w:tc>
        <w:tc>
          <w:tcPr>
            <w:tcW w:type="dxa" w:w="1036"/>
            <w:vAlign w:val="top"/>
          </w:tcPr>
          <w:p>
            <w:pPr>
              <w:spacing w:after="40" w:before="0" w:line="259" w:lineRule="auto"/>
            </w:pPr>
            <w:r>
              <w:rPr>
                <w:rFonts w:ascii="Calibri" w:hAnsi="Calibri"/>
                <w:b w:val="0"/>
                <w:i w:val="0"/>
                <w:color w:val="212121"/>
                <w:sz w:val="16"/>
              </w:rPr>
              <w:t>All diagnosed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Repeat to track response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Functional &amp; avoidance assessment</w:t>
            </w:r>
          </w:p>
        </w:tc>
        <w:tc>
          <w:tcPr>
            <w:tcW w:type="dxa" w:w="979"/>
            <w:vAlign w:val="top"/>
          </w:tcPr>
          <w:p>
            <w:pPr>
              <w:spacing w:after="40" w:before="0" w:line="259" w:lineRule="auto"/>
            </w:pPr>
            <w:r>
              <w:rPr>
                <w:rFonts w:ascii="Calibri" w:hAnsi="Calibri"/>
                <w:b w:val="0"/>
                <w:i w:val="0"/>
                <w:color w:val="212121"/>
                <w:sz w:val="16"/>
              </w:rPr>
              <w:t>Travel radius, companion-dependence, housebound status</w:t>
            </w:r>
          </w:p>
        </w:tc>
        <w:tc>
          <w:tcPr>
            <w:tcW w:type="dxa" w:w="950"/>
            <w:vAlign w:val="top"/>
          </w:tcPr>
          <w:p>
            <w:pPr>
              <w:spacing w:after="40" w:before="0" w:line="259" w:lineRule="auto"/>
            </w:pPr>
            <w:r>
              <w:rPr>
                <w:rFonts w:ascii="Calibri" w:hAnsi="Calibri"/>
                <w:b w:val="0"/>
                <w:i w:val="0"/>
                <w:color w:val="212121"/>
                <w:sz w:val="16"/>
              </w:rPr>
              <w:t>Full independent participation</w:t>
            </w:r>
          </w:p>
        </w:tc>
        <w:tc>
          <w:tcPr>
            <w:tcW w:type="dxa" w:w="950"/>
            <w:vAlign w:val="top"/>
          </w:tcPr>
          <w:p>
            <w:pPr>
              <w:spacing w:after="40" w:before="0" w:line="259" w:lineRule="auto"/>
            </w:pPr>
            <w:r>
              <w:rPr>
                <w:rFonts w:ascii="Calibri" w:hAnsi="Calibri"/>
                <w:b w:val="0"/>
                <w:i w:val="0"/>
                <w:color w:val="212121"/>
                <w:sz w:val="16"/>
              </w:rPr>
              <w:t>Restricted radius, needs a companion, or housebound</w:t>
            </w:r>
          </w:p>
        </w:tc>
        <w:tc>
          <w:tcPr>
            <w:tcW w:type="dxa" w:w="1036"/>
            <w:vAlign w:val="top"/>
          </w:tcPr>
          <w:p>
            <w:pPr>
              <w:spacing w:after="40" w:before="0" w:line="259" w:lineRule="auto"/>
            </w:pPr>
            <w:r>
              <w:rPr>
                <w:rFonts w:ascii="Calibri" w:hAnsi="Calibri"/>
                <w:b w:val="0"/>
                <w:i w:val="0"/>
                <w:color w:val="212121"/>
                <w:sz w:val="16"/>
              </w:rPr>
              <w:t>Grades disability and guides graded exposure</w:t>
            </w:r>
          </w:p>
        </w:tc>
        <w:tc>
          <w:tcPr>
            <w:tcW w:type="dxa" w:w="1036"/>
            <w:vAlign w:val="top"/>
          </w:tcPr>
          <w:p>
            <w:pPr>
              <w:spacing w:after="40" w:before="0" w:line="259" w:lineRule="auto"/>
            </w:pPr>
            <w:r>
              <w:rPr>
                <w:rFonts w:ascii="Calibri" w:hAnsi="Calibri"/>
                <w:b w:val="0"/>
                <w:i w:val="0"/>
                <w:color w:val="212121"/>
                <w:sz w:val="16"/>
              </w:rPr>
              <w:t>Avoidant or housebound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Identify “safe persons” and accommodation by family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Vitals &amp; targeted exam</w:t>
            </w:r>
          </w:p>
        </w:tc>
        <w:tc>
          <w:tcPr>
            <w:tcW w:type="dxa" w:w="979"/>
            <w:vAlign w:val="top"/>
          </w:tcPr>
          <w:p>
            <w:pPr>
              <w:spacing w:after="40" w:before="0" w:line="259" w:lineRule="auto"/>
            </w:pPr>
            <w:r>
              <w:rPr>
                <w:rFonts w:ascii="Calibri" w:hAnsi="Calibri"/>
                <w:b w:val="0"/>
                <w:i w:val="0"/>
                <w:color w:val="212121"/>
                <w:sz w:val="16"/>
              </w:rPr>
              <w:t>Pulse, BP, thyroid, cardiac auscultation, tremor</w:t>
            </w:r>
          </w:p>
        </w:tc>
        <w:tc>
          <w:tcPr>
            <w:tcW w:type="dxa" w:w="950"/>
            <w:vAlign w:val="top"/>
          </w:tcPr>
          <w:p>
            <w:pPr>
              <w:spacing w:after="40" w:before="0" w:line="259" w:lineRule="auto"/>
            </w:pPr>
            <w:r>
              <w:rPr>
                <w:rFonts w:ascii="Calibri" w:hAnsi="Calibri"/>
                <w:b w:val="0"/>
                <w:i w:val="0"/>
                <w:color w:val="212121"/>
                <w:sz w:val="16"/>
              </w:rPr>
              <w:t>Normal at rest</w:t>
            </w:r>
          </w:p>
        </w:tc>
        <w:tc>
          <w:tcPr>
            <w:tcW w:type="dxa" w:w="950"/>
            <w:vAlign w:val="top"/>
          </w:tcPr>
          <w:p>
            <w:pPr>
              <w:spacing w:after="40" w:before="0" w:line="259" w:lineRule="auto"/>
            </w:pPr>
            <w:r>
              <w:rPr>
                <w:rFonts w:ascii="Calibri" w:hAnsi="Calibri"/>
                <w:b w:val="0"/>
                <w:i w:val="0"/>
                <w:color w:val="212121"/>
                <w:sz w:val="16"/>
              </w:rPr>
              <w:t>Tachycardia, tremor, goitre, arrhythmia</w:t>
            </w:r>
          </w:p>
        </w:tc>
        <w:tc>
          <w:tcPr>
            <w:tcW w:type="dxa" w:w="1036"/>
            <w:vAlign w:val="top"/>
          </w:tcPr>
          <w:p>
            <w:pPr>
              <w:spacing w:after="40" w:before="0" w:line="259" w:lineRule="auto"/>
            </w:pPr>
            <w:r>
              <w:rPr>
                <w:rFonts w:ascii="Calibri" w:hAnsi="Calibri"/>
                <w:b w:val="0"/>
                <w:i w:val="0"/>
                <w:color w:val="212121"/>
                <w:sz w:val="16"/>
              </w:rPr>
              <w:t>Detects mimics (thyroid, cardiac) and exposure physiology</w:t>
            </w:r>
          </w:p>
        </w:tc>
        <w:tc>
          <w:tcPr>
            <w:tcW w:type="dxa" w:w="1036"/>
            <w:vAlign w:val="top"/>
          </w:tcPr>
          <w:p>
            <w:pPr>
              <w:spacing w:after="40" w:before="0" w:line="259" w:lineRule="auto"/>
            </w:pPr>
            <w:r>
              <w:rPr>
                <w:rFonts w:ascii="Calibri" w:hAnsi="Calibri"/>
                <w:b w:val="0"/>
                <w:i w:val="0"/>
                <w:color w:val="212121"/>
                <w:sz w:val="16"/>
              </w:rPr>
              <w:t>Adults with palpitations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 exclusion</w:t>
            </w:r>
          </w:p>
        </w:tc>
        <w:tc>
          <w:tcPr>
            <w:tcW w:type="dxa" w:w="720"/>
            <w:vAlign w:val="top"/>
          </w:tcPr>
          <w:p>
            <w:pPr>
              <w:spacing w:after="40" w:before="0" w:line="259" w:lineRule="auto"/>
            </w:pPr>
            <w:r>
              <w:rPr>
                <w:rFonts w:ascii="Calibri" w:hAnsi="Calibri"/>
                <w:b w:val="0"/>
                <w:i w:val="0"/>
                <w:color w:val="212121"/>
                <w:sz w:val="16"/>
              </w:rPr>
              <w:t>Exam is often normal away from feared situations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Anticipatory anxiety about entering feared situations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dread of transport, crowds, open/enclosed spaces or being alone, often for hours or days beforehand.</w:t>
            </w:r>
          </w:p>
        </w:tc>
      </w:tr>
      <w:tr>
        <w:trPr>
          <w:cantSplit/>
        </w:trPr>
        <w:tc>
          <w:tcPr>
            <w:tcW w:type="dxa" w:w="2304"/>
            <w:vAlign w:val="top"/>
          </w:tcPr>
          <w:p>
            <w:pPr>
              <w:spacing w:after="40" w:before="0" w:line="259" w:lineRule="auto"/>
            </w:pPr>
            <w:r>
              <w:rPr>
                <w:rFonts w:ascii="Calibri" w:hAnsi="Calibri"/>
                <w:b/>
                <w:i w:val="0"/>
                <w:color w:val="212121"/>
                <w:sz w:val="19"/>
              </w:rPr>
              <w:t>Marked fear or anxiety on exposure to feared situations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Almost immediate anxiety on encountering at least two of the five agoraphobic situations.</w:t>
            </w:r>
          </w:p>
        </w:tc>
      </w:tr>
      <w:tr>
        <w:trPr>
          <w:cantSplit/>
        </w:trPr>
        <w:tc>
          <w:tcPr>
            <w:tcW w:type="dxa" w:w="2304"/>
            <w:vAlign w:val="top"/>
          </w:tcPr>
          <w:p>
            <w:pPr>
              <w:spacing w:after="40" w:before="0" w:line="259" w:lineRule="auto"/>
            </w:pPr>
            <w:r>
              <w:rPr>
                <w:rFonts w:ascii="Calibri" w:hAnsi="Calibri"/>
                <w:b/>
                <w:i w:val="0"/>
                <w:color w:val="212121"/>
                <w:sz w:val="19"/>
              </w:rPr>
              <w:t>Fear of being trapped or unable to escape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Central cognition — that escape would be difficult or help unavailable if symptoms occur.</w:t>
            </w:r>
          </w:p>
        </w:tc>
      </w:tr>
      <w:tr>
        <w:trPr>
          <w:cantSplit/>
        </w:trPr>
        <w:tc>
          <w:tcPr>
            <w:tcW w:type="dxa" w:w="2304"/>
            <w:vAlign w:val="top"/>
          </w:tcPr>
          <w:p>
            <w:pPr>
              <w:spacing w:after="40" w:before="0" w:line="259" w:lineRule="auto"/>
            </w:pPr>
            <w:r>
              <w:rPr>
                <w:rFonts w:ascii="Calibri" w:hAnsi="Calibri"/>
                <w:b/>
                <w:i w:val="0"/>
                <w:color w:val="212121"/>
                <w:sz w:val="19"/>
              </w:rPr>
              <w:t>Fear of helplessness or embarrassment in public</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Fear of fainting, falling, vomiting, incontinence or “making a scene” where others would see.</w:t>
            </w:r>
          </w:p>
        </w:tc>
      </w:tr>
      <w:tr>
        <w:trPr>
          <w:cantSplit/>
        </w:trPr>
        <w:tc>
          <w:tcPr>
            <w:tcW w:type="dxa" w:w="2304"/>
            <w:vAlign w:val="top"/>
          </w:tcPr>
          <w:p>
            <w:pPr>
              <w:spacing w:after="40" w:before="0" w:line="259" w:lineRule="auto"/>
            </w:pPr>
            <w:r>
              <w:rPr>
                <w:rFonts w:ascii="Calibri" w:hAnsi="Calibri"/>
                <w:b/>
                <w:i w:val="0"/>
                <w:color w:val="212121"/>
                <w:sz w:val="19"/>
              </w:rPr>
              <w:t>Palpitations / pounding or racing heartbeat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Adrenergic surge on exposure; a frequent driver of cardiac/emergency presentation.</w:t>
            </w:r>
          </w:p>
        </w:tc>
      </w:tr>
      <w:tr>
        <w:trPr>
          <w:cantSplit/>
        </w:trPr>
        <w:tc>
          <w:tcPr>
            <w:tcW w:type="dxa" w:w="2304"/>
            <w:vAlign w:val="top"/>
          </w:tcPr>
          <w:p>
            <w:pPr>
              <w:spacing w:after="40" w:before="0" w:line="259" w:lineRule="auto"/>
            </w:pPr>
            <w:r>
              <w:rPr>
                <w:rFonts w:ascii="Calibri" w:hAnsi="Calibri"/>
                <w:b/>
                <w:i w:val="0"/>
                <w:color w:val="212121"/>
                <w:sz w:val="19"/>
              </w:rPr>
              <w:t>Shortness of breath or smothering sensation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Air-hunger linked to hyperventilation and heightened CO2 sensitivity.</w:t>
            </w:r>
          </w:p>
        </w:tc>
      </w:tr>
      <w:tr>
        <w:trPr>
          <w:cantSplit/>
        </w:trPr>
        <w:tc>
          <w:tcPr>
            <w:tcW w:type="dxa" w:w="2304"/>
            <w:vAlign w:val="top"/>
          </w:tcPr>
          <w:p>
            <w:pPr>
              <w:spacing w:after="40" w:before="0" w:line="259" w:lineRule="auto"/>
            </w:pPr>
            <w:r>
              <w:rPr>
                <w:rFonts w:ascii="Calibri" w:hAnsi="Calibri"/>
                <w:b/>
                <w:i w:val="0"/>
                <w:color w:val="212121"/>
                <w:sz w:val="19"/>
              </w:rPr>
              <w:t>Dizziness, light-headedness or faintness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driven by hyperventilation; fuels fear of collapsing in public.</w:t>
            </w:r>
          </w:p>
        </w:tc>
      </w:tr>
      <w:tr>
        <w:trPr>
          <w:cantSplit/>
        </w:trPr>
        <w:tc>
          <w:tcPr>
            <w:tcW w:type="dxa" w:w="2304"/>
            <w:vAlign w:val="top"/>
          </w:tcPr>
          <w:p>
            <w:pPr>
              <w:spacing w:after="40" w:before="0" w:line="259" w:lineRule="auto"/>
            </w:pPr>
            <w:r>
              <w:rPr>
                <w:rFonts w:ascii="Calibri" w:hAnsi="Calibri"/>
                <w:b/>
                <w:i w:val="0"/>
                <w:color w:val="212121"/>
                <w:sz w:val="19"/>
              </w:rPr>
              <w:t>Chest pain or discomfort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Non-cardiac chest pain during exposure; a common reason for medical evaluation.</w:t>
            </w:r>
          </w:p>
        </w:tc>
      </w:tr>
      <w:tr>
        <w:trPr>
          <w:cantSplit/>
        </w:trPr>
        <w:tc>
          <w:tcPr>
            <w:tcW w:type="dxa" w:w="2304"/>
            <w:vAlign w:val="top"/>
          </w:tcPr>
          <w:p>
            <w:pPr>
              <w:spacing w:after="40" w:before="0" w:line="259" w:lineRule="auto"/>
            </w:pPr>
            <w:r>
              <w:rPr>
                <w:rFonts w:ascii="Calibri" w:hAnsi="Calibri"/>
                <w:b/>
                <w:i w:val="0"/>
                <w:color w:val="212121"/>
                <w:sz w:val="19"/>
              </w:rPr>
              <w:t>Sweating, trembling, chills or hot flushes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Autonomic sympathetic activation during anxiety in the feared situation.</w:t>
            </w:r>
          </w:p>
        </w:tc>
      </w:tr>
      <w:tr>
        <w:trPr>
          <w:cantSplit/>
        </w:trPr>
        <w:tc>
          <w:tcPr>
            <w:tcW w:type="dxa" w:w="2304"/>
            <w:vAlign w:val="top"/>
          </w:tcPr>
          <w:p>
            <w:pPr>
              <w:spacing w:after="40" w:before="0" w:line="259" w:lineRule="auto"/>
            </w:pPr>
            <w:r>
              <w:rPr>
                <w:rFonts w:ascii="Calibri" w:hAnsi="Calibri"/>
                <w:b/>
                <w:i w:val="0"/>
                <w:color w:val="212121"/>
                <w:sz w:val="19"/>
              </w:rPr>
              <w:t>Nausea, abdominal distress or diarrhoea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Gut autonomic response; fear of urgent diarrhoea itself can drive avoidance.</w:t>
            </w:r>
          </w:p>
        </w:tc>
      </w:tr>
      <w:tr>
        <w:trPr>
          <w:cantSplit/>
        </w:trPr>
        <w:tc>
          <w:tcPr>
            <w:tcW w:type="dxa" w:w="2304"/>
            <w:vAlign w:val="top"/>
          </w:tcPr>
          <w:p>
            <w:pPr>
              <w:spacing w:after="40" w:before="0" w:line="259" w:lineRule="auto"/>
            </w:pPr>
            <w:r>
              <w:rPr>
                <w:rFonts w:ascii="Calibri" w:hAnsi="Calibri"/>
                <w:b/>
                <w:i w:val="0"/>
                <w:color w:val="212121"/>
                <w:sz w:val="19"/>
              </w:rPr>
              <w:t>Choking sensation or paraesthesia (numbness/tingling)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Throat-tightness and perioral/digital tingling from hyperventilation-induced hypocapnia.</w:t>
            </w:r>
          </w:p>
        </w:tc>
      </w:tr>
      <w:tr>
        <w:trPr>
          <w:cantSplit/>
        </w:trPr>
        <w:tc>
          <w:tcPr>
            <w:tcW w:type="dxa" w:w="2304"/>
            <w:vAlign w:val="top"/>
          </w:tcPr>
          <w:p>
            <w:pPr>
              <w:spacing w:after="40" w:before="0" w:line="259" w:lineRule="auto"/>
            </w:pPr>
            <w:r>
              <w:rPr>
                <w:rFonts w:ascii="Calibri" w:hAnsi="Calibri"/>
                <w:b/>
                <w:i w:val="0"/>
                <w:color w:val="212121"/>
                <w:sz w:val="19"/>
              </w:rPr>
              <w:t>Derealisation or depersonalisation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sense of unreality or detachment from oneself or surroundings during peak anxiety.</w:t>
            </w:r>
          </w:p>
        </w:tc>
      </w:tr>
      <w:tr>
        <w:trPr>
          <w:cantSplit/>
        </w:trPr>
        <w:tc>
          <w:tcPr>
            <w:tcW w:type="dxa" w:w="2304"/>
            <w:vAlign w:val="top"/>
          </w:tcPr>
          <w:p>
            <w:pPr>
              <w:spacing w:after="40" w:before="0" w:line="259" w:lineRule="auto"/>
            </w:pPr>
            <w:r>
              <w:rPr>
                <w:rFonts w:ascii="Calibri" w:hAnsi="Calibri"/>
                <w:b/>
                <w:i w:val="0"/>
                <w:color w:val="212121"/>
                <w:sz w:val="19"/>
              </w:rPr>
              <w:t>Fear of dying or losing control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Catastrophic cognition during exposure, often that the attack is a heart attack or that one will ‘go mad’.</w:t>
            </w:r>
          </w:p>
        </w:tc>
      </w:tr>
      <w:tr>
        <w:trPr>
          <w:cantSplit/>
        </w:trPr>
        <w:tc>
          <w:tcPr>
            <w:tcW w:type="dxa" w:w="2304"/>
            <w:vAlign w:val="top"/>
          </w:tcPr>
          <w:p>
            <w:pPr>
              <w:spacing w:after="40" w:before="0" w:line="259" w:lineRule="auto"/>
            </w:pPr>
            <w:r>
              <w:rPr>
                <w:rFonts w:ascii="Calibri" w:hAnsi="Calibri"/>
                <w:b/>
                <w:i w:val="0"/>
                <w:color w:val="212121"/>
                <w:sz w:val="19"/>
              </w:rPr>
              <w:t>Active avoidance and reliance on a companion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Behavioural hallmark — avoiding situations or entering them only with a trusted “safe person”.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Situational avoidance / refusal to enter feared settings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Behavioural hallmark of agoraphobia; may present as missed appointments or refusing tests/travel.</w:t>
            </w:r>
          </w:p>
        </w:tc>
      </w:tr>
      <w:tr>
        <w:trPr>
          <w:cantSplit/>
        </w:trPr>
        <w:tc>
          <w:tcPr>
            <w:tcW w:type="dxa" w:w="3456"/>
            <w:vAlign w:val="top"/>
          </w:tcPr>
          <w:p>
            <w:pPr>
              <w:spacing w:after="40" w:before="0" w:line="259" w:lineRule="auto"/>
            </w:pPr>
            <w:r>
              <w:rPr>
                <w:rFonts w:ascii="Calibri" w:hAnsi="Calibri"/>
                <w:b/>
                <w:i w:val="0"/>
                <w:color w:val="212121"/>
                <w:sz w:val="19"/>
              </w:rPr>
              <w:t>Attending only when accompanied by a companion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Dependence on a trusted “safe person” to enter clinics, transport or crowds.</w:t>
            </w:r>
          </w:p>
        </w:tc>
      </w:tr>
      <w:tr>
        <w:trPr>
          <w:cantSplit/>
        </w:trPr>
        <w:tc>
          <w:tcPr>
            <w:tcW w:type="dxa" w:w="3456"/>
            <w:vAlign w:val="top"/>
          </w:tcPr>
          <w:p>
            <w:pPr>
              <w:spacing w:after="40" w:before="0" w:line="259" w:lineRule="auto"/>
            </w:pPr>
            <w:r>
              <w:rPr>
                <w:rFonts w:ascii="Calibri" w:hAnsi="Calibri"/>
                <w:b/>
                <w:i w:val="0"/>
                <w:color w:val="212121"/>
                <w:sz w:val="19"/>
              </w:rPr>
              <w:t>Housebound or markedly restricted travel radius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 of severe agoraphobia; the person cannot leave home or a small ‘safe zone’ unaided.</w:t>
            </w:r>
          </w:p>
        </w:tc>
      </w:tr>
      <w:tr>
        <w:trPr>
          <w:cantSplit/>
        </w:trPr>
        <w:tc>
          <w:tcPr>
            <w:tcW w:type="dxa" w:w="3456"/>
            <w:vAlign w:val="top"/>
          </w:tcPr>
          <w:p>
            <w:pPr>
              <w:spacing w:after="40" w:before="0" w:line="259" w:lineRule="auto"/>
            </w:pPr>
            <w:r>
              <w:rPr>
                <w:rFonts w:ascii="Calibri" w:hAnsi="Calibri"/>
                <w:b/>
                <w:i w:val="0"/>
                <w:color w:val="212121"/>
                <w:sz w:val="19"/>
              </w:rPr>
              <w:t>Tachycardia during exposure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correlate of adrenergic surge; usually settles away from the feared situation.</w:t>
            </w:r>
          </w:p>
        </w:tc>
      </w:tr>
      <w:tr>
        <w:trPr>
          <w:cantSplit/>
        </w:trPr>
        <w:tc>
          <w:tcPr>
            <w:tcW w:type="dxa" w:w="3456"/>
            <w:vAlign w:val="top"/>
          </w:tcPr>
          <w:p>
            <w:pPr>
              <w:spacing w:after="40" w:before="0" w:line="259" w:lineRule="auto"/>
            </w:pPr>
            <w:r>
              <w:rPr>
                <w:rFonts w:ascii="Calibri" w:hAnsi="Calibri"/>
                <w:b/>
                <w:i w:val="0"/>
                <w:color w:val="212121"/>
                <w:sz w:val="19"/>
              </w:rPr>
              <w:t>Tachypnoea / hyperventilation on exposure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Rapid shallow breathing that drives hypocapnia, dizziness and paraesthesia.</w:t>
            </w:r>
          </w:p>
        </w:tc>
      </w:tr>
      <w:tr>
        <w:trPr>
          <w:cantSplit/>
        </w:trPr>
        <w:tc>
          <w:tcPr>
            <w:tcW w:type="dxa" w:w="3456"/>
            <w:vAlign w:val="top"/>
          </w:tcPr>
          <w:p>
            <w:pPr>
              <w:spacing w:after="40" w:before="0" w:line="259" w:lineRule="auto"/>
            </w:pPr>
            <w:r>
              <w:rPr>
                <w:rFonts w:ascii="Calibri" w:hAnsi="Calibri"/>
                <w:b/>
                <w:i w:val="0"/>
                <w:color w:val="212121"/>
                <w:sz w:val="19"/>
              </w:rPr>
              <w:t>Visible sweating and fine tremor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Sympathetic overactivity during anxiety in the feared setting.</w:t>
            </w:r>
          </w:p>
        </w:tc>
      </w:tr>
      <w:tr>
        <w:trPr>
          <w:cantSplit/>
        </w:trPr>
        <w:tc>
          <w:tcPr>
            <w:tcW w:type="dxa" w:w="3456"/>
            <w:vAlign w:val="top"/>
          </w:tcPr>
          <w:p>
            <w:pPr>
              <w:spacing w:after="40" w:before="0" w:line="259" w:lineRule="auto"/>
            </w:pPr>
            <w:r>
              <w:rPr>
                <w:rFonts w:ascii="Calibri" w:hAnsi="Calibri"/>
                <w:b/>
                <w:i w:val="0"/>
                <w:color w:val="212121"/>
                <w:sz w:val="19"/>
              </w:rPr>
              <w:t>Restlessness and urge to flee (escape behaviour)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Psychomotor agitation and rapid exit from the situation.</w:t>
            </w:r>
          </w:p>
        </w:tc>
      </w:tr>
      <w:tr>
        <w:trPr>
          <w:cantSplit/>
        </w:trPr>
        <w:tc>
          <w:tcPr>
            <w:tcW w:type="dxa" w:w="3456"/>
            <w:vAlign w:val="top"/>
          </w:tcPr>
          <w:p>
            <w:pPr>
              <w:spacing w:after="40" w:before="0" w:line="259" w:lineRule="auto"/>
            </w:pPr>
            <w:r>
              <w:rPr>
                <w:rFonts w:ascii="Calibri" w:hAnsi="Calibri"/>
                <w:b/>
                <w:i w:val="0"/>
                <w:color w:val="212121"/>
                <w:sz w:val="19"/>
              </w:rPr>
              <w:t>Elevated anxiety- and avoidance-scale scores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High GAD-7 and Panic-and-Agoraphobia Scale scores documenting severity.</w:t>
            </w:r>
          </w:p>
        </w:tc>
      </w:tr>
      <w:tr>
        <w:trPr>
          <w:cantSplit/>
        </w:trPr>
        <w:tc>
          <w:tcPr>
            <w:tcW w:type="dxa" w:w="3456"/>
            <w:vAlign w:val="top"/>
          </w:tcPr>
          <w:p>
            <w:pPr>
              <w:spacing w:after="40" w:before="0" w:line="259" w:lineRule="auto"/>
            </w:pPr>
            <w:r>
              <w:rPr>
                <w:rFonts w:ascii="Calibri" w:hAnsi="Calibri"/>
                <w:b/>
                <w:i w:val="0"/>
                <w:color w:val="212121"/>
                <w:sz w:val="19"/>
              </w:rPr>
              <w:t>Low mood, anhedonia or tearfulness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Marker of comorbid depression, which is present in a substantial minority.</w:t>
            </w:r>
          </w:p>
        </w:tc>
      </w:tr>
      <w:tr>
        <w:trPr>
          <w:cantSplit/>
        </w:trPr>
        <w:tc>
          <w:tcPr>
            <w:tcW w:type="dxa" w:w="3456"/>
            <w:vAlign w:val="top"/>
          </w:tcPr>
          <w:p>
            <w:pPr>
              <w:spacing w:after="40" w:before="0" w:line="259" w:lineRule="auto"/>
            </w:pPr>
            <w:r>
              <w:rPr>
                <w:rFonts w:ascii="Calibri" w:hAnsi="Calibri"/>
                <w:b/>
                <w:i w:val="0"/>
                <w:color w:val="212121"/>
                <w:sz w:val="19"/>
              </w:rPr>
              <w:t>Physical deconditioning or weight change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Consequence of prolonged inactivity and homebound behaviour.</w:t>
            </w:r>
          </w:p>
        </w:tc>
      </w:tr>
      <w:tr>
        <w:trPr>
          <w:cantSplit/>
        </w:trPr>
        <w:tc>
          <w:tcPr>
            <w:tcW w:type="dxa" w:w="3456"/>
            <w:vAlign w:val="top"/>
          </w:tcPr>
          <w:p>
            <w:pPr>
              <w:spacing w:after="40" w:before="0" w:line="259" w:lineRule="auto"/>
            </w:pPr>
            <w:r>
              <w:rPr>
                <w:rFonts w:ascii="Calibri" w:hAnsi="Calibri"/>
                <w:b/>
                <w:i w:val="0"/>
                <w:color w:val="212121"/>
                <w:sz w:val="19"/>
              </w:rPr>
              <w:t>Normal physical examination at rest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Away from the feared situation the exam is typically normal — a key clue distinguishing it from primary organic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panic or panic-like attacks in feared situations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Hyperventilation with hypocapnia, perioral/digital tingling and carpopedal spasm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Escape behaviour with falls, injury or road-traffic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Intense anticipatory anxiety and acute demoralisation</w:t>
            </w:r>
          </w:p>
        </w:tc>
        <w:tc>
          <w:tcPr>
            <w:tcW w:type="dxa" w:w="2980"/>
            <w:vAlign w:val="top"/>
          </w:tcPr>
          <w:p>
            <w:pPr>
              <w:spacing w:after="40" w:before="0" w:line="259" w:lineRule="auto"/>
            </w:pPr>
            <w:r>
              <w:rPr>
                <w:rFonts w:ascii="Calibri" w:hAnsi="Calibri"/>
                <w:b w:val="0"/>
                <w:i w:val="0"/>
                <w:color w:val="212121"/>
                <w:sz w:val="19"/>
              </w:rPr>
              <w:t>Direct consequences of the acute autonomic surge and hyperventilation provoked on exposure.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avoidance with a shrinking activity and travel radius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Major depressive disorder and other anxiety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 sedative or other substance misuse (self-medication)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Occupational, academic and financial impairment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Dependence on companions or “safe persons” for everyday tasks</w:t>
            </w:r>
          </w:p>
        </w:tc>
        <w:tc>
          <w:tcPr>
            <w:tcW w:type="dxa" w:w="2980"/>
            <w:vAlign w:val="top"/>
          </w:tcPr>
          <w:p>
            <w:pPr>
              <w:spacing w:after="40" w:before="0" w:line="259" w:lineRule="auto"/>
            </w:pPr>
            <w:r>
              <w:rPr>
                <w:rFonts w:ascii="Calibri" w:hAnsi="Calibri"/>
                <w:b w:val="0"/>
                <w:i w:val="0"/>
                <w:color w:val="212121"/>
                <w:sz w:val="19"/>
              </w:rPr>
              <w:t>Develop from the self-reinforcing nature of avoidance and from maladaptive coping.</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housebound state and social isolation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Unemployment and long-term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Suicidal ideation, attempts and completed suicide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Benzodiazepine dependence from long-term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Relationship breakdown and markedly reduced quality of life</w:t>
            </w:r>
          </w:p>
        </w:tc>
        <w:tc>
          <w:tcPr>
            <w:tcW w:type="dxa" w:w="2980"/>
            <w:vAlign w:val="top"/>
          </w:tcPr>
          <w:p>
            <w:pPr>
              <w:spacing w:after="40" w:before="0" w:line="259" w:lineRule="auto"/>
            </w:pPr>
            <w:r>
              <w:rPr>
                <w:rFonts w:ascii="Calibri" w:hAnsi="Calibri"/>
                <w:b w:val="0"/>
                <w:i w:val="0"/>
                <w:color w:val="212121"/>
                <w:sz w:val="19"/>
              </w:rPr>
              <w:t>Irreversible or hard-to-reverse outcomes of longstanding, untreated or under-treated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Panic disorder</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About a third of people with agoraphobia also have panic disorder; agoraphobia often arises from it and the two share fear-network pathophysiology, and their combination is the most disabling presentation.</w:t>
            </w:r>
          </w:p>
          <w:p>
            <w:pPr>
              <w:spacing w:after="40" w:before="0" w:line="259" w:lineRule="auto"/>
            </w:pPr>
            <w:r>
              <w:rPr>
                <w:rFonts w:ascii="Calibri" w:hAnsi="Calibri"/>
                <w:b/>
                <w:i w:val="0"/>
                <w:color w:val="212121"/>
                <w:sz w:val="19"/>
              </w:rPr>
              <w:t>~26–33%</w:t>
            </w:r>
          </w:p>
        </w:tc>
      </w:tr>
      <w:tr>
        <w:trPr>
          <w:cantSplit/>
        </w:trPr>
        <w:tc>
          <w:tcPr>
            <w:tcW w:type="dxa" w:w="2232"/>
            <w:vAlign w:val="top"/>
          </w:tcPr>
          <w:p>
            <w:pPr>
              <w:spacing w:after="40" w:before="0" w:line="259" w:lineRule="auto"/>
            </w:pPr>
            <w:r>
              <w:rPr>
                <w:rFonts w:ascii="Calibri" w:hAnsi="Calibri"/>
                <w:b/>
                <w:i w:val="0"/>
                <w:color w:val="212121"/>
                <w:sz w:val="19"/>
              </w:rPr>
              <w:t>Major depressive disorder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Frequently comorbid through shared monoaminergic and stress-axis pathways; isolation deepens depression and depression worsens agoraphobia and raises suicide risk.</w:t>
            </w:r>
          </w:p>
          <w:p>
            <w:pPr>
              <w:spacing w:after="40" w:before="0" w:line="259" w:lineRule="auto"/>
            </w:pPr>
            <w:r>
              <w:rPr>
                <w:rFonts w:ascii="Calibri" w:hAnsi="Calibri"/>
                <w:b/>
                <w:i w:val="0"/>
                <w:color w:val="212121"/>
                <w:sz w:val="19"/>
              </w:rPr>
              <w:t>~12%</w:t>
            </w:r>
          </w:p>
        </w:tc>
      </w:tr>
      <w:tr>
        <w:trPr>
          <w:cantSplit/>
        </w:trPr>
        <w:tc>
          <w:tcPr>
            <w:tcW w:type="dxa" w:w="2232"/>
            <w:vAlign w:val="top"/>
          </w:tcPr>
          <w:p>
            <w:pPr>
              <w:spacing w:after="40" w:before="0" w:line="259" w:lineRule="auto"/>
            </w:pPr>
            <w:r>
              <w:rPr>
                <w:rFonts w:ascii="Calibri" w:hAnsi="Calibri"/>
                <w:b/>
                <w:i w:val="0"/>
                <w:color w:val="212121"/>
                <w:sz w:val="19"/>
              </w:rPr>
              <w:t>Generalised anxiety disorder</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High overlap; shared vulnerability and anxiety sensitivity drive chronicity.</w:t>
            </w:r>
          </w:p>
          <w:p>
            <w:pPr>
              <w:spacing w:after="40" w:before="0" w:line="259" w:lineRule="auto"/>
            </w:pPr>
            <w:r>
              <w:rPr>
                <w:rFonts w:ascii="Calibri" w:hAnsi="Calibri"/>
                <w:b/>
                <w:i w:val="0"/>
                <w:color w:val="212121"/>
                <w:sz w:val="19"/>
              </w:rPr>
              <w:t>~7%</w:t>
            </w:r>
          </w:p>
        </w:tc>
      </w:tr>
      <w:tr>
        <w:trPr>
          <w:cantSplit/>
        </w:trPr>
        <w:tc>
          <w:tcPr>
            <w:tcW w:type="dxa" w:w="2232"/>
            <w:vAlign w:val="top"/>
          </w:tcPr>
          <w:p>
            <w:pPr>
              <w:spacing w:after="40" w:before="0" w:line="259" w:lineRule="auto"/>
            </w:pPr>
            <w:r>
              <w:rPr>
                <w:rFonts w:ascii="Calibri" w:hAnsi="Calibri"/>
                <w:b/>
                <w:i w:val="0"/>
                <w:color w:val="212121"/>
                <w:sz w:val="19"/>
              </w:rPr>
              <w:t>Specific phobia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Commonly coexists; shares learned-fear and amygdala-based mechanisms.</w:t>
            </w:r>
          </w:p>
          <w:p>
            <w:pPr>
              <w:spacing w:after="40" w:before="0" w:line="259" w:lineRule="auto"/>
            </w:pPr>
            <w:r>
              <w:rPr>
                <w:rFonts w:ascii="Calibri" w:hAnsi="Calibri"/>
                <w:b/>
                <w:i w:val="0"/>
                <w:color w:val="212121"/>
                <w:sz w:val="19"/>
              </w:rPr>
              <w:t>~5%</w:t>
            </w:r>
          </w:p>
        </w:tc>
      </w:tr>
      <w:tr>
        <w:trPr>
          <w:cantSplit/>
        </w:trPr>
        <w:tc>
          <w:tcPr>
            <w:tcW w:type="dxa" w:w="2232"/>
            <w:vAlign w:val="top"/>
          </w:tcPr>
          <w:p>
            <w:pPr>
              <w:spacing w:after="40" w:before="0" w:line="259" w:lineRule="auto"/>
            </w:pPr>
            <w:r>
              <w:rPr>
                <w:rFonts w:ascii="Calibri" w:hAnsi="Calibri"/>
                <w:b/>
                <w:i w:val="0"/>
                <w:color w:val="212121"/>
                <w:sz w:val="19"/>
              </w:rPr>
              <w:t>Social anxiety disorder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Overlapping avoidance of public situations; shared temperamental vulnerability can blur the diagnostic boundary.</w:t>
            </w:r>
          </w:p>
          <w:p>
            <w:pPr>
              <w:spacing w:after="40" w:before="0" w:line="259" w:lineRule="auto"/>
            </w:pPr>
            <w:r>
              <w:rPr>
                <w:rFonts w:ascii="Calibri" w:hAnsi="Calibri"/>
                <w:b/>
                <w:i w:val="0"/>
                <w:color w:val="212121"/>
                <w:sz w:val="19"/>
              </w:rPr>
              <w:t>~4%</w:t>
            </w:r>
          </w:p>
        </w:tc>
      </w:tr>
      <w:tr>
        <w:trPr>
          <w:cantSplit/>
        </w:trPr>
        <w:tc>
          <w:tcPr>
            <w:tcW w:type="dxa" w:w="2232"/>
            <w:vAlign w:val="top"/>
          </w:tcPr>
          <w:p>
            <w:pPr>
              <w:spacing w:after="40" w:before="0" w:line="259" w:lineRule="auto"/>
            </w:pPr>
            <w:r>
              <w:rPr>
                <w:rFonts w:ascii="Calibri" w:hAnsi="Calibri"/>
                <w:b/>
                <w:i w:val="0"/>
                <w:color w:val="212121"/>
                <w:sz w:val="19"/>
              </w:rPr>
              <w:t>Obsessive-compulsive disorder</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Co-occurs more often than expected, sharing anxiety-circuit and serotonergic mechanisms.</w:t>
            </w:r>
          </w:p>
          <w:p>
            <w:pPr>
              <w:spacing w:after="40" w:before="0" w:line="259" w:lineRule="auto"/>
            </w:pPr>
            <w:r>
              <w:rPr>
                <w:rFonts w:ascii="Calibri" w:hAnsi="Calibri"/>
                <w:b/>
                <w:i w:val="0"/>
                <w:color w:val="212121"/>
                <w:sz w:val="19"/>
              </w:rPr>
              <w:t>~4%</w:t>
            </w:r>
          </w:p>
        </w:tc>
      </w:tr>
      <w:tr>
        <w:trPr>
          <w:cantSplit/>
        </w:trPr>
        <w:tc>
          <w:tcPr>
            <w:tcW w:type="dxa" w:w="2232"/>
            <w:vAlign w:val="top"/>
          </w:tcPr>
          <w:p>
            <w:pPr>
              <w:spacing w:after="40" w:before="0" w:line="259" w:lineRule="auto"/>
            </w:pPr>
            <w:r>
              <w:rPr>
                <w:rFonts w:ascii="Calibri" w:hAnsi="Calibri"/>
                <w:b/>
                <w:i w:val="0"/>
                <w:color w:val="212121"/>
                <w:sz w:val="19"/>
              </w:rPr>
              <w:t>Post-traumatic stress disorder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Trauma predisposes to agoraphobic avoidance and the two share fear-conditioning mechanisms.</w:t>
            </w:r>
          </w:p>
          <w:p>
            <w:pPr>
              <w:spacing w:after="40" w:before="0" w:line="259" w:lineRule="auto"/>
            </w:pPr>
            <w:r>
              <w:rPr>
                <w:rFonts w:ascii="Calibri" w:hAnsi="Calibri"/>
                <w:b/>
                <w:i w:val="0"/>
                <w:color w:val="212121"/>
                <w:sz w:val="19"/>
              </w:rPr>
              <w:t>~2%</w:t>
            </w:r>
          </w:p>
        </w:tc>
      </w:tr>
      <w:tr>
        <w:trPr>
          <w:cantSplit/>
        </w:trPr>
        <w:tc>
          <w:tcPr>
            <w:tcW w:type="dxa" w:w="2232"/>
            <w:vAlign w:val="top"/>
          </w:tcPr>
          <w:p>
            <w:pPr>
              <w:spacing w:after="40" w:before="0" w:line="259" w:lineRule="auto"/>
            </w:pPr>
            <w:r>
              <w:rPr>
                <w:rFonts w:ascii="Calibri" w:hAnsi="Calibri"/>
                <w:b/>
                <w:i w:val="0"/>
                <w:color w:val="212121"/>
                <w:sz w:val="19"/>
              </w:rPr>
              <w:t>Alcohol / sedative use disorder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Often used to ‘get through’ outings; self-medication reinforces avoidance, withdrawal precipitates anxiety, and dependence complicates treatment.</w:t>
            </w:r>
          </w:p>
        </w:tc>
      </w:tr>
      <w:tr>
        <w:trPr>
          <w:cantSplit/>
        </w:trPr>
        <w:tc>
          <w:tcPr>
            <w:tcW w:type="dxa" w:w="2232"/>
            <w:vAlign w:val="top"/>
          </w:tcPr>
          <w:p>
            <w:pPr>
              <w:spacing w:after="40" w:before="0" w:line="259" w:lineRule="auto"/>
            </w:pPr>
            <w:r>
              <w:rPr>
                <w:rFonts w:ascii="Calibri" w:hAnsi="Calibri"/>
                <w:b/>
                <w:i w:val="0"/>
                <w:color w:val="212121"/>
                <w:sz w:val="19"/>
              </w:rPr>
              <w:t>Suicidal ideation &amp; behaviour</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Isolation, dependency and comorbid depression substantially raise suicide risk and mandate active assessment.</w:t>
            </w:r>
          </w:p>
          <w:p>
            <w:pPr>
              <w:spacing w:after="40" w:before="0" w:line="259" w:lineRule="auto"/>
            </w:pPr>
            <w:r>
              <w:rPr>
                <w:rFonts w:ascii="Calibri" w:hAnsi="Calibri"/>
                <w:b/>
                <w:i w:val="0"/>
                <w:color w:val="212121"/>
                <w:sz w:val="19"/>
              </w:rPr>
              <w:t>~15%</w:t>
            </w:r>
          </w:p>
        </w:tc>
      </w:tr>
      <w:tr>
        <w:trPr>
          <w:cantSplit/>
        </w:trPr>
        <w:tc>
          <w:tcPr>
            <w:tcW w:type="dxa" w:w="2232"/>
            <w:vAlign w:val="top"/>
          </w:tcPr>
          <w:p>
            <w:pPr>
              <w:spacing w:after="40" w:before="0" w:line="259" w:lineRule="auto"/>
            </w:pPr>
            <w:r>
              <w:rPr>
                <w:rFonts w:ascii="Calibri" w:hAnsi="Calibri"/>
                <w:b/>
                <w:i w:val="0"/>
                <w:color w:val="212121"/>
                <w:sz w:val="19"/>
              </w:rPr>
              <w:t>Any other mental disorder (high overall comorbidity)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About nine in ten people with agoraphobia have at least one other mental health condition, which shapes assessment, treatment and prognosis.</w:t>
            </w:r>
          </w:p>
          <w:p>
            <w:pPr>
              <w:spacing w:after="40" w:before="0" w:line="259" w:lineRule="auto"/>
            </w:pPr>
            <w:r>
              <w:rPr>
                <w:rFonts w:ascii="Calibri" w:hAnsi="Calibri"/>
                <w:b/>
                <w:i w:val="0"/>
                <w:color w:val="212121"/>
                <w:sz w:val="19"/>
              </w:rPr>
              <w:t>~90%</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agoraphobia is a treatable anxiety disorder, not weakness or a permanent trait, and that avoidance — though it brings short-term relief — is what keeps the fear growing.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that panic and anxiety symptoms in feared situations, though frightening, are not dangerous, peak within minutes and pass.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Resist the urge to avoid: face feared situations gradually and repeatedly rather than escaping, which prevents avoidance from spreading toward a housebound state.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personal triggers (crowds, transport, being far from home, caffeine, poor sleep, stress) and reduce the modifiable ones.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help early through a doctor or mental-health professional rather than repeatedly attending emergency or general-medical services for bodily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family in psychoeducation so they encourage graded independence instead of accommodating avoidance by always accompanying or excusing the person.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and working-age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affected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medical-service attenders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aerobic activity (brisk walking, cycling, swimming) to lower baseline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graded exercise as interoceptive exposure — safely experiencing a raised heart rate and breathlessness reduces fear of these bodily sensations.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activity with graded outings so exercise doubles as real-world (in-vivo) exposure to feared situations.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yoga and slow breathing (pranayama) to improve autonomic regulation and breath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up gradually from a few minutes a day if deconditioned or homebound.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Housebound or 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agoraphobia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caffeine (coffee, tea, colas) and avoid energy drinks and high-dose caffeine supplements, which can provoke the palpitations and anxiety that feed avoidance.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regular, evenly spaced meals to avoid hypoglycaemic adrenergic surges that mimic the onset of panic.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stimulant-containing weight-loss or pre-workout supplements.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balanced diet and adequate hydration.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caffeine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who skip meals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Users of stimulant supplements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schedule with 7–9 hours per night to lower daytime arousal and anxiety sensitivity.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good sleep hygiene: limit evening caffeine, screens and alcohol.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a consistent wind-down routine and reduce shift-work sleep disruption where possible.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night-time anxiety with breathing techniques and reassurance rather than dread of sleeplessness.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Sleep-deprived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high night-time anxiety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it is associated with panic attacks and anxiety and can worsen the course.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Anticipate that nicotine withdrawal transiently increases anxiety; use cessation support and nicotine-replacement or behavioural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using cigarettes as a way to manage stress or to ‘steady’ nerves before outings.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agoraphobia who smoke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using alcohol or sedatives to ‘get through’ outings, crowds or transport — this reinforces avoidance and undermines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binge drinking and be aware that withdrawal (including next-morning ‘hangxiety’) precipitates anxiety and panic.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alcohol or benzodiazepine dependence.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who drink to cope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Sedative/benzodiazepine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self-medicating anxiety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cognitive behavioural therapy (CBT) with graded in-vivo exposure as first-line treatment — systematically and repeatedly facing feared situations, sometimes aided by virtual-reality exposure, is the core of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cognitive restructuring of catastrophic beliefs and breathing retraining to reduce reliance on safety behaviours and companions.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Start an SSRI (e.g., sertraline or escitalopram) as first-line pharmacotherapy; allow 4–6 weeks for full effect and continue for 6–12 months after remission.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benzodiazepines only short-term as a bridge, given dependence risk and their tendency to become a safety behaviour; avoid long-term monotherapy.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treat comorbid panic disorder and depression, and assess suicide risk at every review.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Coach family to withdraw accommodation gradually — encouraging independent outings rather than always accompanying the patient — and plan relapse prevention with booster sessions.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agoraphobia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comorbid panic disorder or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Housebound or companion-dependent patients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imh.nih.gov/health/statistics/agoraphobia" TargetMode="External"/><Relationship Id="rId10" Type="http://schemas.openxmlformats.org/officeDocument/2006/relationships/hyperlink" Target="https://www.ncbi.nlm.nih.gov/books/NBK554387/" TargetMode="External"/><Relationship Id="rId11" Type="http://schemas.openxmlformats.org/officeDocument/2006/relationships/hyperlink" Target="https://journals.sagepub.com/doi/10.1177/0020764020907941" TargetMode="External"/><Relationship Id="rId12" Type="http://schemas.openxmlformats.org/officeDocument/2006/relationships/hyperlink" Target="https://pubmed.ncbi.nlm.nih.gov/31209958/" TargetMode="External"/><Relationship Id="rId13" Type="http://schemas.openxmlformats.org/officeDocument/2006/relationships/hyperlink" Target="https://pubmed.ncbi.nlm.nih.gov/23083451/" TargetMode="External"/><Relationship Id="rId14" Type="http://schemas.openxmlformats.org/officeDocument/2006/relationships/hyperlink" Target="https://www.mayoclinic.org/diseases-conditions/agoraphobia/symptoms-causes/syc-20355987" TargetMode="External"/><Relationship Id="rId15" Type="http://schemas.openxmlformats.org/officeDocument/2006/relationships/hyperlink" Target="https://pubmed.ncbi.nlm.nih.gov/30455849/" TargetMode="External"/><Relationship Id="rId16" Type="http://schemas.openxmlformats.org/officeDocument/2006/relationships/hyperlink" Target="https://www.mayoclinic.org/diseases-conditions/panic-attacks/symptoms-causes/syc-20376021" TargetMode="External"/><Relationship Id="rId17" Type="http://schemas.openxmlformats.org/officeDocument/2006/relationships/hyperlink" Target="https://my.clevelandclinic.org/health/diseases/15769-agoraphob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