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Bipolar Affective Disorder</w:t>
      </w:r>
    </w:p>
    <w:p>
      <w:pPr>
        <w:spacing w:before="0" w:after="160"/>
      </w:pPr>
      <w:r>
        <w:rPr>
          <w:rFonts w:ascii="Calibri" w:hAnsi="Calibri"/>
          <w:b/>
          <w:i w:val="0"/>
          <w:color w:val="212121"/>
          <w:sz w:val="22"/>
        </w:rPr>
        <w:t xml:space="preserve">AKA </w:t>
      </w:r>
      <w:r>
        <w:rPr>
          <w:rFonts w:ascii="Calibri" w:hAnsi="Calibri"/>
          <w:b w:val="0"/>
          <w:i w:val="0"/>
          <w:color w:val="212121"/>
          <w:sz w:val="22"/>
        </w:rPr>
        <w:t>i.e., Bipolar disorder, Manic-depressive illness, Manic depression, BPAD, Bipolar mood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Bipolar affective disorder (BPAD) is a chronic, recurrent mood disorder characterised by episodes of mania or hypomania (abnormally elevated, expansive or irritable mood with increased energy and activity) that alternate with episodes of major depression, separated by periods of relative euthymia (normal mood). The condition reflects dysregulation of mood, energy, sleep, cognition and behaviour and typically follows a lifelong relapsing-remitting course. It is a leading cause of disability in young adults and carries one of the highest suicide risks of any medical illness.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National Mental Health Survey of India (NMHS 2015-16) estimated the lifetime prevalence of bipolar affective disorder at about 0.5% and the current (point) prevalence at roughly 0.3% of adults — approximately 3 in every 1,000 Indians affected at any given time — with a very large treatment gap, most affected people never receiving guideline-based care. Prevalence is broadly similar across the world: WHO estimates that about 1 in 200 people (~0.5% of the global population) live with bipolar disorder. Onset is typically in late adolescence and early adulthood, and the disorder tends to be under-recognised in India because patients most often present during the depressive phase and manic episodes are missed.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Bipolar affective disorder is a clinical diagnosis based on DSM-5 / ICD-11 criteria and a longitudinal history — there is no confirmatory laboratory or imaging test. The pivotal step is identifying at least one lifetime manic or hypomanic episode, since the depressive phase alone is indistinguishable from unipolar depression. Diagnosis rests 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manic episode — a distinct period (≥ 1 week, or any duration if hospitalisation is required) of abnormally and persistently elevated, expansive or irritable mood AND increased goal-directed activity or energy, present most of the day nearly every day;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During the mood disturbance, ≥ 3 (or ≥ 4 if the mood is only irritable) of: inflated self-esteem or grandiosity, decreased need for sleep, more talkative/pressure of speech, flight of ideas or racing thoughts, distractibility, increased activity or psychomotor agitation, and excessive involvement in risky pleasurable activities (mnemonic DIGFAST);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social or occupational impairment, need for hospitalisation, or psychotic features — this confirms mania and defines Bipolar I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hypomanic episode — the same symptom cluster lasting ≥ 4 consecutive days with an observable change in functioning but WITHOUT marked impairment, hospitalisation or psychosis;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major depressive episode — ≥ 2 weeks of depressed mood or loss of interest/pleasure plus neurovegetative symptoms (sleep, appetite/weight, energy, concentration change, worthlessness/guilt, psychomotor change, suicidal ideation);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 direct physiological cause — the episode must not be attributable to a substance (alcohol, cannabis, stimulants), a medication (antidepressant- or steroid-induced switch) or another medical condition (e.g. hyperthyroidism), which must be actively ruled out.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Bipolar and related disorders are classified into the following major categories:</w:t>
      </w:r>
    </w:p>
    <w:p>
      <w:pPr>
        <w:spacing w:before="0" w:after="80"/>
      </w:pPr>
      <w:r>
        <w:rPr>
          <w:rFonts w:ascii="Calibri" w:hAnsi="Calibri"/>
          <w:b w:val="0"/>
          <w:i w:val="0"/>
          <w:color w:val="212121"/>
          <w:sz w:val="21"/>
        </w:rPr>
        <w:t>(1) Bipolar I disorder — defined by at least one lifetime manic episode; major depressive and hypomanic episodes are usual but not required for the diagnosis. It is the most severe form, with the highest rates of psychosis and hospitalisation, and affects men and women roughly equally.</w:t>
      </w:r>
    </w:p>
    <w:p>
      <w:pPr>
        <w:spacing w:before="0" w:after="80"/>
      </w:pPr>
      <w:r>
        <w:rPr>
          <w:rFonts w:ascii="Calibri" w:hAnsi="Calibri"/>
          <w:b w:val="0"/>
          <w:i w:val="0"/>
          <w:color w:val="212121"/>
          <w:sz w:val="21"/>
        </w:rPr>
        <w:t>(2) Bipolar II disorder — at least one hypomanic episode and at least one major depressive episode, with NO history of full mania. Depression predominates and drives most of the disability; it is frequently and mistakenly diagnosed as unipolar (recurrent) depression, and is somewhat commoner in women.</w:t>
      </w:r>
    </w:p>
    <w:p>
      <w:pPr>
        <w:spacing w:before="0" w:after="80"/>
      </w:pPr>
      <w:r>
        <w:rPr>
          <w:rFonts w:ascii="Calibri" w:hAnsi="Calibri"/>
          <w:b w:val="0"/>
          <w:i w:val="0"/>
          <w:color w:val="212121"/>
          <w:sz w:val="21"/>
        </w:rPr>
        <w:t>(3) Cyclothymic disorder — ≥ 2 years (≥ 1 year in children/adolescents) of numerous periods of hypomanic and depressive symptoms that never meet the full threshold for a hypomanic or major depressive episode; a chronic, fluctuating course that may progress to Bipolar I or II.</w:t>
      </w:r>
    </w:p>
    <w:p>
      <w:pPr>
        <w:spacing w:before="0" w:after="80"/>
      </w:pPr>
      <w:r>
        <w:rPr>
          <w:rFonts w:ascii="Calibri" w:hAnsi="Calibri"/>
          <w:b w:val="0"/>
          <w:i w:val="0"/>
          <w:color w:val="212121"/>
          <w:sz w:val="21"/>
        </w:rPr>
        <w:t>(4) Other specified / substance- or medication-induced and secondary types — including mania precipitated by antidepressants, corticosteroids or stimulants, and bipolar disorder due to another medical condition. A rapid-cycling specifier (≥ 4 mood episodes in 12 months) can apply to any type and predicts a poorer prognosis and greater treatment resistance.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BPAD is highly heritable (~ 60–85% in twin studies); a first-degree relative with the disorder increases risk roughly 7–10 fold, making family history the single strongest risk factor.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dysregulation: Abnormal dopamine, serotonin, noradrenaline and glutamate signalling, disturbed fronto-limbic circuitry and mitochondrial/cellular-energy dysfunction underlie the mood instability.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Circadian rhythm and sleep disruption: Instability of the sleep-wake cycle and biological clock is central to the illness; sleep loss is one of the most reliable precipitants of a manic switch.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Psychosocial stressors: Major life events, childhood trauma and adversity, and high expressed-emotion family environments trigger and shape episodes (the stress-diathesis model).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Substance use: Alcohol, cannabis and stimulant use can precipitate manic episodes, accelerate cycling and worsen adherence and outcome.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medication factors: Antidepressant monotherapy, corticosteroids and dopaminergic drugs can induce mania or hypomania in predisposed individuals.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Kindling phenomenon: Early episodes are usually stress-triggered, but with recurrence episodes become more autonomous, frequent and difficult to treat, underscoring the value of early, sustained treatment.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(late adolescence–early adulthood)</w:t>
            </w:r>
          </w:p>
        </w:tc>
        <w:tc>
          <w:tcPr>
            <w:tcW w:type="dxa" w:w="4276"/>
            <w:vAlign w:val="top"/>
          </w:tcPr>
          <w:p>
            <w:pPr>
              <w:spacing w:after="60" w:line="259" w:lineRule="auto"/>
            </w:pPr>
            <w:r>
              <w:rPr>
                <w:rFonts w:ascii="Calibri" w:hAnsi="Calibri"/>
                <w:b w:val="0"/>
                <w:i w:val="0"/>
                <w:color w:val="212121"/>
                <w:sz w:val="19"/>
              </w:rPr>
              <w:t>BPAD characteristically begins between the mid-teens and mid-20s, when the brain's emotion-regulation circuitry is still maturing and academic, occupational and relationship demands peak. Earlier onset is associated with longer delays to diagnosis and worse outcomes.</w:t>
            </w:r>
          </w:p>
          <w:p>
            <w:pPr>
              <w:spacing w:after="40" w:before="60" w:line="259" w:lineRule="auto"/>
            </w:pPr>
            <w:r>
              <w:rPr>
                <w:rFonts w:ascii="Calibri" w:hAnsi="Calibri"/>
                <w:b w:val="0"/>
                <w:i w:val="0"/>
                <w:color w:val="212121"/>
                <w:sz w:val="19"/>
              </w:rPr>
              <w:t>12-month prevalence of bipolar disorder is highest among adults aged 18–29 (4.7%), falling steadily with age to 0.7% in those 60+.</w:t>
            </w:r>
          </w:p>
          <w:p>
            <w:pPr>
              <w:spacing w:after="40" w:line="252" w:lineRule="auto"/>
            </w:pPr>
            <w:hyperlink r:id="rId9">
              <w:r>
                <w:rPr>
                  <w:rFonts w:ascii="Calibri" w:hAnsi="Calibri" w:cs="Calibri"/>
                  <w:sz w:val="18"/>
                  <w:color w:val="1155CC"/>
                  <w:u w:val="single"/>
                </w:rPr>
                <w:t xml:space="preserve">nimh.nih.gov — bipolar disorder statistics</w:t>
              </w:r>
            </w:hyperlink>
          </w:p>
          <w:p>
            <w:pPr>
              <w:spacing w:before="60" w:after="40"/>
            </w:pPr>
            <w:r>
              <w:rPr>
                <w:rFonts w:ascii="Calibri" w:hAnsi="Calibri"/>
                <w:b w:val="0"/>
                <w:i w:val="0"/>
                <w:color w:val="5A5A5A"/>
                <w:sz w:val="18"/>
              </w:rPr>
              <w:t>#youngadults  #earlyonset  #students  #firstepisode  #circadian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New-onset ('late-onset') mania after ~50 years is frequently secondary to cerebrovascular disease, neurodegeneration, medications or metabolic disturbance, so an organic work-up is essential. Older patients also carry heavier medical comorbidity and are more vulnerable to lithium toxicity.</w:t>
            </w:r>
          </w:p>
          <w:p>
            <w:pPr>
              <w:spacing w:after="40" w:before="60" w:line="259" w:lineRule="auto"/>
            </w:pPr>
            <w:r>
              <w:rPr>
                <w:rFonts w:ascii="Calibri" w:hAnsi="Calibri"/>
                <w:b w:val="0"/>
                <w:i w:val="0"/>
                <w:color w:val="212121"/>
                <w:sz w:val="19"/>
              </w:rPr>
              <w:t>12-month prevalence is lowest in adults aged 60+ (0.7%); late-onset presentations are more often secondary/organic than primary bipolar disorder.</w:t>
            </w:r>
          </w:p>
          <w:p>
            <w:pPr>
              <w:spacing w:after="40" w:line="252" w:lineRule="auto"/>
            </w:pPr>
            <w:hyperlink r:id="rId9">
              <w:r>
                <w:rPr>
                  <w:rFonts w:ascii="Calibri" w:hAnsi="Calibri" w:cs="Calibri"/>
                  <w:sz w:val="18"/>
                  <w:color w:val="1155CC"/>
                  <w:u w:val="single"/>
                </w:rPr>
                <w:t xml:space="preserve">nimh.nih.gov — bipolar disorder statistics</w:t>
              </w:r>
            </w:hyperlink>
          </w:p>
          <w:p>
            <w:pPr>
              <w:spacing w:before="60" w:after="40"/>
            </w:pPr>
            <w:r>
              <w:rPr>
                <w:rFonts w:ascii="Calibri" w:hAnsi="Calibri"/>
                <w:b w:val="0"/>
                <w:i w:val="0"/>
                <w:color w:val="5A5A5A"/>
                <w:sz w:val="18"/>
              </w:rPr>
              <w:t>#lateonset  #secondarymania  #organic  #lithiumtoxicity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Bipolar I disorder affects men and women in roughly equal numbers, but men tend to present earlier, have more manic (rather than depressive) episodes and carry a higher burden of comorbid alcohol and substance use, which complicates the course.</w:t>
            </w:r>
          </w:p>
          <w:p>
            <w:pPr>
              <w:spacing w:after="40" w:before="60" w:line="259" w:lineRule="auto"/>
            </w:pPr>
            <w:r>
              <w:rPr>
                <w:rFonts w:ascii="Calibri" w:hAnsi="Calibri"/>
                <w:b w:val="0"/>
                <w:i w:val="0"/>
                <w:color w:val="212121"/>
                <w:sz w:val="19"/>
              </w:rPr>
              <w:t>Past-year prevalence is nearly identical by sex (males 2.9%, females 2.8%), unlike unipolar depression which is far commoner in women.</w:t>
            </w:r>
          </w:p>
          <w:p>
            <w:pPr>
              <w:spacing w:after="40" w:line="252" w:lineRule="auto"/>
            </w:pPr>
            <w:hyperlink r:id="rId9">
              <w:r>
                <w:rPr>
                  <w:rFonts w:ascii="Calibri" w:hAnsi="Calibri" w:cs="Calibri"/>
                  <w:sz w:val="18"/>
                  <w:color w:val="1155CC"/>
                  <w:u w:val="single"/>
                </w:rPr>
                <w:t xml:space="preserve">nimh.nih.gov — bipolar disorder statistics</w:t>
              </w:r>
            </w:hyperlink>
          </w:p>
          <w:p>
            <w:pPr>
              <w:spacing w:before="60" w:after="40"/>
            </w:pPr>
            <w:r>
              <w:rPr>
                <w:rFonts w:ascii="Calibri" w:hAnsi="Calibri"/>
                <w:b w:val="0"/>
                <w:i w:val="0"/>
                <w:color w:val="5A5A5A"/>
                <w:sz w:val="18"/>
              </w:rPr>
              <w:t>#male  #mania  #substanceuse  #earlyonset  #bipolarI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more often have Bipolar II, depressive-predominant illness and rapid cycling, and face unique high-risk windows around the peripartum period, when the risk of a severe mood episode or postpartum psychosis is sharply elevated.</w:t>
            </w:r>
          </w:p>
          <w:p>
            <w:pPr>
              <w:spacing w:after="40" w:before="60" w:line="259" w:lineRule="auto"/>
            </w:pPr>
            <w:r>
              <w:rPr>
                <w:rFonts w:ascii="Calibri" w:hAnsi="Calibri"/>
                <w:b w:val="0"/>
                <w:i w:val="0"/>
                <w:color w:val="212121"/>
                <w:sz w:val="19"/>
              </w:rPr>
              <w:t>Women more frequently present in the depressive phase and are more prone to rapid cycling and peripartum (postpartum) mood episodes.</w:t>
            </w:r>
          </w:p>
          <w:p>
            <w:pPr>
              <w:spacing w:before="60" w:after="40"/>
            </w:pPr>
            <w:r>
              <w:rPr>
                <w:rFonts w:ascii="Calibri" w:hAnsi="Calibri"/>
                <w:b w:val="0"/>
                <w:i w:val="0"/>
                <w:color w:val="5A5A5A"/>
                <w:sz w:val="18"/>
              </w:rPr>
              <w:t>#female  #bipolarII  #rapidcycling  #postpartum  #depression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urban working-age adults</w:t>
            </w:r>
          </w:p>
        </w:tc>
        <w:tc>
          <w:tcPr>
            <w:tcW w:type="dxa" w:w="4276"/>
            <w:vAlign w:val="top"/>
          </w:tcPr>
          <w:p>
            <w:pPr>
              <w:spacing w:after="60" w:line="259" w:lineRule="auto"/>
            </w:pPr>
            <w:r>
              <w:rPr>
                <w:rFonts w:ascii="Calibri" w:hAnsi="Calibri"/>
                <w:b w:val="0"/>
                <w:i w:val="0"/>
                <w:color w:val="212121"/>
                <w:sz w:val="19"/>
              </w:rPr>
              <w:t>Chronic financial stress, insecure work, sleep-disrupting schedules and limited access to mental-health care worsen the course and widen the treatment gap; recurrent illness also causes 'social drift' into unemployment and poverty.</w:t>
            </w:r>
          </w:p>
          <w:p>
            <w:pPr>
              <w:spacing w:after="40" w:before="60" w:line="259" w:lineRule="auto"/>
            </w:pPr>
            <w:r>
              <w:rPr>
                <w:rFonts w:ascii="Calibri" w:hAnsi="Calibri"/>
                <w:b w:val="0"/>
                <w:i w:val="0"/>
                <w:color w:val="212121"/>
                <w:sz w:val="19"/>
              </w:rPr>
              <w:t>India's National Mental Health Survey documented a very large treatment gap for mood disorders, with the majority of affected people never receiving adequate care.</w:t>
            </w:r>
          </w:p>
          <w:p>
            <w:pPr>
              <w:spacing w:after="40" w:line="252" w:lineRule="auto"/>
            </w:pPr>
            <w:hyperlink r:id="rId10">
              <w:r>
                <w:rPr>
                  <w:rFonts w:ascii="Calibri" w:hAnsi="Calibri" w:cs="Calibri"/>
                  <w:sz w:val="18"/>
                  <w:color w:val="1155CC"/>
                  <w:u w:val="single"/>
                </w:rPr>
                <w:t xml:space="preserve">pubmed.ncbi.nlm.nih.gov/38298870 — bipolar disorder in India (NMHS)</w:t>
              </w:r>
            </w:hyperlink>
          </w:p>
          <w:p>
            <w:pPr>
              <w:spacing w:before="60" w:after="40"/>
            </w:pPr>
            <w:r>
              <w:rPr>
                <w:rFonts w:ascii="Calibri" w:hAnsi="Calibri"/>
                <w:b w:val="0"/>
                <w:i w:val="0"/>
                <w:color w:val="5A5A5A"/>
                <w:sz w:val="18"/>
              </w:rPr>
              <w:t>#socioeconomic  #treatmentgap  #socialdrift  #stress  #access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adults (NMHS 2015-16)</w:t>
            </w:r>
          </w:p>
        </w:tc>
        <w:tc>
          <w:tcPr>
            <w:tcW w:type="dxa" w:w="4276"/>
            <w:vAlign w:val="top"/>
          </w:tcPr>
          <w:p>
            <w:pPr>
              <w:spacing w:after="60" w:line="259" w:lineRule="auto"/>
            </w:pPr>
            <w:r>
              <w:rPr>
                <w:rFonts w:ascii="Calibri" w:hAnsi="Calibri"/>
                <w:b w:val="0"/>
                <w:i w:val="0"/>
                <w:color w:val="212121"/>
                <w:sz w:val="19"/>
              </w:rPr>
              <w:t>National, community-based Indian data confirm that BPAD occurs across all regions and communities at rates comparable to global estimates, but detection and treatment remain low because patients usually present during depression and manic episodes go unrecognised.</w:t>
            </w:r>
          </w:p>
          <w:p>
            <w:pPr>
              <w:spacing w:after="40" w:before="60" w:line="259" w:lineRule="auto"/>
            </w:pPr>
            <w:r>
              <w:rPr>
                <w:rFonts w:ascii="Calibri" w:hAnsi="Calibri"/>
                <w:b w:val="0"/>
                <w:i w:val="0"/>
                <w:color w:val="212121"/>
                <w:sz w:val="19"/>
              </w:rPr>
              <w:t>NMHS 2015-16 estimated bipolar affective disorder lifetime prevalence at ~0.5% and current prevalence at ~0.3% of Indian adults.</w:t>
            </w:r>
          </w:p>
          <w:p>
            <w:pPr>
              <w:spacing w:after="40" w:line="252" w:lineRule="auto"/>
            </w:pPr>
            <w:hyperlink r:id="rId10">
              <w:r>
                <w:rPr>
                  <w:rFonts w:ascii="Calibri" w:hAnsi="Calibri" w:cs="Calibri"/>
                  <w:sz w:val="18"/>
                  <w:color w:val="1155CC"/>
                  <w:u w:val="single"/>
                </w:rPr>
                <w:t xml:space="preserve">pubmed.ncbi.nlm.nih.gov/38298870 — bipolar disorder in India (NMHS)</w:t>
              </w:r>
            </w:hyperlink>
          </w:p>
          <w:p>
            <w:pPr>
              <w:spacing w:before="60" w:after="40"/>
            </w:pPr>
            <w:r>
              <w:rPr>
                <w:rFonts w:ascii="Calibri" w:hAnsi="Calibri"/>
                <w:b w:val="0"/>
                <w:i w:val="0"/>
                <w:color w:val="5A5A5A"/>
                <w:sz w:val="18"/>
              </w:rPr>
              <w:t>#india  #nmhs  #prevalence  #underdiagnosis  #mooddisorder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w:t>
            </w:r>
          </w:p>
        </w:tc>
        <w:tc>
          <w:tcPr>
            <w:tcW w:type="dxa" w:w="2160"/>
            <w:vAlign w:val="top"/>
          </w:tcPr>
          <w:p>
            <w:pPr>
              <w:spacing w:after="40" w:before="0" w:line="259" w:lineRule="auto"/>
            </w:pPr>
            <w:r>
              <w:rPr>
                <w:rFonts w:ascii="Calibri" w:hAnsi="Calibri"/>
                <w:b w:val="0"/>
                <w:i w:val="0"/>
                <w:color w:val="212121"/>
                <w:sz w:val="19"/>
              </w:rPr>
              <w:t>Urban metropolitan residents</w:t>
            </w:r>
          </w:p>
        </w:tc>
        <w:tc>
          <w:tcPr>
            <w:tcW w:type="dxa" w:w="4276"/>
            <w:vAlign w:val="top"/>
          </w:tcPr>
          <w:p>
            <w:pPr>
              <w:spacing w:after="60" w:line="259" w:lineRule="auto"/>
            </w:pPr>
            <w:r>
              <w:rPr>
                <w:rFonts w:ascii="Calibri" w:hAnsi="Calibri"/>
                <w:b w:val="0"/>
                <w:i w:val="0"/>
                <w:color w:val="212121"/>
                <w:sz w:val="19"/>
              </w:rPr>
              <w:t>Urban living concentrates psychosocial stress, irregular schedules, night-shift work, substance availability and social isolation — all of which can destabilise mood — while pooled Indian data show higher recorded psychiatric morbidity in urban metros.</w:t>
            </w:r>
          </w:p>
          <w:p>
            <w:pPr>
              <w:spacing w:after="40" w:before="60" w:line="259" w:lineRule="auto"/>
            </w:pPr>
            <w:r>
              <w:rPr>
                <w:rFonts w:ascii="Calibri" w:hAnsi="Calibri"/>
                <w:b w:val="0"/>
                <w:i w:val="0"/>
                <w:color w:val="212121"/>
                <w:sz w:val="19"/>
              </w:rPr>
              <w:t>Pooled Indian epidemiological analyses report higher rates of common mental disorders in urban-metro populations than in rural areas.</w:t>
            </w:r>
          </w:p>
          <w:p>
            <w:pPr>
              <w:spacing w:after="40" w:line="252" w:lineRule="auto"/>
            </w:pPr>
            <w:hyperlink r:id="rId11">
              <w:r>
                <w:rPr>
                  <w:rFonts w:ascii="Calibri" w:hAnsi="Calibri" w:cs="Calibri"/>
                  <w:sz w:val="18"/>
                  <w:color w:val="1155CC"/>
                  <w:u w:val="single"/>
                </w:rPr>
                <w:t xml:space="preserve">pubmed.ncbi.nlm.nih.gov/38249146 — psychiatric disorder prevalence in India (meta-analysis)</w:t>
              </w:r>
            </w:hyperlink>
          </w:p>
          <w:p>
            <w:pPr>
              <w:spacing w:before="60" w:after="40"/>
            </w:pPr>
            <w:r>
              <w:rPr>
                <w:rFonts w:ascii="Calibri" w:hAnsi="Calibri"/>
                <w:b w:val="0"/>
                <w:i w:val="0"/>
                <w:color w:val="5A5A5A"/>
                <w:sz w:val="18"/>
              </w:rPr>
              <w:t>#urban  #metro  #stress  #shiftwork  #isolation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Shift work / Circadian disruption</w:t>
            </w:r>
          </w:p>
        </w:tc>
        <w:tc>
          <w:tcPr>
            <w:tcW w:type="dxa" w:w="2160"/>
            <w:vAlign w:val="top"/>
          </w:tcPr>
          <w:p>
            <w:pPr>
              <w:spacing w:after="40" w:before="0" w:line="259" w:lineRule="auto"/>
            </w:pPr>
            <w:r>
              <w:rPr>
                <w:rFonts w:ascii="Calibri" w:hAnsi="Calibri"/>
                <w:b w:val="0"/>
                <w:i w:val="0"/>
                <w:color w:val="212121"/>
                <w:sz w:val="19"/>
              </w:rPr>
              <w:t>Night-shift &amp; rotating-shift workers (IT/BPO, healthcare, transport)</w:t>
            </w:r>
          </w:p>
        </w:tc>
        <w:tc>
          <w:tcPr>
            <w:tcW w:type="dxa" w:w="4276"/>
            <w:vAlign w:val="top"/>
          </w:tcPr>
          <w:p>
            <w:pPr>
              <w:spacing w:after="60" w:line="259" w:lineRule="auto"/>
            </w:pPr>
            <w:r>
              <w:rPr>
                <w:rFonts w:ascii="Calibri" w:hAnsi="Calibri"/>
                <w:b w:val="0"/>
                <w:i w:val="0"/>
                <w:color w:val="212121"/>
                <w:sz w:val="19"/>
              </w:rPr>
              <w:t>Rotating and night shifts, long-haul travel and irregular sleep desynchronise the biological clock; because circadian and sleep-wake instability is a core driver of BPAD, such work patterns can precipitate manic or depressive episodes in susceptible people.</w:t>
            </w:r>
          </w:p>
          <w:p>
            <w:pPr>
              <w:spacing w:after="40" w:before="60" w:line="259" w:lineRule="auto"/>
            </w:pPr>
            <w:r>
              <w:rPr>
                <w:rFonts w:ascii="Calibri" w:hAnsi="Calibri"/>
                <w:b w:val="0"/>
                <w:i w:val="0"/>
                <w:color w:val="212121"/>
                <w:sz w:val="19"/>
              </w:rPr>
              <w:t>Sleep deprivation and circadian disruption are among the most consistently reported precipitants of manic relapse.</w:t>
            </w:r>
          </w:p>
          <w:p>
            <w:pPr>
              <w:spacing w:before="60" w:after="40"/>
            </w:pPr>
            <w:r>
              <w:rPr>
                <w:rFonts w:ascii="Calibri" w:hAnsi="Calibri"/>
                <w:b w:val="0"/>
                <w:i w:val="0"/>
                <w:color w:val="5A5A5A"/>
                <w:sz w:val="18"/>
              </w:rPr>
              <w:t>#shiftwork  #circadian  #sleeploss  #BPO  #relapse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 (cigarettes/bidis)</w:t>
            </w:r>
          </w:p>
        </w:tc>
        <w:tc>
          <w:tcPr>
            <w:tcW w:type="dxa" w:w="4276"/>
            <w:vAlign w:val="top"/>
          </w:tcPr>
          <w:p>
            <w:pPr>
              <w:spacing w:after="60" w:line="259" w:lineRule="auto"/>
            </w:pPr>
            <w:r>
              <w:rPr>
                <w:rFonts w:ascii="Calibri" w:hAnsi="Calibri"/>
                <w:b w:val="0"/>
                <w:i w:val="0"/>
                <w:color w:val="212121"/>
                <w:sz w:val="19"/>
              </w:rPr>
              <w:t>Smoking is disproportionately common in bipolar disorder and is both a marker of illness severity and a major contributor to the excess cardiovascular mortality seen in these patients; nicotine also interacts with the metabolism of some psychotropic drugs.</w:t>
            </w:r>
          </w:p>
          <w:p>
            <w:pPr>
              <w:spacing w:after="40" w:before="60" w:line="259" w:lineRule="auto"/>
            </w:pPr>
            <w:r>
              <w:rPr>
                <w:rFonts w:ascii="Calibri" w:hAnsi="Calibri"/>
                <w:b w:val="0"/>
                <w:i w:val="0"/>
                <w:color w:val="212121"/>
                <w:sz w:val="19"/>
              </w:rPr>
              <w:t>Cigarette smoking prevalence is about 45% among people with bipolar disorder — far above the general population.</w:t>
            </w:r>
          </w:p>
          <w:p>
            <w:pPr>
              <w:spacing w:after="40" w:line="252" w:lineRule="auto"/>
            </w:pPr>
            <w:hyperlink r:id="rId12">
              <w:r>
                <w:rPr>
                  <w:rFonts w:ascii="Calibri" w:hAnsi="Calibri" w:cs="Calibri"/>
                  <w:sz w:val="18"/>
                  <w:color w:val="1155CC"/>
                  <w:u w:val="single"/>
                </w:rPr>
                <w:t xml:space="preserve">pubmed.ncbi.nlm.nih.gov/37815563 — bipolar disorder review (JAMA 2023)</w:t>
              </w:r>
            </w:hyperlink>
          </w:p>
          <w:p>
            <w:pPr>
              <w:spacing w:before="60" w:after="40"/>
            </w:pPr>
            <w:r>
              <w:rPr>
                <w:rFonts w:ascii="Calibri" w:hAnsi="Calibri"/>
                <w:b w:val="0"/>
                <w:i w:val="0"/>
                <w:color w:val="5A5A5A"/>
                <w:sz w:val="18"/>
              </w:rPr>
              <w:t>#smoking  #tobacco  #cardiovascular  #mortality  #bidi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w:t>
            </w:r>
          </w:p>
        </w:tc>
        <w:tc>
          <w:tcPr>
            <w:tcW w:type="dxa" w:w="2160"/>
            <w:vAlign w:val="top"/>
          </w:tcPr>
          <w:p>
            <w:pPr>
              <w:spacing w:after="40" w:before="0" w:line="259" w:lineRule="auto"/>
            </w:pPr>
            <w:r>
              <w:rPr>
                <w:rFonts w:ascii="Calibri" w:hAnsi="Calibri"/>
                <w:b w:val="0"/>
                <w:i w:val="0"/>
                <w:color w:val="212121"/>
                <w:sz w:val="19"/>
              </w:rPr>
              <w:t>Alcohol and cannabis users</w:t>
            </w:r>
          </w:p>
        </w:tc>
        <w:tc>
          <w:tcPr>
            <w:tcW w:type="dxa" w:w="4276"/>
            <w:vAlign w:val="top"/>
          </w:tcPr>
          <w:p>
            <w:pPr>
              <w:spacing w:after="60" w:line="259" w:lineRule="auto"/>
            </w:pPr>
            <w:r>
              <w:rPr>
                <w:rFonts w:ascii="Calibri" w:hAnsi="Calibri"/>
                <w:b w:val="0"/>
                <w:i w:val="0"/>
                <w:color w:val="212121"/>
                <w:sz w:val="19"/>
              </w:rPr>
              <w:t>Alcohol, cannabis and stimulants can trigger manic switches, accelerate cycling, reduce treatment adherence and markedly increase suicide risk; substance use disorders are among the commonest comorbidities of BPAD.</w:t>
            </w:r>
          </w:p>
          <w:p>
            <w:pPr>
              <w:spacing w:after="40" w:before="60" w:line="259" w:lineRule="auto"/>
            </w:pPr>
            <w:r>
              <w:rPr>
                <w:rFonts w:ascii="Calibri" w:hAnsi="Calibri"/>
                <w:b w:val="0"/>
                <w:i w:val="0"/>
                <w:color w:val="212121"/>
                <w:sz w:val="19"/>
              </w:rPr>
              <w:t>Comorbid substance use is highly prevalent in bipolar disorder and independently worsens course, adherence and suicide risk.</w:t>
            </w:r>
          </w:p>
          <w:p>
            <w:pPr>
              <w:spacing w:before="60" w:after="40"/>
            </w:pPr>
            <w:r>
              <w:rPr>
                <w:rFonts w:ascii="Calibri" w:hAnsi="Calibri"/>
                <w:b w:val="0"/>
                <w:i w:val="0"/>
                <w:color w:val="5A5A5A"/>
                <w:sz w:val="18"/>
              </w:rPr>
              <w:t>#alcohol  #cannabis  #substanceuse  #manicswitch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Chronically sleep-deprived individuals</w:t>
            </w:r>
          </w:p>
        </w:tc>
        <w:tc>
          <w:tcPr>
            <w:tcW w:type="dxa" w:w="4276"/>
            <w:vAlign w:val="top"/>
          </w:tcPr>
          <w:p>
            <w:pPr>
              <w:spacing w:after="60" w:line="259" w:lineRule="auto"/>
            </w:pPr>
            <w:r>
              <w:rPr>
                <w:rFonts w:ascii="Calibri" w:hAnsi="Calibri"/>
                <w:b w:val="0"/>
                <w:i w:val="0"/>
                <w:color w:val="212121"/>
                <w:sz w:val="19"/>
              </w:rPr>
              <w:t>A reduced need for sleep is a hallmark of mania, and acute sleep loss (exams, festivals, travel, new parenthood, deadlines) can tip a vulnerable person into a manic episode; conversely, oversleeping often accompanies the depressive phase.</w:t>
            </w:r>
          </w:p>
          <w:p>
            <w:pPr>
              <w:spacing w:after="40" w:before="60" w:line="259" w:lineRule="auto"/>
            </w:pPr>
            <w:r>
              <w:rPr>
                <w:rFonts w:ascii="Calibri" w:hAnsi="Calibri"/>
                <w:b w:val="0"/>
                <w:i w:val="0"/>
                <w:color w:val="212121"/>
                <w:sz w:val="19"/>
              </w:rPr>
              <w:t>Even a single night of substantial sleep loss can precipitate hypomania/mania in predisposed individuals; sleep-wake regularity is protective.</w:t>
            </w:r>
          </w:p>
          <w:p>
            <w:pPr>
              <w:spacing w:before="60" w:after="40"/>
            </w:pPr>
            <w:r>
              <w:rPr>
                <w:rFonts w:ascii="Calibri" w:hAnsi="Calibri"/>
                <w:b w:val="0"/>
                <w:i w:val="0"/>
                <w:color w:val="5A5A5A"/>
                <w:sz w:val="18"/>
              </w:rPr>
              <w:t>#sleep  #insomnia  #mania  #circadian  #trigger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Stimulant / Caffeine intake</w:t>
            </w:r>
          </w:p>
        </w:tc>
        <w:tc>
          <w:tcPr>
            <w:tcW w:type="dxa" w:w="2160"/>
            <w:vAlign w:val="top"/>
          </w:tcPr>
          <w:p>
            <w:pPr>
              <w:spacing w:after="40" w:before="0" w:line="259" w:lineRule="auto"/>
            </w:pPr>
            <w:r>
              <w:rPr>
                <w:rFonts w:ascii="Calibri" w:hAnsi="Calibri"/>
                <w:b w:val="0"/>
                <w:i w:val="0"/>
                <w:color w:val="212121"/>
                <w:sz w:val="19"/>
              </w:rPr>
              <w:t>Heavy caffeine and energy-drink consumers</w:t>
            </w:r>
          </w:p>
        </w:tc>
        <w:tc>
          <w:tcPr>
            <w:tcW w:type="dxa" w:w="4276"/>
            <w:vAlign w:val="top"/>
          </w:tcPr>
          <w:p>
            <w:pPr>
              <w:spacing w:after="60" w:line="259" w:lineRule="auto"/>
            </w:pPr>
            <w:r>
              <w:rPr>
                <w:rFonts w:ascii="Calibri" w:hAnsi="Calibri"/>
                <w:b w:val="0"/>
                <w:i w:val="0"/>
                <w:color w:val="212121"/>
                <w:sz w:val="19"/>
              </w:rPr>
              <w:t>High or late-day caffeine and energy-drink use fragments sleep and can heighten arousal and agitation, aggravating or precipitating manic symptoms; caffeine also modestly alters lithium clearance, affecting drug levels.</w:t>
            </w:r>
          </w:p>
          <w:p>
            <w:pPr>
              <w:spacing w:after="40" w:before="60" w:line="259" w:lineRule="auto"/>
            </w:pPr>
            <w:r>
              <w:rPr>
                <w:rFonts w:ascii="Calibri" w:hAnsi="Calibri"/>
                <w:b w:val="0"/>
                <w:i w:val="0"/>
                <w:color w:val="212121"/>
                <w:sz w:val="19"/>
              </w:rPr>
              <w:t>Excess caffeine disturbs sleep architecture and can aggravate manic activation and anxiety.</w:t>
            </w:r>
          </w:p>
          <w:p>
            <w:pPr>
              <w:spacing w:before="60" w:after="40"/>
            </w:pPr>
            <w:r>
              <w:rPr>
                <w:rFonts w:ascii="Calibri" w:hAnsi="Calibri"/>
                <w:b w:val="0"/>
                <w:i w:val="0"/>
                <w:color w:val="5A5A5A"/>
                <w:sz w:val="18"/>
              </w:rPr>
              <w:t>#caffeine  #energydrinks  #sleep  #arousal  #lithium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 quality / Obesogenic diet</w:t>
            </w:r>
          </w:p>
        </w:tc>
        <w:tc>
          <w:tcPr>
            <w:tcW w:type="dxa" w:w="2160"/>
            <w:vAlign w:val="top"/>
          </w:tcPr>
          <w:p>
            <w:pPr>
              <w:spacing w:after="40" w:before="0" w:line="259" w:lineRule="auto"/>
            </w:pPr>
            <w:r>
              <w:rPr>
                <w:rFonts w:ascii="Calibri" w:hAnsi="Calibri"/>
                <w:b w:val="0"/>
                <w:i w:val="0"/>
                <w:color w:val="212121"/>
                <w:sz w:val="19"/>
              </w:rPr>
              <w:t>High-calorie, high-glycaemic-diet consumers</w:t>
            </w:r>
          </w:p>
        </w:tc>
        <w:tc>
          <w:tcPr>
            <w:tcW w:type="dxa" w:w="4276"/>
            <w:vAlign w:val="top"/>
          </w:tcPr>
          <w:p>
            <w:pPr>
              <w:spacing w:after="60" w:line="259" w:lineRule="auto"/>
            </w:pPr>
            <w:r>
              <w:rPr>
                <w:rFonts w:ascii="Calibri" w:hAnsi="Calibri"/>
                <w:b w:val="0"/>
                <w:i w:val="0"/>
                <w:color w:val="212121"/>
                <w:sz w:val="19"/>
              </w:rPr>
              <w:t>Energy-dense, ultra-processed diets combine with the appetite and weight effects of mood stabilisers and antipsychotics to drive obesity, insulin resistance and metabolic syndrome, which in turn worsen mood outcomes and cardiovascular risk.</w:t>
            </w:r>
          </w:p>
          <w:p>
            <w:pPr>
              <w:spacing w:after="40" w:before="60" w:line="259" w:lineRule="auto"/>
            </w:pPr>
            <w:r>
              <w:rPr>
                <w:rFonts w:ascii="Calibri" w:hAnsi="Calibri"/>
                <w:b w:val="0"/>
                <w:i w:val="0"/>
                <w:color w:val="212121"/>
                <w:sz w:val="19"/>
              </w:rPr>
              <w:t>Obesity affects about 21% of people with bipolar disorder and clusters with the metabolic syndrome and its cardiovascular consequences.</w:t>
            </w:r>
          </w:p>
          <w:p>
            <w:pPr>
              <w:spacing w:after="40" w:line="252" w:lineRule="auto"/>
            </w:pPr>
            <w:hyperlink r:id="rId12">
              <w:r>
                <w:rPr>
                  <w:rFonts w:ascii="Calibri" w:hAnsi="Calibri" w:cs="Calibri"/>
                  <w:sz w:val="18"/>
                  <w:color w:val="1155CC"/>
                  <w:u w:val="single"/>
                </w:rPr>
                <w:t xml:space="preserve">pubmed.ncbi.nlm.nih.gov/37815563 — bipolar disorder review (JAMA 2023)</w:t>
              </w:r>
            </w:hyperlink>
          </w:p>
          <w:p>
            <w:pPr>
              <w:spacing w:before="60" w:after="40"/>
            </w:pPr>
            <w:r>
              <w:rPr>
                <w:rFonts w:ascii="Calibri" w:hAnsi="Calibri"/>
                <w:b w:val="0"/>
                <w:i w:val="0"/>
                <w:color w:val="5A5A5A"/>
                <w:sz w:val="18"/>
              </w:rPr>
              <w:t>#diet  #obesity  #metabolicsyndrome  #weightgain  #glycaemicload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person with BPAD</w:t>
            </w:r>
          </w:p>
        </w:tc>
        <w:tc>
          <w:tcPr>
            <w:tcW w:type="dxa" w:w="4276"/>
            <w:vAlign w:val="top"/>
          </w:tcPr>
          <w:p>
            <w:pPr>
              <w:spacing w:after="60" w:line="259" w:lineRule="auto"/>
            </w:pPr>
            <w:r>
              <w:rPr>
                <w:rFonts w:ascii="Calibri" w:hAnsi="Calibri"/>
                <w:b w:val="0"/>
                <w:i w:val="0"/>
                <w:color w:val="212121"/>
                <w:sz w:val="19"/>
              </w:rPr>
              <w:t>Bipolar disorder is one of the most heritable psychiatric conditions; risk rises sharply with a first-degree relative affected, and a family history of BPAD, suicide or recurrent mood disorder should raise suspicion of bipolarity in any depressed patient.</w:t>
            </w:r>
          </w:p>
          <w:p>
            <w:pPr>
              <w:spacing w:after="40" w:before="60" w:line="259" w:lineRule="auto"/>
            </w:pPr>
            <w:r>
              <w:rPr>
                <w:rFonts w:ascii="Calibri" w:hAnsi="Calibri"/>
                <w:b w:val="0"/>
                <w:i w:val="0"/>
                <w:color w:val="212121"/>
                <w:sz w:val="19"/>
              </w:rPr>
              <w:t>Twin studies estimate heritability at ~60–85%; a first-degree relative with BPAD raises risk roughly 7–10 fold.</w:t>
            </w:r>
          </w:p>
          <w:p>
            <w:pPr>
              <w:spacing w:before="60" w:after="40"/>
            </w:pPr>
            <w:r>
              <w:rPr>
                <w:rFonts w:ascii="Calibri" w:hAnsi="Calibri"/>
                <w:b w:val="0"/>
                <w:i w:val="0"/>
                <w:color w:val="5A5A5A"/>
                <w:sz w:val="18"/>
              </w:rPr>
              <w:t>#familyhistory  #heritability  #genetics  #firstdegree  #risk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High-risk offspring</w:t>
            </w:r>
          </w:p>
        </w:tc>
        <w:tc>
          <w:tcPr>
            <w:tcW w:type="dxa" w:w="2160"/>
            <w:vAlign w:val="top"/>
          </w:tcPr>
          <w:p>
            <w:pPr>
              <w:spacing w:after="40" w:before="0" w:line="259" w:lineRule="auto"/>
            </w:pPr>
            <w:r>
              <w:rPr>
                <w:rFonts w:ascii="Calibri" w:hAnsi="Calibri"/>
                <w:b w:val="0"/>
                <w:i w:val="0"/>
                <w:color w:val="212121"/>
                <w:sz w:val="19"/>
              </w:rPr>
              <w:t>Children of a parent with bipolar disorder</w:t>
            </w:r>
          </w:p>
        </w:tc>
        <w:tc>
          <w:tcPr>
            <w:tcW w:type="dxa" w:w="4276"/>
            <w:vAlign w:val="top"/>
          </w:tcPr>
          <w:p>
            <w:pPr>
              <w:spacing w:after="60" w:line="259" w:lineRule="auto"/>
            </w:pPr>
            <w:r>
              <w:rPr>
                <w:rFonts w:ascii="Calibri" w:hAnsi="Calibri"/>
                <w:b w:val="0"/>
                <w:i w:val="0"/>
                <w:color w:val="212121"/>
                <w:sz w:val="19"/>
              </w:rPr>
              <w:t>Offspring of a parent with BPAD carry substantially elevated risk of mood and other psychiatric disorders and often show early antecedents (sleep problems, anxiety, mood lability, subthreshold hypomania), making them a key group for monitoring and early intervention.</w:t>
            </w:r>
          </w:p>
          <w:p>
            <w:pPr>
              <w:spacing w:after="40" w:before="60" w:line="259" w:lineRule="auto"/>
            </w:pPr>
            <w:r>
              <w:rPr>
                <w:rFonts w:ascii="Calibri" w:hAnsi="Calibri"/>
                <w:b w:val="0"/>
                <w:i w:val="0"/>
                <w:color w:val="212121"/>
                <w:sz w:val="19"/>
              </w:rPr>
              <w:t>Children of a parent with bipolar disorder have a markedly increased lifetime risk of developing a mood disorder compared with the general population.</w:t>
            </w:r>
          </w:p>
          <w:p>
            <w:pPr>
              <w:spacing w:before="60" w:after="40"/>
            </w:pPr>
            <w:r>
              <w:rPr>
                <w:rFonts w:ascii="Calibri" w:hAnsi="Calibri"/>
                <w:b w:val="0"/>
                <w:i w:val="0"/>
                <w:color w:val="5A5A5A"/>
                <w:sz w:val="18"/>
              </w:rPr>
              <w:t>#offspring  #highrisk  #earlyintervention  #prodrome  #prevention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comorbid anxiety</w:t>
            </w:r>
          </w:p>
        </w:tc>
        <w:tc>
          <w:tcPr>
            <w:tcW w:type="dxa" w:w="4276"/>
            <w:vAlign w:val="top"/>
          </w:tcPr>
          <w:p>
            <w:pPr>
              <w:spacing w:after="60" w:line="259" w:lineRule="auto"/>
            </w:pPr>
            <w:r>
              <w:rPr>
                <w:rFonts w:ascii="Calibri" w:hAnsi="Calibri"/>
                <w:b w:val="0"/>
                <w:i w:val="0"/>
                <w:color w:val="212121"/>
                <w:sz w:val="19"/>
              </w:rPr>
              <w:t>Anxiety disorders co-occur in a large proportion of people with BPAD, herald earlier onset and more severe, treatment-resistant illness, and complicate pharmacotherapy because antidepressants used for anxiety can destabilise mood.</w:t>
            </w:r>
          </w:p>
          <w:p>
            <w:pPr>
              <w:spacing w:after="40" w:before="60" w:line="259" w:lineRule="auto"/>
            </w:pPr>
            <w:r>
              <w:rPr>
                <w:rFonts w:ascii="Calibri" w:hAnsi="Calibri"/>
                <w:b w:val="0"/>
                <w:i w:val="0"/>
                <w:color w:val="212121"/>
                <w:sz w:val="19"/>
              </w:rPr>
              <w:t>Anxiety disorders are among the commonest psychiatric comorbidities in bipolar disorder and predict a worse course.</w:t>
            </w:r>
          </w:p>
          <w:p>
            <w:pPr>
              <w:spacing w:before="60" w:after="40"/>
            </w:pPr>
            <w:r>
              <w:rPr>
                <w:rFonts w:ascii="Calibri" w:hAnsi="Calibri"/>
                <w:b w:val="0"/>
                <w:i w:val="0"/>
                <w:color w:val="5A5A5A"/>
                <w:sz w:val="18"/>
              </w:rPr>
              <w:t>#anxiety  #comorbidity  #severity  #treatmentresistance  #panic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Shared biology (chronic stress, inflammation, lifestyle) together with the metabolic side-effects of mood stabilisers and atypical antipsychotics makes metabolic syndrome very common, driving the cardiovascular disease that shortens life in BPAD.</w:t>
            </w:r>
          </w:p>
          <w:p>
            <w:pPr>
              <w:spacing w:after="40" w:before="60" w:line="259" w:lineRule="auto"/>
            </w:pPr>
            <w:r>
              <w:rPr>
                <w:rFonts w:ascii="Calibri" w:hAnsi="Calibri"/>
                <w:b w:val="0"/>
                <w:i w:val="0"/>
                <w:color w:val="212121"/>
                <w:sz w:val="19"/>
              </w:rPr>
              <w:t>Metabolic syndrome affects roughly 37% of people with bipolar disorder — about double the background rate.</w:t>
            </w:r>
          </w:p>
          <w:p>
            <w:pPr>
              <w:spacing w:after="40" w:line="252" w:lineRule="auto"/>
            </w:pPr>
            <w:hyperlink r:id="rId12">
              <w:r>
                <w:rPr>
                  <w:rFonts w:ascii="Calibri" w:hAnsi="Calibri" w:cs="Calibri"/>
                  <w:sz w:val="18"/>
                  <w:color w:val="1155CC"/>
                  <w:u w:val="single"/>
                </w:rPr>
                <w:t xml:space="preserve">pubmed.ncbi.nlm.nih.gov/37815563 — bipolar disorder review (JAMA 2023)</w:t>
              </w:r>
            </w:hyperlink>
          </w:p>
          <w:p>
            <w:pPr>
              <w:spacing w:before="60" w:after="40"/>
            </w:pPr>
            <w:r>
              <w:rPr>
                <w:rFonts w:ascii="Calibri" w:hAnsi="Calibri"/>
                <w:b w:val="0"/>
                <w:i w:val="0"/>
                <w:color w:val="5A5A5A"/>
                <w:sz w:val="18"/>
              </w:rPr>
              <w:t>#metabolicsyndrome  #cardiometabolic  #antipsychotics  #weightgain  #CVD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Patients with hypo-/hyperthyroidism</w:t>
            </w:r>
          </w:p>
        </w:tc>
        <w:tc>
          <w:tcPr>
            <w:tcW w:type="dxa" w:w="4276"/>
            <w:vAlign w:val="top"/>
          </w:tcPr>
          <w:p>
            <w:pPr>
              <w:spacing w:after="60" w:line="259" w:lineRule="auto"/>
            </w:pPr>
            <w:r>
              <w:rPr>
                <w:rFonts w:ascii="Calibri" w:hAnsi="Calibri"/>
                <w:b w:val="0"/>
                <w:i w:val="0"/>
                <w:color w:val="212121"/>
                <w:sz w:val="19"/>
              </w:rPr>
              <w:t>Thyroid disease can mimic or precipitate mood episodes (hyperthyroidism → mania-like states; hypothyroidism → depression and rapid cycling), and long-term lithium therapy itself commonly induces hypothyroidism, so thyroid status must be monitored.</w:t>
            </w:r>
          </w:p>
          <w:p>
            <w:pPr>
              <w:spacing w:after="40" w:before="60" w:line="259" w:lineRule="auto"/>
            </w:pPr>
            <w:r>
              <w:rPr>
                <w:rFonts w:ascii="Calibri" w:hAnsi="Calibri"/>
                <w:b w:val="0"/>
                <w:i w:val="0"/>
                <w:color w:val="212121"/>
                <w:sz w:val="19"/>
              </w:rPr>
              <w:t>Hypothyroidism is a recognised association and a frequent consequence of lithium therapy, and is linked to rapid-cycling illness.</w:t>
            </w:r>
          </w:p>
          <w:p>
            <w:pPr>
              <w:spacing w:before="60" w:after="40"/>
            </w:pPr>
            <w:r>
              <w:rPr>
                <w:rFonts w:ascii="Calibri" w:hAnsi="Calibri"/>
                <w:b w:val="0"/>
                <w:i w:val="0"/>
                <w:color w:val="5A5A5A"/>
                <w:sz w:val="18"/>
              </w:rPr>
              <w:t>#thyroid  #hypothyroidism  #lithium  #rapidcycling  #monitoring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established/high cardiovascular risk</w:t>
            </w:r>
          </w:p>
        </w:tc>
        <w:tc>
          <w:tcPr>
            <w:tcW w:type="dxa" w:w="4276"/>
            <w:vAlign w:val="top"/>
          </w:tcPr>
          <w:p>
            <w:pPr>
              <w:spacing w:after="60" w:line="259" w:lineRule="auto"/>
            </w:pPr>
            <w:r>
              <w:rPr>
                <w:rFonts w:ascii="Calibri" w:hAnsi="Calibri"/>
                <w:b w:val="0"/>
                <w:i w:val="0"/>
                <w:color w:val="212121"/>
                <w:sz w:val="19"/>
              </w:rPr>
              <w:t>Cardiovascular disease is the leading cause of the roughly 13-year reduction in life expectancy in bipolar disorder, driven by high rates of smoking, obesity, diabetes, dyslipidaemia and physical inactivity compounded by treatment side-effects.</w:t>
            </w:r>
          </w:p>
          <w:p>
            <w:pPr>
              <w:spacing w:after="40" w:before="60" w:line="259" w:lineRule="auto"/>
            </w:pPr>
            <w:r>
              <w:rPr>
                <w:rFonts w:ascii="Calibri" w:hAnsi="Calibri"/>
                <w:b w:val="0"/>
                <w:i w:val="0"/>
                <w:color w:val="212121"/>
                <w:sz w:val="19"/>
              </w:rPr>
              <w:t>People with bipolar disorder die on average about 13 years earlier than the general population, largely from cardiovascular disease.</w:t>
            </w:r>
          </w:p>
          <w:p>
            <w:pPr>
              <w:spacing w:after="40" w:line="252" w:lineRule="auto"/>
            </w:pPr>
            <w:hyperlink r:id="rId13">
              <w:r>
                <w:rPr>
                  <w:rFonts w:ascii="Calibri" w:hAnsi="Calibri" w:cs="Calibri"/>
                  <w:sz w:val="18"/>
                  <w:color w:val="1155CC"/>
                  <w:u w:val="single"/>
                </w:rPr>
                <w:t xml:space="preserve">who.int — bipolar disorder fact sheet</w:t>
              </w:r>
            </w:hyperlink>
          </w:p>
          <w:p>
            <w:pPr>
              <w:spacing w:before="60" w:after="40"/>
            </w:pPr>
            <w:r>
              <w:rPr>
                <w:rFonts w:ascii="Calibri" w:hAnsi="Calibri"/>
                <w:b w:val="0"/>
                <w:i w:val="0"/>
                <w:color w:val="5A5A5A"/>
                <w:sz w:val="18"/>
              </w:rPr>
              <w:t>#cardiovascular  #mortality  #lifeexpectancy  #smoking  #metabolic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and resistance exercise reduces depressive symptoms, improves sleep and cognition, and counteracts the weight gain and metabolic syndrome caused by mood stabilisers and antipsychotics; sedentary behaviour is linked to worse cardiometabolic outcomes. Very intense or novel exercise can occasionally activate hypomania and should be introduced gradually.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quality and obesity strongly influence the metabolic comorbidity and cardiovascular mortality of BPAD. Consistent dietary sodium and fluid intake are important for patients on lithium, because low salt or dehydration raises lithium levels toward toxicity; omega-3 supplementation shows only modest adjunctive benefit.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Sleep-wake and circadian disruption is one of the most powerful triggers of manic and depressive relapse; a decreased need for sleep is a core feature of mania, and stabilising sleep timing (chronotherapy, sleep hygiene, social-rhythm therapy) is a cornerstone of relapse prevention.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prevalence is about 45% in bipolar disorder, is a major driver of the excess cardiovascular mortality, and alters the metabolism of some psychotropics (e.g. affecting olanzapine levels), so cessation meaningfully improves prognosis.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other substance use are highly comorbid, precipitate mood switches, impair adherence and judgment, and sharply increase suicide risk; abstinence is generally advised and comorbid use disorders require integrated treatment.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Comorbid anxiety, trauma, chronic stress and high expressed-emotion environments strongly shape onset, relapse frequency and severity (stress-kindling), and psychological therapies plus family psychoeducation reduce relapse.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and sodium-water balance are clinically important chiefly through lithium: dehydration, vomiting, diarrhoea, heat and low salt intake reduce lithium clearance and can precipitate toxicity, so steady fluid intake matters for treated patients.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or late-day caffeine and energy-drink intake fragments sleep, heightens arousal and can aggravate or precipitate mania and anxiety; caffeine also modestly increases lithium clearance, so large swings in intake can destabilise lithium levels.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Personal hygiene and self-care characteristically deteriorate during both manic (disorganisation) and depressive episodes and serve as a useful behavioural marker of relapse for patients and carers, though poor hygiene is a consequence rather than a cause of the illness.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Well-established precipitants include sleep deprivation, shift work and jet lag, antidepressant monotherapy, corticosteroids and stimulants, the postpartum period, acute psychosocial stress and substance use; recognising and avoiding these triggers is central to relapse prevention.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5 h with sustained energy and no fatigue (manic warning) or chronic &lt; 6 h</w:t>
            </w:r>
          </w:p>
        </w:tc>
        <w:tc>
          <w:tcPr>
            <w:tcW w:type="dxa" w:w="1468"/>
            <w:vAlign w:val="top"/>
          </w:tcPr>
          <w:p>
            <w:pPr>
              <w:spacing w:after="40" w:before="0" w:line="259" w:lineRule="auto"/>
            </w:pPr>
            <w:r>
              <w:rPr>
                <w:rFonts w:ascii="Calibri" w:hAnsi="Calibri"/>
                <w:b w:val="0"/>
                <w:i w:val="0"/>
                <w:color w:val="212121"/>
                <w:sz w:val="19"/>
              </w:rPr>
              <w:t>Reduced need for sleep is an early red flag for an emerging manic episode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Sleep-wake regularity</w:t>
            </w:r>
          </w:p>
        </w:tc>
        <w:tc>
          <w:tcPr>
            <w:tcW w:type="dxa" w:w="1655"/>
            <w:vAlign w:val="top"/>
          </w:tcPr>
          <w:p>
            <w:pPr>
              <w:spacing w:after="40" w:before="0" w:line="259" w:lineRule="auto"/>
            </w:pPr>
            <w:r>
              <w:rPr>
                <w:rFonts w:ascii="Calibri" w:hAnsi="Calibri"/>
                <w:b w:val="0"/>
                <w:i w:val="0"/>
                <w:color w:val="212121"/>
                <w:sz w:val="19"/>
              </w:rPr>
              <w:t>All patients, shift workers</w:t>
            </w:r>
          </w:p>
        </w:tc>
        <w:tc>
          <w:tcPr>
            <w:tcW w:type="dxa" w:w="1512"/>
            <w:vAlign w:val="top"/>
          </w:tcPr>
          <w:p>
            <w:pPr>
              <w:spacing w:after="40" w:before="0" w:line="259" w:lineRule="auto"/>
            </w:pPr>
            <w:r>
              <w:rPr>
                <w:rFonts w:ascii="Calibri" w:hAnsi="Calibri"/>
                <w:b w:val="0"/>
                <w:i w:val="0"/>
                <w:color w:val="212121"/>
                <w:sz w:val="19"/>
              </w:rPr>
              <w:t>Consistent daily sleep/wake times</w:t>
            </w:r>
          </w:p>
        </w:tc>
        <w:tc>
          <w:tcPr>
            <w:tcW w:type="dxa" w:w="1512"/>
            <w:vAlign w:val="top"/>
          </w:tcPr>
          <w:p>
            <w:pPr>
              <w:spacing w:after="40" w:before="0" w:line="259" w:lineRule="auto"/>
            </w:pPr>
            <w:r>
              <w:rPr>
                <w:rFonts w:ascii="Calibri" w:hAnsi="Calibri"/>
                <w:b w:val="0"/>
                <w:i w:val="0"/>
                <w:color w:val="212121"/>
                <w:sz w:val="19"/>
              </w:rPr>
              <w:t>Irregular timing, night shifts, jet lag, all-nighters</w:t>
            </w:r>
          </w:p>
        </w:tc>
        <w:tc>
          <w:tcPr>
            <w:tcW w:type="dxa" w:w="1468"/>
            <w:vAlign w:val="top"/>
          </w:tcPr>
          <w:p>
            <w:pPr>
              <w:spacing w:after="40" w:before="0" w:line="259" w:lineRule="auto"/>
            </w:pPr>
            <w:r>
              <w:rPr>
                <w:rFonts w:ascii="Calibri" w:hAnsi="Calibri"/>
                <w:b w:val="0"/>
                <w:i w:val="0"/>
                <w:color w:val="212121"/>
                <w:sz w:val="19"/>
              </w:rPr>
              <w:t>Social-rhythm stability protects against relapse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 on mood stabilisers/antipsychotics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Antipsychotics and valproate promote weight gain; monitor at baseline and periodically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(Asian-Indian)</w:t>
            </w:r>
          </w:p>
        </w:tc>
        <w:tc>
          <w:tcPr>
            <w:tcW w:type="dxa" w:w="1655"/>
            <w:vAlign w:val="top"/>
          </w:tcPr>
          <w:p>
            <w:pPr>
              <w:spacing w:after="40" w:before="0" w:line="259" w:lineRule="auto"/>
            </w:pPr>
            <w:r>
              <w:rPr>
                <w:rFonts w:ascii="Calibri" w:hAnsi="Calibri"/>
                <w:b w:val="0"/>
                <w:i w:val="0"/>
                <w:color w:val="212121"/>
                <w:sz w:val="19"/>
              </w:rPr>
              <w:t>Adults on psychotropics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obesity signals metabolic syndrome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(minutes/week)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Exercise improves depressive symptoms and offsets metabolic side-effects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Any smoking compounds the high cardiovascular mortality of BPAD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0 (abstinence advised)</w:t>
            </w:r>
          </w:p>
        </w:tc>
        <w:tc>
          <w:tcPr>
            <w:tcW w:type="dxa" w:w="1512"/>
            <w:vAlign w:val="top"/>
          </w:tcPr>
          <w:p>
            <w:pPr>
              <w:spacing w:after="40" w:before="0" w:line="259" w:lineRule="auto"/>
            </w:pPr>
            <w:r>
              <w:rPr>
                <w:rFonts w:ascii="Calibri" w:hAnsi="Calibri"/>
                <w:b w:val="0"/>
                <w:i w:val="0"/>
                <w:color w:val="212121"/>
                <w:sz w:val="19"/>
              </w:rPr>
              <w:t>Any regular use; binge drinking</w:t>
            </w:r>
          </w:p>
        </w:tc>
        <w:tc>
          <w:tcPr>
            <w:tcW w:type="dxa" w:w="1468"/>
            <w:vAlign w:val="top"/>
          </w:tcPr>
          <w:p>
            <w:pPr>
              <w:spacing w:after="40" w:before="0" w:line="259" w:lineRule="auto"/>
            </w:pPr>
            <w:r>
              <w:rPr>
                <w:rFonts w:ascii="Calibri" w:hAnsi="Calibri"/>
                <w:b w:val="0"/>
                <w:i w:val="0"/>
                <w:color w:val="212121"/>
                <w:sz w:val="19"/>
              </w:rPr>
              <w:t>Alcohol precipitates mood switches and impairs adherence and judgment</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All patients, esp. on lithium</w:t>
            </w:r>
          </w:p>
        </w:tc>
        <w:tc>
          <w:tcPr>
            <w:tcW w:type="dxa" w:w="1512"/>
            <w:vAlign w:val="top"/>
          </w:tcPr>
          <w:p>
            <w:pPr>
              <w:spacing w:after="40" w:before="0" w:line="259" w:lineRule="auto"/>
            </w:pPr>
            <w:r>
              <w:rPr>
                <w:rFonts w:ascii="Calibri" w:hAnsi="Calibri"/>
                <w:b w:val="0"/>
                <w:i w:val="0"/>
                <w:color w:val="212121"/>
                <w:sz w:val="19"/>
              </w:rPr>
              <w:t>&lt; 400 mg/day, none after mid-afternoon</w:t>
            </w:r>
          </w:p>
        </w:tc>
        <w:tc>
          <w:tcPr>
            <w:tcW w:type="dxa" w:w="1512"/>
            <w:vAlign w:val="top"/>
          </w:tcPr>
          <w:p>
            <w:pPr>
              <w:spacing w:after="40" w:before="0" w:line="259" w:lineRule="auto"/>
            </w:pPr>
            <w:r>
              <w:rPr>
                <w:rFonts w:ascii="Calibri" w:hAnsi="Calibri"/>
                <w:b w:val="0"/>
                <w:i w:val="0"/>
                <w:color w:val="212121"/>
                <w:sz w:val="19"/>
              </w:rPr>
              <w:t>&gt; 400 mg/day or evening intake</w:t>
            </w:r>
          </w:p>
        </w:tc>
        <w:tc>
          <w:tcPr>
            <w:tcW w:type="dxa" w:w="1468"/>
            <w:vAlign w:val="top"/>
          </w:tcPr>
          <w:p>
            <w:pPr>
              <w:spacing w:after="40" w:before="0" w:line="259" w:lineRule="auto"/>
            </w:pPr>
            <w:r>
              <w:rPr>
                <w:rFonts w:ascii="Calibri" w:hAnsi="Calibri"/>
                <w:b w:val="0"/>
                <w:i w:val="0"/>
                <w:color w:val="212121"/>
                <w:sz w:val="19"/>
              </w:rPr>
              <w:t>Disrupts sleep and shifts lithium levels; keep intake steady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 fluid consistency</w:t>
            </w:r>
          </w:p>
        </w:tc>
        <w:tc>
          <w:tcPr>
            <w:tcW w:type="dxa" w:w="1655"/>
            <w:vAlign w:val="top"/>
          </w:tcPr>
          <w:p>
            <w:pPr>
              <w:spacing w:after="40" w:before="0" w:line="259" w:lineRule="auto"/>
            </w:pPr>
            <w:r>
              <w:rPr>
                <w:rFonts w:ascii="Calibri" w:hAnsi="Calibri"/>
                <w:b w:val="0"/>
                <w:i w:val="0"/>
                <w:color w:val="212121"/>
                <w:sz w:val="19"/>
              </w:rPr>
              <w:t>Patients on lithium</w:t>
            </w:r>
          </w:p>
        </w:tc>
        <w:tc>
          <w:tcPr>
            <w:tcW w:type="dxa" w:w="1512"/>
            <w:vAlign w:val="top"/>
          </w:tcPr>
          <w:p>
            <w:pPr>
              <w:spacing w:after="40" w:before="0" w:line="259" w:lineRule="auto"/>
            </w:pPr>
            <w:r>
              <w:rPr>
                <w:rFonts w:ascii="Calibri" w:hAnsi="Calibri"/>
                <w:b w:val="0"/>
                <w:i w:val="0"/>
                <w:color w:val="212121"/>
                <w:sz w:val="19"/>
              </w:rPr>
              <w:t>Stable daily salt &amp; fluid intake</w:t>
            </w:r>
          </w:p>
        </w:tc>
        <w:tc>
          <w:tcPr>
            <w:tcW w:type="dxa" w:w="1512"/>
            <w:vAlign w:val="top"/>
          </w:tcPr>
          <w:p>
            <w:pPr>
              <w:spacing w:after="40" w:before="0" w:line="259" w:lineRule="auto"/>
            </w:pPr>
            <w:r>
              <w:rPr>
                <w:rFonts w:ascii="Calibri" w:hAnsi="Calibri"/>
                <w:b w:val="0"/>
                <w:i w:val="0"/>
                <w:color w:val="212121"/>
                <w:sz w:val="19"/>
              </w:rPr>
              <w:t>Abrupt low-salt diet, dehydration, vomiting/diarrhoea, heat</w:t>
            </w:r>
          </w:p>
        </w:tc>
        <w:tc>
          <w:tcPr>
            <w:tcW w:type="dxa" w:w="1468"/>
            <w:vAlign w:val="top"/>
          </w:tcPr>
          <w:p>
            <w:pPr>
              <w:spacing w:after="40" w:before="0" w:line="259" w:lineRule="auto"/>
            </w:pPr>
            <w:r>
              <w:rPr>
                <w:rFonts w:ascii="Calibri" w:hAnsi="Calibri"/>
                <w:b w:val="0"/>
                <w:i w:val="0"/>
                <w:color w:val="212121"/>
                <w:sz w:val="19"/>
              </w:rPr>
              <w:t>Falling sodium or fluid raises lithium toward toxic levels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Mood/relapse monitoring (mood chart; MDQ / PHQ-9)</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Sustained euthymia; stable self-ratings</w:t>
            </w:r>
          </w:p>
        </w:tc>
        <w:tc>
          <w:tcPr>
            <w:tcW w:type="dxa" w:w="1512"/>
            <w:vAlign w:val="top"/>
          </w:tcPr>
          <w:p>
            <w:pPr>
              <w:spacing w:after="40" w:before="0" w:line="259" w:lineRule="auto"/>
            </w:pPr>
            <w:r>
              <w:rPr>
                <w:rFonts w:ascii="Calibri" w:hAnsi="Calibri"/>
                <w:b w:val="0"/>
                <w:i w:val="0"/>
                <w:color w:val="212121"/>
                <w:sz w:val="19"/>
              </w:rPr>
              <w:t>Rising activation/irritability, or PHQ-9 ≥ 10, or MDQ-positive screen</w:t>
            </w:r>
          </w:p>
        </w:tc>
        <w:tc>
          <w:tcPr>
            <w:tcW w:type="dxa" w:w="1468"/>
            <w:vAlign w:val="top"/>
          </w:tcPr>
          <w:p>
            <w:pPr>
              <w:spacing w:after="40" w:before="0" w:line="259" w:lineRule="auto"/>
            </w:pPr>
            <w:r>
              <w:rPr>
                <w:rFonts w:ascii="Calibri" w:hAnsi="Calibri"/>
                <w:b w:val="0"/>
                <w:i w:val="0"/>
                <w:color w:val="212121"/>
                <w:sz w:val="19"/>
              </w:rPr>
              <w:t>Regular mood charting enables early detection of a switch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 Stimulating Hormone (TSH) &amp;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&lt; 0.4 or &gt; 4.0 mIU/L</w:t>
            </w:r>
          </w:p>
        </w:tc>
        <w:tc>
          <w:tcPr>
            <w:tcW w:type="dxa" w:w="1036"/>
            <w:vAlign w:val="top"/>
          </w:tcPr>
          <w:p>
            <w:pPr>
              <w:spacing w:after="40" w:before="0" w:line="259" w:lineRule="auto"/>
            </w:pPr>
            <w:r>
              <w:rPr>
                <w:rFonts w:ascii="Calibri" w:hAnsi="Calibri"/>
                <w:b w:val="0"/>
                <w:i w:val="0"/>
                <w:color w:val="212121"/>
                <w:sz w:val="16"/>
              </w:rPr>
              <w:t>Excludes thyroid disease that can mimic/precipitate mood episodes; baseline and monitoring for lithium-induced hypothyroidism</w:t>
            </w:r>
          </w:p>
        </w:tc>
        <w:tc>
          <w:tcPr>
            <w:tcW w:type="dxa" w:w="1036"/>
            <w:vAlign w:val="top"/>
          </w:tcPr>
          <w:p>
            <w:pPr>
              <w:spacing w:after="40" w:before="0" w:line="259" w:lineRule="auto"/>
            </w:pPr>
            <w:r>
              <w:rPr>
                <w:rFonts w:ascii="Calibri" w:hAnsi="Calibri"/>
                <w:b w:val="0"/>
                <w:i w:val="0"/>
                <w:color w:val="212121"/>
                <w:sz w:val="16"/>
              </w:rPr>
              <w:t>New presentation, rapid cycling, all patients starting/on lithium</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Exclusionary / Monitoring</w:t>
            </w:r>
          </w:p>
        </w:tc>
        <w:tc>
          <w:tcPr>
            <w:tcW w:type="dxa" w:w="720"/>
            <w:vAlign w:val="top"/>
          </w:tcPr>
          <w:p>
            <w:pPr>
              <w:spacing w:after="40" w:before="0" w:line="259" w:lineRule="auto"/>
            </w:pPr>
            <w:r>
              <w:rPr>
                <w:rFonts w:ascii="Calibri" w:hAnsi="Calibri"/>
                <w:b w:val="0"/>
                <w:i w:val="0"/>
                <w:color w:val="212121"/>
                <w:sz w:val="16"/>
              </w:rPr>
              <w:t>Check at baseline, ~6 months, then annually on lithium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Therapeutic drug monitoring</w:t>
            </w:r>
          </w:p>
        </w:tc>
        <w:tc>
          <w:tcPr>
            <w:tcW w:type="dxa" w:w="1036"/>
            <w:vAlign w:val="top"/>
          </w:tcPr>
          <w:p>
            <w:pPr>
              <w:spacing w:after="40" w:before="0" w:line="259" w:lineRule="auto"/>
            </w:pPr>
            <w:r>
              <w:rPr>
                <w:rFonts w:ascii="Calibri" w:hAnsi="Calibri"/>
                <w:b w:val="0"/>
                <w:i w:val="0"/>
                <w:color w:val="212121"/>
                <w:sz w:val="16"/>
              </w:rPr>
              <w:t>Serum lithium level</w:t>
            </w:r>
          </w:p>
        </w:tc>
        <w:tc>
          <w:tcPr>
            <w:tcW w:type="dxa" w:w="892"/>
            <w:vAlign w:val="top"/>
          </w:tcPr>
          <w:p>
            <w:pPr>
              <w:spacing w:after="40" w:before="0" w:line="259" w:lineRule="auto"/>
            </w:pPr>
            <w:r>
              <w:rPr>
                <w:rFonts w:ascii="Calibri" w:hAnsi="Calibri"/>
                <w:b w:val="0"/>
                <w:i w:val="0"/>
                <w:color w:val="212121"/>
                <w:sz w:val="16"/>
              </w:rPr>
              <w:t>Lithium assay</w:t>
            </w:r>
          </w:p>
        </w:tc>
        <w:tc>
          <w:tcPr>
            <w:tcW w:type="dxa" w:w="950"/>
            <w:vAlign w:val="top"/>
          </w:tcPr>
          <w:p>
            <w:pPr>
              <w:spacing w:after="40" w:before="0" w:line="259" w:lineRule="auto"/>
            </w:pPr>
            <w:r>
              <w:rPr>
                <w:rFonts w:ascii="Calibri" w:hAnsi="Calibri"/>
                <w:b w:val="0"/>
                <w:i w:val="0"/>
                <w:color w:val="212121"/>
                <w:sz w:val="16"/>
              </w:rPr>
              <w:t>Maintenance 0.6–0.8 mmol/L (acute up to 1.0–1.2)</w:t>
            </w:r>
          </w:p>
        </w:tc>
        <w:tc>
          <w:tcPr>
            <w:tcW w:type="dxa" w:w="950"/>
            <w:vAlign w:val="top"/>
          </w:tcPr>
          <w:p>
            <w:pPr>
              <w:spacing w:after="40" w:before="0" w:line="259" w:lineRule="auto"/>
            </w:pPr>
            <w:r>
              <w:rPr>
                <w:rFonts w:ascii="Calibri" w:hAnsi="Calibri"/>
                <w:b w:val="0"/>
                <w:i w:val="0"/>
                <w:color w:val="212121"/>
                <w:sz w:val="16"/>
              </w:rPr>
              <w:t>&gt; 1.2 (toxic risk); &gt; 1.5 overt toxicity</w:t>
            </w:r>
          </w:p>
        </w:tc>
        <w:tc>
          <w:tcPr>
            <w:tcW w:type="dxa" w:w="1036"/>
            <w:vAlign w:val="top"/>
          </w:tcPr>
          <w:p>
            <w:pPr>
              <w:spacing w:after="40" w:before="0" w:line="259" w:lineRule="auto"/>
            </w:pPr>
            <w:r>
              <w:rPr>
                <w:rFonts w:ascii="Calibri" w:hAnsi="Calibri"/>
                <w:b w:val="0"/>
                <w:i w:val="0"/>
                <w:color w:val="212121"/>
                <w:sz w:val="16"/>
              </w:rPr>
              <w:t>Narrow therapeutic index; guides dosing and detects toxicity</w:t>
            </w:r>
          </w:p>
        </w:tc>
        <w:tc>
          <w:tcPr>
            <w:tcW w:type="dxa" w:w="1036"/>
            <w:vAlign w:val="top"/>
          </w:tcPr>
          <w:p>
            <w:pPr>
              <w:spacing w:after="40" w:before="0" w:line="259" w:lineRule="auto"/>
            </w:pPr>
            <w:r>
              <w:rPr>
                <w:rFonts w:ascii="Calibri" w:hAnsi="Calibri"/>
                <w:b w:val="0"/>
                <w:i w:val="0"/>
                <w:color w:val="212121"/>
                <w:sz w:val="16"/>
              </w:rPr>
              <w:t>All patients on lithium</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Gold standard (safety)</w:t>
            </w:r>
          </w:p>
        </w:tc>
        <w:tc>
          <w:tcPr>
            <w:tcW w:type="dxa" w:w="720"/>
            <w:vAlign w:val="top"/>
          </w:tcPr>
          <w:p>
            <w:pPr>
              <w:spacing w:after="40" w:before="0" w:line="259" w:lineRule="auto"/>
            </w:pPr>
            <w:r>
              <w:rPr>
                <w:rFonts w:ascii="Calibri" w:hAnsi="Calibri"/>
                <w:b w:val="0"/>
                <w:i w:val="0"/>
                <w:color w:val="212121"/>
                <w:sz w:val="16"/>
              </w:rPr>
              <w:t>Trough level 12 h post-dose; recheck after dose change, illness or dehydration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Renal</w:t>
            </w:r>
          </w:p>
        </w:tc>
        <w:tc>
          <w:tcPr>
            <w:tcW w:type="dxa" w:w="1036"/>
            <w:vAlign w:val="top"/>
          </w:tcPr>
          <w:p>
            <w:pPr>
              <w:spacing w:after="40" w:before="0" w:line="259" w:lineRule="auto"/>
            </w:pPr>
            <w:r>
              <w:rPr>
                <w:rFonts w:ascii="Calibri" w:hAnsi="Calibri"/>
                <w:b w:val="0"/>
                <w:i w:val="0"/>
                <w:color w:val="212121"/>
                <w:sz w:val="16"/>
              </w:rPr>
              <w:t>Serum creatinine / eGFR &amp; electrolytes</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eGFR ≥ 90 mL/min/1.73m²; Na⁺ 135–145 mmol/L</w:t>
            </w:r>
          </w:p>
        </w:tc>
        <w:tc>
          <w:tcPr>
            <w:tcW w:type="dxa" w:w="950"/>
            <w:vAlign w:val="top"/>
          </w:tcPr>
          <w:p>
            <w:pPr>
              <w:spacing w:after="40" w:before="0" w:line="259" w:lineRule="auto"/>
            </w:pPr>
            <w:r>
              <w:rPr>
                <w:rFonts w:ascii="Calibri" w:hAnsi="Calibri"/>
                <w:b w:val="0"/>
                <w:i w:val="0"/>
                <w:color w:val="212121"/>
                <w:sz w:val="16"/>
              </w:rPr>
              <w:t>Rising creatinine / falling eGFR; deranged Na⁺</w:t>
            </w:r>
          </w:p>
        </w:tc>
        <w:tc>
          <w:tcPr>
            <w:tcW w:type="dxa" w:w="1036"/>
            <w:vAlign w:val="top"/>
          </w:tcPr>
          <w:p>
            <w:pPr>
              <w:spacing w:after="40" w:before="0" w:line="259" w:lineRule="auto"/>
            </w:pPr>
            <w:r>
              <w:rPr>
                <w:rFonts w:ascii="Calibri" w:hAnsi="Calibri"/>
                <w:b w:val="0"/>
                <w:i w:val="0"/>
                <w:color w:val="212121"/>
                <w:sz w:val="16"/>
              </w:rPr>
              <w:t>Baseline and ongoing monitoring for lithium nephrotoxicity and nephrogenic diabetes insipidus</w:t>
            </w:r>
          </w:p>
        </w:tc>
        <w:tc>
          <w:tcPr>
            <w:tcW w:type="dxa" w:w="1036"/>
            <w:vAlign w:val="top"/>
          </w:tcPr>
          <w:p>
            <w:pPr>
              <w:spacing w:after="40" w:before="0" w:line="259" w:lineRule="auto"/>
            </w:pPr>
            <w:r>
              <w:rPr>
                <w:rFonts w:ascii="Calibri" w:hAnsi="Calibri"/>
                <w:b w:val="0"/>
                <w:i w:val="0"/>
                <w:color w:val="212121"/>
                <w:sz w:val="16"/>
              </w:rPr>
              <w:t>All patients on lithium, elderly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Baseline, then 6-monthly to annually on lithium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FPG 70–99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Screens for antipsychotic/valproate-related dysglycaemia and comorbid diabetes</w:t>
            </w:r>
          </w:p>
        </w:tc>
        <w:tc>
          <w:tcPr>
            <w:tcW w:type="dxa" w:w="1036"/>
            <w:vAlign w:val="top"/>
          </w:tcPr>
          <w:p>
            <w:pPr>
              <w:spacing w:after="40" w:before="0" w:line="259" w:lineRule="auto"/>
            </w:pPr>
            <w:r>
              <w:rPr>
                <w:rFonts w:ascii="Calibri" w:hAnsi="Calibri"/>
                <w:b w:val="0"/>
                <w:i w:val="0"/>
                <w:color w:val="212121"/>
                <w:sz w:val="16"/>
              </w:rPr>
              <w:t>Patients on antipsychotics/valproate, overweight</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Baseline and at least annually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mg/dL; TG &lt; 150 mg/dL</w:t>
            </w:r>
          </w:p>
        </w:tc>
        <w:tc>
          <w:tcPr>
            <w:tcW w:type="dxa" w:w="950"/>
            <w:vAlign w:val="top"/>
          </w:tcPr>
          <w:p>
            <w:pPr>
              <w:spacing w:after="40" w:before="0" w:line="259" w:lineRule="auto"/>
            </w:pPr>
            <w:r>
              <w:rPr>
                <w:rFonts w:ascii="Calibri" w:hAnsi="Calibri"/>
                <w:b w:val="0"/>
                <w:i w:val="0"/>
                <w:color w:val="212121"/>
                <w:sz w:val="16"/>
              </w:rPr>
              <w:t>LDL ≥ 130; TG ≥ 150 mg/dL</w:t>
            </w:r>
          </w:p>
        </w:tc>
        <w:tc>
          <w:tcPr>
            <w:tcW w:type="dxa" w:w="1036"/>
            <w:vAlign w:val="top"/>
          </w:tcPr>
          <w:p>
            <w:pPr>
              <w:spacing w:after="40" w:before="0" w:line="259" w:lineRule="auto"/>
            </w:pPr>
            <w:r>
              <w:rPr>
                <w:rFonts w:ascii="Calibri" w:hAnsi="Calibri"/>
                <w:b w:val="0"/>
                <w:i w:val="0"/>
                <w:color w:val="212121"/>
                <w:sz w:val="16"/>
              </w:rPr>
              <w:t>Detects dyslipidaemia contributing to metabolic syndrome and cardiovascular risk</w:t>
            </w:r>
          </w:p>
        </w:tc>
        <w:tc>
          <w:tcPr>
            <w:tcW w:type="dxa" w:w="1036"/>
            <w:vAlign w:val="top"/>
          </w:tcPr>
          <w:p>
            <w:pPr>
              <w:spacing w:after="40" w:before="0" w:line="259" w:lineRule="auto"/>
            </w:pPr>
            <w:r>
              <w:rPr>
                <w:rFonts w:ascii="Calibri" w:hAnsi="Calibri"/>
                <w:b w:val="0"/>
                <w:i w:val="0"/>
                <w:color w:val="212121"/>
                <w:sz w:val="16"/>
              </w:rPr>
              <w:t>Patients on psychotropics,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Part of routine cardiometabolic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Hepatic</w:t>
            </w:r>
          </w:p>
        </w:tc>
        <w:tc>
          <w:tcPr>
            <w:tcW w:type="dxa" w:w="1036"/>
            <w:vAlign w:val="top"/>
          </w:tcPr>
          <w:p>
            <w:pPr>
              <w:spacing w:after="40" w:before="0" w:line="259" w:lineRule="auto"/>
            </w:pPr>
            <w:r>
              <w:rPr>
                <w:rFonts w:ascii="Calibri" w:hAnsi="Calibri"/>
                <w:b w:val="0"/>
                <w:i w:val="0"/>
                <w:color w:val="212121"/>
                <w:sz w:val="16"/>
              </w:rPr>
              <w:t>CBC &amp; liver function tests</w:t>
            </w:r>
          </w:p>
        </w:tc>
        <w:tc>
          <w:tcPr>
            <w:tcW w:type="dxa" w:w="892"/>
            <w:vAlign w:val="top"/>
          </w:tcPr>
          <w:p>
            <w:pPr>
              <w:spacing w:after="40" w:before="0" w:line="259" w:lineRule="auto"/>
            </w:pPr>
            <w:r>
              <w:rPr>
                <w:rFonts w:ascii="Calibri" w:hAnsi="Calibri"/>
                <w:b w:val="0"/>
                <w:i w:val="0"/>
                <w:color w:val="212121"/>
                <w:sz w:val="16"/>
              </w:rPr>
              <w:t>Baseline safety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Cytopenia; transaminases &gt; 3× ULN</w:t>
            </w:r>
          </w:p>
        </w:tc>
        <w:tc>
          <w:tcPr>
            <w:tcW w:type="dxa" w:w="1036"/>
            <w:vAlign w:val="top"/>
          </w:tcPr>
          <w:p>
            <w:pPr>
              <w:spacing w:after="40" w:before="0" w:line="259" w:lineRule="auto"/>
            </w:pPr>
            <w:r>
              <w:rPr>
                <w:rFonts w:ascii="Calibri" w:hAnsi="Calibri"/>
                <w:b w:val="0"/>
                <w:i w:val="0"/>
                <w:color w:val="212121"/>
                <w:sz w:val="16"/>
              </w:rPr>
              <w:t>Baseline and monitoring before/during valproate or carbamazepine (hepatotoxicity, thrombocytopenia, leukopenia)</w:t>
            </w:r>
          </w:p>
        </w:tc>
        <w:tc>
          <w:tcPr>
            <w:tcW w:type="dxa" w:w="1036"/>
            <w:vAlign w:val="top"/>
          </w:tcPr>
          <w:p>
            <w:pPr>
              <w:spacing w:after="40" w:before="0" w:line="259" w:lineRule="auto"/>
            </w:pPr>
            <w:r>
              <w:rPr>
                <w:rFonts w:ascii="Calibri" w:hAnsi="Calibri"/>
                <w:b w:val="0"/>
                <w:i w:val="0"/>
                <w:color w:val="212121"/>
                <w:sz w:val="16"/>
              </w:rPr>
              <w:t>Patients on valproate/carbamazepine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Carbamazepine risk of hyponatraemia and marrow 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Serum calcium (± PTH)</w:t>
            </w:r>
          </w:p>
        </w:tc>
        <w:tc>
          <w:tcPr>
            <w:tcW w:type="dxa" w:w="892"/>
            <w:vAlign w:val="top"/>
          </w:tcPr>
          <w:p>
            <w:pPr>
              <w:spacing w:after="40" w:before="0" w:line="259" w:lineRule="auto"/>
            </w:pPr>
            <w:r>
              <w:rPr>
                <w:rFonts w:ascii="Calibri" w:hAnsi="Calibri"/>
                <w:b w:val="0"/>
                <w:i w:val="0"/>
                <w:color w:val="212121"/>
                <w:sz w:val="16"/>
              </w:rPr>
              <w:t>Calcium assay</w:t>
            </w:r>
          </w:p>
        </w:tc>
        <w:tc>
          <w:tcPr>
            <w:tcW w:type="dxa" w:w="950"/>
            <w:vAlign w:val="top"/>
          </w:tcPr>
          <w:p>
            <w:pPr>
              <w:spacing w:after="40" w:before="0" w:line="259" w:lineRule="auto"/>
            </w:pPr>
            <w:r>
              <w:rPr>
                <w:rFonts w:ascii="Calibri" w:hAnsi="Calibri"/>
                <w:b w:val="0"/>
                <w:i w:val="0"/>
                <w:color w:val="212121"/>
                <w:sz w:val="16"/>
              </w:rPr>
              <w:t>8.5–10.2 mg/dL</w:t>
            </w:r>
          </w:p>
        </w:tc>
        <w:tc>
          <w:tcPr>
            <w:tcW w:type="dxa" w:w="950"/>
            <w:vAlign w:val="top"/>
          </w:tcPr>
          <w:p>
            <w:pPr>
              <w:spacing w:after="40" w:before="0" w:line="259" w:lineRule="auto"/>
            </w:pPr>
            <w:r>
              <w:rPr>
                <w:rFonts w:ascii="Calibri" w:hAnsi="Calibri"/>
                <w:b w:val="0"/>
                <w:i w:val="0"/>
                <w:color w:val="212121"/>
                <w:sz w:val="16"/>
              </w:rPr>
              <w:t>&gt; 10.2 mg/dL (hypercalcaemia)</w:t>
            </w:r>
          </w:p>
        </w:tc>
        <w:tc>
          <w:tcPr>
            <w:tcW w:type="dxa" w:w="1036"/>
            <w:vAlign w:val="top"/>
          </w:tcPr>
          <w:p>
            <w:pPr>
              <w:spacing w:after="40" w:before="0" w:line="259" w:lineRule="auto"/>
            </w:pPr>
            <w:r>
              <w:rPr>
                <w:rFonts w:ascii="Calibri" w:hAnsi="Calibri"/>
                <w:b w:val="0"/>
                <w:i w:val="0"/>
                <w:color w:val="212121"/>
                <w:sz w:val="16"/>
              </w:rPr>
              <w:t>Detects lithium-associated hyperparathyroidism/hypercalcaemia</w:t>
            </w:r>
          </w:p>
        </w:tc>
        <w:tc>
          <w:tcPr>
            <w:tcW w:type="dxa" w:w="1036"/>
            <w:vAlign w:val="top"/>
          </w:tcPr>
          <w:p>
            <w:pPr>
              <w:spacing w:after="40" w:before="0" w:line="259" w:lineRule="auto"/>
            </w:pPr>
            <w:r>
              <w:rPr>
                <w:rFonts w:ascii="Calibri" w:hAnsi="Calibri"/>
                <w:b w:val="0"/>
                <w:i w:val="0"/>
                <w:color w:val="212121"/>
                <w:sz w:val="16"/>
              </w:rPr>
              <w:t>Long-term lithium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Check periodically on chronic lithium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stimulants/cannabis/other</w:t>
            </w:r>
          </w:p>
        </w:tc>
        <w:tc>
          <w:tcPr>
            <w:tcW w:type="dxa" w:w="1036"/>
            <w:vAlign w:val="top"/>
          </w:tcPr>
          <w:p>
            <w:pPr>
              <w:spacing w:after="40" w:before="0" w:line="259" w:lineRule="auto"/>
            </w:pPr>
            <w:r>
              <w:rPr>
                <w:rFonts w:ascii="Calibri" w:hAnsi="Calibri"/>
                <w:b w:val="0"/>
                <w:i w:val="0"/>
                <w:color w:val="212121"/>
                <w:sz w:val="16"/>
              </w:rPr>
              <w:t>Excludes substance-induced mania and identifies comorbid substance use</w:t>
            </w:r>
          </w:p>
        </w:tc>
        <w:tc>
          <w:tcPr>
            <w:tcW w:type="dxa" w:w="1036"/>
            <w:vAlign w:val="top"/>
          </w:tcPr>
          <w:p>
            <w:pPr>
              <w:spacing w:after="40" w:before="0" w:line="259" w:lineRule="auto"/>
            </w:pPr>
            <w:r>
              <w:rPr>
                <w:rFonts w:ascii="Calibri" w:hAnsi="Calibri"/>
                <w:b w:val="0"/>
                <w:i w:val="0"/>
                <w:color w:val="212121"/>
                <w:sz w:val="16"/>
              </w:rPr>
              <w:t>Acute mania, first episode, atypical presentation</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Especially important in first-episode and treatment-resistant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Elevated/irritable mood, decreased need for sleep, overactivity, grandiosity — or low mood, anhedonia, fatigue</w:t>
            </w:r>
          </w:p>
        </w:tc>
        <w:tc>
          <w:tcPr>
            <w:tcW w:type="dxa" w:w="950"/>
            <w:vAlign w:val="top"/>
          </w:tcPr>
          <w:p>
            <w:pPr>
              <w:spacing w:after="40" w:before="0" w:line="259" w:lineRule="auto"/>
            </w:pPr>
            <w:r>
              <w:rPr>
                <w:rFonts w:ascii="Calibri" w:hAnsi="Calibri"/>
                <w:b w:val="0"/>
                <w:i w:val="0"/>
                <w:color w:val="212121"/>
                <w:sz w:val="16"/>
              </w:rPr>
              <w:t>Stable, euthymic mood</w:t>
            </w:r>
          </w:p>
        </w:tc>
        <w:tc>
          <w:tcPr>
            <w:tcW w:type="dxa" w:w="950"/>
            <w:vAlign w:val="top"/>
          </w:tcPr>
          <w:p>
            <w:pPr>
              <w:spacing w:after="40" w:before="0" w:line="259" w:lineRule="auto"/>
            </w:pPr>
            <w:r>
              <w:rPr>
                <w:rFonts w:ascii="Calibri" w:hAnsi="Calibri"/>
                <w:b w:val="0"/>
                <w:i w:val="0"/>
                <w:color w:val="212121"/>
                <w:sz w:val="16"/>
              </w:rPr>
              <w:t>Manic, hypomanic or depressive symptom cluster present</w:t>
            </w:r>
          </w:p>
        </w:tc>
        <w:tc>
          <w:tcPr>
            <w:tcW w:type="dxa" w:w="1036"/>
            <w:vAlign w:val="top"/>
          </w:tcPr>
          <w:p>
            <w:pPr>
              <w:spacing w:after="40" w:before="0" w:line="259" w:lineRule="auto"/>
            </w:pPr>
            <w:r>
              <w:rPr>
                <w:rFonts w:ascii="Calibri" w:hAnsi="Calibri"/>
                <w:b w:val="0"/>
                <w:i w:val="0"/>
                <w:color w:val="212121"/>
                <w:sz w:val="16"/>
              </w:rPr>
              <w:t>Identifies the current mood episode and its polarity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Collateral history from family is essential, as insight is often impaired in mania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Longitudinal course</w:t>
            </w:r>
          </w:p>
        </w:tc>
        <w:tc>
          <w:tcPr>
            <w:tcW w:type="dxa" w:w="979"/>
            <w:vAlign w:val="top"/>
          </w:tcPr>
          <w:p>
            <w:pPr>
              <w:spacing w:after="40" w:before="0" w:line="259" w:lineRule="auto"/>
            </w:pPr>
            <w:r>
              <w:rPr>
                <w:rFonts w:ascii="Calibri" w:hAnsi="Calibri"/>
                <w:b w:val="0"/>
                <w:i w:val="0"/>
                <w:color w:val="212121"/>
                <w:sz w:val="16"/>
              </w:rPr>
              <w:t>Prior manic/hypomanic episodes, cyclicity, seasonality, postpartum episodes, antidepressant-induced switch</w:t>
            </w:r>
          </w:p>
        </w:tc>
        <w:tc>
          <w:tcPr>
            <w:tcW w:type="dxa" w:w="950"/>
            <w:vAlign w:val="top"/>
          </w:tcPr>
          <w:p>
            <w:pPr>
              <w:spacing w:after="40" w:before="0" w:line="259" w:lineRule="auto"/>
            </w:pPr>
            <w:r>
              <w:rPr>
                <w:rFonts w:ascii="Calibri" w:hAnsi="Calibri"/>
                <w:b w:val="0"/>
                <w:i w:val="0"/>
                <w:color w:val="212121"/>
                <w:sz w:val="16"/>
              </w:rPr>
              <w:t>No prior mood episodes</w:t>
            </w:r>
          </w:p>
        </w:tc>
        <w:tc>
          <w:tcPr>
            <w:tcW w:type="dxa" w:w="950"/>
            <w:vAlign w:val="top"/>
          </w:tcPr>
          <w:p>
            <w:pPr>
              <w:spacing w:after="40" w:before="0" w:line="259" w:lineRule="auto"/>
            </w:pPr>
            <w:r>
              <w:rPr>
                <w:rFonts w:ascii="Calibri" w:hAnsi="Calibri"/>
                <w:b w:val="0"/>
                <w:i w:val="0"/>
                <w:color w:val="212121"/>
                <w:sz w:val="16"/>
              </w:rPr>
              <w:t>≥ 1 past manic/hypomanic episode</w:t>
            </w:r>
          </w:p>
        </w:tc>
        <w:tc>
          <w:tcPr>
            <w:tcW w:type="dxa" w:w="1036"/>
            <w:vAlign w:val="top"/>
          </w:tcPr>
          <w:p>
            <w:pPr>
              <w:spacing w:after="40" w:before="0" w:line="259" w:lineRule="auto"/>
            </w:pPr>
            <w:r>
              <w:rPr>
                <w:rFonts w:ascii="Calibri" w:hAnsi="Calibri"/>
                <w:b w:val="0"/>
                <w:i w:val="0"/>
                <w:color w:val="212121"/>
                <w:sz w:val="16"/>
              </w:rPr>
              <w:t>Distinguishes bipolar from unipolar depression — the pivotal diagnostic step</w:t>
            </w:r>
          </w:p>
        </w:tc>
        <w:tc>
          <w:tcPr>
            <w:tcW w:type="dxa" w:w="1036"/>
            <w:vAlign w:val="top"/>
          </w:tcPr>
          <w:p>
            <w:pPr>
              <w:spacing w:after="40" w:before="0" w:line="259" w:lineRule="auto"/>
            </w:pPr>
            <w:r>
              <w:rPr>
                <w:rFonts w:ascii="Calibri" w:hAnsi="Calibri"/>
                <w:b w:val="0"/>
                <w:i w:val="0"/>
                <w:color w:val="212121"/>
                <w:sz w:val="16"/>
              </w:rPr>
              <w:t>Every patient presenting with depression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Actively probe for past highs; patients rarely report hypomania spontaneously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BPAD, mood disorder, suicide or psychiatric admission</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Positive family history</w:t>
            </w:r>
          </w:p>
        </w:tc>
        <w:tc>
          <w:tcPr>
            <w:tcW w:type="dxa" w:w="1036"/>
            <w:vAlign w:val="top"/>
          </w:tcPr>
          <w:p>
            <w:pPr>
              <w:spacing w:after="40" w:before="0" w:line="259" w:lineRule="auto"/>
            </w:pPr>
            <w:r>
              <w:rPr>
                <w:rFonts w:ascii="Calibri" w:hAnsi="Calibri"/>
                <w:b w:val="0"/>
                <w:i w:val="0"/>
                <w:color w:val="212121"/>
                <w:sz w:val="16"/>
              </w:rPr>
              <w:t>Strong pointer to bipolarity and to genetic risk</w:t>
            </w:r>
          </w:p>
        </w:tc>
        <w:tc>
          <w:tcPr>
            <w:tcW w:type="dxa" w:w="1036"/>
            <w:vAlign w:val="top"/>
          </w:tcPr>
          <w:p>
            <w:pPr>
              <w:spacing w:after="40" w:before="0" w:line="259" w:lineRule="auto"/>
            </w:pPr>
            <w:r>
              <w:rPr>
                <w:rFonts w:ascii="Calibri" w:hAnsi="Calibri"/>
                <w:b w:val="0"/>
                <w:i w:val="0"/>
                <w:color w:val="212121"/>
                <w:sz w:val="16"/>
              </w:rPr>
              <w:t>All patients, high-risk offspring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of onset and treatment response in relatives (e.g. lithium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&amp; medication history</w:t>
            </w:r>
          </w:p>
        </w:tc>
        <w:tc>
          <w:tcPr>
            <w:tcW w:type="dxa" w:w="979"/>
            <w:vAlign w:val="top"/>
          </w:tcPr>
          <w:p>
            <w:pPr>
              <w:spacing w:after="40" w:before="0" w:line="259" w:lineRule="auto"/>
            </w:pPr>
            <w:r>
              <w:rPr>
                <w:rFonts w:ascii="Calibri" w:hAnsi="Calibri"/>
                <w:b w:val="0"/>
                <w:i w:val="0"/>
                <w:color w:val="212121"/>
                <w:sz w:val="16"/>
              </w:rPr>
              <w:t>Alcohol, cannabis, stimulants; antidepressants, steroids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Active use or recent initiation</w:t>
            </w:r>
          </w:p>
        </w:tc>
        <w:tc>
          <w:tcPr>
            <w:tcW w:type="dxa" w:w="1036"/>
            <w:vAlign w:val="top"/>
          </w:tcPr>
          <w:p>
            <w:pPr>
              <w:spacing w:after="40" w:before="0" w:line="259" w:lineRule="auto"/>
            </w:pPr>
            <w:r>
              <w:rPr>
                <w:rFonts w:ascii="Calibri" w:hAnsi="Calibri"/>
                <w:b w:val="0"/>
                <w:i w:val="0"/>
                <w:color w:val="212121"/>
                <w:sz w:val="16"/>
              </w:rPr>
              <w:t>Identifies precipitants and secondary/induced mania</w:t>
            </w:r>
          </w:p>
        </w:tc>
        <w:tc>
          <w:tcPr>
            <w:tcW w:type="dxa" w:w="1036"/>
            <w:vAlign w:val="top"/>
          </w:tcPr>
          <w:p>
            <w:pPr>
              <w:spacing w:after="40" w:before="0" w:line="259" w:lineRule="auto"/>
            </w:pPr>
            <w:r>
              <w:rPr>
                <w:rFonts w:ascii="Calibri" w:hAnsi="Calibri"/>
                <w:b w:val="0"/>
                <w:i w:val="0"/>
                <w:color w:val="212121"/>
                <w:sz w:val="16"/>
              </w:rPr>
              <w:t>Acute mania, first episode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Antidepressant monotherapy can trigger a switch to mania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w:t>
            </w:r>
          </w:p>
        </w:tc>
        <w:tc>
          <w:tcPr>
            <w:tcW w:type="dxa" w:w="950"/>
            <w:vAlign w:val="top"/>
          </w:tcPr>
          <w:p>
            <w:pPr>
              <w:spacing w:after="40" w:before="0" w:line="259" w:lineRule="auto"/>
            </w:pPr>
            <w:r>
              <w:rPr>
                <w:rFonts w:ascii="Calibri" w:hAnsi="Calibri"/>
                <w:b w:val="0"/>
                <w:i w:val="0"/>
                <w:color w:val="212121"/>
                <w:sz w:val="16"/>
              </w:rPr>
              <w:t>Mood Disorder Questionnaire (MDQ) / HCL-32</w:t>
            </w:r>
          </w:p>
        </w:tc>
        <w:tc>
          <w:tcPr>
            <w:tcW w:type="dxa" w:w="979"/>
            <w:vAlign w:val="top"/>
          </w:tcPr>
          <w:p>
            <w:pPr>
              <w:spacing w:after="40" w:before="0" w:line="259" w:lineRule="auto"/>
            </w:pPr>
            <w:r>
              <w:rPr>
                <w:rFonts w:ascii="Calibri" w:hAnsi="Calibri"/>
                <w:b w:val="0"/>
                <w:i w:val="0"/>
                <w:color w:val="212121"/>
                <w:sz w:val="16"/>
              </w:rPr>
              <w:t>Structured screen for lifetime hypomanic/manic symptoms</w:t>
            </w:r>
          </w:p>
        </w:tc>
        <w:tc>
          <w:tcPr>
            <w:tcW w:type="dxa" w:w="950"/>
            <w:vAlign w:val="top"/>
          </w:tcPr>
          <w:p>
            <w:pPr>
              <w:spacing w:after="40" w:before="0" w:line="259" w:lineRule="auto"/>
            </w:pPr>
            <w:r>
              <w:rPr>
                <w:rFonts w:ascii="Calibri" w:hAnsi="Calibri"/>
                <w:b w:val="0"/>
                <w:i w:val="0"/>
                <w:color w:val="212121"/>
                <w:sz w:val="16"/>
              </w:rPr>
              <w:t>Screen negative</w:t>
            </w:r>
          </w:p>
        </w:tc>
        <w:tc>
          <w:tcPr>
            <w:tcW w:type="dxa" w:w="950"/>
            <w:vAlign w:val="top"/>
          </w:tcPr>
          <w:p>
            <w:pPr>
              <w:spacing w:after="40" w:before="0" w:line="259" w:lineRule="auto"/>
            </w:pPr>
            <w:r>
              <w:rPr>
                <w:rFonts w:ascii="Calibri" w:hAnsi="Calibri"/>
                <w:b w:val="0"/>
                <w:i w:val="0"/>
                <w:color w:val="212121"/>
                <w:sz w:val="16"/>
              </w:rPr>
              <w:t>Screen positive (e.g. MDQ ≥ 7 with clustering &amp; impairment)</w:t>
            </w:r>
          </w:p>
        </w:tc>
        <w:tc>
          <w:tcPr>
            <w:tcW w:type="dxa" w:w="1036"/>
            <w:vAlign w:val="top"/>
          </w:tcPr>
          <w:p>
            <w:pPr>
              <w:spacing w:after="40" w:before="0" w:line="259" w:lineRule="auto"/>
            </w:pPr>
            <w:r>
              <w:rPr>
                <w:rFonts w:ascii="Calibri" w:hAnsi="Calibri"/>
                <w:b w:val="0"/>
                <w:i w:val="0"/>
                <w:color w:val="212121"/>
                <w:sz w:val="16"/>
              </w:rPr>
              <w:t>Improves detection of bipolarity in patients presenting with depression</w:t>
            </w:r>
          </w:p>
        </w:tc>
        <w:tc>
          <w:tcPr>
            <w:tcW w:type="dxa" w:w="1036"/>
            <w:vAlign w:val="top"/>
          </w:tcPr>
          <w:p>
            <w:pPr>
              <w:spacing w:after="40" w:before="0" w:line="259" w:lineRule="auto"/>
            </w:pPr>
            <w:r>
              <w:rPr>
                <w:rFonts w:ascii="Calibri" w:hAnsi="Calibri"/>
                <w:b w:val="0"/>
                <w:i w:val="0"/>
                <w:color w:val="212121"/>
                <w:sz w:val="16"/>
              </w:rPr>
              <w:t>Depressed patients, primary care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positive screen warrants full diagnostic assessment, not a diagnosis by itself</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Examination</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Appearance, psychomotor activity, speech, mood/affect, thought form/content, perception, insight</w:t>
            </w:r>
          </w:p>
        </w:tc>
        <w:tc>
          <w:tcPr>
            <w:tcW w:type="dxa" w:w="950"/>
            <w:vAlign w:val="top"/>
          </w:tcPr>
          <w:p>
            <w:pPr>
              <w:spacing w:after="40" w:before="0" w:line="259" w:lineRule="auto"/>
            </w:pPr>
            <w:r>
              <w:rPr>
                <w:rFonts w:ascii="Calibri" w:hAnsi="Calibri"/>
                <w:b w:val="0"/>
                <w:i w:val="0"/>
                <w:color w:val="212121"/>
                <w:sz w:val="16"/>
              </w:rPr>
              <w:t>Unremarkable MSE</w:t>
            </w:r>
          </w:p>
        </w:tc>
        <w:tc>
          <w:tcPr>
            <w:tcW w:type="dxa" w:w="950"/>
            <w:vAlign w:val="top"/>
          </w:tcPr>
          <w:p>
            <w:pPr>
              <w:spacing w:after="40" w:before="0" w:line="259" w:lineRule="auto"/>
            </w:pPr>
            <w:r>
              <w:rPr>
                <w:rFonts w:ascii="Calibri" w:hAnsi="Calibri"/>
                <w:b w:val="0"/>
                <w:i w:val="0"/>
                <w:color w:val="212121"/>
                <w:sz w:val="16"/>
              </w:rPr>
              <w:t>Pressured speech, flight of ideas, grandiose/paranoid delusions, labile affect, poor insight</w:t>
            </w:r>
          </w:p>
        </w:tc>
        <w:tc>
          <w:tcPr>
            <w:tcW w:type="dxa" w:w="1036"/>
            <w:vAlign w:val="top"/>
          </w:tcPr>
          <w:p>
            <w:pPr>
              <w:spacing w:after="40" w:before="0" w:line="259" w:lineRule="auto"/>
            </w:pPr>
            <w:r>
              <w:rPr>
                <w:rFonts w:ascii="Calibri" w:hAnsi="Calibri"/>
                <w:b w:val="0"/>
                <w:i w:val="0"/>
                <w:color w:val="212121"/>
                <w:sz w:val="16"/>
              </w:rPr>
              <w:t>Objectively documents the mood episode and any psychosis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Insight is characteristically poor during mania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Safety evaluation</w:t>
            </w:r>
          </w:p>
        </w:tc>
        <w:tc>
          <w:tcPr>
            <w:tcW w:type="dxa" w:w="979"/>
            <w:vAlign w:val="top"/>
          </w:tcPr>
          <w:p>
            <w:pPr>
              <w:spacing w:after="40" w:before="0" w:line="259" w:lineRule="auto"/>
            </w:pPr>
            <w:r>
              <w:rPr>
                <w:rFonts w:ascii="Calibri" w:hAnsi="Calibri"/>
                <w:b w:val="0"/>
                <w:i w:val="0"/>
                <w:color w:val="212121"/>
                <w:sz w:val="16"/>
              </w:rPr>
              <w:t>Suicidal/homicidal ideation, risk-taking, exploitation, capacity to consent</w:t>
            </w:r>
          </w:p>
        </w:tc>
        <w:tc>
          <w:tcPr>
            <w:tcW w:type="dxa" w:w="950"/>
            <w:vAlign w:val="top"/>
          </w:tcPr>
          <w:p>
            <w:pPr>
              <w:spacing w:after="40" w:before="0" w:line="259" w:lineRule="auto"/>
            </w:pPr>
            <w:r>
              <w:rPr>
                <w:rFonts w:ascii="Calibri" w:hAnsi="Calibri"/>
                <w:b w:val="0"/>
                <w:i w:val="0"/>
                <w:color w:val="212121"/>
                <w:sz w:val="16"/>
              </w:rPr>
              <w:t>No acute risk</w:t>
            </w:r>
          </w:p>
        </w:tc>
        <w:tc>
          <w:tcPr>
            <w:tcW w:type="dxa" w:w="950"/>
            <w:vAlign w:val="top"/>
          </w:tcPr>
          <w:p>
            <w:pPr>
              <w:spacing w:after="40" w:before="0" w:line="259" w:lineRule="auto"/>
            </w:pPr>
            <w:r>
              <w:rPr>
                <w:rFonts w:ascii="Calibri" w:hAnsi="Calibri"/>
                <w:b w:val="0"/>
                <w:i w:val="0"/>
                <w:color w:val="212121"/>
                <w:sz w:val="16"/>
              </w:rPr>
              <w:t>Active suicidality, dangerous behaviour, inability to self-care</w:t>
            </w:r>
          </w:p>
        </w:tc>
        <w:tc>
          <w:tcPr>
            <w:tcW w:type="dxa" w:w="1036"/>
            <w:vAlign w:val="top"/>
          </w:tcPr>
          <w:p>
            <w:pPr>
              <w:spacing w:after="40" w:before="0" w:line="259" w:lineRule="auto"/>
            </w:pPr>
            <w:r>
              <w:rPr>
                <w:rFonts w:ascii="Calibri" w:hAnsi="Calibri"/>
                <w:b w:val="0"/>
                <w:i w:val="0"/>
                <w:color w:val="212121"/>
                <w:sz w:val="16"/>
              </w:rPr>
              <w:t>Determines urgency and need for admission</w:t>
            </w:r>
          </w:p>
        </w:tc>
        <w:tc>
          <w:tcPr>
            <w:tcW w:type="dxa" w:w="1036"/>
            <w:vAlign w:val="top"/>
          </w:tcPr>
          <w:p>
            <w:pPr>
              <w:spacing w:after="40" w:before="0" w:line="259" w:lineRule="auto"/>
            </w:pPr>
            <w:r>
              <w:rPr>
                <w:rFonts w:ascii="Calibri" w:hAnsi="Calibri"/>
                <w:b w:val="0"/>
                <w:i w:val="0"/>
                <w:color w:val="212121"/>
                <w:sz w:val="16"/>
              </w:rPr>
              <w:t>Acute episodes, depressive phase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Suicide risk is highest in depressive and mixed states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 Neurological exam</w:t>
            </w:r>
          </w:p>
        </w:tc>
        <w:tc>
          <w:tcPr>
            <w:tcW w:type="dxa" w:w="950"/>
            <w:vAlign w:val="top"/>
          </w:tcPr>
          <w:p>
            <w:pPr>
              <w:spacing w:after="40" w:before="0" w:line="259" w:lineRule="auto"/>
            </w:pPr>
            <w:r>
              <w:rPr>
                <w:rFonts w:ascii="Calibri" w:hAnsi="Calibri"/>
                <w:b w:val="0"/>
                <w:i w:val="0"/>
                <w:color w:val="212121"/>
                <w:sz w:val="16"/>
              </w:rPr>
              <w:t>General &amp; neuro examination + vitals/anthropometry</w:t>
            </w:r>
          </w:p>
        </w:tc>
        <w:tc>
          <w:tcPr>
            <w:tcW w:type="dxa" w:w="979"/>
            <w:vAlign w:val="top"/>
          </w:tcPr>
          <w:p>
            <w:pPr>
              <w:spacing w:after="40" w:before="0" w:line="259" w:lineRule="auto"/>
            </w:pPr>
            <w:r>
              <w:rPr>
                <w:rFonts w:ascii="Calibri" w:hAnsi="Calibri"/>
                <w:b w:val="0"/>
                <w:i w:val="0"/>
                <w:color w:val="212121"/>
                <w:sz w:val="16"/>
              </w:rPr>
              <w:t>Thyroid signs, neurological deficits, weight, waist, BP</w:t>
            </w:r>
          </w:p>
        </w:tc>
        <w:tc>
          <w:tcPr>
            <w:tcW w:type="dxa" w:w="950"/>
            <w:vAlign w:val="top"/>
          </w:tcPr>
          <w:p>
            <w:pPr>
              <w:spacing w:after="40" w:before="0" w:line="259" w:lineRule="auto"/>
            </w:pPr>
            <w:r>
              <w:rPr>
                <w:rFonts w:ascii="Calibri" w:hAnsi="Calibri"/>
                <w:b w:val="0"/>
                <w:i w:val="0"/>
                <w:color w:val="212121"/>
                <w:sz w:val="16"/>
              </w:rPr>
              <w:t>Unremarkable; normal metabolic parameters</w:t>
            </w:r>
          </w:p>
        </w:tc>
        <w:tc>
          <w:tcPr>
            <w:tcW w:type="dxa" w:w="950"/>
            <w:vAlign w:val="top"/>
          </w:tcPr>
          <w:p>
            <w:pPr>
              <w:spacing w:after="40" w:before="0" w:line="259" w:lineRule="auto"/>
            </w:pPr>
            <w:r>
              <w:rPr>
                <w:rFonts w:ascii="Calibri" w:hAnsi="Calibri"/>
                <w:b w:val="0"/>
                <w:i w:val="0"/>
                <w:color w:val="212121"/>
                <w:sz w:val="16"/>
              </w:rPr>
              <w:t>Focal neuro signs, thyroid signs, obesity, raised BP</w:t>
            </w:r>
          </w:p>
        </w:tc>
        <w:tc>
          <w:tcPr>
            <w:tcW w:type="dxa" w:w="1036"/>
            <w:vAlign w:val="top"/>
          </w:tcPr>
          <w:p>
            <w:pPr>
              <w:spacing w:after="40" w:before="0" w:line="259" w:lineRule="auto"/>
            </w:pPr>
            <w:r>
              <w:rPr>
                <w:rFonts w:ascii="Calibri" w:hAnsi="Calibri"/>
                <w:b w:val="0"/>
                <w:i w:val="0"/>
                <w:color w:val="212121"/>
                <w:sz w:val="16"/>
              </w:rPr>
              <w:t>Excludes organic/secondary mania and establishes cardiometabolic baseline</w:t>
            </w:r>
          </w:p>
        </w:tc>
        <w:tc>
          <w:tcPr>
            <w:tcW w:type="dxa" w:w="1036"/>
            <w:vAlign w:val="top"/>
          </w:tcPr>
          <w:p>
            <w:pPr>
              <w:spacing w:after="40" w:before="0" w:line="259" w:lineRule="auto"/>
            </w:pPr>
            <w:r>
              <w:rPr>
                <w:rFonts w:ascii="Calibri" w:hAnsi="Calibri"/>
                <w:b w:val="0"/>
                <w:i w:val="0"/>
                <w:color w:val="212121"/>
                <w:sz w:val="16"/>
              </w:rPr>
              <w:t>Late-onset mania, all patients before pharmacotherapy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Exclusionary / Baseline</w:t>
            </w:r>
          </w:p>
        </w:tc>
        <w:tc>
          <w:tcPr>
            <w:tcW w:type="dxa" w:w="720"/>
            <w:vAlign w:val="top"/>
          </w:tcPr>
          <w:p>
            <w:pPr>
              <w:spacing w:after="40" w:before="0" w:line="259" w:lineRule="auto"/>
            </w:pPr>
            <w:r>
              <w:rPr>
                <w:rFonts w:ascii="Calibri" w:hAnsi="Calibri"/>
                <w:b w:val="0"/>
                <w:i w:val="0"/>
                <w:color w:val="212121"/>
                <w:sz w:val="16"/>
              </w:rPr>
              <w:t>Essential before starting lithium/antipsychotics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Elevated, expansive or irritable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feature of a manic or hypomanic episode; irritability may dominate rather than euphoria.</w:t>
            </w:r>
          </w:p>
        </w:tc>
      </w:tr>
      <w:tr>
        <w:trPr>
          <w:cantSplit/>
        </w:trPr>
        <w:tc>
          <w:tcPr>
            <w:tcW w:type="dxa" w:w="2304"/>
            <w:vAlign w:val="top"/>
          </w:tcPr>
          <w:p>
            <w:pPr>
              <w:spacing w:after="40" w:before="0" w:line="259" w:lineRule="auto"/>
            </w:pPr>
            <w:r>
              <w:rPr>
                <w:rFonts w:ascii="Calibri" w:hAnsi="Calibri"/>
                <w:b/>
                <w:i w:val="0"/>
                <w:color w:val="212121"/>
                <w:sz w:val="19"/>
              </w:rPr>
              <w:t>Decreased need for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Feels rested after only a few hours' sleep — a hallmark and early warning sign of mania.</w:t>
            </w:r>
          </w:p>
        </w:tc>
      </w:tr>
      <w:tr>
        <w:trPr>
          <w:cantSplit/>
        </w:trPr>
        <w:tc>
          <w:tcPr>
            <w:tcW w:type="dxa" w:w="2304"/>
            <w:vAlign w:val="top"/>
          </w:tcPr>
          <w:p>
            <w:pPr>
              <w:spacing w:after="40" w:before="0" w:line="259" w:lineRule="auto"/>
            </w:pPr>
            <w:r>
              <w:rPr>
                <w:rFonts w:ascii="Calibri" w:hAnsi="Calibri"/>
                <w:b/>
                <w:i w:val="0"/>
                <w:color w:val="212121"/>
                <w:sz w:val="19"/>
              </w:rPr>
              <w:t>Increased energy and goal-directed 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Overactivity, new projects, restlessness; a core diagnostic criterion for mania.</w:t>
            </w:r>
          </w:p>
        </w:tc>
      </w:tr>
      <w:tr>
        <w:trPr>
          <w:cantSplit/>
        </w:trPr>
        <w:tc>
          <w:tcPr>
            <w:tcW w:type="dxa" w:w="2304"/>
            <w:vAlign w:val="top"/>
          </w:tcPr>
          <w:p>
            <w:pPr>
              <w:spacing w:after="40" w:before="0" w:line="259" w:lineRule="auto"/>
            </w:pPr>
            <w:r>
              <w:rPr>
                <w:rFonts w:ascii="Calibri" w:hAnsi="Calibri"/>
                <w:b/>
                <w:i w:val="0"/>
                <w:color w:val="212121"/>
                <w:sz w:val="19"/>
              </w:rPr>
              <w:t>Grandiosity / inflated self-esteem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Exaggerated beliefs about one's abilities, importance or special powers; may become delusional.</w:t>
            </w:r>
          </w:p>
        </w:tc>
      </w:tr>
      <w:tr>
        <w:trPr>
          <w:cantSplit/>
        </w:trPr>
        <w:tc>
          <w:tcPr>
            <w:tcW w:type="dxa" w:w="2304"/>
            <w:vAlign w:val="top"/>
          </w:tcPr>
          <w:p>
            <w:pPr>
              <w:spacing w:after="40" w:before="0" w:line="259" w:lineRule="auto"/>
            </w:pPr>
            <w:r>
              <w:rPr>
                <w:rFonts w:ascii="Calibri" w:hAnsi="Calibri"/>
                <w:b/>
                <w:i w:val="0"/>
                <w:color w:val="212121"/>
                <w:sz w:val="19"/>
              </w:rPr>
              <w:t>Pressured, rapid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Fast, loud, hard-to-interrupt speech during elevated mood states.</w:t>
            </w:r>
          </w:p>
        </w:tc>
      </w:tr>
      <w:tr>
        <w:trPr>
          <w:cantSplit/>
        </w:trPr>
        <w:tc>
          <w:tcPr>
            <w:tcW w:type="dxa" w:w="2304"/>
            <w:vAlign w:val="top"/>
          </w:tcPr>
          <w:p>
            <w:pPr>
              <w:spacing w:after="40" w:before="0" w:line="259" w:lineRule="auto"/>
            </w:pPr>
            <w:r>
              <w:rPr>
                <w:rFonts w:ascii="Calibri" w:hAnsi="Calibri"/>
                <w:b/>
                <w:i w:val="0"/>
                <w:color w:val="212121"/>
                <w:sz w:val="19"/>
              </w:rPr>
              <w:t>Racing thoughts / flight of ideas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Thoughts move quickly from topic to topic; the person feels their mind is racing.</w:t>
            </w:r>
          </w:p>
        </w:tc>
      </w:tr>
      <w:tr>
        <w:trPr>
          <w:cantSplit/>
        </w:trPr>
        <w:tc>
          <w:tcPr>
            <w:tcW w:type="dxa" w:w="2304"/>
            <w:vAlign w:val="top"/>
          </w:tcPr>
          <w:p>
            <w:pPr>
              <w:spacing w:after="40" w:before="0" w:line="259" w:lineRule="auto"/>
            </w:pPr>
            <w:r>
              <w:rPr>
                <w:rFonts w:ascii="Calibri" w:hAnsi="Calibri"/>
                <w:b/>
                <w:i w:val="0"/>
                <w:color w:val="212121"/>
                <w:sz w:val="19"/>
              </w:rPr>
              <w:t>Distractibility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Attention is too easily drawn to irrelevant stimuli, impairing task completion.</w:t>
            </w:r>
          </w:p>
        </w:tc>
      </w:tr>
      <w:tr>
        <w:trPr>
          <w:cantSplit/>
        </w:trPr>
        <w:tc>
          <w:tcPr>
            <w:tcW w:type="dxa" w:w="2304"/>
            <w:vAlign w:val="top"/>
          </w:tcPr>
          <w:p>
            <w:pPr>
              <w:spacing w:after="40" w:before="0" w:line="259" w:lineRule="auto"/>
            </w:pPr>
            <w:r>
              <w:rPr>
                <w:rFonts w:ascii="Calibri" w:hAnsi="Calibri"/>
                <w:b/>
                <w:i w:val="0"/>
                <w:color w:val="212121"/>
                <w:sz w:val="19"/>
              </w:rPr>
              <w:t>Impulsivity and risk-taking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Overspending, hypersexuality, reckless driving, rash decisions with painful consequences.</w:t>
            </w:r>
          </w:p>
        </w:tc>
      </w:tr>
      <w:tr>
        <w:trPr>
          <w:cantSplit/>
        </w:trPr>
        <w:tc>
          <w:tcPr>
            <w:tcW w:type="dxa" w:w="2304"/>
            <w:vAlign w:val="top"/>
          </w:tcPr>
          <w:p>
            <w:pPr>
              <w:spacing w:after="40" w:before="0" w:line="259" w:lineRule="auto"/>
            </w:pPr>
            <w:r>
              <w:rPr>
                <w:rFonts w:ascii="Calibri" w:hAnsi="Calibri"/>
                <w:b/>
                <w:i w:val="0"/>
                <w:color w:val="212121"/>
                <w:sz w:val="19"/>
              </w:rPr>
              <w:t>Persistent low mood and anhedonia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features of the depressive phase, which accounts for most of the disability and suicide risk.</w:t>
            </w:r>
          </w:p>
        </w:tc>
      </w:tr>
      <w:tr>
        <w:trPr>
          <w:cantSplit/>
        </w:trPr>
        <w:tc>
          <w:tcPr>
            <w:tcW w:type="dxa" w:w="2304"/>
            <w:vAlign w:val="top"/>
          </w:tcPr>
          <w:p>
            <w:pPr>
              <w:spacing w:after="40" w:before="0" w:line="259" w:lineRule="auto"/>
            </w:pPr>
            <w:r>
              <w:rPr>
                <w:rFonts w:ascii="Calibri" w:hAnsi="Calibri"/>
                <w:b/>
                <w:i w:val="0"/>
                <w:color w:val="212121"/>
                <w:sz w:val="19"/>
              </w:rPr>
              <w:t>Fatigue and psychomotor slowing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energy and slowed movement/thinking during depressive episodes.</w:t>
            </w:r>
          </w:p>
        </w:tc>
      </w:tr>
      <w:tr>
        <w:trPr>
          <w:cantSplit/>
        </w:trPr>
        <w:tc>
          <w:tcPr>
            <w:tcW w:type="dxa" w:w="2304"/>
            <w:vAlign w:val="top"/>
          </w:tcPr>
          <w:p>
            <w:pPr>
              <w:spacing w:after="40" w:before="0" w:line="259" w:lineRule="auto"/>
            </w:pPr>
            <w:r>
              <w:rPr>
                <w:rFonts w:ascii="Calibri" w:hAnsi="Calibri"/>
                <w:b/>
                <w:i w:val="0"/>
                <w:color w:val="212121"/>
                <w:sz w:val="19"/>
              </w:rPr>
              <w:t>Sleep and appetite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Insomnia or hypersomnia and appetite/weight change during depression.</w:t>
            </w:r>
          </w:p>
        </w:tc>
      </w:tr>
      <w:tr>
        <w:trPr>
          <w:cantSplit/>
        </w:trPr>
        <w:tc>
          <w:tcPr>
            <w:tcW w:type="dxa" w:w="2304"/>
            <w:vAlign w:val="top"/>
          </w:tcPr>
          <w:p>
            <w:pPr>
              <w:spacing w:after="40" w:before="0" w:line="259" w:lineRule="auto"/>
            </w:pPr>
            <w:r>
              <w:rPr>
                <w:rFonts w:ascii="Calibri" w:hAnsi="Calibri"/>
                <w:b/>
                <w:i w:val="0"/>
                <w:color w:val="212121"/>
                <w:sz w:val="19"/>
              </w:rPr>
              <w:t>Suicidal ideation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Thoughts of death or suicide, most frequent in depressive and mixed states; requires urgent assessment.</w:t>
            </w:r>
          </w:p>
        </w:tc>
      </w:tr>
      <w:tr>
        <w:trPr>
          <w:cantSplit/>
        </w:trPr>
        <w:tc>
          <w:tcPr>
            <w:tcW w:type="dxa" w:w="2304"/>
            <w:vAlign w:val="top"/>
          </w:tcPr>
          <w:p>
            <w:pPr>
              <w:spacing w:after="40" w:before="0" w:line="259" w:lineRule="auto"/>
            </w:pPr>
            <w:r>
              <w:rPr>
                <w:rFonts w:ascii="Calibri" w:hAnsi="Calibri"/>
                <w:b/>
                <w:i w:val="0"/>
                <w:color w:val="212121"/>
                <w:sz w:val="19"/>
              </w:rPr>
              <w:t>Psychotic symptoms (delusions/hallucinations)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Mood-congruent grandiose (manic) or nihilistic (depressive) delusions define severe episodes / Bipolar I.</w:t>
            </w:r>
          </w:p>
        </w:tc>
      </w:tr>
      <w:tr>
        <w:trPr>
          <w:cantSplit/>
        </w:trPr>
        <w:tc>
          <w:tcPr>
            <w:tcW w:type="dxa" w:w="2304"/>
            <w:vAlign w:val="top"/>
          </w:tcPr>
          <w:p>
            <w:pPr>
              <w:spacing w:after="40" w:before="0" w:line="259" w:lineRule="auto"/>
            </w:pPr>
            <w:r>
              <w:rPr>
                <w:rFonts w:ascii="Calibri" w:hAnsi="Calibri"/>
                <w:b/>
                <w:i w:val="0"/>
                <w:color w:val="212121"/>
                <w:sz w:val="19"/>
              </w:rPr>
              <w:t>Catatonic features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Stupor, mutism, posturing or excitement can occur in severe mood episodes and needs specific treatment.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Psychomotor agitation / increased activity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Restlessness, pacing and heightened activity observed during mania.</w:t>
            </w:r>
          </w:p>
        </w:tc>
      </w:tr>
      <w:tr>
        <w:trPr>
          <w:cantSplit/>
        </w:trPr>
        <w:tc>
          <w:tcPr>
            <w:tcW w:type="dxa" w:w="3456"/>
            <w:vAlign w:val="top"/>
          </w:tcPr>
          <w:p>
            <w:pPr>
              <w:spacing w:after="40" w:before="0" w:line="259" w:lineRule="auto"/>
            </w:pPr>
            <w:r>
              <w:rPr>
                <w:rFonts w:ascii="Calibri" w:hAnsi="Calibri"/>
                <w:b/>
                <w:i w:val="0"/>
                <w:color w:val="212121"/>
                <w:sz w:val="19"/>
              </w:rPr>
              <w:t>Pressured speech (increased rate and volume)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Objectively fast, loud, hard-to-interrupt speech on interview.</w:t>
            </w:r>
          </w:p>
        </w:tc>
      </w:tr>
      <w:tr>
        <w:trPr>
          <w:cantSplit/>
        </w:trPr>
        <w:tc>
          <w:tcPr>
            <w:tcW w:type="dxa" w:w="3456"/>
            <w:vAlign w:val="top"/>
          </w:tcPr>
          <w:p>
            <w:pPr>
              <w:spacing w:after="40" w:before="0" w:line="259" w:lineRule="auto"/>
            </w:pPr>
            <w:r>
              <w:rPr>
                <w:rFonts w:ascii="Calibri" w:hAnsi="Calibri"/>
                <w:b/>
                <w:i w:val="0"/>
                <w:color w:val="212121"/>
                <w:sz w:val="19"/>
              </w:rPr>
              <w:t>Flight of ideas / tangential thought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rapid, loosely connected shifts between topics.</w:t>
            </w:r>
          </w:p>
        </w:tc>
      </w:tr>
      <w:tr>
        <w:trPr>
          <w:cantSplit/>
        </w:trPr>
        <w:tc>
          <w:tcPr>
            <w:tcW w:type="dxa" w:w="3456"/>
            <w:vAlign w:val="top"/>
          </w:tcPr>
          <w:p>
            <w:pPr>
              <w:spacing w:after="40" w:before="0" w:line="259" w:lineRule="auto"/>
            </w:pPr>
            <w:r>
              <w:rPr>
                <w:rFonts w:ascii="Calibri" w:hAnsi="Calibri"/>
                <w:b/>
                <w:i w:val="0"/>
                <w:color w:val="212121"/>
                <w:sz w:val="19"/>
              </w:rPr>
              <w:t>Distractibility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Attention repeatedly captured by irrelevant stimuli during assessment.</w:t>
            </w:r>
          </w:p>
        </w:tc>
      </w:tr>
      <w:tr>
        <w:trPr>
          <w:cantSplit/>
        </w:trPr>
        <w:tc>
          <w:tcPr>
            <w:tcW w:type="dxa" w:w="3456"/>
            <w:vAlign w:val="top"/>
          </w:tcPr>
          <w:p>
            <w:pPr>
              <w:spacing w:after="40" w:before="0" w:line="259" w:lineRule="auto"/>
            </w:pPr>
            <w:r>
              <w:rPr>
                <w:rFonts w:ascii="Calibri" w:hAnsi="Calibri"/>
                <w:b/>
                <w:i w:val="0"/>
                <w:color w:val="212121"/>
                <w:sz w:val="19"/>
              </w:rPr>
              <w:t>Elevated, expansive or labile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Euphoric, over-familiar or rapidly shifting affect; irritability when thwarted.</w:t>
            </w:r>
          </w:p>
        </w:tc>
      </w:tr>
      <w:tr>
        <w:trPr>
          <w:cantSplit/>
        </w:trPr>
        <w:tc>
          <w:tcPr>
            <w:tcW w:type="dxa" w:w="3456"/>
            <w:vAlign w:val="top"/>
          </w:tcPr>
          <w:p>
            <w:pPr>
              <w:spacing w:after="40" w:before="0" w:line="259" w:lineRule="auto"/>
            </w:pPr>
            <w:r>
              <w:rPr>
                <w:rFonts w:ascii="Calibri" w:hAnsi="Calibri"/>
                <w:b/>
                <w:i w:val="0"/>
                <w:color w:val="212121"/>
                <w:sz w:val="19"/>
              </w:rPr>
              <w:t>Impaired insight and judgment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mania; the patient often denies being unwell, complicating consent and adherence.</w:t>
            </w:r>
          </w:p>
        </w:tc>
      </w:tr>
      <w:tr>
        <w:trPr>
          <w:cantSplit/>
        </w:trPr>
        <w:tc>
          <w:tcPr>
            <w:tcW w:type="dxa" w:w="3456"/>
            <w:vAlign w:val="top"/>
          </w:tcPr>
          <w:p>
            <w:pPr>
              <w:spacing w:after="40" w:before="0" w:line="259" w:lineRule="auto"/>
            </w:pPr>
            <w:r>
              <w:rPr>
                <w:rFonts w:ascii="Calibri" w:hAnsi="Calibri"/>
                <w:b/>
                <w:i w:val="0"/>
                <w:color w:val="212121"/>
                <w:sz w:val="19"/>
              </w:rPr>
              <w:t>Psychomotor retardation (depressive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Slowed movements, speech and reactions, downcast gaze during depression.</w:t>
            </w:r>
          </w:p>
        </w:tc>
      </w:tr>
      <w:tr>
        <w:trPr>
          <w:cantSplit/>
        </w:trPr>
        <w:tc>
          <w:tcPr>
            <w:tcW w:type="dxa" w:w="3456"/>
            <w:vAlign w:val="top"/>
          </w:tcPr>
          <w:p>
            <w:pPr>
              <w:spacing w:after="40" w:before="0" w:line="259" w:lineRule="auto"/>
            </w:pPr>
            <w:r>
              <w:rPr>
                <w:rFonts w:ascii="Calibri" w:hAnsi="Calibri"/>
                <w:b/>
                <w:i w:val="0"/>
                <w:color w:val="212121"/>
                <w:sz w:val="19"/>
              </w:rPr>
              <w:t>Neglected self-care and hygiene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Deterioration in grooming during both manic disorganisation and depressive states.</w:t>
            </w:r>
          </w:p>
        </w:tc>
      </w:tr>
      <w:tr>
        <w:trPr>
          <w:cantSplit/>
        </w:trPr>
        <w:tc>
          <w:tcPr>
            <w:tcW w:type="dxa" w:w="3456"/>
            <w:vAlign w:val="top"/>
          </w:tcPr>
          <w:p>
            <w:pPr>
              <w:spacing w:after="40" w:before="0" w:line="259" w:lineRule="auto"/>
            </w:pPr>
            <w:r>
              <w:rPr>
                <w:rFonts w:ascii="Calibri" w:hAnsi="Calibri"/>
                <w:b/>
                <w:i w:val="0"/>
                <w:color w:val="212121"/>
                <w:sz w:val="19"/>
              </w:rPr>
              <w:t>Grandiose or paranoid delusions / hallucinations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psychotic mood episodes, more typical of Bipolar I.</w:t>
            </w:r>
          </w:p>
        </w:tc>
      </w:tr>
      <w:tr>
        <w:trPr>
          <w:cantSplit/>
        </w:trPr>
        <w:tc>
          <w:tcPr>
            <w:tcW w:type="dxa" w:w="3456"/>
            <w:vAlign w:val="top"/>
          </w:tcPr>
          <w:p>
            <w:pPr>
              <w:spacing w:after="40" w:before="0" w:line="259" w:lineRule="auto"/>
            </w:pPr>
            <w:r>
              <w:rPr>
                <w:rFonts w:ascii="Calibri" w:hAnsi="Calibri"/>
                <w:b/>
                <w:i w:val="0"/>
                <w:color w:val="212121"/>
                <w:sz w:val="19"/>
              </w:rPr>
              <w:t>Weight gain and metabolic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BMI, waist circumference and BP — often treatment-related — reflecting cardiometabolic risk.</w:t>
            </w:r>
          </w:p>
        </w:tc>
      </w:tr>
      <w:tr>
        <w:trPr>
          <w:cantSplit/>
        </w:trPr>
        <w:tc>
          <w:tcPr>
            <w:tcW w:type="dxa" w:w="3456"/>
            <w:vAlign w:val="top"/>
          </w:tcPr>
          <w:p>
            <w:pPr>
              <w:spacing w:after="40" w:before="0" w:line="259" w:lineRule="auto"/>
            </w:pPr>
            <w:r>
              <w:rPr>
                <w:rFonts w:ascii="Calibri" w:hAnsi="Calibri"/>
                <w:b/>
                <w:i w:val="0"/>
                <w:color w:val="212121"/>
                <w:sz w:val="19"/>
              </w:rPr>
              <w:t>Catatonic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Stupor, mutism, waxy flexibility or posturing in severe episodes.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and completed suicide — among the highest of any psychiatric disorder, greatest in depressive and mixed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Deliberate self-harm and injuries/accidents from manic risk-taking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psychosis requiring emergency hospitalisation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judgment leading to financial ruin, legal problems, hypersexual and reckless behaviour</w:t>
            </w:r>
          </w:p>
        </w:tc>
        <w:tc>
          <w:tcPr>
            <w:tcW w:type="dxa" w:w="2980"/>
            <w:vAlign w:val="top"/>
          </w:tcPr>
          <w:p>
            <w:pPr>
              <w:spacing w:after="40" w:before="0" w:line="259" w:lineRule="auto"/>
            </w:pPr>
            <w:r>
              <w:rPr>
                <w:rFonts w:ascii="Calibri" w:hAnsi="Calibri"/>
                <w:b w:val="0"/>
                <w:i w:val="0"/>
                <w:color w:val="212121"/>
                <w:sz w:val="19"/>
              </w:rPr>
              <w:t>Direct, acute consequences of manic, depressive and mixed episodes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obesity, type 2 diabetes and dyslipidaemia (illness plus medication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substance use and tobacco-related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Lithium-related: hypothyroidism, chronic kidney disease, hyperparathyroidism/hypercalcaemia, nephrogenic diabetes insipidus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Valproate-related: weight gain, polycystic ovary syndrome and teratogenicity; carbamazepine-related hyponatraemia/marrow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Inter-episode cognitive impairment (attention, memory, executive function)</w:t>
            </w:r>
          </w:p>
        </w:tc>
        <w:tc>
          <w:tcPr>
            <w:tcW w:type="dxa" w:w="2980"/>
            <w:vAlign w:val="top"/>
          </w:tcPr>
          <w:p>
            <w:pPr>
              <w:spacing w:after="40" w:before="0" w:line="259" w:lineRule="auto"/>
            </w:pPr>
            <w:r>
              <w:rPr>
                <w:rFonts w:ascii="Calibri" w:hAnsi="Calibri"/>
                <w:b w:val="0"/>
                <w:i w:val="0"/>
                <w:color w:val="212121"/>
                <w:sz w:val="19"/>
              </w:rPr>
              <w:t>Arise from chronic illness, comorbidity and the side-effects of long-term pharmacotherapy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 life expectancy reduced by ~13 years, mainly from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occupational disability, unemployment and downward social drift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Marital/relationship breakdown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resistance and rapid-cycling course with frequent relapses and admissions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functional decline and dependence</w:t>
            </w:r>
          </w:p>
        </w:tc>
        <w:tc>
          <w:tcPr>
            <w:tcW w:type="dxa" w:w="2980"/>
            <w:vAlign w:val="top"/>
          </w:tcPr>
          <w:p>
            <w:pPr>
              <w:spacing w:after="40" w:before="0" w:line="259" w:lineRule="auto"/>
            </w:pPr>
            <w:r>
              <w:rPr>
                <w:rFonts w:ascii="Calibri" w:hAnsi="Calibri"/>
                <w:b w:val="0"/>
                <w:i w:val="0"/>
                <w:color w:val="212121"/>
                <w:sz w:val="19"/>
              </w:rPr>
              <w:t>Irreversible, disabling long-term outcomes of recurrent, inadequately treated illness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Roughly double the background rate; results from shared biology plus the metabolic effects of antipsychotics and valproate, and is the pathway to premature cardiovascular death.</w:t>
            </w:r>
          </w:p>
          <w:p>
            <w:pPr>
              <w:spacing w:after="40" w:before="0" w:line="259" w:lineRule="auto"/>
            </w:pPr>
            <w:r>
              <w:rPr>
                <w:rFonts w:ascii="Calibri" w:hAnsi="Calibri"/>
                <w:b/>
                <w:i w:val="0"/>
                <w:color w:val="212121"/>
                <w:sz w:val="19"/>
              </w:rPr>
              <w:t>~37%</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Driven by illness-related lifestyle factors and the appetite/weight effects of psychotropics; worsens mood outcomes, self-esteem and cardiometabolic risk.</w:t>
            </w:r>
          </w:p>
          <w:p>
            <w:pPr>
              <w:spacing w:after="40" w:before="0" w:line="259" w:lineRule="auto"/>
            </w:pPr>
            <w:r>
              <w:rPr>
                <w:rFonts w:ascii="Calibri" w:hAnsi="Calibri"/>
                <w:b/>
                <w:i w:val="0"/>
                <w:color w:val="212121"/>
                <w:sz w:val="19"/>
              </w:rPr>
              <w:t>~21%</w:t>
            </w:r>
          </w:p>
        </w:tc>
      </w:tr>
      <w:tr>
        <w:trPr>
          <w:cantSplit/>
        </w:trPr>
        <w:tc>
          <w:tcPr>
            <w:tcW w:type="dxa" w:w="2232"/>
            <w:vAlign w:val="top"/>
          </w:tcPr>
          <w:p>
            <w:pPr>
              <w:spacing w:after="40" w:before="0" w:line="259" w:lineRule="auto"/>
            </w:pPr>
            <w:r>
              <w:rPr>
                <w:rFonts w:ascii="Calibri" w:hAnsi="Calibri"/>
                <w:b/>
                <w:i w:val="0"/>
                <w:color w:val="212121"/>
                <w:sz w:val="19"/>
              </w:rPr>
              <w:t>Tobacco use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Far above general-population rates; a major contributor to excess cardiovascular mortality and an interactant with the metabolism of some antipsychotics.</w:t>
            </w:r>
          </w:p>
          <w:p>
            <w:pPr>
              <w:spacing w:after="40" w:before="0" w:line="259" w:lineRule="auto"/>
            </w:pPr>
            <w:r>
              <w:rPr>
                <w:rFonts w:ascii="Calibri" w:hAnsi="Calibri"/>
                <w:b/>
                <w:i w:val="0"/>
                <w:color w:val="212121"/>
                <w:sz w:val="19"/>
              </w:rPr>
              <w:t>~45%</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Among the commonest comorbidities; predict earlier onset, greater severity and treatment resistance, and complicate use of antidepressants which can destabilise mood.</w:t>
            </w:r>
          </w:p>
        </w:tc>
      </w:tr>
      <w:tr>
        <w:trPr>
          <w:cantSplit/>
        </w:trPr>
        <w:tc>
          <w:tcPr>
            <w:tcW w:type="dxa" w:w="2232"/>
            <w:vAlign w:val="top"/>
          </w:tcPr>
          <w:p>
            <w:pPr>
              <w:spacing w:after="40" w:before="0" w:line="259" w:lineRule="auto"/>
            </w:pPr>
            <w:r>
              <w:rPr>
                <w:rFonts w:ascii="Calibri" w:hAnsi="Calibri"/>
                <w:b/>
                <w:i w:val="0"/>
                <w:color w:val="212121"/>
                <w:sz w:val="19"/>
              </w:rPr>
              <w:t>Substance use disorder (alcohol, cannabis, stimulants)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precipitates manic switches, impairs adherence and judgment and sharply increases suicide risk; requires integrated dual-diagnosis treatment.</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at roughly twice the background rate through shared insulin-resistance/inflammatory pathways and antipsychotic/valproate-induced dysglycaemia; part of routine cardiometabolic monitoring.</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the ~13-year reduction in life expectancy; driven by clustering of smoking, obesity, diabetes and dyslipidaemia plus treatment effects.</w:t>
            </w:r>
          </w:p>
        </w:tc>
      </w:tr>
      <w:tr>
        <w:trPr>
          <w:cantSplit/>
        </w:trPr>
        <w:tc>
          <w:tcPr>
            <w:tcW w:type="dxa" w:w="2232"/>
            <w:vAlign w:val="top"/>
          </w:tcPr>
          <w:p>
            <w:pPr>
              <w:spacing w:after="40" w:before="0" w:line="259" w:lineRule="auto"/>
            </w:pPr>
            <w:r>
              <w:rPr>
                <w:rFonts w:ascii="Calibri" w:hAnsi="Calibri"/>
                <w:b/>
                <w:i w:val="0"/>
                <w:color w:val="212121"/>
                <w:sz w:val="19"/>
              </w:rPr>
              <w:t>Thyroid dysfunction (hypothyroidism)</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 mimic or precipitate mood episodes and rapid cycling; long-term lithium frequently induces hypothyroidism, mandating thyroid monitoring.</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Co-occurs more often than expected, particularly in Bipolar II and in women, sharing possible neurovascular/ion-channel mechanisms and influencing drug choice (e.g. valproate, topiramate).</w:t>
            </w:r>
          </w:p>
        </w:tc>
      </w:tr>
      <w:tr>
        <w:trPr>
          <w:cantSplit/>
        </w:trPr>
        <w:tc>
          <w:tcPr>
            <w:tcW w:type="dxa" w:w="2232"/>
            <w:vAlign w:val="top"/>
          </w:tcPr>
          <w:p>
            <w:pPr>
              <w:spacing w:after="40" w:before="0" w:line="259" w:lineRule="auto"/>
            </w:pPr>
            <w:r>
              <w:rPr>
                <w:rFonts w:ascii="Calibri" w:hAnsi="Calibri"/>
                <w:b/>
                <w:i w:val="0"/>
                <w:color w:val="212121"/>
                <w:sz w:val="19"/>
              </w:rPr>
              <w:t>Attention-deficit/hyperactivity disorder (ADHD)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comorbid, especially with childhood-onset illness; overlapping features complicate diagnosis and stimulant treatment must be balanced against manic-switch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bipolar disorder is a lifelong, highly treatable medical illness of mood regulation, not a character flaw or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personal early warning signs of a switch — especially reduced need for sleep, racing thoughts, overspending or rising irritability — and act on a written relapse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mood-stabilising medication exactly as prescribed and never stop abruptly; most relapses follow discontinuation.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daily routine and stable sleep-wake schedule (social-rhythm regularity) to protect against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psychoeducation so they can support treatment, recognise warning signs and avoid high expressed-emotion conflict.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unsupervised antidepressants, corticosteroids, stimulants and recreational drugs, which can trigger mania.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early during pregnancy planning and the postpartum period, a very high-risk window for severe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offspring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150 minutes/week of moderate aerobic activity such as brisk walking, cycling or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preserve muscle and counter medication-related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daytime exercise and avoid vigorous late-evening workouts that can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new or intense exercise gradually, as sudden over-activity can occasionally trigger hypomania.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to structure the day and improve mood, sleep and cardiometabolic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antipsychotics/valproate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exercise as an evidence-based adjunct to reduce depressive symptoms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waist circumference and blood pressure regularly as part of cardiometabolic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gradually progressive goals during depressive phases when motivation and energy are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physical activity with metabolic monitoring for patients on weight-inducing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the depressive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pulses, vegetables, fruit and lean protein to limit weight gain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high-sugar and high-fat foods and sugar-sweetened/energy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patients on lithium, keep salt and fluid intake steady — avoid sudden low-salt diets, fasting or dehydration, which raise lithium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especially in hot weather or during illness with vomiting or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and avoid it after mid-afternoon to protect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lithium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fixed sleep and wake time every day, including weekends, to stabilise the biological clock.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7–9 hours of sleep and treat insomnia early — sleep loss is a leading trigger of mania.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Wherever possible avoid night and rotating shifts, all-nighters and long-haul jet lag; if unavoidable, plan recovery sleep and light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reduce evening screen and caffeine use, and keep the bedroom dark and quiet.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 sudden drop in the need for sleep as an early warning sign and contact the treating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sleep and social-rhythm strategies (interpersonal and social rhythm therapy) as part of relapse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emerging insomnia or reduced sleep need promptly, as it may signal an impending manic switch.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clinician guidance on short-term sleep aids during acute episodes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Re-establish a regular routine quickly after any disruption such as travel or shift changes.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an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Rapid-cycling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and encourage smoking cessation, given the high smoking rates and cardiovascular mortality in bipolar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therapy or approved pharmacotherapy with clinician support and mood monitoring during quit attempts.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stopping smoking can raise blood levels of some antipsychotics (e.g. olanzapine), so doses may need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behavioural support and relapse-prevention counselling.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BPAD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olanzapine/clozapine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abstinence from alcohol and recreational drugs, which precipitate mood switches and impair adherence and judgment.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alcohol, cannabis and stimulant use and provide integrated dual-diagnosis treatment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sharply increased suicide risk when substance use is combined with bipolar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with lithium, valproate and sedating psychotropics because of additive and toxic effects.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substance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on mood stabilisers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High-risk/impulsive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mood-stabilising medication with psychoeducation, cognitive-behavioural therapy and family-focused therapy to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 a written relapse-prevention/crisis plan listing personal warning signs, triggers and emergency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with structured problem-solving, mindfulness and routine, and address comorbid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suicide risk at every review and ensure rapid access to care during depressive and mixed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and blood-level/metabolic monitoring, and reduce stigma to support long-term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depressive/mixed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mh.nih.gov/health/statistics/bipolar-disorder" TargetMode="External"/><Relationship Id="rId10" Type="http://schemas.openxmlformats.org/officeDocument/2006/relationships/hyperlink" Target="https://pubmed.ncbi.nlm.nih.gov/38298870/" TargetMode="External"/><Relationship Id="rId11" Type="http://schemas.openxmlformats.org/officeDocument/2006/relationships/hyperlink" Target="https://pubmed.ncbi.nlm.nih.gov/38249146/" TargetMode="External"/><Relationship Id="rId12" Type="http://schemas.openxmlformats.org/officeDocument/2006/relationships/hyperlink" Target="https://pubmed.ncbi.nlm.nih.gov/37815563/" TargetMode="External"/><Relationship Id="rId13" Type="http://schemas.openxmlformats.org/officeDocument/2006/relationships/hyperlink" Target="https://www.who.int/news-room/fact-sheets/detail/bipolar-dis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