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Schizophrenia &amp; Psychotic Disorders</w:t>
      </w:r>
    </w:p>
    <w:p>
      <w:pPr>
        <w:spacing w:before="0" w:after="160"/>
      </w:pPr>
      <w:r>
        <w:rPr>
          <w:rFonts w:ascii="Calibri" w:hAnsi="Calibri"/>
          <w:b/>
          <w:i w:val="0"/>
          <w:color w:val="212121"/>
          <w:sz w:val="22"/>
        </w:rPr>
        <w:t xml:space="preserve">AKA </w:t>
      </w:r>
      <w:r>
        <w:rPr>
          <w:rFonts w:ascii="Calibri" w:hAnsi="Calibri"/>
          <w:b w:val="0"/>
          <w:i w:val="0"/>
          <w:color w:val="212121"/>
          <w:sz w:val="22"/>
        </w:rPr>
        <w:t>i.e., Psychosis, Schizophrenia spectrum disorders, Psychotic illness; historically “dementia praecox”; lay terms include “paagalpan”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Schizophrenia is a chronic, severe psychiatric disorder marked by a fundamental disturbance of thought, perception, emotion and behaviour, in which the person loses contact with reality (psychosis). It presents with “positive” symptoms (hallucinations, delusions, disorganised speech and behaviour), “negative” symptoms (blunted affect, avolition, social withdrawal) and cognitive impairment. “Psychotic disorders” is the broader spectrum that also includes schizophreniform, schizoaffective, brief psychotic and delusional disorders, and substance- or medical-condition-induced psychosis. Onset is typically in late adolescence to early adulthood, and the course is often chronic with functional decline.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the current (point) prevalence of schizophrenia spectrum disorders is approximately 0.42% and the lifetime prevalence about 1.41% — roughly 1 in 70 Indians affected over a lifetime (National Mental Health Survey, population-based data). The treatment gap is very high at about 72%, rising to over 83% in urban non-metro areas. Globally the disorder affects around 24 million people (≈0.29% of the population; ≈0.43% of adults).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Schizophrenia is a clinical diagnosis based on DSM-5 / ICD-11 criteria after excluding organic and substance-induced causes; there is no confirmatory laboratory test. Diagnosis requires: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 or more of the following present for a significant portion of at least one month (active phase): delusions, hallucinations, disorganised speech, grossly disorganised or catatonic behaviour, and negative symptoms — with at least one being delusions, hallucinations or disorganised speech;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continuous signs of disturbance persisting for at least six months (DSM-5), including prodromal or residual phases;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marked decline in functioning (work, interpersonal relations or self-care) below the premorbid level;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schizoaffective disorder and mood disorder with psychotic features have been excluded;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not attributable to a substance (e.g., cannabis, amphetamines) or another medical condition — confirmed by history, urine drug screen and appropriate biochemical / neuroimaging workup.</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 DSM-5, schizophrenia sits within the “Schizophrenia Spectrum and Other Psychotic Disorders”, graded along a continuum of severity and duration. The major categories are:</w:t>
      </w:r>
    </w:p>
    <w:p>
      <w:pPr>
        <w:spacing w:before="0" w:after="80"/>
      </w:pPr>
      <w:r>
        <w:rPr>
          <w:rFonts w:ascii="Calibri" w:hAnsi="Calibri"/>
          <w:b w:val="0"/>
          <w:i w:val="0"/>
          <w:color w:val="212121"/>
          <w:sz w:val="21"/>
        </w:rPr>
        <w:t>(1) Schizophrenia — the prototypical disorder with active-phase symptoms and continuous disturbance for ≥6 months;</w:t>
      </w:r>
    </w:p>
    <w:p>
      <w:pPr>
        <w:spacing w:before="0" w:after="80"/>
      </w:pPr>
      <w:r>
        <w:rPr>
          <w:rFonts w:ascii="Calibri" w:hAnsi="Calibri"/>
          <w:b w:val="0"/>
          <w:i w:val="0"/>
          <w:color w:val="212121"/>
          <w:sz w:val="21"/>
        </w:rPr>
        <w:t>(2) Schizophreniform disorder — identical symptom picture but total duration of 1–6 months (a provisional diagnosis pending recovery or progression);</w:t>
      </w:r>
    </w:p>
    <w:p>
      <w:pPr>
        <w:spacing w:before="0" w:after="80"/>
      </w:pPr>
      <w:r>
        <w:rPr>
          <w:rFonts w:ascii="Calibri" w:hAnsi="Calibri"/>
          <w:b w:val="0"/>
          <w:i w:val="0"/>
          <w:color w:val="212121"/>
          <w:sz w:val="21"/>
        </w:rPr>
        <w:t>(3) Schizoaffective disorder — concurrent mood episode (depressive or manic) with psychosis, plus ≥2 weeks of psychosis without prominent mood symptoms;</w:t>
      </w:r>
    </w:p>
    <w:p>
      <w:pPr>
        <w:spacing w:before="0" w:after="80"/>
      </w:pPr>
      <w:r>
        <w:rPr>
          <w:rFonts w:ascii="Calibri" w:hAnsi="Calibri"/>
          <w:b w:val="0"/>
          <w:i w:val="0"/>
          <w:color w:val="212121"/>
          <w:sz w:val="21"/>
        </w:rPr>
        <w:t>(4) Brief psychotic disorder — sudden psychotic symptoms lasting &gt;1 day but &lt;1 month with full return to baseline (often stress- or postpartum-related);</w:t>
      </w:r>
    </w:p>
    <w:p>
      <w:pPr>
        <w:spacing w:before="0" w:after="80"/>
      </w:pPr>
      <w:r>
        <w:rPr>
          <w:rFonts w:ascii="Calibri" w:hAnsi="Calibri"/>
          <w:b w:val="0"/>
          <w:i w:val="0"/>
          <w:color w:val="212121"/>
          <w:sz w:val="21"/>
        </w:rPr>
        <w:t>(5) Delusional disorder — one or more fixed delusions for ≥1 month without other active-phase symptoms and with relatively preserved functioning;</w:t>
      </w:r>
    </w:p>
    <w:p>
      <w:pPr>
        <w:spacing w:before="0" w:after="80"/>
      </w:pPr>
      <w:r>
        <w:rPr>
          <w:rFonts w:ascii="Calibri" w:hAnsi="Calibri"/>
          <w:b w:val="0"/>
          <w:i w:val="0"/>
          <w:color w:val="212121"/>
          <w:sz w:val="21"/>
        </w:rPr>
        <w:t>(6) Substance/medication-induced psychotic disorder and psychotic disorder due to another medical condition — e.g., cannabis-, amphetamine- or steroid-induced psychosis, or psychosis from temporal-lobe epilepsy, encephalitis or thyroid disease. ICD-11 has removed the classical subtypes (paranoid, hebephrenic, catatonic, undifferentiated) in favour of rating symptom dimensions (positive, negative, cognitive, mood, psychomotor).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Highly heritable (≈ 79% in twin studies) and polygenic; risk rises steeply with the closeness and number of affected relatives.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Neurodevelopmental insults: Obstetric and perinatal complications, maternal infection, prenatal malnutrition and hypoxia disturb early brain development and raise later risk.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Neurochemical dysregulation: Mesolimbic dopamine hyperactivity underlies positive symptoms, with prefrontal dopamine hypoactivity and NMDA-receptor (glutamate) hypofunction contributing to negative and cognitive features.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Cannabis and substance use: Regular, heavy or high-potency cannabis use in adolescence is a robust, dose-dependent risk factor that can precipitate psychosis in vulnerable individuals.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Psychosocial and environmental stress: Urban upbringing, migration, childhood adversity/trauma, social isolation and high expressed emotion act as triggers and relapse drivers.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Structural / functional brain changes: Enlarged ventricles, reduced grey-matter volume and aberrant connectivity are commonly demonstrated on neuroimaging.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15–35 y)</w:t>
            </w:r>
          </w:p>
        </w:tc>
        <w:tc>
          <w:tcPr>
            <w:tcW w:type="dxa" w:w="4276"/>
            <w:vAlign w:val="top"/>
          </w:tcPr>
          <w:p>
            <w:pPr>
              <w:spacing w:after="60" w:line="259" w:lineRule="auto"/>
            </w:pPr>
            <w:r>
              <w:rPr>
                <w:rFonts w:ascii="Calibri" w:hAnsi="Calibri"/>
                <w:b w:val="0"/>
                <w:i w:val="0"/>
                <w:color w:val="212121"/>
                <w:sz w:val="19"/>
              </w:rPr>
              <w:t>Peak onset is in late adolescence and early adulthood, when synaptic pruning and dopaminergic maturation coincide with academic, occupational and social stressors. Early onset typically carries a poorer prognosis.</w:t>
            </w:r>
          </w:p>
          <w:p>
            <w:pPr>
              <w:spacing w:after="40" w:before="60" w:line="259" w:lineRule="auto"/>
            </w:pPr>
            <w:r>
              <w:rPr>
                <w:rFonts w:ascii="Calibri" w:hAnsi="Calibri"/>
                <w:b w:val="0"/>
                <w:i w:val="0"/>
                <w:color w:val="212121"/>
                <w:sz w:val="19"/>
              </w:rPr>
              <w:t>In India the current prevalence of schizophrenia spectrum disorders rises from 0.38% at 18–29 years to a peak of 0.59% at 40–49 years, reflecting chronicity of early-onset illness.</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#youngadults  #earlyonset  #neurodevelopment  #prodrome  #firstepisode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(&gt;45 y, incl. late-onset)</w:t>
            </w:r>
          </w:p>
        </w:tc>
        <w:tc>
          <w:tcPr>
            <w:tcW w:type="dxa" w:w="4276"/>
            <w:vAlign w:val="top"/>
          </w:tcPr>
          <w:p>
            <w:pPr>
              <w:spacing w:after="60" w:line="259" w:lineRule="auto"/>
            </w:pPr>
            <w:r>
              <w:rPr>
                <w:rFonts w:ascii="Calibri" w:hAnsi="Calibri"/>
                <w:b w:val="0"/>
                <w:i w:val="0"/>
                <w:color w:val="212121"/>
                <w:sz w:val="19"/>
              </w:rPr>
              <w:t>A second, smaller peak of late-onset schizophrenia occurs after 45 years, more often in women; in older patients accumulated disability, cognitive decline and antipsychotic-related metabolic and cardiovascular risk dominate the picture.</w:t>
            </w:r>
          </w:p>
          <w:p>
            <w:pPr>
              <w:spacing w:after="40" w:before="60" w:line="259" w:lineRule="auto"/>
            </w:pPr>
            <w:r>
              <w:rPr>
                <w:rFonts w:ascii="Calibri" w:hAnsi="Calibri"/>
                <w:b w:val="0"/>
                <w:i w:val="0"/>
                <w:color w:val="212121"/>
                <w:sz w:val="19"/>
              </w:rPr>
              <w:t>Current prevalence in India remains substantial in mid-late adulthood (0.59% at 40–49 y; 0.31–0.36% at 50+ y).</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#lateonset  #ageing  #chronicity  #disability  #polypharmacy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tend to have an earlier age of onset (early 20s), more negative symptoms, poorer premorbid functioning and a worse overall course than women, in whom oestrogen may be partly protective until menopause.</w:t>
            </w:r>
          </w:p>
          <w:p>
            <w:pPr>
              <w:spacing w:after="40" w:before="60" w:line="259" w:lineRule="auto"/>
            </w:pPr>
            <w:r>
              <w:rPr>
                <w:rFonts w:ascii="Calibri" w:hAnsi="Calibri"/>
                <w:b w:val="0"/>
                <w:i w:val="0"/>
                <w:color w:val="212121"/>
                <w:sz w:val="19"/>
              </w:rPr>
              <w:t>Indian lifetime prevalence is higher in men (1.49%) than women (1.33%); current prevalence 0.46% vs 0.39%.</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#male  #earlyonset  #negativesymptoms  #worseoutcome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show a later, bimodal onset with a second peak around the perimenopause as oestrogen falls; they more often have affective and positive symptoms and generally better social functioning, but face peripartum psychosis risk.</w:t>
            </w:r>
          </w:p>
          <w:p>
            <w:pPr>
              <w:spacing w:after="40" w:before="60" w:line="259" w:lineRule="auto"/>
            </w:pPr>
            <w:r>
              <w:rPr>
                <w:rFonts w:ascii="Calibri" w:hAnsi="Calibri"/>
                <w:b w:val="0"/>
                <w:i w:val="0"/>
                <w:color w:val="212121"/>
                <w:sz w:val="19"/>
              </w:rPr>
              <w:t>Female lifetime prevalence in India is 1.33% (current 0.39%), with a recognised late-onset peak after 45 years.</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#female  #oestrogen  #perimenopause  #postpartumpsychosis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groups</w:t>
            </w:r>
          </w:p>
        </w:tc>
        <w:tc>
          <w:tcPr>
            <w:tcW w:type="dxa" w:w="4276"/>
            <w:vAlign w:val="top"/>
          </w:tcPr>
          <w:p>
            <w:pPr>
              <w:spacing w:after="60" w:line="259" w:lineRule="auto"/>
            </w:pPr>
            <w:r>
              <w:rPr>
                <w:rFonts w:ascii="Calibri" w:hAnsi="Calibri"/>
                <w:b w:val="0"/>
                <w:i w:val="0"/>
                <w:color w:val="212121"/>
                <w:sz w:val="19"/>
              </w:rPr>
              <w:t>Poverty, unemployment, food insecurity and chronic stress both contribute to and result from psychosis (social causation and social drift), while limiting access to timely care.</w:t>
            </w:r>
          </w:p>
          <w:p>
            <w:pPr>
              <w:spacing w:after="40" w:before="60" w:line="259" w:lineRule="auto"/>
            </w:pPr>
            <w:r>
              <w:rPr>
                <w:rFonts w:ascii="Calibri" w:hAnsi="Calibri"/>
                <w:b w:val="0"/>
                <w:i w:val="0"/>
                <w:color w:val="212121"/>
                <w:sz w:val="19"/>
              </w:rPr>
              <w:t>In India the current prevalence is highest in the lowest income quintile (0.70%) and lowest in the highest quintile (0.31%); the treatment gap reaches 83% in urban non-metro areas.</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#poverty  #socialdrift  #treatmentgap  #stress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Urbanicity</w:t>
            </w:r>
          </w:p>
        </w:tc>
        <w:tc>
          <w:tcPr>
            <w:tcW w:type="dxa" w:w="2160"/>
            <w:vAlign w:val="top"/>
          </w:tcPr>
          <w:p>
            <w:pPr>
              <w:spacing w:after="40" w:before="0" w:line="259" w:lineRule="auto"/>
            </w:pPr>
            <w:r>
              <w:rPr>
                <w:rFonts w:ascii="Calibri" w:hAnsi="Calibri"/>
                <w:b w:val="0"/>
                <w:i w:val="0"/>
                <w:color w:val="212121"/>
                <w:sz w:val="19"/>
              </w:rPr>
              <w:t>Urban metro residents (India)</w:t>
            </w:r>
          </w:p>
        </w:tc>
        <w:tc>
          <w:tcPr>
            <w:tcW w:type="dxa" w:w="4276"/>
            <w:vAlign w:val="top"/>
          </w:tcPr>
          <w:p>
            <w:pPr>
              <w:spacing w:after="60" w:line="259" w:lineRule="auto"/>
            </w:pPr>
            <w:r>
              <w:rPr>
                <w:rFonts w:ascii="Calibri" w:hAnsi="Calibri"/>
                <w:b w:val="0"/>
                <w:i w:val="0"/>
                <w:color w:val="212121"/>
                <w:sz w:val="19"/>
              </w:rPr>
              <w:t>Urban birth and upbringing are associated with higher schizophrenia risk, thought to reflect social fragmentation, isolation, pollution, migration and greater cannabis exposure in dense city environments.</w:t>
            </w:r>
          </w:p>
          <w:p>
            <w:pPr>
              <w:spacing w:after="40" w:before="60" w:line="259" w:lineRule="auto"/>
            </w:pPr>
            <w:r>
              <w:rPr>
                <w:rFonts w:ascii="Calibri" w:hAnsi="Calibri"/>
                <w:b w:val="0"/>
                <w:i w:val="0"/>
                <w:color w:val="212121"/>
                <w:sz w:val="19"/>
              </w:rPr>
              <w:t>Indian urban-metro lifetime prevalence (3.05%) is markedly higher than rural (1.05%); a global meta-analysis puts urban vs rural risk at OR 2.37 (95% CI 2.01–2.81).</w:t>
            </w:r>
          </w:p>
          <w:p>
            <w:pPr>
              <w:spacing w:after="40" w:line="252" w:lineRule="auto"/>
            </w:pPr>
            <w:hyperlink r:id="rId10">
              <w:r>
                <w:rPr>
                  <w:rFonts w:ascii="Calibri" w:hAnsi="Calibri" w:cs="Calibri"/>
                  <w:sz w:val="18"/>
                  <w:color w:val="1155CC"/>
                  <w:u w:val="single"/>
                </w:rPr>
                <w:t xml:space="preserve">academic.oup.com — urbanicity meta-analysis (OR 2.37)</w:t>
              </w:r>
            </w:hyperlink>
          </w:p>
          <w:p>
            <w:pPr>
              <w:spacing w:before="60" w:after="40"/>
            </w:pPr>
            <w:r>
              <w:rPr>
                <w:rFonts w:ascii="Calibri" w:hAnsi="Calibri"/>
                <w:b w:val="0"/>
                <w:i w:val="0"/>
                <w:color w:val="5A5A5A"/>
                <w:sz w:val="18"/>
              </w:rPr>
              <w:t>#urbanicity  #citylife  #socialfragmentation  #migration  #metro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 / Minority status</w:t>
            </w:r>
          </w:p>
        </w:tc>
        <w:tc>
          <w:tcPr>
            <w:tcW w:type="dxa" w:w="2160"/>
            <w:vAlign w:val="top"/>
          </w:tcPr>
          <w:p>
            <w:pPr>
              <w:spacing w:after="40" w:before="0" w:line="259" w:lineRule="auto"/>
            </w:pPr>
            <w:r>
              <w:rPr>
                <w:rFonts w:ascii="Calibri" w:hAnsi="Calibri"/>
                <w:b w:val="0"/>
                <w:i w:val="0"/>
                <w:color w:val="212121"/>
                <w:sz w:val="19"/>
              </w:rPr>
              <w:t>Migrants and displaced groups</w:t>
            </w:r>
          </w:p>
        </w:tc>
        <w:tc>
          <w:tcPr>
            <w:tcW w:type="dxa" w:w="4276"/>
            <w:vAlign w:val="top"/>
          </w:tcPr>
          <w:p>
            <w:pPr>
              <w:spacing w:after="60" w:line="259" w:lineRule="auto"/>
            </w:pPr>
            <w:r>
              <w:rPr>
                <w:rFonts w:ascii="Calibri" w:hAnsi="Calibri"/>
                <w:b w:val="0"/>
                <w:i w:val="0"/>
                <w:color w:val="212121"/>
                <w:sz w:val="19"/>
              </w:rPr>
              <w:t>First- and second-generation migrants and marginalised minorities carry an elevated incidence of psychosis, attributed to social defeat, discrimination, chronic stress and reduced social support rather than to ethnicity itself.</w:t>
            </w:r>
          </w:p>
          <w:p>
            <w:pPr>
              <w:spacing w:after="40" w:before="60" w:line="259" w:lineRule="auto"/>
            </w:pPr>
            <w:r>
              <w:rPr>
                <w:rFonts w:ascii="Calibri" w:hAnsi="Calibri"/>
                <w:b w:val="0"/>
                <w:i w:val="0"/>
                <w:color w:val="212121"/>
                <w:sz w:val="19"/>
              </w:rPr>
              <w:t>Migration is one of the most consistently replicated environmental risk factors for psychotic disorders in incidence studies.</w:t>
            </w:r>
          </w:p>
          <w:p>
            <w:pPr>
              <w:spacing w:before="60" w:after="40"/>
            </w:pPr>
            <w:r>
              <w:rPr>
                <w:rFonts w:ascii="Calibri" w:hAnsi="Calibri"/>
                <w:b w:val="0"/>
                <w:i w:val="0"/>
                <w:color w:val="5A5A5A"/>
                <w:sz w:val="18"/>
              </w:rPr>
              <w:t>#migration  #socialdefeat  #minoritystress  #displacement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patients</w:t>
            </w:r>
          </w:p>
        </w:tc>
        <w:tc>
          <w:tcPr>
            <w:tcW w:type="dxa" w:w="4276"/>
            <w:vAlign w:val="top"/>
          </w:tcPr>
          <w:p>
            <w:pPr>
              <w:spacing w:after="60" w:line="259" w:lineRule="auto"/>
            </w:pPr>
            <w:r>
              <w:rPr>
                <w:rFonts w:ascii="Calibri" w:hAnsi="Calibri"/>
                <w:b w:val="0"/>
                <w:i w:val="0"/>
                <w:color w:val="212121"/>
                <w:sz w:val="19"/>
              </w:rPr>
              <w:t>Negative symptoms (avolition, anhedonia), sedation from antipsychotics and social withdrawal drive inactivity, which compounds antipsychotic-related weight gain and cardiometabolic risk and worsens mood and cognition.</w:t>
            </w:r>
          </w:p>
          <w:p>
            <w:pPr>
              <w:spacing w:after="40" w:before="60" w:line="259" w:lineRule="auto"/>
            </w:pPr>
            <w:r>
              <w:rPr>
                <w:rFonts w:ascii="Calibri" w:hAnsi="Calibri"/>
                <w:b w:val="0"/>
                <w:i w:val="0"/>
                <w:color w:val="212121"/>
                <w:sz w:val="19"/>
              </w:rPr>
              <w:t>Structured aerobic and resistance exercise improves negative symptoms, cognition and metabolic parameters as an adjunct to medication.</w:t>
            </w:r>
          </w:p>
          <w:p>
            <w:pPr>
              <w:spacing w:before="60" w:after="40"/>
            </w:pPr>
            <w:r>
              <w:rPr>
                <w:rFonts w:ascii="Calibri" w:hAnsi="Calibri"/>
                <w:b w:val="0"/>
                <w:i w:val="0"/>
                <w:color w:val="5A5A5A"/>
                <w:sz w:val="18"/>
              </w:rPr>
              <w:t>#sedentary  #avolition  #metabolicrisk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smokers</w:t>
            </w:r>
          </w:p>
        </w:tc>
        <w:tc>
          <w:tcPr>
            <w:tcW w:type="dxa" w:w="4276"/>
            <w:vAlign w:val="top"/>
          </w:tcPr>
          <w:p>
            <w:pPr>
              <w:spacing w:after="60" w:line="259" w:lineRule="auto"/>
            </w:pPr>
            <w:r>
              <w:rPr>
                <w:rFonts w:ascii="Calibri" w:hAnsi="Calibri"/>
                <w:b w:val="0"/>
                <w:i w:val="0"/>
                <w:color w:val="212121"/>
                <w:sz w:val="19"/>
              </w:rPr>
              <w:t>Smoking is strongly over-represented — partly self-medication of cognitive and negative symptoms via nicotinic pathways — and is a major contributor to the excess cardiovascular and respiratory mortality seen in schizophrenia; it also induces clozapine/olanzapine metabolism, complicating dosing.</w:t>
            </w:r>
          </w:p>
          <w:p>
            <w:pPr>
              <w:spacing w:after="40" w:before="60" w:line="259" w:lineRule="auto"/>
            </w:pPr>
            <w:r>
              <w:rPr>
                <w:rFonts w:ascii="Calibri" w:hAnsi="Calibri"/>
                <w:b w:val="0"/>
                <w:i w:val="0"/>
                <w:color w:val="212121"/>
                <w:sz w:val="19"/>
              </w:rPr>
              <w:t>Between 72% and 90% of people with schizophrenia smoke, versus about 24% of the general population; comorbid tobacco use disorder was 27.5% in Indian NMHS cases.</w:t>
            </w:r>
          </w:p>
          <w:p>
            <w:pPr>
              <w:spacing w:after="40" w:line="252" w:lineRule="auto"/>
            </w:pPr>
            <w:hyperlink r:id="rId11">
              <w:r>
                <w:rPr>
                  <w:rFonts w:ascii="Calibri" w:hAnsi="Calibri" w:cs="Calibri"/>
                  <w:sz w:val="18"/>
                  <w:color w:val="1155CC"/>
                  <w:u w:val="single"/>
                </w:rPr>
                <w:t xml:space="preserve">psychiatrictimes.com — nicotine dependence in schizophrenia</w:t>
              </w:r>
            </w:hyperlink>
          </w:p>
          <w:p>
            <w:pPr>
              <w:spacing w:before="60" w:after="40"/>
            </w:pPr>
            <w:r>
              <w:rPr>
                <w:rFonts w:ascii="Calibri" w:hAnsi="Calibri"/>
                <w:b w:val="0"/>
                <w:i w:val="0"/>
                <w:color w:val="5A5A5A"/>
                <w:sz w:val="18"/>
              </w:rPr>
              <w:t>#smoking  #nicotine  #selfmedication  #mortality  #clozapine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Comorbid alcohol use</w:t>
            </w:r>
          </w:p>
        </w:tc>
        <w:tc>
          <w:tcPr>
            <w:tcW w:type="dxa" w:w="4276"/>
            <w:vAlign w:val="top"/>
          </w:tcPr>
          <w:p>
            <w:pPr>
              <w:spacing w:after="60" w:line="259" w:lineRule="auto"/>
            </w:pPr>
            <w:r>
              <w:rPr>
                <w:rFonts w:ascii="Calibri" w:hAnsi="Calibri"/>
                <w:b w:val="0"/>
                <w:i w:val="0"/>
                <w:color w:val="212121"/>
                <w:sz w:val="19"/>
              </w:rPr>
              <w:t>Alcohol misuse worsens adherence, precipitates relapse, amplifies suicide risk and complicates pharmacotherapy; a bidirectional relationship with psychosis is common.</w:t>
            </w:r>
          </w:p>
          <w:p>
            <w:pPr>
              <w:spacing w:after="40" w:before="60" w:line="259" w:lineRule="auto"/>
            </w:pPr>
            <w:r>
              <w:rPr>
                <w:rFonts w:ascii="Calibri" w:hAnsi="Calibri"/>
                <w:b w:val="0"/>
                <w:i w:val="0"/>
                <w:color w:val="212121"/>
                <w:sz w:val="19"/>
              </w:rPr>
              <w:t>Comorbid alcohol use disorder was found in 10.7% of current schizophrenia cases in the Indian NMHS-based study.</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#alcohol  #dualdiagnosis  #relapse  #nonadherence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 (cannabis)</w:t>
            </w:r>
          </w:p>
        </w:tc>
        <w:tc>
          <w:tcPr>
            <w:tcW w:type="dxa" w:w="2160"/>
            <w:vAlign w:val="top"/>
          </w:tcPr>
          <w:p>
            <w:pPr>
              <w:spacing w:after="40" w:before="0" w:line="259" w:lineRule="auto"/>
            </w:pPr>
            <w:r>
              <w:rPr>
                <w:rFonts w:ascii="Calibri" w:hAnsi="Calibri"/>
                <w:b w:val="0"/>
                <w:i w:val="0"/>
                <w:color w:val="212121"/>
                <w:sz w:val="19"/>
              </w:rPr>
              <w:t>Adolescent / heavy cannabis users</w:t>
            </w:r>
          </w:p>
        </w:tc>
        <w:tc>
          <w:tcPr>
            <w:tcW w:type="dxa" w:w="4276"/>
            <w:vAlign w:val="top"/>
          </w:tcPr>
          <w:p>
            <w:pPr>
              <w:spacing w:after="60" w:line="259" w:lineRule="auto"/>
            </w:pPr>
            <w:r>
              <w:rPr>
                <w:rFonts w:ascii="Calibri" w:hAnsi="Calibri"/>
                <w:b w:val="0"/>
                <w:i w:val="0"/>
                <w:color w:val="212121"/>
                <w:sz w:val="19"/>
              </w:rPr>
              <w:t>Regular, early and high-potency cannabis use is a modifiable, dose-dependent risk factor that can trigger psychosis in genetically vulnerable people and worsen the course of established illness.</w:t>
            </w:r>
          </w:p>
          <w:p>
            <w:pPr>
              <w:spacing w:after="40" w:before="60" w:line="259" w:lineRule="auto"/>
            </w:pPr>
            <w:r>
              <w:rPr>
                <w:rFonts w:ascii="Calibri" w:hAnsi="Calibri"/>
                <w:b w:val="0"/>
                <w:i w:val="0"/>
                <w:color w:val="212121"/>
                <w:sz w:val="19"/>
              </w:rPr>
              <w:t>Heaviest cannabis users have about 3.9× the odds of psychosis (OR 3.90, 95% CI 2.84–5.34) versus non-users, with a clear dose-response relationship.</w:t>
            </w:r>
          </w:p>
          <w:p>
            <w:pPr>
              <w:spacing w:after="40" w:line="252" w:lineRule="auto"/>
            </w:pPr>
            <w:hyperlink r:id="rId12">
              <w:r>
                <w:rPr>
                  <w:rFonts w:ascii="Calibri" w:hAnsi="Calibri" w:cs="Calibri"/>
                  <w:sz w:val="18"/>
                  <w:color w:val="1155CC"/>
                  <w:u w:val="single"/>
                </w:rPr>
                <w:t xml:space="preserve">academic.oup.com — cannabis &amp; psychosis meta-analysis</w:t>
              </w:r>
            </w:hyperlink>
          </w:p>
          <w:p>
            <w:pPr>
              <w:spacing w:before="60" w:after="40"/>
            </w:pPr>
            <w:r>
              <w:rPr>
                <w:rFonts w:ascii="Calibri" w:hAnsi="Calibri"/>
                <w:b w:val="0"/>
                <w:i w:val="0"/>
                <w:color w:val="5A5A5A"/>
                <w:sz w:val="18"/>
              </w:rPr>
              <w:t>#cannabis  #ganja  #doseresponse  #adolescence  #THC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Patients on antipsychotics</w:t>
            </w:r>
          </w:p>
        </w:tc>
        <w:tc>
          <w:tcPr>
            <w:tcW w:type="dxa" w:w="4276"/>
            <w:vAlign w:val="top"/>
          </w:tcPr>
          <w:p>
            <w:pPr>
              <w:spacing w:after="60" w:line="259" w:lineRule="auto"/>
            </w:pPr>
            <w:r>
              <w:rPr>
                <w:rFonts w:ascii="Calibri" w:hAnsi="Calibri"/>
                <w:b w:val="0"/>
                <w:i w:val="0"/>
                <w:color w:val="212121"/>
                <w:sz w:val="19"/>
              </w:rPr>
              <w:t>Second-generation antipsychotics (especially olanzapine, clozapine) cause appetite stimulation and weight gain; combined with inactivity and poor diet this drives obesity, metabolic syndrome and premature cardiovascular disease.</w:t>
            </w:r>
          </w:p>
          <w:p>
            <w:pPr>
              <w:spacing w:after="40" w:before="60" w:line="259" w:lineRule="auto"/>
            </w:pPr>
            <w:r>
              <w:rPr>
                <w:rFonts w:ascii="Calibri" w:hAnsi="Calibri"/>
                <w:b w:val="0"/>
                <w:i w:val="0"/>
                <w:color w:val="212121"/>
                <w:sz w:val="19"/>
              </w:rPr>
              <w:t>Obesity prevalence in Indian schizophrenia patients was reported at 31.8% (overweight 22.7%).</w:t>
            </w:r>
          </w:p>
          <w:p>
            <w:pPr>
              <w:spacing w:after="40" w:line="252" w:lineRule="auto"/>
            </w:pPr>
            <w:hyperlink r:id="rId13">
              <w:r>
                <w:rPr>
                  <w:rFonts w:ascii="Calibri" w:hAnsi="Calibri" w:cs="Calibri"/>
                  <w:sz w:val="18"/>
                  <w:color w:val="1155CC"/>
                  <w:u w:val="single"/>
                </w:rPr>
                <w:t xml:space="preserve">frontiersin.org — CVD &amp; schizophrenia in India</w:t>
              </w:r>
            </w:hyperlink>
          </w:p>
          <w:p>
            <w:pPr>
              <w:spacing w:before="60" w:after="40"/>
            </w:pPr>
            <w:r>
              <w:rPr>
                <w:rFonts w:ascii="Calibri" w:hAnsi="Calibri"/>
                <w:b w:val="0"/>
                <w:i w:val="0"/>
                <w:color w:val="5A5A5A"/>
                <w:sz w:val="18"/>
              </w:rPr>
              <w:t>#weightgain  #antipsychotics  #obesity  #metabolicsyndrome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Poor-quality / processed diet</w:t>
            </w:r>
          </w:p>
        </w:tc>
        <w:tc>
          <w:tcPr>
            <w:tcW w:type="dxa" w:w="4276"/>
            <w:vAlign w:val="top"/>
          </w:tcPr>
          <w:p>
            <w:pPr>
              <w:spacing w:after="60" w:line="259" w:lineRule="auto"/>
            </w:pPr>
            <w:r>
              <w:rPr>
                <w:rFonts w:ascii="Calibri" w:hAnsi="Calibri"/>
                <w:b w:val="0"/>
                <w:i w:val="0"/>
                <w:color w:val="212121"/>
                <w:sz w:val="19"/>
              </w:rPr>
              <w:t>Diets high in refined carbohydrate, saturated fat and sugar, with low fruit, vegetable and omega-3 intake, are common in chronic illness and self-neglect, worsening metabolic risk; deficiencies of vitamin D, folate and B12 are frequently reported.</w:t>
            </w:r>
          </w:p>
          <w:p>
            <w:pPr>
              <w:spacing w:after="40" w:before="60" w:line="259" w:lineRule="auto"/>
            </w:pPr>
            <w:r>
              <w:rPr>
                <w:rFonts w:ascii="Calibri" w:hAnsi="Calibri"/>
                <w:b w:val="0"/>
                <w:i w:val="0"/>
                <w:color w:val="212121"/>
                <w:sz w:val="19"/>
              </w:rPr>
              <w:t>Poor diet compounds antipsychotic-related metabolic burden; nutritional optimisation is part of physical-health monitoring in psychosis.</w:t>
            </w:r>
          </w:p>
          <w:p>
            <w:pPr>
              <w:spacing w:before="60" w:after="40"/>
            </w:pPr>
            <w:r>
              <w:rPr>
                <w:rFonts w:ascii="Calibri" w:hAnsi="Calibri"/>
                <w:b w:val="0"/>
                <w:i w:val="0"/>
                <w:color w:val="5A5A5A"/>
                <w:sz w:val="18"/>
              </w:rPr>
              <w:t>#processedfood  #omega3  #vitaminD  #folate  #metabolic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person with schizophrenia</w:t>
            </w:r>
          </w:p>
        </w:tc>
        <w:tc>
          <w:tcPr>
            <w:tcW w:type="dxa" w:w="4276"/>
            <w:vAlign w:val="top"/>
          </w:tcPr>
          <w:p>
            <w:pPr>
              <w:spacing w:after="60" w:line="259" w:lineRule="auto"/>
            </w:pPr>
            <w:r>
              <w:rPr>
                <w:rFonts w:ascii="Calibri" w:hAnsi="Calibri"/>
                <w:b w:val="0"/>
                <w:i w:val="0"/>
                <w:color w:val="212121"/>
                <w:sz w:val="19"/>
              </w:rPr>
              <w:t>Schizophrenia is among the most heritable psychiatric disorders; risk rises with genetic proximity — roughly 1% general population, ~10% in a sibling or child of an affected person, and up to ~45–50% in a monozygotic co-twin.</w:t>
            </w:r>
          </w:p>
          <w:p>
            <w:pPr>
              <w:spacing w:after="40" w:before="60" w:line="259" w:lineRule="auto"/>
            </w:pPr>
            <w:r>
              <w:rPr>
                <w:rFonts w:ascii="Calibri" w:hAnsi="Calibri"/>
                <w:b w:val="0"/>
                <w:i w:val="0"/>
                <w:color w:val="212121"/>
                <w:sz w:val="19"/>
              </w:rPr>
              <w:t>Twin studies estimate heritability at about 79%.</w:t>
            </w:r>
          </w:p>
          <w:p>
            <w:pPr>
              <w:spacing w:after="40" w:line="252" w:lineRule="auto"/>
            </w:pPr>
            <w:hyperlink r:id="rId14">
              <w:r>
                <w:rPr>
                  <w:rFonts w:ascii="Calibri" w:hAnsi="Calibri" w:cs="Calibri"/>
                  <w:sz w:val="18"/>
                  <w:color w:val="1155CC"/>
                  <w:u w:val="single"/>
                </w:rPr>
                <w:t xml:space="preserve">sciencedaily.com — Danish twin study (79% heritability)</w:t>
              </w:r>
            </w:hyperlink>
          </w:p>
          <w:p>
            <w:pPr>
              <w:spacing w:before="60" w:after="40"/>
            </w:pPr>
            <w:r>
              <w:rPr>
                <w:rFonts w:ascii="Calibri" w:hAnsi="Calibri"/>
                <w:b w:val="0"/>
                <w:i w:val="0"/>
                <w:color w:val="5A5A5A"/>
                <w:sz w:val="18"/>
              </w:rPr>
              <w:t>#heritability  #familyhistory  #polygenic  #twinstudies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Advanced paternal age</w:t>
            </w:r>
          </w:p>
        </w:tc>
        <w:tc>
          <w:tcPr>
            <w:tcW w:type="dxa" w:w="2160"/>
            <w:vAlign w:val="top"/>
          </w:tcPr>
          <w:p>
            <w:pPr>
              <w:spacing w:after="40" w:before="0" w:line="259" w:lineRule="auto"/>
            </w:pPr>
            <w:r>
              <w:rPr>
                <w:rFonts w:ascii="Calibri" w:hAnsi="Calibri"/>
                <w:b w:val="0"/>
                <w:i w:val="0"/>
                <w:color w:val="212121"/>
                <w:sz w:val="19"/>
              </w:rPr>
              <w:t>Offspring of older fathers</w:t>
            </w:r>
          </w:p>
        </w:tc>
        <w:tc>
          <w:tcPr>
            <w:tcW w:type="dxa" w:w="4276"/>
            <w:vAlign w:val="top"/>
          </w:tcPr>
          <w:p>
            <w:pPr>
              <w:spacing w:after="60" w:line="259" w:lineRule="auto"/>
            </w:pPr>
            <w:r>
              <w:rPr>
                <w:rFonts w:ascii="Calibri" w:hAnsi="Calibri"/>
                <w:b w:val="0"/>
                <w:i w:val="0"/>
                <w:color w:val="212121"/>
                <w:sz w:val="19"/>
              </w:rPr>
              <w:t>Older paternal age is linked to a higher rate of de novo germline mutations, associated with a modestly increased risk of schizophrenia in offspring.</w:t>
            </w:r>
          </w:p>
          <w:p>
            <w:pPr>
              <w:spacing w:after="40" w:before="60" w:line="259" w:lineRule="auto"/>
            </w:pPr>
            <w:r>
              <w:rPr>
                <w:rFonts w:ascii="Calibri" w:hAnsi="Calibri"/>
                <w:b w:val="0"/>
                <w:i w:val="0"/>
                <w:color w:val="212121"/>
                <w:sz w:val="19"/>
              </w:rPr>
              <w:t>Advanced paternal age (typically &gt;45–55 years) is a recognised, if modest, risk factor via accumulated de novo mutations.</w:t>
            </w:r>
          </w:p>
          <w:p>
            <w:pPr>
              <w:spacing w:before="60" w:after="40"/>
            </w:pPr>
            <w:r>
              <w:rPr>
                <w:rFonts w:ascii="Calibri" w:hAnsi="Calibri"/>
                <w:b w:val="0"/>
                <w:i w:val="0"/>
                <w:color w:val="5A5A5A"/>
                <w:sz w:val="18"/>
              </w:rPr>
              <w:t>#paternalage  #denovo  #mutations  #germline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Substance-induced psychosis</w:t>
            </w:r>
          </w:p>
        </w:tc>
        <w:tc>
          <w:tcPr>
            <w:tcW w:type="dxa" w:w="2160"/>
            <w:vAlign w:val="top"/>
          </w:tcPr>
          <w:p>
            <w:pPr>
              <w:spacing w:after="40" w:before="0" w:line="259" w:lineRule="auto"/>
            </w:pPr>
            <w:r>
              <w:rPr>
                <w:rFonts w:ascii="Calibri" w:hAnsi="Calibri"/>
                <w:b w:val="0"/>
                <w:i w:val="0"/>
                <w:color w:val="212121"/>
                <w:sz w:val="19"/>
              </w:rPr>
              <w:t>Cannabis-induced psychosis</w:t>
            </w:r>
          </w:p>
        </w:tc>
        <w:tc>
          <w:tcPr>
            <w:tcW w:type="dxa" w:w="4276"/>
            <w:vAlign w:val="top"/>
          </w:tcPr>
          <w:p>
            <w:pPr>
              <w:spacing w:after="60" w:line="259" w:lineRule="auto"/>
            </w:pPr>
            <w:r>
              <w:rPr>
                <w:rFonts w:ascii="Calibri" w:hAnsi="Calibri"/>
                <w:b w:val="0"/>
                <w:i w:val="0"/>
                <w:color w:val="212121"/>
                <w:sz w:val="19"/>
              </w:rPr>
              <w:t>A substantial proportion of people presenting with cannabis- or stimulant-induced psychosis subsequently convert to a persistent schizophrenia spectrum disorder, marking a high-risk clinical group.</w:t>
            </w:r>
          </w:p>
          <w:p>
            <w:pPr>
              <w:spacing w:after="40" w:before="60" w:line="259" w:lineRule="auto"/>
            </w:pPr>
            <w:r>
              <w:rPr>
                <w:rFonts w:ascii="Calibri" w:hAnsi="Calibri"/>
                <w:b w:val="0"/>
                <w:i w:val="0"/>
                <w:color w:val="212121"/>
                <w:sz w:val="19"/>
              </w:rPr>
              <w:t>In an Indian (Punjab) case series, cannabis-induced psychosis presented almost exclusively in young men (100% male; mean age ~29 y; 92% rural, 96% lower socioeconomic status).</w:t>
            </w:r>
          </w:p>
          <w:p>
            <w:pPr>
              <w:spacing w:after="40" w:line="252" w:lineRule="auto"/>
            </w:pPr>
            <w:hyperlink r:id="rId15">
              <w:r>
                <w:rPr>
                  <w:rFonts w:ascii="Calibri" w:hAnsi="Calibri" w:cs="Calibri"/>
                  <w:sz w:val="18"/>
                  <w:color w:val="1155CC"/>
                  <w:u w:val="single"/>
                </w:rPr>
                <w:t xml:space="preserve">pmc.ncbi.nlm.nih.gov/PMC8611598 — cannabis psychosis, India</w:t>
              </w:r>
            </w:hyperlink>
          </w:p>
          <w:p>
            <w:pPr>
              <w:spacing w:before="60" w:after="40"/>
            </w:pPr>
            <w:r>
              <w:rPr>
                <w:rFonts w:ascii="Calibri" w:hAnsi="Calibri"/>
                <w:b w:val="0"/>
                <w:i w:val="0"/>
                <w:color w:val="5A5A5A"/>
                <w:sz w:val="18"/>
              </w:rPr>
              <w:t>#cannabispsychosis  #conversion  #youngmen  #substanceinduced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Comorbid depressive disorder</w:t>
            </w:r>
          </w:p>
        </w:tc>
        <w:tc>
          <w:tcPr>
            <w:tcW w:type="dxa" w:w="4276"/>
            <w:vAlign w:val="top"/>
          </w:tcPr>
          <w:p>
            <w:pPr>
              <w:spacing w:after="60" w:line="259" w:lineRule="auto"/>
            </w:pPr>
            <w:r>
              <w:rPr>
                <w:rFonts w:ascii="Calibri" w:hAnsi="Calibri"/>
                <w:b w:val="0"/>
                <w:i w:val="0"/>
                <w:color w:val="212121"/>
                <w:sz w:val="19"/>
              </w:rPr>
              <w:t>Depression is common across the course of schizophrenia — in the prodrome, post-psychotic phase and chronic illness — and is a leading driver of suicide risk.</w:t>
            </w:r>
          </w:p>
          <w:p>
            <w:pPr>
              <w:spacing w:after="40" w:before="60" w:line="259" w:lineRule="auto"/>
            </w:pPr>
            <w:r>
              <w:rPr>
                <w:rFonts w:ascii="Calibri" w:hAnsi="Calibri"/>
                <w:b w:val="0"/>
                <w:i w:val="0"/>
                <w:color w:val="212121"/>
                <w:sz w:val="19"/>
              </w:rPr>
              <w:t>Comorbid depression was present in 9.4% of current schizophrenia cases in the Indian NMHS-based study; lifetime rates are considerably higher.</w:t>
            </w:r>
          </w:p>
          <w:p>
            <w:pPr>
              <w:spacing w:after="40" w:line="252" w:lineRule="auto"/>
            </w:pPr>
            <w:hyperlink r:id="rId9">
              <w:r>
                <w:rPr>
                  <w:rFonts w:ascii="Calibri" w:hAnsi="Calibri" w:cs="Calibri"/>
                  <w:sz w:val="18"/>
                  <w:color w:val="1155CC"/>
                  <w:u w:val="single"/>
                </w:rPr>
                <w:t xml:space="preserve">pmc.ncbi.nlm.nih.gov/PMC10826875 — India NMHS</w:t>
              </w:r>
            </w:hyperlink>
          </w:p>
          <w:p>
            <w:pPr>
              <w:spacing w:before="60" w:after="40"/>
            </w:pPr>
            <w:r>
              <w:rPr>
                <w:rFonts w:ascii="Calibri" w:hAnsi="Calibri"/>
                <w:b w:val="0"/>
                <w:i w:val="0"/>
                <w:color w:val="5A5A5A"/>
                <w:sz w:val="18"/>
              </w:rPr>
              <w:t>#depression  #postpsychotic  #suiciderisk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Patients with metabolic syndrome</w:t>
            </w:r>
          </w:p>
        </w:tc>
        <w:tc>
          <w:tcPr>
            <w:tcW w:type="dxa" w:w="4276"/>
            <w:vAlign w:val="top"/>
          </w:tcPr>
          <w:p>
            <w:pPr>
              <w:spacing w:after="60" w:line="259" w:lineRule="auto"/>
            </w:pPr>
            <w:r>
              <w:rPr>
                <w:rFonts w:ascii="Calibri" w:hAnsi="Calibri"/>
                <w:b w:val="0"/>
                <w:i w:val="0"/>
                <w:color w:val="212121"/>
                <w:sz w:val="19"/>
              </w:rPr>
              <w:t>Insulin resistance, central obesity, dyslipidaemia and hypertension cluster in schizophrenia through a combination of antipsychotic effects, inactivity, poor diet and possibly shared biology, driving cardiovascular mortality.</w:t>
            </w:r>
          </w:p>
          <w:p>
            <w:pPr>
              <w:spacing w:after="40" w:before="60" w:line="259" w:lineRule="auto"/>
            </w:pPr>
            <w:r>
              <w:rPr>
                <w:rFonts w:ascii="Calibri" w:hAnsi="Calibri"/>
                <w:b w:val="0"/>
                <w:i w:val="0"/>
                <w:color w:val="212121"/>
                <w:sz w:val="19"/>
              </w:rPr>
              <w:t>Pooled prevalence of metabolic syndrome in Indian schizophrenia patients is about 29.83% (around 11.9% even in antipsychotic-naive patients).</w:t>
            </w:r>
          </w:p>
          <w:p>
            <w:pPr>
              <w:spacing w:after="40" w:line="252" w:lineRule="auto"/>
            </w:pPr>
            <w:hyperlink r:id="rId13">
              <w:r>
                <w:rPr>
                  <w:rFonts w:ascii="Calibri" w:hAnsi="Calibri" w:cs="Calibri"/>
                  <w:sz w:val="18"/>
                  <w:color w:val="1155CC"/>
                  <w:u w:val="single"/>
                </w:rPr>
                <w:t xml:space="preserve">frontiersin.org — CVD &amp; schizophrenia in India</w:t>
              </w:r>
            </w:hyperlink>
          </w:p>
          <w:p>
            <w:pPr>
              <w:spacing w:before="60" w:after="40"/>
            </w:pPr>
            <w:r>
              <w:rPr>
                <w:rFonts w:ascii="Calibri" w:hAnsi="Calibri"/>
                <w:b w:val="0"/>
                <w:i w:val="0"/>
                <w:color w:val="5A5A5A"/>
                <w:sz w:val="18"/>
              </w:rPr>
              <w:t>#metabolicsyndrome  #insulinresistance  #dyslipidaemia  #cardiometabolic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Inactivity from negative symptoms and sedation worsens metabolic risk and mood; structured aerobic/resistance exercise improves negative symptoms, cognition and cardiometabolic health as an adjunct to medication.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is not causal for psychosis but poor-quality, energy-dense diets amplify antipsychotic-related weight gain and metabolic syndrome; adequate omega-3, folate and vitamin D support physical and possibly cognitive health.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Insomnia and circadian disruption are core prodromal features and reliable early-warning signs of relapse; sleep loss can itself precipitate or intensify psychotic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72–90% of patients smoke versus ~24% of the general population; smoking is a major driver of excess cardiovascular mortality and alters clozapine/olanzapine metabolism.</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Comorbid alcohol use (10.7% of Indian cases) worsens adherence, precipitates relapse and increases suicide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childhood trauma, social defeat and high expressed emotion in the family are strong triggers of onset and relapse; comorbid depression and anxiety are common.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minority develop psychogenic polydipsia with dilutional hyponatraemia (water intoxication); otherwise hydration has little direct role in psychosis.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intake can heighten anxiety, agitation and insomnia and interacts pharmacokinetically with clozapine; moderate intake is generally acceptable.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Self-neglect and poor personal hygiene are common manifestations of negative symptoms and disorganisation, and are useful markers of relapse and functional decline.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Cannabis and stimulant use, treatment non-adherence, sleep deprivation, acute stress and postpartum states are well-recognised precipitants of acute psychotic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psychosis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60 min/week</w:t>
            </w:r>
          </w:p>
        </w:tc>
        <w:tc>
          <w:tcPr>
            <w:tcW w:type="dxa" w:w="1468"/>
            <w:vAlign w:val="top"/>
          </w:tcPr>
          <w:p>
            <w:pPr>
              <w:spacing w:after="40" w:before="0" w:line="259" w:lineRule="auto"/>
            </w:pPr>
            <w:r>
              <w:rPr>
                <w:rFonts w:ascii="Calibri" w:hAnsi="Calibri"/>
                <w:b w:val="0"/>
                <w:i w:val="0"/>
                <w:color w:val="212121"/>
                <w:sz w:val="19"/>
              </w:rPr>
              <w:t>Exercise improves negative symptoms and metabolic health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 Asian cut-offs)</w:t>
            </w:r>
          </w:p>
        </w:tc>
        <w:tc>
          <w:tcPr>
            <w:tcW w:type="dxa" w:w="1655"/>
            <w:vAlign w:val="top"/>
          </w:tcPr>
          <w:p>
            <w:pPr>
              <w:spacing w:after="40" w:before="0" w:line="259" w:lineRule="auto"/>
            </w:pPr>
            <w:r>
              <w:rPr>
                <w:rFonts w:ascii="Calibri" w:hAnsi="Calibri"/>
                <w:b w:val="0"/>
                <w:i w:val="0"/>
                <w:color w:val="212121"/>
                <w:sz w:val="19"/>
              </w:rPr>
              <w:t>Patients on antipsychotics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Monitor at baseline and periodically on antipsychotics</w:t>
            </w:r>
          </w:p>
          <w:p>
            <w:pPr>
              <w:spacing w:after="40" w:line="252" w:lineRule="auto"/>
            </w:pPr>
            <w:hyperlink r:id="rId13">
              <w:r>
                <w:rPr>
                  <w:rFonts w:ascii="Calibri" w:hAnsi="Calibri" w:cs="Calibri"/>
                  <w:sz w:val="18"/>
                  <w:color w:val="1155CC"/>
                  <w:u w:val="single"/>
                </w:rPr>
                <w:t xml:space="preserve">https://www.frontiersin.org/journals/psychiatry/articles/10.3389/fpsyt.2021.639295/full</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on antipsychotics</w:t>
            </w:r>
          </w:p>
        </w:tc>
        <w:tc>
          <w:tcPr>
            <w:tcW w:type="dxa" w:w="1512"/>
            <w:vAlign w:val="top"/>
          </w:tcPr>
          <w:p>
            <w:pPr>
              <w:spacing w:after="40" w:before="0" w:line="259" w:lineRule="auto"/>
            </w:pPr>
            <w:r>
              <w:rPr>
                <w:rFonts w:ascii="Calibri" w:hAnsi="Calibri"/>
                <w:b w:val="0"/>
                <w:i w:val="0"/>
                <w:color w:val="212121"/>
                <w:sz w:val="19"/>
              </w:rPr>
              <w:t>M &lt; 90 cm; F &lt; 80 cm (Asian)</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obesity is a core metabolic-syndrome criterion</w:t>
            </w:r>
          </w:p>
          <w:p>
            <w:pPr>
              <w:spacing w:after="40" w:line="252" w:lineRule="auto"/>
            </w:pPr>
            <w:hyperlink r:id="rId13">
              <w:r>
                <w:rPr>
                  <w:rFonts w:ascii="Calibri" w:hAnsi="Calibri" w:cs="Calibri"/>
                  <w:sz w:val="18"/>
                  <w:color w:val="1155CC"/>
                  <w:u w:val="single"/>
                </w:rPr>
                <w:t xml:space="preserve">https://www.frontiersin.org/journals/psychiatry/articles/10.3389/fpsyt.2021.639295/full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w:t>
            </w:r>
          </w:p>
        </w:tc>
        <w:tc>
          <w:tcPr>
            <w:tcW w:type="dxa" w:w="1655"/>
            <w:vAlign w:val="top"/>
          </w:tcPr>
          <w:p>
            <w:pPr>
              <w:spacing w:after="40" w:before="0" w:line="259" w:lineRule="auto"/>
            </w:pPr>
            <w:r>
              <w:rPr>
                <w:rFonts w:ascii="Calibri" w:hAnsi="Calibri"/>
                <w:b w:val="0"/>
                <w:i w:val="0"/>
                <w:color w:val="212121"/>
                <w:sz w:val="19"/>
              </w:rPr>
              <w:t>Patients on antipsychotics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40" w:before="0" w:line="259" w:lineRule="auto"/>
            </w:pPr>
            <w:r>
              <w:rPr>
                <w:rFonts w:ascii="Calibri" w:hAnsi="Calibri"/>
                <w:b w:val="0"/>
                <w:i w:val="0"/>
                <w:color w:val="212121"/>
                <w:sz w:val="19"/>
              </w:rPr>
              <w:t>Screen for antipsychotic-associated diabetes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lipid profile (LDL / HDL / TG)</w:t>
            </w:r>
          </w:p>
        </w:tc>
        <w:tc>
          <w:tcPr>
            <w:tcW w:type="dxa" w:w="1655"/>
            <w:vAlign w:val="top"/>
          </w:tcPr>
          <w:p>
            <w:pPr>
              <w:spacing w:after="40" w:before="0" w:line="259" w:lineRule="auto"/>
            </w:pPr>
            <w:r>
              <w:rPr>
                <w:rFonts w:ascii="Calibri" w:hAnsi="Calibri"/>
                <w:b w:val="0"/>
                <w:i w:val="0"/>
                <w:color w:val="212121"/>
                <w:sz w:val="19"/>
              </w:rPr>
              <w:t>Patients on antipsychotics</w:t>
            </w:r>
          </w:p>
        </w:tc>
        <w:tc>
          <w:tcPr>
            <w:tcW w:type="dxa" w:w="1512"/>
            <w:vAlign w:val="top"/>
          </w:tcPr>
          <w:p>
            <w:pPr>
              <w:spacing w:after="40" w:before="0" w:line="259" w:lineRule="auto"/>
            </w:pPr>
            <w:r>
              <w:rPr>
                <w:rFonts w:ascii="Calibri" w:hAnsi="Calibri"/>
                <w:b w:val="0"/>
                <w:i w:val="0"/>
                <w:color w:val="212121"/>
                <w:sz w:val="19"/>
              </w:rPr>
              <w:t>LDL &lt;100; HDL M&gt;40/F&gt;50; TG &lt;150 mg/dL</w:t>
            </w:r>
          </w:p>
        </w:tc>
        <w:tc>
          <w:tcPr>
            <w:tcW w:type="dxa" w:w="1512"/>
            <w:vAlign w:val="top"/>
          </w:tcPr>
          <w:p>
            <w:pPr>
              <w:spacing w:after="40" w:before="0" w:line="259" w:lineRule="auto"/>
            </w:pPr>
            <w:r>
              <w:rPr>
                <w:rFonts w:ascii="Calibri" w:hAnsi="Calibri"/>
                <w:b w:val="0"/>
                <w:i w:val="0"/>
                <w:color w:val="212121"/>
                <w:sz w:val="19"/>
              </w:rPr>
              <w:t>TG ≥150; HDL &lt;40; LDL ≥130</w:t>
            </w:r>
          </w:p>
        </w:tc>
        <w:tc>
          <w:tcPr>
            <w:tcW w:type="dxa" w:w="1468"/>
            <w:vAlign w:val="top"/>
          </w:tcPr>
          <w:p>
            <w:pPr>
              <w:spacing w:after="60" w:line="259" w:lineRule="auto"/>
            </w:pPr>
            <w:r>
              <w:rPr>
                <w:rFonts w:ascii="Calibri" w:hAnsi="Calibri"/>
                <w:b w:val="0"/>
                <w:i w:val="0"/>
                <w:color w:val="212121"/>
                <w:sz w:val="19"/>
              </w:rPr>
              <w:t>Dyslipidaemia common with SGAs</w:t>
            </w:r>
          </w:p>
          <w:p>
            <w:pPr>
              <w:spacing w:after="40" w:line="252" w:lineRule="auto"/>
            </w:pPr>
            <w:hyperlink r:id="rId13">
              <w:r>
                <w:rPr>
                  <w:rFonts w:ascii="Calibri" w:hAnsi="Calibri" w:cs="Calibri"/>
                  <w:sz w:val="18"/>
                  <w:color w:val="1155CC"/>
                  <w:u w:val="single"/>
                </w:rPr>
                <w:t xml:space="preserve">https://www.frontiersin.org/journals/psychiatry/articles/10.3389/fpsyt.2021.639295/full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psychosis</w:t>
            </w:r>
          </w:p>
        </w:tc>
        <w:tc>
          <w:tcPr>
            <w:tcW w:type="dxa" w:w="1512"/>
            <w:vAlign w:val="top"/>
          </w:tcPr>
          <w:p>
            <w:pPr>
              <w:spacing w:after="40" w:before="0" w:line="259" w:lineRule="auto"/>
            </w:pPr>
            <w:r>
              <w:rPr>
                <w:rFonts w:ascii="Calibri" w:hAnsi="Calibri"/>
                <w:b w:val="0"/>
                <w:i w:val="0"/>
                <w:color w:val="212121"/>
                <w:sz w:val="19"/>
              </w:rPr>
              <w:t>7–9 hours</w:t>
            </w:r>
          </w:p>
        </w:tc>
        <w:tc>
          <w:tcPr>
            <w:tcW w:type="dxa" w:w="1512"/>
            <w:vAlign w:val="top"/>
          </w:tcPr>
          <w:p>
            <w:pPr>
              <w:spacing w:after="40" w:before="0" w:line="259" w:lineRule="auto"/>
            </w:pPr>
            <w:r>
              <w:rPr>
                <w:rFonts w:ascii="Calibri" w:hAnsi="Calibri"/>
                <w:b w:val="0"/>
                <w:i w:val="0"/>
                <w:color w:val="212121"/>
                <w:sz w:val="19"/>
              </w:rPr>
              <w:t>&lt; 6 hours or new-onset insomnia</w:t>
            </w:r>
          </w:p>
        </w:tc>
        <w:tc>
          <w:tcPr>
            <w:tcW w:type="dxa" w:w="1468"/>
            <w:vAlign w:val="top"/>
          </w:tcPr>
          <w:p>
            <w:pPr>
              <w:spacing w:after="40" w:before="0" w:line="259" w:lineRule="auto"/>
            </w:pPr>
            <w:r>
              <w:rPr>
                <w:rFonts w:ascii="Calibri" w:hAnsi="Calibri"/>
                <w:b w:val="0"/>
                <w:i w:val="0"/>
                <w:color w:val="212121"/>
                <w:sz w:val="19"/>
              </w:rPr>
              <w:t>Worsening sleep is an early relapse indicator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with psychosis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Smoking status affects clozapine/olanzapine levels</w:t>
            </w:r>
          </w:p>
          <w:p>
            <w:pPr>
              <w:spacing w:after="40" w:line="252" w:lineRule="auto"/>
            </w:pPr>
            <w:hyperlink r:id="rId11">
              <w:r>
                <w:rPr>
                  <w:rFonts w:ascii="Calibri" w:hAnsi="Calibri" w:cs="Calibri"/>
                  <w:sz w:val="18"/>
                  <w:color w:val="1155CC"/>
                  <w:u w:val="single"/>
                </w:rPr>
                <w:t xml:space="preserve">https://www.psychiatrictimes.com/view/nicotine-dependence-schizophrenia-prevalence-mechanisms-and-implications-treatment</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with psychosis</w:t>
            </w:r>
          </w:p>
        </w:tc>
        <w:tc>
          <w:tcPr>
            <w:tcW w:type="dxa" w:w="1512"/>
            <w:vAlign w:val="top"/>
          </w:tcPr>
          <w:p>
            <w:pPr>
              <w:spacing w:after="40" w:before="0" w:line="259" w:lineRule="auto"/>
            </w:pPr>
            <w:r>
              <w:rPr>
                <w:rFonts w:ascii="Calibri" w:hAnsi="Calibri"/>
                <w:b w:val="0"/>
                <w:i w:val="0"/>
                <w:color w:val="212121"/>
                <w:sz w:val="19"/>
              </w:rPr>
              <w:t>0 (abstinence advised)</w:t>
            </w:r>
          </w:p>
        </w:tc>
        <w:tc>
          <w:tcPr>
            <w:tcW w:type="dxa" w:w="1512"/>
            <w:vAlign w:val="top"/>
          </w:tcPr>
          <w:p>
            <w:pPr>
              <w:spacing w:after="40" w:before="0" w:line="259" w:lineRule="auto"/>
            </w:pPr>
            <w:r>
              <w:rPr>
                <w:rFonts w:ascii="Calibri" w:hAnsi="Calibri"/>
                <w:b w:val="0"/>
                <w:i w:val="0"/>
                <w:color w:val="212121"/>
                <w:sz w:val="19"/>
              </w:rPr>
              <w:t>Any regular use / binge</w:t>
            </w:r>
          </w:p>
        </w:tc>
        <w:tc>
          <w:tcPr>
            <w:tcW w:type="dxa" w:w="1468"/>
            <w:vAlign w:val="top"/>
          </w:tcPr>
          <w:p>
            <w:pPr>
              <w:spacing w:after="60" w:line="259" w:lineRule="auto"/>
            </w:pPr>
            <w:r>
              <w:rPr>
                <w:rFonts w:ascii="Calibri" w:hAnsi="Calibri"/>
                <w:b w:val="0"/>
                <w:i w:val="0"/>
                <w:color w:val="212121"/>
                <w:sz w:val="19"/>
              </w:rPr>
              <w:t>Alcohol worsens adherence and relapse</w:t>
            </w:r>
          </w:p>
          <w:p>
            <w:pPr>
              <w:spacing w:after="40" w:line="252" w:lineRule="auto"/>
            </w:pPr>
            <w:hyperlink r:id="rId9">
              <w:r>
                <w:rPr>
                  <w:rFonts w:ascii="Calibri" w:hAnsi="Calibri" w:cs="Calibri"/>
                  <w:sz w:val="18"/>
                  <w:color w:val="1155CC"/>
                  <w:u w:val="single"/>
                </w:rPr>
                <w:t xml:space="preserve">https://pmc.ncbi.nlm.nih.gov/articles/PMC10826875/</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Patients on clozapine</w:t>
            </w:r>
          </w:p>
        </w:tc>
        <w:tc>
          <w:tcPr>
            <w:tcW w:type="dxa" w:w="1512"/>
            <w:vAlign w:val="top"/>
          </w:tcPr>
          <w:p>
            <w:pPr>
              <w:spacing w:after="40" w:before="0" w:line="259" w:lineRule="auto"/>
            </w:pPr>
            <w:r>
              <w:rPr>
                <w:rFonts w:ascii="Calibri" w:hAnsi="Calibri"/>
                <w:b w:val="0"/>
                <w:i w:val="0"/>
                <w:color w:val="212121"/>
                <w:sz w:val="19"/>
              </w:rPr>
              <w:t>&lt; 400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High caffeine can raise clozapine levels and agitation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sodium / fluid intake</w:t>
            </w:r>
          </w:p>
        </w:tc>
        <w:tc>
          <w:tcPr>
            <w:tcW w:type="dxa" w:w="1655"/>
            <w:vAlign w:val="top"/>
          </w:tcPr>
          <w:p>
            <w:pPr>
              <w:spacing w:after="40" w:before="0" w:line="259" w:lineRule="auto"/>
            </w:pPr>
            <w:r>
              <w:rPr>
                <w:rFonts w:ascii="Calibri" w:hAnsi="Calibri"/>
                <w:b w:val="0"/>
                <w:i w:val="0"/>
                <w:color w:val="212121"/>
                <w:sz w:val="19"/>
              </w:rPr>
              <w:t>Patients with polydipsia</w:t>
            </w:r>
          </w:p>
        </w:tc>
        <w:tc>
          <w:tcPr>
            <w:tcW w:type="dxa" w:w="1512"/>
            <w:vAlign w:val="top"/>
          </w:tcPr>
          <w:p>
            <w:pPr>
              <w:spacing w:after="40" w:before="0" w:line="259" w:lineRule="auto"/>
            </w:pPr>
            <w:r>
              <w:rPr>
                <w:rFonts w:ascii="Calibri" w:hAnsi="Calibri"/>
                <w:b w:val="0"/>
                <w:i w:val="0"/>
                <w:color w:val="212121"/>
                <w:sz w:val="19"/>
              </w:rPr>
              <w:t>Na 135–145 mmol/L; ~2–3 L/day</w:t>
            </w:r>
          </w:p>
        </w:tc>
        <w:tc>
          <w:tcPr>
            <w:tcW w:type="dxa" w:w="1512"/>
            <w:vAlign w:val="top"/>
          </w:tcPr>
          <w:p>
            <w:pPr>
              <w:spacing w:after="40" w:before="0" w:line="259" w:lineRule="auto"/>
            </w:pPr>
            <w:r>
              <w:rPr>
                <w:rFonts w:ascii="Calibri" w:hAnsi="Calibri"/>
                <w:b w:val="0"/>
                <w:i w:val="0"/>
                <w:color w:val="212121"/>
                <w:sz w:val="19"/>
              </w:rPr>
              <w:t>Na &lt; 135 mmol/L; intake &gt; 3–4 L/day</w:t>
            </w:r>
          </w:p>
        </w:tc>
        <w:tc>
          <w:tcPr>
            <w:tcW w:type="dxa" w:w="1468"/>
            <w:vAlign w:val="top"/>
          </w:tcPr>
          <w:p>
            <w:pPr>
              <w:spacing w:after="40" w:before="0" w:line="259" w:lineRule="auto"/>
            </w:pPr>
            <w:r>
              <w:rPr>
                <w:rFonts w:ascii="Calibri" w:hAnsi="Calibri"/>
                <w:b w:val="0"/>
                <w:i w:val="0"/>
                <w:color w:val="212121"/>
                <w:sz w:val="19"/>
              </w:rPr>
              <w:t>Screen for psychogenic polydipsia / water intoxication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(incl. ANC)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ANC ≥ 1500/µL</w:t>
            </w:r>
          </w:p>
        </w:tc>
        <w:tc>
          <w:tcPr>
            <w:tcW w:type="dxa" w:w="950"/>
            <w:vAlign w:val="top"/>
          </w:tcPr>
          <w:p>
            <w:pPr>
              <w:spacing w:after="40" w:before="0" w:line="259" w:lineRule="auto"/>
            </w:pPr>
            <w:r>
              <w:rPr>
                <w:rFonts w:ascii="Calibri" w:hAnsi="Calibri"/>
                <w:b w:val="0"/>
                <w:i w:val="0"/>
                <w:color w:val="212121"/>
                <w:sz w:val="16"/>
              </w:rPr>
              <w:t>ANC &lt; 1500/µL (neutropenia)</w:t>
            </w:r>
          </w:p>
        </w:tc>
        <w:tc>
          <w:tcPr>
            <w:tcW w:type="dxa" w:w="1036"/>
            <w:vAlign w:val="top"/>
          </w:tcPr>
          <w:p>
            <w:pPr>
              <w:spacing w:after="40" w:before="0" w:line="259" w:lineRule="auto"/>
            </w:pPr>
            <w:r>
              <w:rPr>
                <w:rFonts w:ascii="Calibri" w:hAnsi="Calibri"/>
                <w:b w:val="0"/>
                <w:i w:val="0"/>
                <w:color w:val="212121"/>
                <w:sz w:val="16"/>
              </w:rPr>
              <w:t>Baseline and mandatory serial monitoring on clozapine (agranulocytosis risk)</w:t>
            </w:r>
          </w:p>
        </w:tc>
        <w:tc>
          <w:tcPr>
            <w:tcW w:type="dxa" w:w="1036"/>
            <w:vAlign w:val="top"/>
          </w:tcPr>
          <w:p>
            <w:pPr>
              <w:spacing w:after="40" w:before="0" w:line="259" w:lineRule="auto"/>
            </w:pPr>
            <w:r>
              <w:rPr>
                <w:rFonts w:ascii="Calibri" w:hAnsi="Calibri"/>
                <w:b w:val="0"/>
                <w:i w:val="0"/>
                <w:color w:val="212121"/>
                <w:sz w:val="16"/>
              </w:rPr>
              <w:t>Patients on clozapine, treatment-resistant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 (clozapine)</w:t>
            </w:r>
          </w:p>
        </w:tc>
        <w:tc>
          <w:tcPr>
            <w:tcW w:type="dxa" w:w="720"/>
            <w:vAlign w:val="top"/>
          </w:tcPr>
          <w:p>
            <w:pPr>
              <w:spacing w:after="40" w:before="0" w:line="259" w:lineRule="auto"/>
            </w:pPr>
            <w:r>
              <w:rPr>
                <w:rFonts w:ascii="Calibri" w:hAnsi="Calibri"/>
                <w:b w:val="0"/>
                <w:i w:val="0"/>
                <w:color w:val="212121"/>
                <w:sz w:val="16"/>
              </w:rPr>
              <w:t>Weekly initially per clozapine protocol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70–99 mg/dL; HbA1c &lt;5.7%</w:t>
            </w:r>
          </w:p>
        </w:tc>
        <w:tc>
          <w:tcPr>
            <w:tcW w:type="dxa" w:w="950"/>
            <w:vAlign w:val="top"/>
          </w:tcPr>
          <w:p>
            <w:pPr>
              <w:spacing w:after="40" w:before="0" w:line="259" w:lineRule="auto"/>
            </w:pPr>
            <w:r>
              <w:rPr>
                <w:rFonts w:ascii="Calibri" w:hAnsi="Calibri"/>
                <w:b w:val="0"/>
                <w:i w:val="0"/>
                <w:color w:val="212121"/>
                <w:sz w:val="16"/>
              </w:rPr>
              <w:t>FBS ≥126; HbA1c ≥6.5%</w:t>
            </w:r>
          </w:p>
        </w:tc>
        <w:tc>
          <w:tcPr>
            <w:tcW w:type="dxa" w:w="1036"/>
            <w:vAlign w:val="top"/>
          </w:tcPr>
          <w:p>
            <w:pPr>
              <w:spacing w:after="40" w:before="0" w:line="259" w:lineRule="auto"/>
            </w:pPr>
            <w:r>
              <w:rPr>
                <w:rFonts w:ascii="Calibri" w:hAnsi="Calibri"/>
                <w:b w:val="0"/>
                <w:i w:val="0"/>
                <w:color w:val="212121"/>
                <w:sz w:val="16"/>
              </w:rPr>
              <w:t>Detects antipsychotic-associated dysglycaemia / diabetes</w:t>
            </w:r>
          </w:p>
        </w:tc>
        <w:tc>
          <w:tcPr>
            <w:tcW w:type="dxa" w:w="1036"/>
            <w:vAlign w:val="top"/>
          </w:tcPr>
          <w:p>
            <w:pPr>
              <w:spacing w:after="40" w:before="0" w:line="259" w:lineRule="auto"/>
            </w:pPr>
            <w:r>
              <w:rPr>
                <w:rFonts w:ascii="Calibri" w:hAnsi="Calibri"/>
                <w:b w:val="0"/>
                <w:i w:val="0"/>
                <w:color w:val="212121"/>
                <w:sz w:val="16"/>
              </w:rPr>
              <w:t>All patients on antipsychotics,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Routine metabolic monitoring</w:t>
            </w:r>
          </w:p>
        </w:tc>
        <w:tc>
          <w:tcPr>
            <w:tcW w:type="dxa" w:w="720"/>
            <w:vAlign w:val="top"/>
          </w:tcPr>
          <w:p>
            <w:pPr>
              <w:spacing w:after="40" w:before="0" w:line="259" w:lineRule="auto"/>
            </w:pPr>
            <w:r>
              <w:rPr>
                <w:rFonts w:ascii="Calibri" w:hAnsi="Calibri"/>
                <w:b w:val="0"/>
                <w:i w:val="0"/>
                <w:color w:val="212121"/>
                <w:sz w:val="16"/>
              </w:rPr>
              <w:t>Baseline, 3 months, then yearly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LDL &lt;100; TG &lt;150 mg/dL</w:t>
            </w:r>
          </w:p>
        </w:tc>
        <w:tc>
          <w:tcPr>
            <w:tcW w:type="dxa" w:w="950"/>
            <w:vAlign w:val="top"/>
          </w:tcPr>
          <w:p>
            <w:pPr>
              <w:spacing w:after="40" w:before="0" w:line="259" w:lineRule="auto"/>
            </w:pPr>
            <w:r>
              <w:rPr>
                <w:rFonts w:ascii="Calibri" w:hAnsi="Calibri"/>
                <w:b w:val="0"/>
                <w:i w:val="0"/>
                <w:color w:val="212121"/>
                <w:sz w:val="16"/>
              </w:rPr>
              <w:t>TG ≥150; HDL low; LDL ≥130</w:t>
            </w:r>
          </w:p>
        </w:tc>
        <w:tc>
          <w:tcPr>
            <w:tcW w:type="dxa" w:w="1036"/>
            <w:vAlign w:val="top"/>
          </w:tcPr>
          <w:p>
            <w:pPr>
              <w:spacing w:after="40" w:before="0" w:line="259" w:lineRule="auto"/>
            </w:pPr>
            <w:r>
              <w:rPr>
                <w:rFonts w:ascii="Calibri" w:hAnsi="Calibri"/>
                <w:b w:val="0"/>
                <w:i w:val="0"/>
                <w:color w:val="212121"/>
                <w:sz w:val="16"/>
              </w:rPr>
              <w:t>Screens for antipsychotic-induced dyslipidaemia</w:t>
            </w:r>
          </w:p>
        </w:tc>
        <w:tc>
          <w:tcPr>
            <w:tcW w:type="dxa" w:w="1036"/>
            <w:vAlign w:val="top"/>
          </w:tcPr>
          <w:p>
            <w:pPr>
              <w:spacing w:after="40" w:before="0" w:line="259" w:lineRule="auto"/>
            </w:pPr>
            <w:r>
              <w:rPr>
                <w:rFonts w:ascii="Calibri" w:hAnsi="Calibri"/>
                <w:b w:val="0"/>
                <w:i w:val="0"/>
                <w:color w:val="212121"/>
                <w:sz w:val="16"/>
              </w:rPr>
              <w:t>Patients on second-generation antipsychotics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 metabolic monitoring</w:t>
            </w:r>
          </w:p>
        </w:tc>
        <w:tc>
          <w:tcPr>
            <w:tcW w:type="dxa" w:w="720"/>
            <w:vAlign w:val="top"/>
          </w:tcPr>
          <w:p>
            <w:pPr>
              <w:spacing w:after="40" w:before="0" w:line="259" w:lineRule="auto"/>
            </w:pPr>
            <w:r>
              <w:rPr>
                <w:rFonts w:ascii="Calibri" w:hAnsi="Calibri"/>
                <w:b w:val="0"/>
                <w:i w:val="0"/>
                <w:color w:val="212121"/>
                <w:sz w:val="16"/>
              </w:rPr>
              <w:t>Part of metabolic panel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 function (TSH) ± serum prolactin</w:t>
            </w:r>
          </w:p>
        </w:tc>
        <w:tc>
          <w:tcPr>
            <w:tcW w:type="dxa" w:w="892"/>
            <w:vAlign w:val="top"/>
          </w:tcPr>
          <w:p>
            <w:pPr>
              <w:spacing w:after="40" w:before="0" w:line="259" w:lineRule="auto"/>
            </w:pPr>
            <w:r>
              <w:rPr>
                <w:rFonts w:ascii="Calibri" w:hAnsi="Calibri"/>
                <w:b w:val="0"/>
                <w:i w:val="0"/>
                <w:color w:val="212121"/>
                <w:sz w:val="16"/>
              </w:rPr>
              <w:t>Hormone assay</w:t>
            </w:r>
          </w:p>
        </w:tc>
        <w:tc>
          <w:tcPr>
            <w:tcW w:type="dxa" w:w="950"/>
            <w:vAlign w:val="top"/>
          </w:tcPr>
          <w:p>
            <w:pPr>
              <w:spacing w:after="40" w:before="0" w:line="259" w:lineRule="auto"/>
            </w:pPr>
            <w:r>
              <w:rPr>
                <w:rFonts w:ascii="Calibri" w:hAnsi="Calibri"/>
                <w:b w:val="0"/>
                <w:i w:val="0"/>
                <w:color w:val="212121"/>
                <w:sz w:val="16"/>
              </w:rPr>
              <w:t>TSH 0.4–4.0 mIU/L; prolactin normal</w:t>
            </w:r>
          </w:p>
        </w:tc>
        <w:tc>
          <w:tcPr>
            <w:tcW w:type="dxa" w:w="950"/>
            <w:vAlign w:val="top"/>
          </w:tcPr>
          <w:p>
            <w:pPr>
              <w:spacing w:after="40" w:before="0" w:line="259" w:lineRule="auto"/>
            </w:pPr>
            <w:r>
              <w:rPr>
                <w:rFonts w:ascii="Calibri" w:hAnsi="Calibri"/>
                <w:b w:val="0"/>
                <w:i w:val="0"/>
                <w:color w:val="212121"/>
                <w:sz w:val="16"/>
              </w:rPr>
              <w:t>Abnormal TSH; hyperprolactinaemia</w:t>
            </w:r>
          </w:p>
        </w:tc>
        <w:tc>
          <w:tcPr>
            <w:tcW w:type="dxa" w:w="1036"/>
            <w:vAlign w:val="top"/>
          </w:tcPr>
          <w:p>
            <w:pPr>
              <w:spacing w:after="40" w:before="0" w:line="259" w:lineRule="auto"/>
            </w:pPr>
            <w:r>
              <w:rPr>
                <w:rFonts w:ascii="Calibri" w:hAnsi="Calibri"/>
                <w:b w:val="0"/>
                <w:i w:val="0"/>
                <w:color w:val="212121"/>
                <w:sz w:val="16"/>
              </w:rPr>
              <w:t>Excludes thyroid causes of psychosis; detects antipsychotic-induced hyperprolactinaemia</w:t>
            </w:r>
          </w:p>
        </w:tc>
        <w:tc>
          <w:tcPr>
            <w:tcW w:type="dxa" w:w="1036"/>
            <w:vAlign w:val="top"/>
          </w:tcPr>
          <w:p>
            <w:pPr>
              <w:spacing w:after="40" w:before="0" w:line="259" w:lineRule="auto"/>
            </w:pPr>
            <w:r>
              <w:rPr>
                <w:rFonts w:ascii="Calibri" w:hAnsi="Calibri"/>
                <w:b w:val="0"/>
                <w:i w:val="0"/>
                <w:color w:val="212121"/>
                <w:sz w:val="16"/>
              </w:rPr>
              <w:t>First-episode psychosis, patients on risperidone/amisulpride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Prolactin if galactorrhoea/amenorrhoea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w:t>
            </w:r>
          </w:p>
        </w:tc>
        <w:tc>
          <w:tcPr>
            <w:tcW w:type="dxa" w:w="892"/>
            <w:vAlign w:val="top"/>
          </w:tcPr>
          <w:p>
            <w:pPr>
              <w:spacing w:after="40" w:before="0" w:line="259" w:lineRule="auto"/>
            </w:pPr>
            <w:r>
              <w:rPr>
                <w:rFonts w:ascii="Calibri" w:hAnsi="Calibri"/>
                <w:b w:val="0"/>
                <w:i w:val="0"/>
                <w:color w:val="212121"/>
                <w:sz w:val="16"/>
              </w:rPr>
              <w:t>Urine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cannabis / amphetamine / other</w:t>
            </w:r>
          </w:p>
        </w:tc>
        <w:tc>
          <w:tcPr>
            <w:tcW w:type="dxa" w:w="1036"/>
            <w:vAlign w:val="top"/>
          </w:tcPr>
          <w:p>
            <w:pPr>
              <w:spacing w:after="40" w:before="0" w:line="259" w:lineRule="auto"/>
            </w:pPr>
            <w:r>
              <w:rPr>
                <w:rFonts w:ascii="Calibri" w:hAnsi="Calibri"/>
                <w:b w:val="0"/>
                <w:i w:val="0"/>
                <w:color w:val="212121"/>
                <w:sz w:val="16"/>
              </w:rPr>
              <w:t>Identifies substance-induced psychosis and comorbid use</w:t>
            </w:r>
          </w:p>
        </w:tc>
        <w:tc>
          <w:tcPr>
            <w:tcW w:type="dxa" w:w="1036"/>
            <w:vAlign w:val="top"/>
          </w:tcPr>
          <w:p>
            <w:pPr>
              <w:spacing w:after="40" w:before="0" w:line="259" w:lineRule="auto"/>
            </w:pPr>
            <w:r>
              <w:rPr>
                <w:rFonts w:ascii="Calibri" w:hAnsi="Calibri"/>
                <w:b w:val="0"/>
                <w:i w:val="0"/>
                <w:color w:val="212121"/>
                <w:sz w:val="16"/>
              </w:rPr>
              <w:t>First-episode psychosis, young men, suspected substance 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at first presentation</w:t>
            </w:r>
          </w:p>
        </w:tc>
        <w:tc>
          <w:tcPr>
            <w:tcW w:type="dxa" w:w="720"/>
            <w:vAlign w:val="top"/>
          </w:tcPr>
          <w:p>
            <w:pPr>
              <w:spacing w:after="40" w:before="0" w:line="259" w:lineRule="auto"/>
            </w:pPr>
            <w:r>
              <w:rPr>
                <w:rFonts w:ascii="Calibri" w:hAnsi="Calibri"/>
                <w:b w:val="0"/>
                <w:i w:val="0"/>
                <w:color w:val="212121"/>
                <w:sz w:val="16"/>
              </w:rPr>
              <w:t>Cannabis is the commonest positive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(sodium)</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Na 135–145 mmol/L</w:t>
            </w:r>
          </w:p>
        </w:tc>
        <w:tc>
          <w:tcPr>
            <w:tcW w:type="dxa" w:w="950"/>
            <w:vAlign w:val="top"/>
          </w:tcPr>
          <w:p>
            <w:pPr>
              <w:spacing w:after="40" w:before="0" w:line="259" w:lineRule="auto"/>
            </w:pPr>
            <w:r>
              <w:rPr>
                <w:rFonts w:ascii="Calibri" w:hAnsi="Calibri"/>
                <w:b w:val="0"/>
                <w:i w:val="0"/>
                <w:color w:val="212121"/>
                <w:sz w:val="16"/>
              </w:rPr>
              <w:t>Na &lt; 135 mmol/L</w:t>
            </w:r>
          </w:p>
        </w:tc>
        <w:tc>
          <w:tcPr>
            <w:tcW w:type="dxa" w:w="1036"/>
            <w:vAlign w:val="top"/>
          </w:tcPr>
          <w:p>
            <w:pPr>
              <w:spacing w:after="40" w:before="0" w:line="259" w:lineRule="auto"/>
            </w:pPr>
            <w:r>
              <w:rPr>
                <w:rFonts w:ascii="Calibri" w:hAnsi="Calibri"/>
                <w:b w:val="0"/>
                <w:i w:val="0"/>
                <w:color w:val="212121"/>
                <w:sz w:val="16"/>
              </w:rPr>
              <w:t>Detects hyponatraemia from psychogenic polydipsia or SIADH</w:t>
            </w:r>
          </w:p>
        </w:tc>
        <w:tc>
          <w:tcPr>
            <w:tcW w:type="dxa" w:w="1036"/>
            <w:vAlign w:val="top"/>
          </w:tcPr>
          <w:p>
            <w:pPr>
              <w:spacing w:after="40" w:before="0" w:line="259" w:lineRule="auto"/>
            </w:pPr>
            <w:r>
              <w:rPr>
                <w:rFonts w:ascii="Calibri" w:hAnsi="Calibri"/>
                <w:b w:val="0"/>
                <w:i w:val="0"/>
                <w:color w:val="212121"/>
                <w:sz w:val="16"/>
              </w:rPr>
              <w:t>Patients with polydipsia, on carbamazepine/SSRIs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As indicated</w:t>
            </w:r>
          </w:p>
        </w:tc>
        <w:tc>
          <w:tcPr>
            <w:tcW w:type="dxa" w:w="720"/>
            <w:vAlign w:val="top"/>
          </w:tcPr>
          <w:p>
            <w:pPr>
              <w:spacing w:after="40" w:before="0" w:line="259" w:lineRule="auto"/>
            </w:pPr>
            <w:r>
              <w:rPr>
                <w:rFonts w:ascii="Calibri" w:hAnsi="Calibri"/>
                <w:b w:val="0"/>
                <w:i w:val="0"/>
                <w:color w:val="212121"/>
                <w:sz w:val="16"/>
              </w:rPr>
              <w:t>Water intoxication can cause seizures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Infective / metabolic screen</w:t>
            </w:r>
          </w:p>
        </w:tc>
        <w:tc>
          <w:tcPr>
            <w:tcW w:type="dxa" w:w="1036"/>
            <w:vAlign w:val="top"/>
          </w:tcPr>
          <w:p>
            <w:pPr>
              <w:spacing w:after="40" w:before="0" w:line="259" w:lineRule="auto"/>
            </w:pPr>
            <w:r>
              <w:rPr>
                <w:rFonts w:ascii="Calibri" w:hAnsi="Calibri"/>
                <w:b w:val="0"/>
                <w:i w:val="0"/>
                <w:color w:val="212121"/>
                <w:sz w:val="16"/>
              </w:rPr>
              <w:t>B12, folate, HIV, VDRL, Ca</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Within reference range / non-reactive</w:t>
            </w:r>
          </w:p>
        </w:tc>
        <w:tc>
          <w:tcPr>
            <w:tcW w:type="dxa" w:w="950"/>
            <w:vAlign w:val="top"/>
          </w:tcPr>
          <w:p>
            <w:pPr>
              <w:spacing w:after="40" w:before="0" w:line="259" w:lineRule="auto"/>
            </w:pPr>
            <w:r>
              <w:rPr>
                <w:rFonts w:ascii="Calibri" w:hAnsi="Calibri"/>
                <w:b w:val="0"/>
                <w:i w:val="0"/>
                <w:color w:val="212121"/>
                <w:sz w:val="16"/>
              </w:rPr>
              <w:t>Deficiency or reactive result</w:t>
            </w:r>
          </w:p>
        </w:tc>
        <w:tc>
          <w:tcPr>
            <w:tcW w:type="dxa" w:w="1036"/>
            <w:vAlign w:val="top"/>
          </w:tcPr>
          <w:p>
            <w:pPr>
              <w:spacing w:after="40" w:before="0" w:line="259" w:lineRule="auto"/>
            </w:pPr>
            <w:r>
              <w:rPr>
                <w:rFonts w:ascii="Calibri" w:hAnsi="Calibri"/>
                <w:b w:val="0"/>
                <w:i w:val="0"/>
                <w:color w:val="212121"/>
                <w:sz w:val="16"/>
              </w:rPr>
              <w:t>Excludes organic (medical) causes of psychosis</w:t>
            </w:r>
          </w:p>
        </w:tc>
        <w:tc>
          <w:tcPr>
            <w:tcW w:type="dxa" w:w="1036"/>
            <w:vAlign w:val="top"/>
          </w:tcPr>
          <w:p>
            <w:pPr>
              <w:spacing w:after="40" w:before="0" w:line="259" w:lineRule="auto"/>
            </w:pPr>
            <w:r>
              <w:rPr>
                <w:rFonts w:ascii="Calibri" w:hAnsi="Calibri"/>
                <w:b w:val="0"/>
                <w:i w:val="0"/>
                <w:color w:val="212121"/>
                <w:sz w:val="16"/>
              </w:rPr>
              <w:t>Atypical presentation, late onset, cognitive decline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 workup</w:t>
            </w:r>
          </w:p>
        </w:tc>
        <w:tc>
          <w:tcPr>
            <w:tcW w:type="dxa" w:w="720"/>
            <w:vAlign w:val="top"/>
          </w:tcPr>
          <w:p>
            <w:pPr>
              <w:spacing w:after="40" w:before="0" w:line="259" w:lineRule="auto"/>
            </w:pPr>
            <w:r>
              <w:rPr>
                <w:rFonts w:ascii="Calibri" w:hAnsi="Calibri"/>
                <w:b w:val="0"/>
                <w:i w:val="0"/>
                <w:color w:val="212121"/>
                <w:sz w:val="16"/>
              </w:rPr>
              <w:t>Especially for late/atypical onset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ECG (QTc interval)</w:t>
            </w:r>
          </w:p>
        </w:tc>
        <w:tc>
          <w:tcPr>
            <w:tcW w:type="dxa" w:w="892"/>
            <w:vAlign w:val="top"/>
          </w:tcPr>
          <w:p>
            <w:pPr>
              <w:spacing w:after="40" w:before="0" w:line="259" w:lineRule="auto"/>
            </w:pPr>
            <w:r>
              <w:rPr>
                <w:rFonts w:ascii="Calibri" w:hAnsi="Calibri"/>
                <w:b w:val="0"/>
                <w:i w:val="0"/>
                <w:color w:val="212121"/>
                <w:sz w:val="16"/>
              </w:rPr>
              <w:t>Electrocardiogram</w:t>
            </w:r>
          </w:p>
        </w:tc>
        <w:tc>
          <w:tcPr>
            <w:tcW w:type="dxa" w:w="950"/>
            <w:vAlign w:val="top"/>
          </w:tcPr>
          <w:p>
            <w:pPr>
              <w:spacing w:after="40" w:before="0" w:line="259" w:lineRule="auto"/>
            </w:pPr>
            <w:r>
              <w:rPr>
                <w:rFonts w:ascii="Calibri" w:hAnsi="Calibri"/>
                <w:b w:val="0"/>
                <w:i w:val="0"/>
                <w:color w:val="212121"/>
                <w:sz w:val="16"/>
              </w:rPr>
              <w:t>QTc &lt; 440 ms (M) / 460 ms (F)</w:t>
            </w:r>
          </w:p>
        </w:tc>
        <w:tc>
          <w:tcPr>
            <w:tcW w:type="dxa" w:w="950"/>
            <w:vAlign w:val="top"/>
          </w:tcPr>
          <w:p>
            <w:pPr>
              <w:spacing w:after="40" w:before="0" w:line="259" w:lineRule="auto"/>
            </w:pPr>
            <w:r>
              <w:rPr>
                <w:rFonts w:ascii="Calibri" w:hAnsi="Calibri"/>
                <w:b w:val="0"/>
                <w:i w:val="0"/>
                <w:color w:val="212121"/>
                <w:sz w:val="16"/>
              </w:rPr>
              <w:t>QTc &gt; 500 ms or prolongation</w:t>
            </w:r>
          </w:p>
        </w:tc>
        <w:tc>
          <w:tcPr>
            <w:tcW w:type="dxa" w:w="1036"/>
            <w:vAlign w:val="top"/>
          </w:tcPr>
          <w:p>
            <w:pPr>
              <w:spacing w:after="40" w:before="0" w:line="259" w:lineRule="auto"/>
            </w:pPr>
            <w:r>
              <w:rPr>
                <w:rFonts w:ascii="Calibri" w:hAnsi="Calibri"/>
                <w:b w:val="0"/>
                <w:i w:val="0"/>
                <w:color w:val="212121"/>
                <w:sz w:val="16"/>
              </w:rPr>
              <w:t>Assesses antipsychotic-related QT prolongation before/during therapy</w:t>
            </w:r>
          </w:p>
        </w:tc>
        <w:tc>
          <w:tcPr>
            <w:tcW w:type="dxa" w:w="1036"/>
            <w:vAlign w:val="top"/>
          </w:tcPr>
          <w:p>
            <w:pPr>
              <w:spacing w:after="40" w:before="0" w:line="259" w:lineRule="auto"/>
            </w:pPr>
            <w:r>
              <w:rPr>
                <w:rFonts w:ascii="Calibri" w:hAnsi="Calibri"/>
                <w:b w:val="0"/>
                <w:i w:val="0"/>
                <w:color w:val="212121"/>
                <w:sz w:val="16"/>
              </w:rPr>
              <w:t>Patients on haloperidol, ziprasidone, high-dose antipsychotics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Baseline and after dose changes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 CT brain</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 focal structural lesion</w:t>
            </w:r>
          </w:p>
        </w:tc>
        <w:tc>
          <w:tcPr>
            <w:tcW w:type="dxa" w:w="950"/>
            <w:vAlign w:val="top"/>
          </w:tcPr>
          <w:p>
            <w:pPr>
              <w:spacing w:after="40" w:before="0" w:line="259" w:lineRule="auto"/>
            </w:pPr>
            <w:r>
              <w:rPr>
                <w:rFonts w:ascii="Calibri" w:hAnsi="Calibri"/>
                <w:b w:val="0"/>
                <w:i w:val="0"/>
                <w:color w:val="212121"/>
                <w:sz w:val="16"/>
              </w:rPr>
              <w:t>Tumour, demyelination, atrophy, ventricular enlargement</w:t>
            </w:r>
          </w:p>
        </w:tc>
        <w:tc>
          <w:tcPr>
            <w:tcW w:type="dxa" w:w="1036"/>
            <w:vAlign w:val="top"/>
          </w:tcPr>
          <w:p>
            <w:pPr>
              <w:spacing w:after="40" w:before="0" w:line="259" w:lineRule="auto"/>
            </w:pPr>
            <w:r>
              <w:rPr>
                <w:rFonts w:ascii="Calibri" w:hAnsi="Calibri"/>
                <w:b w:val="0"/>
                <w:i w:val="0"/>
                <w:color w:val="212121"/>
                <w:sz w:val="16"/>
              </w:rPr>
              <w:t>Excludes organic brain disease in atypical/first-episode or late-onset cases</w:t>
            </w:r>
          </w:p>
        </w:tc>
        <w:tc>
          <w:tcPr>
            <w:tcW w:type="dxa" w:w="1036"/>
            <w:vAlign w:val="top"/>
          </w:tcPr>
          <w:p>
            <w:pPr>
              <w:spacing w:after="40" w:before="0" w:line="259" w:lineRule="auto"/>
            </w:pPr>
            <w:r>
              <w:rPr>
                <w:rFonts w:ascii="Calibri" w:hAnsi="Calibri"/>
                <w:b w:val="0"/>
                <w:i w:val="0"/>
                <w:color w:val="212121"/>
                <w:sz w:val="16"/>
              </w:rPr>
              <w:t>First-episode, late-onset, focal neurology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exclusion</w:t>
            </w:r>
          </w:p>
        </w:tc>
        <w:tc>
          <w:tcPr>
            <w:tcW w:type="dxa" w:w="720"/>
            <w:vAlign w:val="top"/>
          </w:tcPr>
          <w:p>
            <w:pPr>
              <w:spacing w:after="40" w:before="0" w:line="259" w:lineRule="auto"/>
            </w:pPr>
            <w:r>
              <w:rPr>
                <w:rFonts w:ascii="Calibri" w:hAnsi="Calibri"/>
                <w:b w:val="0"/>
                <w:i w:val="0"/>
                <w:color w:val="212121"/>
                <w:sz w:val="16"/>
              </w:rPr>
              <w:t>Not diagnostic for schizophrenia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Hallucinations, delusions, disorganised behaviour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≥1 month</w:t>
            </w:r>
          </w:p>
        </w:tc>
        <w:tc>
          <w:tcPr>
            <w:tcW w:type="dxa" w:w="1036"/>
            <w:vAlign w:val="top"/>
          </w:tcPr>
          <w:p>
            <w:pPr>
              <w:spacing w:after="40" w:before="0" w:line="259" w:lineRule="auto"/>
            </w:pPr>
            <w:r>
              <w:rPr>
                <w:rFonts w:ascii="Calibri" w:hAnsi="Calibri"/>
                <w:b w:val="0"/>
                <w:i w:val="0"/>
                <w:color w:val="212121"/>
                <w:sz w:val="16"/>
              </w:rPr>
              <w:t>Active-phase psychotic symptoms — core to diagnosis</w:t>
            </w:r>
          </w:p>
        </w:tc>
        <w:tc>
          <w:tcPr>
            <w:tcW w:type="dxa" w:w="1036"/>
            <w:vAlign w:val="top"/>
          </w:tcPr>
          <w:p>
            <w:pPr>
              <w:spacing w:after="40" w:before="0" w:line="259" w:lineRule="auto"/>
            </w:pPr>
            <w:r>
              <w:rPr>
                <w:rFonts w:ascii="Calibri" w:hAnsi="Calibri"/>
                <w:b w:val="0"/>
                <w:i w:val="0"/>
                <w:color w:val="212121"/>
                <w:sz w:val="16"/>
              </w:rPr>
              <w:t>Adolescents/young adults, those with functional decline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Corroborate with family informant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Examination</w:t>
            </w:r>
          </w:p>
        </w:tc>
        <w:tc>
          <w:tcPr>
            <w:tcW w:type="dxa" w:w="950"/>
            <w:vAlign w:val="top"/>
          </w:tcPr>
          <w:p>
            <w:pPr>
              <w:spacing w:after="40" w:before="0" w:line="259" w:lineRule="auto"/>
            </w:pPr>
            <w:r>
              <w:rPr>
                <w:rFonts w:ascii="Calibri" w:hAnsi="Calibri"/>
                <w:b w:val="0"/>
                <w:i w:val="0"/>
                <w:color w:val="212121"/>
                <w:sz w:val="16"/>
              </w:rPr>
              <w:t>Thought, perception, affect, cognition</w:t>
            </w:r>
          </w:p>
        </w:tc>
        <w:tc>
          <w:tcPr>
            <w:tcW w:type="dxa" w:w="979"/>
            <w:vAlign w:val="top"/>
          </w:tcPr>
          <w:p>
            <w:pPr>
              <w:spacing w:after="40" w:before="0" w:line="259" w:lineRule="auto"/>
            </w:pPr>
            <w:r>
              <w:rPr>
                <w:rFonts w:ascii="Calibri" w:hAnsi="Calibri"/>
                <w:b w:val="0"/>
                <w:i w:val="0"/>
                <w:color w:val="212121"/>
                <w:sz w:val="16"/>
              </w:rPr>
              <w:t>Form and content of thought, hallucinations, affect</w:t>
            </w:r>
          </w:p>
        </w:tc>
        <w:tc>
          <w:tcPr>
            <w:tcW w:type="dxa" w:w="950"/>
            <w:vAlign w:val="top"/>
          </w:tcPr>
          <w:p>
            <w:pPr>
              <w:spacing w:after="40" w:before="0" w:line="259" w:lineRule="auto"/>
            </w:pPr>
            <w:r>
              <w:rPr>
                <w:rFonts w:ascii="Calibri" w:hAnsi="Calibri"/>
                <w:b w:val="0"/>
                <w:i w:val="0"/>
                <w:color w:val="212121"/>
                <w:sz w:val="16"/>
              </w:rPr>
              <w:t>Coherent, reality-based, congruent affect</w:t>
            </w:r>
          </w:p>
        </w:tc>
        <w:tc>
          <w:tcPr>
            <w:tcW w:type="dxa" w:w="950"/>
            <w:vAlign w:val="top"/>
          </w:tcPr>
          <w:p>
            <w:pPr>
              <w:spacing w:after="40" w:before="0" w:line="259" w:lineRule="auto"/>
            </w:pPr>
            <w:r>
              <w:rPr>
                <w:rFonts w:ascii="Calibri" w:hAnsi="Calibri"/>
                <w:b w:val="0"/>
                <w:i w:val="0"/>
                <w:color w:val="212121"/>
                <w:sz w:val="16"/>
              </w:rPr>
              <w:t>Formal thought disorder, delusions, blunted/incongruent affect</w:t>
            </w:r>
          </w:p>
        </w:tc>
        <w:tc>
          <w:tcPr>
            <w:tcW w:type="dxa" w:w="1036"/>
            <w:vAlign w:val="top"/>
          </w:tcPr>
          <w:p>
            <w:pPr>
              <w:spacing w:after="40" w:before="0" w:line="259" w:lineRule="auto"/>
            </w:pPr>
            <w:r>
              <w:rPr>
                <w:rFonts w:ascii="Calibri" w:hAnsi="Calibri"/>
                <w:b w:val="0"/>
                <w:i w:val="0"/>
                <w:color w:val="212121"/>
                <w:sz w:val="16"/>
              </w:rPr>
              <w:t>Structured assessment of psychopathology; guides severity rating</w:t>
            </w:r>
          </w:p>
        </w:tc>
        <w:tc>
          <w:tcPr>
            <w:tcW w:type="dxa" w:w="1036"/>
            <w:vAlign w:val="top"/>
          </w:tcPr>
          <w:p>
            <w:pPr>
              <w:spacing w:after="40" w:before="0" w:line="259" w:lineRule="auto"/>
            </w:pPr>
            <w:r>
              <w:rPr>
                <w:rFonts w:ascii="Calibri" w:hAnsi="Calibri"/>
                <w:b w:val="0"/>
                <w:i w:val="0"/>
                <w:color w:val="212121"/>
                <w:sz w:val="16"/>
              </w:rPr>
              <w:t>All suspected psychosis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Note responding to internal stimuli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&amp; functional decline</w:t>
            </w:r>
          </w:p>
        </w:tc>
        <w:tc>
          <w:tcPr>
            <w:tcW w:type="dxa" w:w="979"/>
            <w:vAlign w:val="top"/>
          </w:tcPr>
          <w:p>
            <w:pPr>
              <w:spacing w:after="40" w:before="0" w:line="259" w:lineRule="auto"/>
            </w:pPr>
            <w:r>
              <w:rPr>
                <w:rFonts w:ascii="Calibri" w:hAnsi="Calibri"/>
                <w:b w:val="0"/>
                <w:i w:val="0"/>
                <w:color w:val="212121"/>
                <w:sz w:val="16"/>
              </w:rPr>
              <w:t>Continuous disturbance and drop in functioning</w:t>
            </w:r>
          </w:p>
        </w:tc>
        <w:tc>
          <w:tcPr>
            <w:tcW w:type="dxa" w:w="950"/>
            <w:vAlign w:val="top"/>
          </w:tcPr>
          <w:p>
            <w:pPr>
              <w:spacing w:after="40" w:before="0" w:line="259" w:lineRule="auto"/>
            </w:pPr>
            <w:r>
              <w:rPr>
                <w:rFonts w:ascii="Calibri" w:hAnsi="Calibri"/>
                <w:b w:val="0"/>
                <w:i w:val="0"/>
                <w:color w:val="212121"/>
                <w:sz w:val="16"/>
              </w:rPr>
              <w:t>&lt; 1 month / no decline</w:t>
            </w:r>
          </w:p>
        </w:tc>
        <w:tc>
          <w:tcPr>
            <w:tcW w:type="dxa" w:w="950"/>
            <w:vAlign w:val="top"/>
          </w:tcPr>
          <w:p>
            <w:pPr>
              <w:spacing w:after="40" w:before="0" w:line="259" w:lineRule="auto"/>
            </w:pPr>
            <w:r>
              <w:rPr>
                <w:rFonts w:ascii="Calibri" w:hAnsi="Calibri"/>
                <w:b w:val="0"/>
                <w:i w:val="0"/>
                <w:color w:val="212121"/>
                <w:sz w:val="16"/>
              </w:rPr>
              <w:t>≥ 6 months with functional decline</w:t>
            </w:r>
          </w:p>
        </w:tc>
        <w:tc>
          <w:tcPr>
            <w:tcW w:type="dxa" w:w="1036"/>
            <w:vAlign w:val="top"/>
          </w:tcPr>
          <w:p>
            <w:pPr>
              <w:spacing w:after="40" w:before="0" w:line="259" w:lineRule="auto"/>
            </w:pPr>
            <w:r>
              <w:rPr>
                <w:rFonts w:ascii="Calibri" w:hAnsi="Calibri"/>
                <w:b w:val="0"/>
                <w:i w:val="0"/>
                <w:color w:val="212121"/>
                <w:sz w:val="16"/>
              </w:rPr>
              <w:t>Distinguishes schizophrenia from schizophreniform/brief psychotic disorder</w:t>
            </w:r>
          </w:p>
        </w:tc>
        <w:tc>
          <w:tcPr>
            <w:tcW w:type="dxa" w:w="1036"/>
            <w:vAlign w:val="top"/>
          </w:tcPr>
          <w:p>
            <w:pPr>
              <w:spacing w:after="40" w:before="0" w:line="259" w:lineRule="auto"/>
            </w:pPr>
            <w:r>
              <w:rPr>
                <w:rFonts w:ascii="Calibri" w:hAnsi="Calibri"/>
                <w:b w:val="0"/>
                <w:i w:val="0"/>
                <w:color w:val="212121"/>
                <w:sz w:val="16"/>
              </w:rPr>
              <w:t>Newly presenting psychosis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Establishes premorbid baseline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use history</w:t>
            </w:r>
          </w:p>
        </w:tc>
        <w:tc>
          <w:tcPr>
            <w:tcW w:type="dxa" w:w="979"/>
            <w:vAlign w:val="top"/>
          </w:tcPr>
          <w:p>
            <w:pPr>
              <w:spacing w:after="40" w:before="0" w:line="259" w:lineRule="auto"/>
            </w:pPr>
            <w:r>
              <w:rPr>
                <w:rFonts w:ascii="Calibri" w:hAnsi="Calibri"/>
                <w:b w:val="0"/>
                <w:i w:val="0"/>
                <w:color w:val="212121"/>
                <w:sz w:val="16"/>
              </w:rPr>
              <w:t>Cannabis, alcohol, stimulants</w:t>
            </w:r>
          </w:p>
        </w:tc>
        <w:tc>
          <w:tcPr>
            <w:tcW w:type="dxa" w:w="950"/>
            <w:vAlign w:val="top"/>
          </w:tcPr>
          <w:p>
            <w:pPr>
              <w:spacing w:after="40" w:before="0" w:line="259" w:lineRule="auto"/>
            </w:pPr>
            <w:r>
              <w:rPr>
                <w:rFonts w:ascii="Calibri" w:hAnsi="Calibri"/>
                <w:b w:val="0"/>
                <w:i w:val="0"/>
                <w:color w:val="212121"/>
                <w:sz w:val="16"/>
              </w:rPr>
              <w:t>No use</w:t>
            </w:r>
          </w:p>
        </w:tc>
        <w:tc>
          <w:tcPr>
            <w:tcW w:type="dxa" w:w="950"/>
            <w:vAlign w:val="top"/>
          </w:tcPr>
          <w:p>
            <w:pPr>
              <w:spacing w:after="40" w:before="0" w:line="259" w:lineRule="auto"/>
            </w:pPr>
            <w:r>
              <w:rPr>
                <w:rFonts w:ascii="Calibri" w:hAnsi="Calibri"/>
                <w:b w:val="0"/>
                <w:i w:val="0"/>
                <w:color w:val="212121"/>
                <w:sz w:val="16"/>
              </w:rPr>
              <w:t>Regular/heavy use, temporal link to symptoms</w:t>
            </w:r>
          </w:p>
        </w:tc>
        <w:tc>
          <w:tcPr>
            <w:tcW w:type="dxa" w:w="1036"/>
            <w:vAlign w:val="top"/>
          </w:tcPr>
          <w:p>
            <w:pPr>
              <w:spacing w:after="40" w:before="0" w:line="259" w:lineRule="auto"/>
            </w:pPr>
            <w:r>
              <w:rPr>
                <w:rFonts w:ascii="Calibri" w:hAnsi="Calibri"/>
                <w:b w:val="0"/>
                <w:i w:val="0"/>
                <w:color w:val="212121"/>
                <w:sz w:val="16"/>
              </w:rPr>
              <w:t>Identifies substance-induced psychosis and modifiable risk</w:t>
            </w:r>
          </w:p>
        </w:tc>
        <w:tc>
          <w:tcPr>
            <w:tcW w:type="dxa" w:w="1036"/>
            <w:vAlign w:val="top"/>
          </w:tcPr>
          <w:p>
            <w:pPr>
              <w:spacing w:after="40" w:before="0" w:line="259" w:lineRule="auto"/>
            </w:pPr>
            <w:r>
              <w:rPr>
                <w:rFonts w:ascii="Calibri" w:hAnsi="Calibri"/>
                <w:b w:val="0"/>
                <w:i w:val="0"/>
                <w:color w:val="212121"/>
                <w:sz w:val="16"/>
              </w:rPr>
              <w:t>Young men, urban/rural cannabis users</w:t>
            </w:r>
          </w:p>
        </w:tc>
        <w:tc>
          <w:tcPr>
            <w:tcW w:type="dxa" w:w="720"/>
            <w:vAlign w:val="top"/>
          </w:tcPr>
          <w:p>
            <w:pPr>
              <w:spacing w:after="40" w:before="0" w:line="259" w:lineRule="auto"/>
            </w:pPr>
            <w:r>
              <w:rPr>
                <w:rFonts w:ascii="Calibri" w:hAnsi="Calibri"/>
                <w:b w:val="0"/>
                <w:i w:val="0"/>
                <w:color w:val="212121"/>
                <w:sz w:val="16"/>
              </w:rPr>
              <w:t>Provoking factors; Alcohol</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Guides diagnosis and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Psychosis / schizophrenia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≥1 affected first-degree relative</w:t>
            </w:r>
          </w:p>
        </w:tc>
        <w:tc>
          <w:tcPr>
            <w:tcW w:type="dxa" w:w="1036"/>
            <w:vAlign w:val="top"/>
          </w:tcPr>
          <w:p>
            <w:pPr>
              <w:spacing w:after="40" w:before="0" w:line="259" w:lineRule="auto"/>
            </w:pPr>
            <w:r>
              <w:rPr>
                <w:rFonts w:ascii="Calibri" w:hAnsi="Calibri"/>
                <w:b w:val="0"/>
                <w:i w:val="0"/>
                <w:color w:val="212121"/>
                <w:sz w:val="16"/>
              </w:rPr>
              <w:t>Reflects strong genetic loading (heritability ~79%)</w:t>
            </w:r>
          </w:p>
        </w:tc>
        <w:tc>
          <w:tcPr>
            <w:tcW w:type="dxa" w:w="1036"/>
            <w:vAlign w:val="top"/>
          </w:tcPr>
          <w:p>
            <w:pPr>
              <w:spacing w:after="40" w:before="0" w:line="259" w:lineRule="auto"/>
            </w:pPr>
            <w:r>
              <w:rPr>
                <w:rFonts w:ascii="Calibri" w:hAnsi="Calibri"/>
                <w:b w:val="0"/>
                <w:i w:val="0"/>
                <w:color w:val="212121"/>
                <w:sz w:val="16"/>
              </w:rPr>
              <w:t>First-degree relatives of affected persons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of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Suicide / harm risk</w:t>
            </w:r>
          </w:p>
        </w:tc>
        <w:tc>
          <w:tcPr>
            <w:tcW w:type="dxa" w:w="979"/>
            <w:vAlign w:val="top"/>
          </w:tcPr>
          <w:p>
            <w:pPr>
              <w:spacing w:after="40" w:before="0" w:line="259" w:lineRule="auto"/>
            </w:pPr>
            <w:r>
              <w:rPr>
                <w:rFonts w:ascii="Calibri" w:hAnsi="Calibri"/>
                <w:b w:val="0"/>
                <w:i w:val="0"/>
                <w:color w:val="212121"/>
                <w:sz w:val="16"/>
              </w:rPr>
              <w:t>Suicidal ideation, command hallucinations, aggression</w:t>
            </w:r>
          </w:p>
        </w:tc>
        <w:tc>
          <w:tcPr>
            <w:tcW w:type="dxa" w:w="950"/>
            <w:vAlign w:val="top"/>
          </w:tcPr>
          <w:p>
            <w:pPr>
              <w:spacing w:after="40" w:before="0" w:line="259" w:lineRule="auto"/>
            </w:pPr>
            <w:r>
              <w:rPr>
                <w:rFonts w:ascii="Calibri" w:hAnsi="Calibri"/>
                <w:b w:val="0"/>
                <w:i w:val="0"/>
                <w:color w:val="212121"/>
                <w:sz w:val="16"/>
              </w:rPr>
              <w:t>No risk identified</w:t>
            </w:r>
          </w:p>
        </w:tc>
        <w:tc>
          <w:tcPr>
            <w:tcW w:type="dxa" w:w="950"/>
            <w:vAlign w:val="top"/>
          </w:tcPr>
          <w:p>
            <w:pPr>
              <w:spacing w:after="40" w:before="0" w:line="259" w:lineRule="auto"/>
            </w:pPr>
            <w:r>
              <w:rPr>
                <w:rFonts w:ascii="Calibri" w:hAnsi="Calibri"/>
                <w:b w:val="0"/>
                <w:i w:val="0"/>
                <w:color w:val="212121"/>
                <w:sz w:val="16"/>
              </w:rPr>
              <w:t>Active ideation, plan, command hallucinations</w:t>
            </w:r>
          </w:p>
        </w:tc>
        <w:tc>
          <w:tcPr>
            <w:tcW w:type="dxa" w:w="1036"/>
            <w:vAlign w:val="top"/>
          </w:tcPr>
          <w:p>
            <w:pPr>
              <w:spacing w:after="40" w:before="0" w:line="259" w:lineRule="auto"/>
            </w:pPr>
            <w:r>
              <w:rPr>
                <w:rFonts w:ascii="Calibri" w:hAnsi="Calibri"/>
                <w:b w:val="0"/>
                <w:i w:val="0"/>
                <w:color w:val="212121"/>
                <w:sz w:val="16"/>
              </w:rPr>
              <w:t>Determines need for admission and close monitoring</w:t>
            </w:r>
          </w:p>
        </w:tc>
        <w:tc>
          <w:tcPr>
            <w:tcW w:type="dxa" w:w="1036"/>
            <w:vAlign w:val="top"/>
          </w:tcPr>
          <w:p>
            <w:pPr>
              <w:spacing w:after="40" w:before="0" w:line="259" w:lineRule="auto"/>
            </w:pPr>
            <w:r>
              <w:rPr>
                <w:rFonts w:ascii="Calibri" w:hAnsi="Calibri"/>
                <w:b w:val="0"/>
                <w:i w:val="0"/>
                <w:color w:val="212121"/>
                <w:sz w:val="16"/>
              </w:rPr>
              <w:t>Depressed, early-illness, command-hallucination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~1 in 4 attempt suicide over a lifetime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 neurological</w:t>
            </w:r>
          </w:p>
        </w:tc>
        <w:tc>
          <w:tcPr>
            <w:tcW w:type="dxa" w:w="950"/>
            <w:vAlign w:val="top"/>
          </w:tcPr>
          <w:p>
            <w:pPr>
              <w:spacing w:after="40" w:before="0" w:line="259" w:lineRule="auto"/>
            </w:pPr>
            <w:r>
              <w:rPr>
                <w:rFonts w:ascii="Calibri" w:hAnsi="Calibri"/>
                <w:b w:val="0"/>
                <w:i w:val="0"/>
                <w:color w:val="212121"/>
                <w:sz w:val="16"/>
              </w:rPr>
              <w:t>General &amp; neuro examination</w:t>
            </w:r>
          </w:p>
        </w:tc>
        <w:tc>
          <w:tcPr>
            <w:tcW w:type="dxa" w:w="979"/>
            <w:vAlign w:val="top"/>
          </w:tcPr>
          <w:p>
            <w:pPr>
              <w:spacing w:after="40" w:before="0" w:line="259" w:lineRule="auto"/>
            </w:pPr>
            <w:r>
              <w:rPr>
                <w:rFonts w:ascii="Calibri" w:hAnsi="Calibri"/>
                <w:b w:val="0"/>
                <w:i w:val="0"/>
                <w:color w:val="212121"/>
                <w:sz w:val="16"/>
              </w:rPr>
              <w:t>BP, weight/waist, neurological signs, EPS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Metabolic changes, focal signs, extrapyramidal signs</w:t>
            </w:r>
          </w:p>
        </w:tc>
        <w:tc>
          <w:tcPr>
            <w:tcW w:type="dxa" w:w="1036"/>
            <w:vAlign w:val="top"/>
          </w:tcPr>
          <w:p>
            <w:pPr>
              <w:spacing w:after="40" w:before="0" w:line="259" w:lineRule="auto"/>
            </w:pPr>
            <w:r>
              <w:rPr>
                <w:rFonts w:ascii="Calibri" w:hAnsi="Calibri"/>
                <w:b w:val="0"/>
                <w:i w:val="0"/>
                <w:color w:val="212121"/>
                <w:sz w:val="16"/>
              </w:rPr>
              <w:t>Baseline physical health and detection of drug-induced movement disorders</w:t>
            </w:r>
          </w:p>
        </w:tc>
        <w:tc>
          <w:tcPr>
            <w:tcW w:type="dxa" w:w="1036"/>
            <w:vAlign w:val="top"/>
          </w:tcPr>
          <w:p>
            <w:pPr>
              <w:spacing w:after="40" w:before="0" w:line="259" w:lineRule="auto"/>
            </w:pPr>
            <w:r>
              <w:rPr>
                <w:rFonts w:ascii="Calibri" w:hAnsi="Calibri"/>
                <w:b w:val="0"/>
                <w:i w:val="0"/>
                <w:color w:val="212121"/>
                <w:sz w:val="16"/>
              </w:rPr>
              <w:t>All patients, those on antipsychotics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Baseline &amp; monitoring</w:t>
            </w:r>
          </w:p>
        </w:tc>
        <w:tc>
          <w:tcPr>
            <w:tcW w:type="dxa" w:w="720"/>
            <w:vAlign w:val="top"/>
          </w:tcPr>
          <w:p>
            <w:pPr>
              <w:spacing w:after="40" w:before="0" w:line="259" w:lineRule="auto"/>
            </w:pPr>
            <w:r>
              <w:rPr>
                <w:rFonts w:ascii="Calibri" w:hAnsi="Calibri"/>
                <w:b w:val="0"/>
                <w:i w:val="0"/>
                <w:color w:val="212121"/>
                <w:sz w:val="16"/>
              </w:rPr>
              <w:t>Screen for tardive dyskinesia (AIMS)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assessment</w:t>
            </w:r>
          </w:p>
        </w:tc>
        <w:tc>
          <w:tcPr>
            <w:tcW w:type="dxa" w:w="950"/>
            <w:vAlign w:val="top"/>
          </w:tcPr>
          <w:p>
            <w:pPr>
              <w:spacing w:after="40" w:before="0" w:line="259" w:lineRule="auto"/>
            </w:pPr>
            <w:r>
              <w:rPr>
                <w:rFonts w:ascii="Calibri" w:hAnsi="Calibri"/>
                <w:b w:val="0"/>
                <w:i w:val="0"/>
                <w:color w:val="212121"/>
                <w:sz w:val="16"/>
              </w:rPr>
              <w:t>Attention, memory, executive function</w:t>
            </w:r>
          </w:p>
        </w:tc>
        <w:tc>
          <w:tcPr>
            <w:tcW w:type="dxa" w:w="979"/>
            <w:vAlign w:val="top"/>
          </w:tcPr>
          <w:p>
            <w:pPr>
              <w:spacing w:after="40" w:before="0" w:line="259" w:lineRule="auto"/>
            </w:pPr>
            <w:r>
              <w:rPr>
                <w:rFonts w:ascii="Calibri" w:hAnsi="Calibri"/>
                <w:b w:val="0"/>
                <w:i w:val="0"/>
                <w:color w:val="212121"/>
                <w:sz w:val="16"/>
              </w:rPr>
              <w:t>Neurocognitive performance</w:t>
            </w:r>
          </w:p>
        </w:tc>
        <w:tc>
          <w:tcPr>
            <w:tcW w:type="dxa" w:w="950"/>
            <w:vAlign w:val="top"/>
          </w:tcPr>
          <w:p>
            <w:pPr>
              <w:spacing w:after="40" w:before="0" w:line="259" w:lineRule="auto"/>
            </w:pPr>
            <w:r>
              <w:rPr>
                <w:rFonts w:ascii="Calibri" w:hAnsi="Calibri"/>
                <w:b w:val="0"/>
                <w:i w:val="0"/>
                <w:color w:val="212121"/>
                <w:sz w:val="16"/>
              </w:rPr>
              <w:t>Age-appropriate</w:t>
            </w:r>
          </w:p>
        </w:tc>
        <w:tc>
          <w:tcPr>
            <w:tcW w:type="dxa" w:w="950"/>
            <w:vAlign w:val="top"/>
          </w:tcPr>
          <w:p>
            <w:pPr>
              <w:spacing w:after="40" w:before="0" w:line="259" w:lineRule="auto"/>
            </w:pPr>
            <w:r>
              <w:rPr>
                <w:rFonts w:ascii="Calibri" w:hAnsi="Calibri"/>
                <w:b w:val="0"/>
                <w:i w:val="0"/>
                <w:color w:val="212121"/>
                <w:sz w:val="16"/>
              </w:rPr>
              <w:t>Deficits in attention, working memory, executive function</w:t>
            </w:r>
          </w:p>
        </w:tc>
        <w:tc>
          <w:tcPr>
            <w:tcW w:type="dxa" w:w="1036"/>
            <w:vAlign w:val="top"/>
          </w:tcPr>
          <w:p>
            <w:pPr>
              <w:spacing w:after="40" w:before="0" w:line="259" w:lineRule="auto"/>
            </w:pPr>
            <w:r>
              <w:rPr>
                <w:rFonts w:ascii="Calibri" w:hAnsi="Calibri"/>
                <w:b w:val="0"/>
                <w:i w:val="0"/>
                <w:color w:val="212121"/>
                <w:sz w:val="16"/>
              </w:rPr>
              <w:t>Cognitive impairment is a core feature and a key predictor of function</w:t>
            </w:r>
          </w:p>
        </w:tc>
        <w:tc>
          <w:tcPr>
            <w:tcW w:type="dxa" w:w="1036"/>
            <w:vAlign w:val="top"/>
          </w:tcPr>
          <w:p>
            <w:pPr>
              <w:spacing w:after="40" w:before="0" w:line="259" w:lineRule="auto"/>
            </w:pPr>
            <w:r>
              <w:rPr>
                <w:rFonts w:ascii="Calibri" w:hAnsi="Calibri"/>
                <w:b w:val="0"/>
                <w:i w:val="0"/>
                <w:color w:val="212121"/>
                <w:sz w:val="16"/>
              </w:rPr>
              <w:t>Chronic illness, poor functional recovery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Informs rehabilitation planning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Auditory hallucinations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Hearing voices — commonly commentary, conversing or commanding — the most frequent perceptual disturbance.</w:t>
            </w:r>
          </w:p>
        </w:tc>
      </w:tr>
      <w:tr>
        <w:trPr>
          <w:cantSplit/>
        </w:trPr>
        <w:tc>
          <w:tcPr>
            <w:tcW w:type="dxa" w:w="2304"/>
            <w:vAlign w:val="top"/>
          </w:tcPr>
          <w:p>
            <w:pPr>
              <w:spacing w:after="40" w:before="0" w:line="259" w:lineRule="auto"/>
            </w:pPr>
            <w:r>
              <w:rPr>
                <w:rFonts w:ascii="Calibri" w:hAnsi="Calibri"/>
                <w:b/>
                <w:i w:val="0"/>
                <w:color w:val="212121"/>
                <w:sz w:val="19"/>
              </w:rPr>
              <w:t>Delusions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Fixed false beliefs, often persecutory, referential, grandiose or of control, held despite contrary evidence.</w:t>
            </w:r>
          </w:p>
        </w:tc>
      </w:tr>
      <w:tr>
        <w:trPr>
          <w:cantSplit/>
        </w:trPr>
        <w:tc>
          <w:tcPr>
            <w:tcW w:type="dxa" w:w="2304"/>
            <w:vAlign w:val="top"/>
          </w:tcPr>
          <w:p>
            <w:pPr>
              <w:spacing w:after="40" w:before="0" w:line="259" w:lineRule="auto"/>
            </w:pPr>
            <w:r>
              <w:rPr>
                <w:rFonts w:ascii="Calibri" w:hAnsi="Calibri"/>
                <w:b/>
                <w:i w:val="0"/>
                <w:color w:val="212121"/>
                <w:sz w:val="19"/>
              </w:rPr>
              <w:t>Disorganised thinking /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Loosening of associations, tangentiality, derailment or (rarely) incoherence (“word salad”).</w:t>
            </w:r>
          </w:p>
        </w:tc>
      </w:tr>
      <w:tr>
        <w:trPr>
          <w:cantSplit/>
        </w:trPr>
        <w:tc>
          <w:tcPr>
            <w:tcW w:type="dxa" w:w="2304"/>
            <w:vAlign w:val="top"/>
          </w:tcPr>
          <w:p>
            <w:pPr>
              <w:spacing w:after="40" w:before="0" w:line="259" w:lineRule="auto"/>
            </w:pPr>
            <w:r>
              <w:rPr>
                <w:rFonts w:ascii="Calibri" w:hAnsi="Calibri"/>
                <w:b/>
                <w:i w:val="0"/>
                <w:color w:val="212121"/>
                <w:sz w:val="19"/>
              </w:rPr>
              <w:t>Social withdrawal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retreat from friends, family and activities — often an early prodromal change.</w:t>
            </w:r>
          </w:p>
        </w:tc>
      </w:tr>
      <w:tr>
        <w:trPr>
          <w:cantSplit/>
        </w:trPr>
        <w:tc>
          <w:tcPr>
            <w:tcW w:type="dxa" w:w="2304"/>
            <w:vAlign w:val="top"/>
          </w:tcPr>
          <w:p>
            <w:pPr>
              <w:spacing w:after="40" w:before="0" w:line="259" w:lineRule="auto"/>
            </w:pPr>
            <w:r>
              <w:rPr>
                <w:rFonts w:ascii="Calibri" w:hAnsi="Calibri"/>
                <w:b/>
                <w:i w:val="0"/>
                <w:color w:val="212121"/>
                <w:sz w:val="19"/>
              </w:rPr>
              <w:t>Blunted / flat affect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emotional expression — a core negative symptom affecting face, voice and gesture.</w:t>
            </w:r>
          </w:p>
        </w:tc>
      </w:tr>
      <w:tr>
        <w:trPr>
          <w:cantSplit/>
        </w:trPr>
        <w:tc>
          <w:tcPr>
            <w:tcW w:type="dxa" w:w="2304"/>
            <w:vAlign w:val="top"/>
          </w:tcPr>
          <w:p>
            <w:pPr>
              <w:spacing w:after="40" w:before="0" w:line="259" w:lineRule="auto"/>
            </w:pPr>
            <w:r>
              <w:rPr>
                <w:rFonts w:ascii="Calibri" w:hAnsi="Calibri"/>
                <w:b/>
                <w:i w:val="0"/>
                <w:color w:val="212121"/>
                <w:sz w:val="19"/>
              </w:rPr>
              <w:t>Avolition &amp; anhedonia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drive, goal-directed behaviour and the capacity to experience pleasure.</w:t>
            </w:r>
          </w:p>
        </w:tc>
      </w:tr>
      <w:tr>
        <w:trPr>
          <w:cantSplit/>
        </w:trPr>
        <w:tc>
          <w:tcPr>
            <w:tcW w:type="dxa" w:w="2304"/>
            <w:vAlign w:val="top"/>
          </w:tcPr>
          <w:p>
            <w:pPr>
              <w:spacing w:after="40" w:before="0" w:line="259" w:lineRule="auto"/>
            </w:pPr>
            <w:r>
              <w:rPr>
                <w:rFonts w:ascii="Calibri" w:hAnsi="Calibri"/>
                <w:b/>
                <w:i w:val="0"/>
                <w:color w:val="212121"/>
                <w:sz w:val="19"/>
              </w:rPr>
              <w:t>Lack of insight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Poor awareness of illness, a major driver of treatment non-adherence and relapse.</w:t>
            </w:r>
          </w:p>
        </w:tc>
      </w:tr>
      <w:tr>
        <w:trPr>
          <w:cantSplit/>
        </w:trPr>
        <w:tc>
          <w:tcPr>
            <w:tcW w:type="dxa" w:w="2304"/>
            <w:vAlign w:val="top"/>
          </w:tcPr>
          <w:p>
            <w:pPr>
              <w:spacing w:after="40" w:before="0" w:line="259" w:lineRule="auto"/>
            </w:pPr>
            <w:r>
              <w:rPr>
                <w:rFonts w:ascii="Calibri" w:hAnsi="Calibri"/>
                <w:b/>
                <w:i w:val="0"/>
                <w:color w:val="212121"/>
                <w:sz w:val="19"/>
              </w:rPr>
              <w:t>Suspiciousness / paranoia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Pervasive mistrust, feeling watched, followed or plotted against.</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Insomnia and reversed sleep-wake cycle, frequently heralding onset or relapse.</w:t>
            </w:r>
          </w:p>
        </w:tc>
      </w:tr>
      <w:tr>
        <w:trPr>
          <w:cantSplit/>
        </w:trPr>
        <w:tc>
          <w:tcPr>
            <w:tcW w:type="dxa" w:w="2304"/>
            <w:vAlign w:val="top"/>
          </w:tcPr>
          <w:p>
            <w:pPr>
              <w:spacing w:after="40" w:before="0" w:line="259" w:lineRule="auto"/>
            </w:pPr>
            <w:r>
              <w:rPr>
                <w:rFonts w:ascii="Calibri" w:hAnsi="Calibri"/>
                <w:b/>
                <w:i w:val="0"/>
                <w:color w:val="212121"/>
                <w:sz w:val="19"/>
              </w:rPr>
              <w:t>Cognitive impairment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Deficits of attention, working memory and executive function that impair daily functioning.</w:t>
            </w:r>
          </w:p>
        </w:tc>
      </w:tr>
      <w:tr>
        <w:trPr>
          <w:cantSplit/>
        </w:trPr>
        <w:tc>
          <w:tcPr>
            <w:tcW w:type="dxa" w:w="2304"/>
            <w:vAlign w:val="top"/>
          </w:tcPr>
          <w:p>
            <w:pPr>
              <w:spacing w:after="40" w:before="0" w:line="259" w:lineRule="auto"/>
            </w:pPr>
            <w:r>
              <w:rPr>
                <w:rFonts w:ascii="Calibri" w:hAnsi="Calibri"/>
                <w:b/>
                <w:i w:val="0"/>
                <w:color w:val="212121"/>
                <w:sz w:val="19"/>
              </w:rPr>
              <w:t>Depressed mood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Depressive symptoms in prodromal, post-psychotic and chronic phases; elevates suicide risk.</w:t>
            </w:r>
          </w:p>
        </w:tc>
      </w:tr>
      <w:tr>
        <w:trPr>
          <w:cantSplit/>
        </w:trPr>
        <w:tc>
          <w:tcPr>
            <w:tcW w:type="dxa" w:w="2304"/>
            <w:vAlign w:val="top"/>
          </w:tcPr>
          <w:p>
            <w:pPr>
              <w:spacing w:after="40" w:before="0" w:line="259" w:lineRule="auto"/>
            </w:pPr>
            <w:r>
              <w:rPr>
                <w:rFonts w:ascii="Calibri" w:hAnsi="Calibri"/>
                <w:b/>
                <w:i w:val="0"/>
                <w:color w:val="212121"/>
                <w:sz w:val="19"/>
              </w:rPr>
              <w:t>Suicidal ideation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Present in a substantial minority; risk is highest early in the illness.</w:t>
            </w:r>
          </w:p>
        </w:tc>
      </w:tr>
      <w:tr>
        <w:trPr>
          <w:cantSplit/>
        </w:trPr>
        <w:tc>
          <w:tcPr>
            <w:tcW w:type="dxa" w:w="2304"/>
            <w:vAlign w:val="top"/>
          </w:tcPr>
          <w:p>
            <w:pPr>
              <w:spacing w:after="40" w:before="0" w:line="259" w:lineRule="auto"/>
            </w:pPr>
            <w:r>
              <w:rPr>
                <w:rFonts w:ascii="Calibri" w:hAnsi="Calibri"/>
                <w:b/>
                <w:i w:val="0"/>
                <w:color w:val="212121"/>
                <w:sz w:val="19"/>
              </w:rPr>
              <w:t>Catatonic behaviour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Stupor, mutism, negativism, posturing or waxy flexibility — a psychiatric emergency.</w:t>
            </w:r>
          </w:p>
        </w:tc>
      </w:tr>
      <w:tr>
        <w:trPr>
          <w:cantSplit/>
        </w:trPr>
        <w:tc>
          <w:tcPr>
            <w:tcW w:type="dxa" w:w="2304"/>
            <w:vAlign w:val="top"/>
          </w:tcPr>
          <w:p>
            <w:pPr>
              <w:spacing w:after="40" w:before="0" w:line="259" w:lineRule="auto"/>
            </w:pPr>
            <w:r>
              <w:rPr>
                <w:rFonts w:ascii="Calibri" w:hAnsi="Calibri"/>
                <w:b/>
                <w:i w:val="0"/>
                <w:color w:val="212121"/>
                <w:sz w:val="19"/>
              </w:rPr>
              <w:t>Polydipsia (compulsive water drinking)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Excessive water intake in a subset, risking dilutional hyponatraemia and seizures.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Formal thought disorder on interview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Derailment, tangentiality, thought blocking or neologisms observed in speech.</w:t>
            </w:r>
          </w:p>
        </w:tc>
      </w:tr>
      <w:tr>
        <w:trPr>
          <w:cantSplit/>
        </w:trPr>
        <w:tc>
          <w:tcPr>
            <w:tcW w:type="dxa" w:w="3456"/>
            <w:vAlign w:val="top"/>
          </w:tcPr>
          <w:p>
            <w:pPr>
              <w:spacing w:after="40" w:before="0" w:line="259" w:lineRule="auto"/>
            </w:pPr>
            <w:r>
              <w:rPr>
                <w:rFonts w:ascii="Calibri" w:hAnsi="Calibri"/>
                <w:b/>
                <w:i w:val="0"/>
                <w:color w:val="212121"/>
                <w:sz w:val="19"/>
              </w:rPr>
              <w:t>Flat / incongruent affect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Diminished or mismatched emotional expression on mental-state examination.</w:t>
            </w:r>
          </w:p>
        </w:tc>
      </w:tr>
      <w:tr>
        <w:trPr>
          <w:cantSplit/>
        </w:trPr>
        <w:tc>
          <w:tcPr>
            <w:tcW w:type="dxa" w:w="3456"/>
            <w:vAlign w:val="top"/>
          </w:tcPr>
          <w:p>
            <w:pPr>
              <w:spacing w:after="40" w:before="0" w:line="259" w:lineRule="auto"/>
            </w:pPr>
            <w:r>
              <w:rPr>
                <w:rFonts w:ascii="Calibri" w:hAnsi="Calibri"/>
                <w:b/>
                <w:i w:val="0"/>
                <w:color w:val="212121"/>
                <w:sz w:val="19"/>
              </w:rPr>
              <w:t>Responding to internal stimuli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Muttering, laughing, or turning as if listening to unheard voices.</w:t>
            </w:r>
          </w:p>
        </w:tc>
      </w:tr>
      <w:tr>
        <w:trPr>
          <w:cantSplit/>
        </w:trPr>
        <w:tc>
          <w:tcPr>
            <w:tcW w:type="dxa" w:w="3456"/>
            <w:vAlign w:val="top"/>
          </w:tcPr>
          <w:p>
            <w:pPr>
              <w:spacing w:after="40" w:before="0" w:line="259" w:lineRule="auto"/>
            </w:pPr>
            <w:r>
              <w:rPr>
                <w:rFonts w:ascii="Calibri" w:hAnsi="Calibri"/>
                <w:b/>
                <w:i w:val="0"/>
                <w:color w:val="212121"/>
                <w:sz w:val="19"/>
              </w:rPr>
              <w:t>Poverty of speech (alogia)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Brief, empty replies reflecting reduced thought output — a negative sign.</w:t>
            </w:r>
          </w:p>
        </w:tc>
      </w:tr>
      <w:tr>
        <w:trPr>
          <w:cantSplit/>
        </w:trPr>
        <w:tc>
          <w:tcPr>
            <w:tcW w:type="dxa" w:w="3456"/>
            <w:vAlign w:val="top"/>
          </w:tcPr>
          <w:p>
            <w:pPr>
              <w:spacing w:after="40" w:before="0" w:line="259" w:lineRule="auto"/>
            </w:pPr>
            <w:r>
              <w:rPr>
                <w:rFonts w:ascii="Calibri" w:hAnsi="Calibri"/>
                <w:b/>
                <w:i w:val="0"/>
                <w:color w:val="212121"/>
                <w:sz w:val="19"/>
              </w:rPr>
              <w:t>Self-neglect / poor grooming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Deterioration in hygiene, dress and self-care from negative symptoms and disorganisation.</w:t>
            </w:r>
          </w:p>
        </w:tc>
      </w:tr>
      <w:tr>
        <w:trPr>
          <w:cantSplit/>
        </w:trPr>
        <w:tc>
          <w:tcPr>
            <w:tcW w:type="dxa" w:w="3456"/>
            <w:vAlign w:val="top"/>
          </w:tcPr>
          <w:p>
            <w:pPr>
              <w:spacing w:after="40" w:before="0" w:line="259" w:lineRule="auto"/>
            </w:pPr>
            <w:r>
              <w:rPr>
                <w:rFonts w:ascii="Calibri" w:hAnsi="Calibri"/>
                <w:b/>
                <w:i w:val="0"/>
                <w:color w:val="212121"/>
                <w:sz w:val="19"/>
              </w:rPr>
              <w:t>Poor eye contact &amp; rapport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social engagement and reciprocity during examination.</w:t>
            </w:r>
          </w:p>
        </w:tc>
      </w:tr>
      <w:tr>
        <w:trPr>
          <w:cantSplit/>
        </w:trPr>
        <w:tc>
          <w:tcPr>
            <w:tcW w:type="dxa" w:w="3456"/>
            <w:vAlign w:val="top"/>
          </w:tcPr>
          <w:p>
            <w:pPr>
              <w:spacing w:after="40" w:before="0" w:line="259" w:lineRule="auto"/>
            </w:pPr>
            <w:r>
              <w:rPr>
                <w:rFonts w:ascii="Calibri" w:hAnsi="Calibri"/>
                <w:b/>
                <w:i w:val="0"/>
                <w:color w:val="212121"/>
                <w:sz w:val="19"/>
              </w:rPr>
              <w:t>Lack of insight / judgement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Denial of illness and impaired reasoning about consequences on assessment.</w:t>
            </w:r>
          </w:p>
        </w:tc>
      </w:tr>
      <w:tr>
        <w:trPr>
          <w:cantSplit/>
        </w:trPr>
        <w:tc>
          <w:tcPr>
            <w:tcW w:type="dxa" w:w="3456"/>
            <w:vAlign w:val="top"/>
          </w:tcPr>
          <w:p>
            <w:pPr>
              <w:spacing w:after="40" w:before="0" w:line="259" w:lineRule="auto"/>
            </w:pPr>
            <w:r>
              <w:rPr>
                <w:rFonts w:ascii="Calibri" w:hAnsi="Calibri"/>
                <w:b/>
                <w:i w:val="0"/>
                <w:color w:val="212121"/>
                <w:sz w:val="19"/>
              </w:rPr>
              <w:t>Extrapyramidal signs (drug-induced)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Rigidity, tremor, akathisia or dystonia from antipsychotics; screen for tardive dyskinesia.</w:t>
            </w:r>
          </w:p>
        </w:tc>
      </w:tr>
      <w:tr>
        <w:trPr>
          <w:cantSplit/>
        </w:trPr>
        <w:tc>
          <w:tcPr>
            <w:tcW w:type="dxa" w:w="3456"/>
            <w:vAlign w:val="top"/>
          </w:tcPr>
          <w:p>
            <w:pPr>
              <w:spacing w:after="40" w:before="0" w:line="259" w:lineRule="auto"/>
            </w:pPr>
            <w:r>
              <w:rPr>
                <w:rFonts w:ascii="Calibri" w:hAnsi="Calibri"/>
                <w:b/>
                <w:i w:val="0"/>
                <w:color w:val="212121"/>
                <w:sz w:val="19"/>
              </w:rPr>
              <w:t>Concrete thinking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Literal, concrete interpretation of proverbs or abstract questions.</w:t>
            </w:r>
          </w:p>
        </w:tc>
      </w:tr>
      <w:tr>
        <w:trPr>
          <w:cantSplit/>
        </w:trPr>
        <w:tc>
          <w:tcPr>
            <w:tcW w:type="dxa" w:w="3456"/>
            <w:vAlign w:val="top"/>
          </w:tcPr>
          <w:p>
            <w:pPr>
              <w:spacing w:after="40" w:before="0" w:line="259" w:lineRule="auto"/>
            </w:pPr>
            <w:r>
              <w:rPr>
                <w:rFonts w:ascii="Calibri" w:hAnsi="Calibri"/>
                <w:b/>
                <w:i w:val="0"/>
                <w:color w:val="212121"/>
                <w:sz w:val="19"/>
              </w:rPr>
              <w:t>Catatonic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Waxy flexibility, posturing, negativism, mutism or stupor on examination.</w:t>
            </w:r>
          </w:p>
        </w:tc>
      </w:tr>
      <w:tr>
        <w:trPr>
          <w:cantSplit/>
        </w:trPr>
        <w:tc>
          <w:tcPr>
            <w:tcW w:type="dxa" w:w="3456"/>
            <w:vAlign w:val="top"/>
          </w:tcPr>
          <w:p>
            <w:pPr>
              <w:spacing w:after="40" w:before="0" w:line="259" w:lineRule="auto"/>
            </w:pPr>
            <w:r>
              <w:rPr>
                <w:rFonts w:ascii="Calibri" w:hAnsi="Calibri"/>
                <w:b/>
                <w:i w:val="0"/>
                <w:color w:val="212121"/>
                <w:sz w:val="19"/>
              </w:rPr>
              <w:t>Soft neurological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Subtle deficits in coordination, sensory integration and motor sequencing.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psychotic episode with agitation or aggression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Command hallucinations driving self-harm or harm to 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suicide risk (highest early in the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Catatonia (stupor / excitement) — a psychiatric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Neuroleptic malignant syndrome and acute dystonia from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Substance-precipitated relapse</w:t>
            </w:r>
          </w:p>
        </w:tc>
        <w:tc>
          <w:tcPr>
            <w:tcW w:type="dxa" w:w="2980"/>
            <w:vAlign w:val="top"/>
          </w:tcPr>
          <w:p>
            <w:pPr>
              <w:spacing w:after="40" w:before="0" w:line="259" w:lineRule="auto"/>
            </w:pPr>
            <w:r>
              <w:rPr>
                <w:rFonts w:ascii="Calibri" w:hAnsi="Calibri"/>
                <w:b w:val="0"/>
                <w:i w:val="0"/>
                <w:color w:val="212121"/>
                <w:sz w:val="19"/>
              </w:rPr>
              <w:t>Direct manifestations of acute psychosis and its immediate treatment risks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functional and cognitive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Antipsychotic-induced weight gain, metabolic syndrome and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Extrapyramidal side-effects and tardive dyskinesia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Hyperprolactinaemia (galactorrhoea, sexual dysfunction,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anxiety and substance use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and respiratory disease (compounded by smoking)</w:t>
            </w:r>
          </w:p>
        </w:tc>
        <w:tc>
          <w:tcPr>
            <w:tcW w:type="dxa" w:w="2980"/>
            <w:vAlign w:val="top"/>
          </w:tcPr>
          <w:p>
            <w:pPr>
              <w:spacing w:after="40" w:before="0" w:line="259" w:lineRule="auto"/>
            </w:pPr>
            <w:r>
              <w:rPr>
                <w:rFonts w:ascii="Calibri" w:hAnsi="Calibri"/>
                <w:b w:val="0"/>
                <w:i w:val="0"/>
                <w:color w:val="212121"/>
                <w:sz w:val="19"/>
              </w:rPr>
              <w:t>Result from chronic illness, negative/cognitive symptoms and long-term pharmacotherapy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(life expectancy reduced by ~15–20 years; ~9 years per WHO)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unemployment and poverty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Treatment-resistant schizophrenia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Homelessness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Incarceration / contact with criminal justice system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caregiver and family burden</w:t>
            </w:r>
          </w:p>
        </w:tc>
        <w:tc>
          <w:tcPr>
            <w:tcW w:type="dxa" w:w="2980"/>
            <w:vAlign w:val="top"/>
          </w:tcPr>
          <w:p>
            <w:pPr>
              <w:spacing w:after="40" w:before="0" w:line="259" w:lineRule="auto"/>
            </w:pPr>
            <w:r>
              <w:rPr>
                <w:rFonts w:ascii="Calibri" w:hAnsi="Calibri"/>
                <w:b w:val="0"/>
                <w:i w:val="0"/>
                <w:color w:val="212121"/>
                <w:sz w:val="19"/>
              </w:rPr>
              <w:t>Irreversible, disabling and societal outcomes of longstanding untreated or severe illness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Tobacco / nicotine 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high smoking rates; a leading contributor to excess cardiovascular and respiratory mortality.</w:t>
            </w:r>
          </w:p>
          <w:p>
            <w:pPr>
              <w:spacing w:after="40" w:before="0" w:line="259" w:lineRule="auto"/>
            </w:pPr>
            <w:r>
              <w:rPr>
                <w:rFonts w:ascii="Calibri" w:hAnsi="Calibri"/>
                <w:b/>
                <w:i w:val="0"/>
                <w:color w:val="212121"/>
                <w:sz w:val="19"/>
              </w:rPr>
              <w:t>72–90%</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Central obesity, dyslipidaemia, hypertension and dysglycaemia, driven partly by antipsychotics.</w:t>
            </w:r>
          </w:p>
          <w:p>
            <w:pPr>
              <w:spacing w:after="40" w:before="0" w:line="259" w:lineRule="auto"/>
            </w:pPr>
            <w:r>
              <w:rPr>
                <w:rFonts w:ascii="Calibri" w:hAnsi="Calibri"/>
                <w:b/>
                <w:i w:val="0"/>
                <w:color w:val="212121"/>
                <w:sz w:val="19"/>
              </w:rPr>
              <w:t>~29.8% (India)</w:t>
            </w:r>
          </w:p>
        </w:tc>
      </w:tr>
      <w:tr>
        <w:trPr>
          <w:cantSplit/>
        </w:trPr>
        <w:tc>
          <w:tcPr>
            <w:tcW w:type="dxa" w:w="2232"/>
            <w:vAlign w:val="top"/>
          </w:tcPr>
          <w:p>
            <w:pPr>
              <w:spacing w:after="40" w:before="0" w:line="259" w:lineRule="auto"/>
            </w:pPr>
            <w:r>
              <w:rPr>
                <w:rFonts w:ascii="Calibri" w:hAnsi="Calibri"/>
                <w:b/>
                <w:i w:val="0"/>
                <w:color w:val="212121"/>
                <w:sz w:val="19"/>
              </w:rPr>
              <w:t>Suicide attempt (lifetime)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Roughly one in four attempt suicide during their lifetime; a major cause of premature death.</w:t>
            </w:r>
          </w:p>
          <w:p>
            <w:pPr>
              <w:spacing w:after="40" w:before="0" w:line="259" w:lineRule="auto"/>
            </w:pPr>
            <w:r>
              <w:rPr>
                <w:rFonts w:ascii="Calibri" w:hAnsi="Calibri"/>
                <w:b/>
                <w:i w:val="0"/>
                <w:color w:val="212121"/>
                <w:sz w:val="19"/>
              </w:rPr>
              <w:t>~26.8%</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Antipsychotic-related weight gain plus inactivity and poor diet.</w:t>
            </w:r>
          </w:p>
          <w:p>
            <w:pPr>
              <w:spacing w:after="40" w:before="0" w:line="259" w:lineRule="auto"/>
            </w:pPr>
            <w:r>
              <w:rPr>
                <w:rFonts w:ascii="Calibri" w:hAnsi="Calibri"/>
                <w:b/>
                <w:i w:val="0"/>
                <w:color w:val="212121"/>
                <w:sz w:val="19"/>
              </w:rPr>
              <w:t>~31.8% (India)</w:t>
            </w:r>
          </w:p>
        </w:tc>
      </w:tr>
      <w:tr>
        <w:trPr>
          <w:cantSplit/>
        </w:trPr>
        <w:tc>
          <w:tcPr>
            <w:tcW w:type="dxa" w:w="2232"/>
            <w:vAlign w:val="top"/>
          </w:tcPr>
          <w:p>
            <w:pPr>
              <w:spacing w:after="40" w:before="0" w:line="259" w:lineRule="auto"/>
            </w:pPr>
            <w:r>
              <w:rPr>
                <w:rFonts w:ascii="Calibri" w:hAnsi="Calibri"/>
                <w:b/>
                <w:i w:val="0"/>
                <w:color w:val="212121"/>
                <w:sz w:val="19"/>
              </w:rPr>
              <w:t>Tobacco use disorder (Indian NMHS cases)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Comorbid tobacco use among current schizophrenia cases in the National Mental Health Survey.</w:t>
            </w:r>
          </w:p>
          <w:p>
            <w:pPr>
              <w:spacing w:after="40" w:before="0" w:line="259" w:lineRule="auto"/>
            </w:pPr>
            <w:r>
              <w:rPr>
                <w:rFonts w:ascii="Calibri" w:hAnsi="Calibri"/>
                <w:b/>
                <w:i w:val="0"/>
                <w:color w:val="212121"/>
                <w:sz w:val="19"/>
              </w:rPr>
              <w:t>27.5%</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Worsens adherence, relapse and suicide risk; common dual diagnosis.</w:t>
            </w:r>
          </w:p>
          <w:p>
            <w:pPr>
              <w:spacing w:after="40" w:before="0" w:line="259" w:lineRule="auto"/>
            </w:pPr>
            <w:r>
              <w:rPr>
                <w:rFonts w:ascii="Calibri" w:hAnsi="Calibri"/>
                <w:b/>
                <w:i w:val="0"/>
                <w:color w:val="212121"/>
                <w:sz w:val="19"/>
              </w:rPr>
              <w:t>~10.7% (India)</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Prodromal, post-psychotic and chronic depressive symptoms elevate suicide risk.</w:t>
            </w:r>
          </w:p>
          <w:p>
            <w:pPr>
              <w:spacing w:after="40" w:before="0" w:line="259" w:lineRule="auto"/>
            </w:pPr>
            <w:r>
              <w:rPr>
                <w:rFonts w:ascii="Calibri" w:hAnsi="Calibri"/>
                <w:b/>
                <w:i w:val="0"/>
                <w:color w:val="212121"/>
                <w:sz w:val="19"/>
              </w:rPr>
              <w:t>~9.4% (India, current)</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single cause of death in schizophrenia, reflecting metabolic and smoking burden.</w:t>
            </w:r>
          </w:p>
          <w:p>
            <w:pPr>
              <w:spacing w:after="40" w:before="0" w:line="259" w:lineRule="auto"/>
            </w:pPr>
            <w:r>
              <w:rPr>
                <w:rFonts w:ascii="Calibri" w:hAnsi="Calibri"/>
                <w:b/>
                <w:i w:val="0"/>
                <w:color w:val="212121"/>
                <w:sz w:val="19"/>
              </w:rPr>
              <w:t>~28% of deaths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psychoeducation to patients and families about the illness, its course and the importance of long-term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recognition of early-warning signs of relapse (sleep disturbance, social withdrawal, suspiciousness, odd beliefs) and a relapse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Strongly counsel avoidance of cannabis, stimulants and other recreational drugs, which can trigger and worsen psychosis.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early help-seeking to shorten the duration of untreated psychosis and improve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stigma and correct misconceptions; discourage faith-healing-only pathways that delay effective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carers and lower high expressed emotion (criticism, hostility, over-involvement) to reduce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First-episode psychosis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prodromal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consistent antipsychotic pharmacotherapy; consider long-acting injectables where adherence is poor.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for psychosis (CBTp) to reduce distress from residual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family intervention and community-based rehabilitation to improve function and reduce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depression and anxiety; assess suicide risk at every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assertive community treatment / case management for patients with frequent relapse or disengagement.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vocational rehabilitation and social-skills training to restore functioning.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schizophrenia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Treatment-resistant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Frequently relapsing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social function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≥150 minutes/week of moderate aerobic activity to improve negative symptoms, cognition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counter antipsychotic-related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supervised or group exercise programmes to overcome avolition and improve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gradual, achievable activity goals and integrate movement into daily routine (walking, yoga).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weight, waist circumference and BMI as part of routine physical-health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prominent negative symptoms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balanced, fibre-rich diet with whole grains (millets, brown rice), pulses,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sugar-sweetened beverages, fried and ultra-processed foods that worsen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omega-3, vitamin D, folate and B12 intake; correct deficiencies where found.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portion control and regular meal timing to counter antipsychotic-driven appetite increase.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baseline and periodic metabolic monitoring (glucose, lipids, weight) for all patients on antipsychotics.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second-generation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sleep-wake schedule to stabilise circadian rhythm and reduce relapse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sleep hygiene: fixed bedtime, dark quiet room, limit screens and daytime napping.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caffeine, nicotine and alcohol, especially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persistent insomnia promptly, as worsening sleep is an early relapse signal.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Prodromal / early-illness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Relapse-prone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(behavioural counselling plus nicotine replacement, bupropion or varenicline).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stopping or reducing smoking raises clozapine/olanzapine blood levels — monitor and adjust doses.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smoking as a leading modifiable contributor to premature cardiovascular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cessation into routine care rather than deferring it, as quitting does not worsen psychosis.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schizophrenia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clozapine/olanzapine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abstinence from alcohol, which worsens adherence, judgement and relapse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alcohol and other substance use and treat dual diagnosis in an integrated 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alcohol interacts with antipsychotics, increasing sedation and side-effects.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who misuse alcohol to de-addiction and community support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 with substance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0826875/" TargetMode="External"/><Relationship Id="rId10" Type="http://schemas.openxmlformats.org/officeDocument/2006/relationships/hyperlink" Target="https://academic.oup.com/schizophreniabulletin/article-abstract/38/6/1118/1860155" TargetMode="External"/><Relationship Id="rId11" Type="http://schemas.openxmlformats.org/officeDocument/2006/relationships/hyperlink" Target="https://www.psychiatrictimes.com/view/nicotine-dependence-schizophrenia-prevalence-mechanisms-and-implications-treatment" TargetMode="External"/><Relationship Id="rId12" Type="http://schemas.openxmlformats.org/officeDocument/2006/relationships/hyperlink" Target="https://academic.oup.com/schizophreniabulletin/article/42/5/1262/2413827" TargetMode="External"/><Relationship Id="rId13" Type="http://schemas.openxmlformats.org/officeDocument/2006/relationships/hyperlink" Target="https://www.frontiersin.org/journals/psychiatry/articles/10.3389/fpsyt.2021.639295/full" TargetMode="External"/><Relationship Id="rId14" Type="http://schemas.openxmlformats.org/officeDocument/2006/relationships/hyperlink" Target="https://www.sciencedaily.com/releases/2017/10/171005103313.htm" TargetMode="External"/><Relationship Id="rId15" Type="http://schemas.openxmlformats.org/officeDocument/2006/relationships/hyperlink" Target="https://pmc.ncbi.nlm.nih.gov/articles/PMC8611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