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Alcohol Use Disorder</w:t>
      </w:r>
    </w:p>
    <w:p>
      <w:pPr>
        <w:spacing w:before="0" w:after="160"/>
      </w:pPr>
      <w:r>
        <w:rPr>
          <w:rFonts w:ascii="Calibri" w:hAnsi="Calibri"/>
          <w:b/>
          <w:i w:val="0"/>
          <w:color w:val="212121"/>
          <w:sz w:val="22"/>
        </w:rPr>
        <w:t xml:space="preserve">AKA </w:t>
      </w:r>
      <w:r>
        <w:rPr>
          <w:rFonts w:ascii="Calibri" w:hAnsi="Calibri"/>
          <w:b w:val="0"/>
          <w:i w:val="0"/>
          <w:color w:val="212121"/>
          <w:sz w:val="22"/>
        </w:rPr>
        <w:t>i.e., Alcohol dependence, Alcohol dependence syndrome (ICD-10), Alcoholism, Alcohol abuse, Harmful drinking, Problem drinking, Madyapana / Madatyaya (Ayurvedic terms)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Alcohol use disorder (AUD) is a chronic, relapsing brain condition characterised by an impaired ability to stop or control alcohol use despite adverse social, occupational, psychological or physical consequences. It exists on a spectrum from mild to severe and, in its more advanced forms, involves craving, tolerance, a withdrawal syndrome on stopping, and compulsive drinking driven by neuroadaptation in the brain's reward, stress and executive-control circuits. DSM-5 merges the older categories of alcohol 'abuse' and 'dependence' into a single disorder graded by the number of criteria met, while ICD-10/ICD-11 distinguish a dependence syndrome from a pattern of harmful (hazardous) use.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Alcohol is the most widely used psychoactive substance in India. The National Mental Health Survey (NMHS) 2015-16 estimated the weighted prevalence of alcohol use disorders at about 4.7% of adults, with an enormous treatment gap of roughly 86%. The Ministry of Social Justice / AIIMS 'Magnitude of Substance Use in India' survey (2019) found that about 14.6% of Indians aged 10-75 (around 16 crore people) are current alcohol users and about 5.2% (more than 5.7 crore) are affected by harmful or dependent use, with prevalence roughly 17 times higher in men than women; only about 1 in 38 people with alcohol dependence ever receive any treatment. NFHS-5 (2019-21) reported current alcohol use in 18.3% of men versus 1.3% of women, with the highest state-level burden in the Northeast and states such as Arunachal Pradesh, Tripura, Chhattisgarh, Punjab and Goa. Globally the WHO estimates about 400 million people live with alcohol use disorders and around 2.6 million deaths a year are attributable to alcohol.</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Alcohol use disorder is a clinical diagnosis. DSM-5 requires a problematic pattern of alcohol use leading to clinically significant impairment or distress, with at least 2 of the following 11 criteria occurring within a 12-month period; validated screening tools and biomarkers support case-finding and monitoring: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Impaired control - (1) alcohol taken in larger amounts or over a longer period than intended; (2) a persistent desire or unsuccessful efforts to cut down or control use; (3) a great deal of time spent obtaining, using or recovering from alcohol; (4) craving or a strong urge to drink;</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Social impairment - (5) recurrent use resulting in failure to fulfil major role obligations at work, school or home; (6) continued use despite persistent social or interpersonal problems caused or worsened by alcohol; (7) important social, occupational or recreational activities given up or reduced because of drinking;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Risky use - (8) recurrent use in physically hazardous situations (e.g. driving); (9) continued use despite knowledge of a persistent or recurrent physical or psychological problem caused or worsened by alcohol;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Pharmacological criteria - (10) tolerance (need for markedly increased amounts, or a diminished effect with the same amount); (11) withdrawal (the characteristic alcohol withdrawal syndrome, or drinking to relieve or avoid withdrawal);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Severity grading - the disorder is classed as mild (2-3 criteria), moderate (4-5 criteria) or severe (6 or more criteria) over the preceding 12 months;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Screening tools - the WHO Alcohol Use Disorders Identification Test (AUDIT, score &gt;= 8 suggests hazardous/harmful drinking and &gt;= 15-20 possible dependence), AUDIT-C and the 4-item CAGE questionnaire aid early detection in primary care;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biomarkers - raised gamma-glutamyl transferase (GGT), carbohydrate-deficient transferrin (CDT), mean corpuscular volume (MCV), an AST:ALT ratio &gt; 2, and phosphatidylethanol (PEth) corroborate recent or chronic heavy use, and the CIWA-Ar scale quantifies withdrawal.</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Alcohol use disorder is classified by diagnostic framework and severity, by drinking pattern, and by the clinical spectrum of intoxication and withdrawal:</w:t>
      </w:r>
    </w:p>
    <w:p>
      <w:pPr>
        <w:spacing w:before="0" w:after="80"/>
      </w:pPr>
      <w:r>
        <w:rPr>
          <w:rFonts w:ascii="Calibri" w:hAnsi="Calibri"/>
          <w:b w:val="0"/>
          <w:i w:val="0"/>
          <w:color w:val="212121"/>
          <w:sz w:val="21"/>
        </w:rPr>
        <w:t>(1) By DSM-5 severity: a single diagnosis of alcohol use disorder specified as mild (2-3 criteria), moderate (4-5 criteria) or severe (6 or more criteria), replacing the former DSM-IV split into alcohol 'abuse' and 'dependence';</w:t>
      </w:r>
    </w:p>
    <w:p>
      <w:pPr>
        <w:spacing w:before="0" w:after="80"/>
      </w:pPr>
      <w:r>
        <w:rPr>
          <w:rFonts w:ascii="Calibri" w:hAnsi="Calibri"/>
          <w:b w:val="0"/>
          <w:i w:val="0"/>
          <w:color w:val="212121"/>
          <w:sz w:val="21"/>
        </w:rPr>
        <w:t>(2) By ICD-10 / ICD-11: alcohol dependence syndrome (a cluster of physiological, behavioural and cognitive phenomena with craving, impaired control, tolerance and withdrawal) is distinguished from harmful (hazardous) use - a pattern causing damage to health without meeting full dependence criteria;</w:t>
      </w:r>
    </w:p>
    <w:p>
      <w:pPr>
        <w:spacing w:before="0" w:after="80"/>
      </w:pPr>
      <w:r>
        <w:rPr>
          <w:rFonts w:ascii="Calibri" w:hAnsi="Calibri"/>
          <w:b w:val="0"/>
          <w:i w:val="0"/>
          <w:color w:val="212121"/>
          <w:sz w:val="21"/>
        </w:rPr>
        <w:t>(3) By drinking pattern: hazardous drinking, harmful drinking, binge or heavy-episodic drinking (consuming large amounts on a single occasion), and chronic sustained dependence, which carry different risk and complication profiles;</w:t>
      </w:r>
    </w:p>
    <w:p>
      <w:pPr>
        <w:spacing w:before="0" w:after="80"/>
      </w:pPr>
      <w:r>
        <w:rPr>
          <w:rFonts w:ascii="Calibri" w:hAnsi="Calibri"/>
          <w:b w:val="0"/>
          <w:i w:val="0"/>
          <w:color w:val="212121"/>
          <w:sz w:val="21"/>
        </w:rPr>
        <w:t>(4) By clinical spectrum: acute alcohol intoxication and blackouts at one end, through the alcohol withdrawal spectrum - uncomplicated withdrawal (tremor, sweating, anxiety at 6-24 h), withdrawal seizures (12-48 h), alcoholic hallucinosis, and delirium tremens (48-96 h, a medical emergency) - at the other.</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Heritability is estimated at around 50% (pooled 49%); polygenic risk plus variants in alcohol-metabolising genes (ADH1B, ALDH2) modulate susceptibility, and a strong family history greatly raises risk.</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Neuroadaptation: Repeated exposure alters GABA, glutamate, dopamine and opioid signalling in reward and stress circuits, producing tolerance, a withdrawal syndrome and compulsive craving that sustain the disorder.</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Psychiatric comorbidity: Depression, anxiety, bipolar disorder, PTSD and childhood trauma drive 'self-medication' drinking; the relationship is bidirectional, each worsening the other.</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Early age of initiation: Beginning to drink in adolescence markedly increases the lifetime risk of developing dependence.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Social and environmental factors: Peer and family drinking norms, easy availability of cheap country liquor, cultural acceptance, urbanisation, advertising and occupational drinking cultures promote heavy use.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Stress and adversity: Chronic psychosocial stress, financial strain, unemployment, bereavement and relationship conflict precipitate and perpetuate heavy drinking.</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Male sex and sociocultural role: In India drinking is heavily gendered; male sex, manual and migrant labour, and permissive male drinking norms concentrate the burden in men.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 men)</w:t>
            </w:r>
          </w:p>
        </w:tc>
        <w:tc>
          <w:tcPr>
            <w:tcW w:type="dxa" w:w="4276"/>
            <w:vAlign w:val="top"/>
          </w:tcPr>
          <w:p>
            <w:pPr>
              <w:spacing w:after="60" w:line="259" w:lineRule="auto"/>
            </w:pPr>
            <w:r>
              <w:rPr>
                <w:rFonts w:ascii="Calibri" w:hAnsi="Calibri"/>
                <w:b w:val="0"/>
                <w:i w:val="0"/>
                <w:color w:val="212121"/>
                <w:sz w:val="19"/>
              </w:rPr>
              <w:t>Working-age men carry the greatest burden through occupational and social drinking cultures, disposable income, peer norms and cumulative exposure that entrench tolerance and dependence.</w:t>
            </w:r>
          </w:p>
          <w:p>
            <w:pPr>
              <w:spacing w:after="40" w:before="60" w:line="259" w:lineRule="auto"/>
            </w:pPr>
            <w:r>
              <w:rPr>
                <w:rFonts w:ascii="Calibri" w:hAnsi="Calibri"/>
                <w:b w:val="0"/>
                <w:i w:val="0"/>
                <w:color w:val="212121"/>
                <w:sz w:val="19"/>
              </w:rPr>
              <w:t>About 14.6% of Indians aged 10-75 (around 16 crore) are current alcohol users, the burden concentrated in adult men.</w:t>
            </w:r>
          </w:p>
          <w:p>
            <w:pPr>
              <w:spacing w:after="40" w:line="252" w:lineRule="auto"/>
            </w:pPr>
            <w:hyperlink r:id="rId9">
              <w:r>
                <w:rPr>
                  <w:rFonts w:ascii="Calibri" w:hAnsi="Calibri" w:cs="Calibri"/>
                  <w:sz w:val="18"/>
                  <w:color w:val="1155CC"/>
                  <w:u w:val="single"/>
                </w:rPr>
                <w:t xml:space="preserve">pib.gov.in - Magnitude of Substance Use in India (AIIMS)</w:t>
              </w:r>
            </w:hyperlink>
          </w:p>
          <w:p>
            <w:pPr>
              <w:spacing w:before="60" w:after="40"/>
            </w:pPr>
            <w:r>
              <w:rPr>
                <w:rFonts w:ascii="Calibri" w:hAnsi="Calibri"/>
                <w:b w:val="0"/>
                <w:i w:val="0"/>
                <w:color w:val="5A5A5A"/>
                <w:sz w:val="18"/>
              </w:rPr>
              <w:t>#alcohol  #AUD  #workingage  #drinkingculture  #dependence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 older adults reduced hepatic metabolism and lean body mass raise blood-alcohol levels, while polypharmacy, falls, cognitive decline and comorbid disease amplify harm even at lower intakes; late-onset drinking often follows bereavement or isolation.</w:t>
            </w:r>
          </w:p>
          <w:p>
            <w:pPr>
              <w:spacing w:after="40" w:before="60" w:line="259" w:lineRule="auto"/>
            </w:pPr>
            <w:r>
              <w:rPr>
                <w:rFonts w:ascii="Calibri" w:hAnsi="Calibri"/>
                <w:b w:val="0"/>
                <w:i w:val="0"/>
                <w:color w:val="212121"/>
                <w:sz w:val="19"/>
              </w:rPr>
              <w:t>Ageing lowers the volume of distribution and first-pass metabolism of alcohol, so standard amounts produce higher blood levels and greater toxicity in the elderly.</w:t>
            </w:r>
          </w:p>
          <w:p>
            <w:pPr>
              <w:spacing w:before="60" w:after="40"/>
            </w:pPr>
            <w:r>
              <w:rPr>
                <w:rFonts w:ascii="Calibri" w:hAnsi="Calibri"/>
                <w:b w:val="0"/>
                <w:i w:val="0"/>
                <w:color w:val="5A5A5A"/>
                <w:sz w:val="18"/>
              </w:rPr>
              <w:t>#elderly  #polypharmacy  #falls  #hepaticmetabolism  #lateonset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Sociocultural norms, occupational drinking and greater disposable income make heavy drinking overwhelmingly male in India, though women who drink develop organ damage at lower cumulative doses ('telescoping').</w:t>
            </w:r>
          </w:p>
          <w:p>
            <w:pPr>
              <w:spacing w:after="40" w:before="60" w:line="259" w:lineRule="auto"/>
            </w:pPr>
            <w:r>
              <w:rPr>
                <w:rFonts w:ascii="Calibri" w:hAnsi="Calibri"/>
                <w:b w:val="0"/>
                <w:i w:val="0"/>
                <w:color w:val="212121"/>
                <w:sz w:val="19"/>
              </w:rPr>
              <w:t>Harmful and dependent alcohol use is roughly 17 times higher among men than women in India; NFHS-5 recorded current use in 18.3% of men versus 1.3% of women.</w:t>
            </w:r>
          </w:p>
          <w:p>
            <w:pPr>
              <w:spacing w:after="40" w:line="252" w:lineRule="auto"/>
            </w:pPr>
            <w:hyperlink r:id="rId9">
              <w:r>
                <w:rPr>
                  <w:rFonts w:ascii="Calibri" w:hAnsi="Calibri" w:cs="Calibri"/>
                  <w:sz w:val="18"/>
                  <w:color w:val="1155CC"/>
                  <w:u w:val="single"/>
                </w:rPr>
                <w:t xml:space="preserve">pib.gov.in - AIIMS national substance-use survey</w:t>
              </w:r>
            </w:hyperlink>
          </w:p>
          <w:p>
            <w:pPr>
              <w:spacing w:before="60" w:after="40"/>
            </w:pPr>
            <w:r>
              <w:rPr>
                <w:rFonts w:ascii="Calibri" w:hAnsi="Calibri"/>
                <w:b w:val="0"/>
                <w:i w:val="0"/>
                <w:color w:val="5A5A5A"/>
                <w:sz w:val="18"/>
              </w:rPr>
              <w:t>#male  #gendergap  #telescoping  #drinkingnorms  #occupational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less-educated men</w:t>
            </w:r>
          </w:p>
        </w:tc>
        <w:tc>
          <w:tcPr>
            <w:tcW w:type="dxa" w:w="4276"/>
            <w:vAlign w:val="top"/>
          </w:tcPr>
          <w:p>
            <w:pPr>
              <w:spacing w:after="60" w:line="259" w:lineRule="auto"/>
            </w:pPr>
            <w:r>
              <w:rPr>
                <w:rFonts w:ascii="Calibri" w:hAnsi="Calibri"/>
                <w:b w:val="0"/>
                <w:i w:val="0"/>
                <w:color w:val="212121"/>
                <w:sz w:val="19"/>
              </w:rPr>
              <w:t>Cheap country ('desi') liquor, financial stress, manual and migrant labour and limited access to care concentrate harmful drinking and its complications in poorer groups, driving households deeper into debt.</w:t>
            </w:r>
          </w:p>
          <w:p>
            <w:pPr>
              <w:spacing w:after="40" w:before="60" w:line="259" w:lineRule="auto"/>
            </w:pPr>
            <w:r>
              <w:rPr>
                <w:rFonts w:ascii="Calibri" w:hAnsi="Calibri"/>
                <w:b w:val="0"/>
                <w:i w:val="0"/>
                <w:color w:val="212121"/>
                <w:sz w:val="19"/>
              </w:rPr>
              <w:t>Country liquor ('desi') and IMFL spirits each account for about 30% of alcohol consumed in India, with cheap potent spirits favoured in low-income settings.</w:t>
            </w:r>
          </w:p>
          <w:p>
            <w:pPr>
              <w:spacing w:after="40" w:line="252" w:lineRule="auto"/>
            </w:pPr>
            <w:hyperlink r:id="rId9">
              <w:r>
                <w:rPr>
                  <w:rFonts w:ascii="Calibri" w:hAnsi="Calibri" w:cs="Calibri"/>
                  <w:sz w:val="18"/>
                  <w:color w:val="1155CC"/>
                  <w:u w:val="single"/>
                </w:rPr>
                <w:t xml:space="preserve">pib.gov.in - beverage-type &amp; socioeconomic pattern</w:t>
              </w:r>
            </w:hyperlink>
          </w:p>
          <w:p>
            <w:pPr>
              <w:spacing w:before="60" w:after="40"/>
            </w:pPr>
            <w:r>
              <w:rPr>
                <w:rFonts w:ascii="Calibri" w:hAnsi="Calibri"/>
                <w:b w:val="0"/>
                <w:i w:val="0"/>
                <w:color w:val="5A5A5A"/>
                <w:sz w:val="18"/>
              </w:rPr>
              <w:t>#poverty  #countryliquor  #debt  #manuallabour  #healthequity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residence</w:t>
            </w:r>
          </w:p>
        </w:tc>
        <w:tc>
          <w:tcPr>
            <w:tcW w:type="dxa" w:w="2160"/>
            <w:vAlign w:val="top"/>
          </w:tcPr>
          <w:p>
            <w:pPr>
              <w:spacing w:after="40" w:before="0" w:line="259" w:lineRule="auto"/>
            </w:pPr>
            <w:r>
              <w:rPr>
                <w:rFonts w:ascii="Calibri" w:hAnsi="Calibri"/>
                <w:b w:val="0"/>
                <w:i w:val="0"/>
                <w:color w:val="212121"/>
                <w:sz w:val="19"/>
              </w:rPr>
              <w:t>North-East India &amp; tribal belts</w:t>
            </w:r>
          </w:p>
        </w:tc>
        <w:tc>
          <w:tcPr>
            <w:tcW w:type="dxa" w:w="4276"/>
            <w:vAlign w:val="top"/>
          </w:tcPr>
          <w:p>
            <w:pPr>
              <w:spacing w:after="60" w:line="259" w:lineRule="auto"/>
            </w:pPr>
            <w:r>
              <w:rPr>
                <w:rFonts w:ascii="Calibri" w:hAnsi="Calibri"/>
                <w:b w:val="0"/>
                <w:i w:val="0"/>
                <w:color w:val="212121"/>
                <w:sz w:val="19"/>
              </w:rPr>
              <w:t>Permissive cultural attitudes, home-brewed rice beer and traditional liquor, and high community prevalence make the North-East and tribal areas India's highest-consumption regions, including substantial underage drinking.</w:t>
            </w:r>
          </w:p>
          <w:p>
            <w:pPr>
              <w:spacing w:after="40" w:before="60" w:line="259" w:lineRule="auto"/>
            </w:pPr>
            <w:r>
              <w:rPr>
                <w:rFonts w:ascii="Calibri" w:hAnsi="Calibri"/>
                <w:b w:val="0"/>
                <w:i w:val="0"/>
                <w:color w:val="212121"/>
                <w:sz w:val="19"/>
              </w:rPr>
              <w:t>NFHS-5 analysis found North-East residence carried about 2.7-fold higher odds of ever using alcohol in young men, with Arunachal Pradesh consistently topping state consumption.</w:t>
            </w:r>
          </w:p>
          <w:p>
            <w:pPr>
              <w:spacing w:after="40" w:line="252" w:lineRule="auto"/>
            </w:pPr>
            <w:hyperlink r:id="rId10">
              <w:r>
                <w:rPr>
                  <w:rFonts w:ascii="Calibri" w:hAnsi="Calibri" w:cs="Calibri"/>
                  <w:sz w:val="18"/>
                  <w:color w:val="1155CC"/>
                  <w:u w:val="single"/>
                </w:rPr>
                <w:t xml:space="preserve">pmc.ncbi.nlm.nih.gov - NFHS-5 youth alcohol analysis</w:t>
              </w:r>
            </w:hyperlink>
          </w:p>
          <w:p>
            <w:pPr>
              <w:spacing w:before="60" w:after="40"/>
            </w:pPr>
            <w:r>
              <w:rPr>
                <w:rFonts w:ascii="Calibri" w:hAnsi="Calibri"/>
                <w:b w:val="0"/>
                <w:i w:val="0"/>
                <w:color w:val="5A5A5A"/>
                <w:sz w:val="18"/>
              </w:rPr>
              <w:t>#northeast  #tribal  #ricebeer  #arunachal  #underage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High-prevalence states</w:t>
            </w:r>
          </w:p>
        </w:tc>
        <w:tc>
          <w:tcPr>
            <w:tcW w:type="dxa" w:w="2160"/>
            <w:vAlign w:val="top"/>
          </w:tcPr>
          <w:p>
            <w:pPr>
              <w:spacing w:after="40" w:before="0" w:line="259" w:lineRule="auto"/>
            </w:pPr>
            <w:r>
              <w:rPr>
                <w:rFonts w:ascii="Calibri" w:hAnsi="Calibri"/>
                <w:b w:val="0"/>
                <w:i w:val="0"/>
                <w:color w:val="212121"/>
                <w:sz w:val="19"/>
              </w:rPr>
              <w:t>Punjab, Chhattisgarh, Tripura, Andhra Pradesh, Goa</w:t>
            </w:r>
          </w:p>
        </w:tc>
        <w:tc>
          <w:tcPr>
            <w:tcW w:type="dxa" w:w="4276"/>
            <w:vAlign w:val="top"/>
          </w:tcPr>
          <w:p>
            <w:pPr>
              <w:spacing w:after="60" w:line="259" w:lineRule="auto"/>
            </w:pPr>
            <w:r>
              <w:rPr>
                <w:rFonts w:ascii="Calibri" w:hAnsi="Calibri"/>
                <w:b w:val="0"/>
                <w:i w:val="0"/>
                <w:color w:val="212121"/>
                <w:sz w:val="19"/>
              </w:rPr>
              <w:t>A cluster of states combine high per-capita spirit consumption, permissive norms and easy availability, producing alcohol-use-disorder prevalence above the national average.</w:t>
            </w:r>
          </w:p>
          <w:p>
            <w:pPr>
              <w:spacing w:after="40" w:before="60" w:line="259" w:lineRule="auto"/>
            </w:pPr>
            <w:r>
              <w:rPr>
                <w:rFonts w:ascii="Calibri" w:hAnsi="Calibri"/>
                <w:b w:val="0"/>
                <w:i w:val="0"/>
                <w:color w:val="212121"/>
                <w:sz w:val="19"/>
              </w:rPr>
              <w:t>Alcohol use disorders exceed 10% in states such as Tripura, Andhra Pradesh, Punjab, Chhattisgarh and Arunachal Pradesh.</w:t>
            </w:r>
          </w:p>
          <w:p>
            <w:pPr>
              <w:spacing w:after="40" w:line="252" w:lineRule="auto"/>
            </w:pPr>
            <w:hyperlink r:id="rId9">
              <w:r>
                <w:rPr>
                  <w:rFonts w:ascii="Calibri" w:hAnsi="Calibri" w:cs="Calibri"/>
                  <w:sz w:val="18"/>
                  <w:color w:val="1155CC"/>
                  <w:u w:val="single"/>
                </w:rPr>
                <w:t xml:space="preserve">pib.gov.in - state-wise AUD prevalence</w:t>
              </w:r>
            </w:hyperlink>
          </w:p>
          <w:p>
            <w:pPr>
              <w:spacing w:before="60" w:after="40"/>
            </w:pPr>
            <w:r>
              <w:rPr>
                <w:rFonts w:ascii="Calibri" w:hAnsi="Calibri"/>
                <w:b w:val="0"/>
                <w:i w:val="0"/>
                <w:color w:val="5A5A5A"/>
                <w:sz w:val="18"/>
              </w:rPr>
              <w:t>#punjab  #spiritsbelt  #statevariation  #availability  #hotspots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 / tobacco co-use</w:t>
            </w:r>
          </w:p>
        </w:tc>
        <w:tc>
          <w:tcPr>
            <w:tcW w:type="dxa" w:w="2160"/>
            <w:vAlign w:val="top"/>
          </w:tcPr>
          <w:p>
            <w:pPr>
              <w:spacing w:after="40" w:before="0" w:line="259" w:lineRule="auto"/>
            </w:pPr>
            <w:r>
              <w:rPr>
                <w:rFonts w:ascii="Calibri" w:hAnsi="Calibri"/>
                <w:b w:val="0"/>
                <w:i w:val="0"/>
                <w:color w:val="212121"/>
                <w:sz w:val="19"/>
              </w:rPr>
              <w:t>Dual alcohol-tobacco users</w:t>
            </w:r>
          </w:p>
        </w:tc>
        <w:tc>
          <w:tcPr>
            <w:tcW w:type="dxa" w:w="4276"/>
            <w:vAlign w:val="top"/>
          </w:tcPr>
          <w:p>
            <w:pPr>
              <w:spacing w:after="60" w:line="259" w:lineRule="auto"/>
            </w:pPr>
            <w:r>
              <w:rPr>
                <w:rFonts w:ascii="Calibri" w:hAnsi="Calibri"/>
                <w:b w:val="0"/>
                <w:i w:val="0"/>
                <w:color w:val="212121"/>
                <w:sz w:val="19"/>
              </w:rPr>
              <w:t>Alcohol and tobacco are strongly co-used, sharing reward pathways and social settings; each reinforces the other, and the combination multiplies cancer, cardiovascular and treatment-failure risks.</w:t>
            </w:r>
          </w:p>
          <w:p>
            <w:pPr>
              <w:spacing w:after="40" w:before="60" w:line="259" w:lineRule="auto"/>
            </w:pPr>
            <w:r>
              <w:rPr>
                <w:rFonts w:ascii="Calibri" w:hAnsi="Calibri"/>
                <w:b w:val="0"/>
                <w:i w:val="0"/>
                <w:color w:val="212121"/>
                <w:sz w:val="19"/>
              </w:rPr>
              <w:t>Among Indian TB patients, hazardous drinking (AUDIT &gt;= 8) was found in 21% of current and 31% of past smokers versus only 4% of never-smokers.</w:t>
            </w:r>
          </w:p>
          <w:p>
            <w:pPr>
              <w:spacing w:after="40" w:line="252" w:lineRule="auto"/>
            </w:pPr>
            <w:hyperlink r:id="rId11">
              <w:r>
                <w:rPr>
                  <w:rFonts w:ascii="Calibri" w:hAnsi="Calibri" w:cs="Calibri"/>
                  <w:sz w:val="18"/>
                  <w:color w:val="1155CC"/>
                  <w:u w:val="single"/>
                </w:rPr>
                <w:t xml:space="preserve">plos.one - smoking, AUD &amp; TB outcomes (India)</w:t>
              </w:r>
            </w:hyperlink>
          </w:p>
          <w:p>
            <w:pPr>
              <w:spacing w:before="60" w:after="40"/>
            </w:pPr>
            <w:r>
              <w:rPr>
                <w:rFonts w:ascii="Calibri" w:hAnsi="Calibri"/>
                <w:b w:val="0"/>
                <w:i w:val="0"/>
                <w:color w:val="5A5A5A"/>
                <w:sz w:val="18"/>
              </w:rPr>
              <w:t>#tobacco  #dualuse  #nicotine  #synergy  #cancerrisk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Drinking pattern</w:t>
            </w:r>
          </w:p>
        </w:tc>
        <w:tc>
          <w:tcPr>
            <w:tcW w:type="dxa" w:w="2160"/>
            <w:vAlign w:val="top"/>
          </w:tcPr>
          <w:p>
            <w:pPr>
              <w:spacing w:after="40" w:before="0" w:line="259" w:lineRule="auto"/>
            </w:pPr>
            <w:r>
              <w:rPr>
                <w:rFonts w:ascii="Calibri" w:hAnsi="Calibri"/>
                <w:b w:val="0"/>
                <w:i w:val="0"/>
                <w:color w:val="212121"/>
                <w:sz w:val="19"/>
              </w:rPr>
              <w:t>Binge / heavy-episodic drinkers</w:t>
            </w:r>
          </w:p>
        </w:tc>
        <w:tc>
          <w:tcPr>
            <w:tcW w:type="dxa" w:w="4276"/>
            <w:vAlign w:val="top"/>
          </w:tcPr>
          <w:p>
            <w:pPr>
              <w:spacing w:after="60" w:line="259" w:lineRule="auto"/>
            </w:pPr>
            <w:r>
              <w:rPr>
                <w:rFonts w:ascii="Calibri" w:hAnsi="Calibri"/>
                <w:b w:val="0"/>
                <w:i w:val="0"/>
                <w:color w:val="212121"/>
                <w:sz w:val="19"/>
              </w:rPr>
              <w:t>Heavy-episodic (binge) drinking - large quantities on single occasions, common at social and festival gatherings - drives acute intoxication, injuries, alcohol poisoning and progression to dependence.</w:t>
            </w:r>
          </w:p>
          <w:p>
            <w:pPr>
              <w:spacing w:after="40" w:before="60" w:line="259" w:lineRule="auto"/>
            </w:pPr>
            <w:r>
              <w:rPr>
                <w:rFonts w:ascii="Calibri" w:hAnsi="Calibri"/>
                <w:b w:val="0"/>
                <w:i w:val="0"/>
                <w:color w:val="212121"/>
                <w:sz w:val="19"/>
              </w:rPr>
              <w:t>Binge and heavy-episodic patterns markedly raise the risk of acute harm (accidents, violence, poisoning) and of transition to alcohol use disorder.</w:t>
            </w:r>
          </w:p>
          <w:p>
            <w:pPr>
              <w:spacing w:before="60" w:after="40"/>
            </w:pPr>
            <w:r>
              <w:rPr>
                <w:rFonts w:ascii="Calibri" w:hAnsi="Calibri"/>
                <w:b w:val="0"/>
                <w:i w:val="0"/>
                <w:color w:val="5A5A5A"/>
                <w:sz w:val="18"/>
              </w:rPr>
              <w:t>#binge  #heavyepisodic  #intoxication  #injury  #festival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Early initiation</w:t>
            </w:r>
          </w:p>
        </w:tc>
        <w:tc>
          <w:tcPr>
            <w:tcW w:type="dxa" w:w="2160"/>
            <w:vAlign w:val="top"/>
          </w:tcPr>
          <w:p>
            <w:pPr>
              <w:spacing w:after="40" w:before="0" w:line="259" w:lineRule="auto"/>
            </w:pPr>
            <w:r>
              <w:rPr>
                <w:rFonts w:ascii="Calibri" w:hAnsi="Calibri"/>
                <w:b w:val="0"/>
                <w:i w:val="0"/>
                <w:color w:val="212121"/>
                <w:sz w:val="19"/>
              </w:rPr>
              <w:t>Adolescents / young adults</w:t>
            </w:r>
          </w:p>
        </w:tc>
        <w:tc>
          <w:tcPr>
            <w:tcW w:type="dxa" w:w="4276"/>
            <w:vAlign w:val="top"/>
          </w:tcPr>
          <w:p>
            <w:pPr>
              <w:spacing w:after="60" w:line="259" w:lineRule="auto"/>
            </w:pPr>
            <w:r>
              <w:rPr>
                <w:rFonts w:ascii="Calibri" w:hAnsi="Calibri"/>
                <w:b w:val="0"/>
                <w:i w:val="0"/>
                <w:color w:val="212121"/>
                <w:sz w:val="19"/>
              </w:rPr>
              <w:t>Beginning to drink in the teenage years, when the brain's reward and control circuits are still maturing, sharply increases the lifetime likelihood of dependence.</w:t>
            </w:r>
          </w:p>
          <w:p>
            <w:pPr>
              <w:spacing w:after="40" w:before="60" w:line="259" w:lineRule="auto"/>
            </w:pPr>
            <w:r>
              <w:rPr>
                <w:rFonts w:ascii="Calibri" w:hAnsi="Calibri"/>
                <w:b w:val="0"/>
                <w:i w:val="0"/>
                <w:color w:val="212121"/>
                <w:sz w:val="19"/>
              </w:rPr>
              <w:t>NFHS-5 found about 10.9% of Indian males aged 15-24 had ever used alcohol, with far higher rates in the North-East.</w:t>
            </w:r>
          </w:p>
          <w:p>
            <w:pPr>
              <w:spacing w:after="40" w:line="252" w:lineRule="auto"/>
            </w:pPr>
            <w:hyperlink r:id="rId10">
              <w:r>
                <w:rPr>
                  <w:rFonts w:ascii="Calibri" w:hAnsi="Calibri" w:cs="Calibri"/>
                  <w:sz w:val="18"/>
                  <w:color w:val="1155CC"/>
                  <w:u w:val="single"/>
                </w:rPr>
                <w:t xml:space="preserve">pmc.ncbi.nlm.nih.gov - youth alcohol use, NFHS-5</w:t>
              </w:r>
            </w:hyperlink>
          </w:p>
          <w:p>
            <w:pPr>
              <w:spacing w:before="60" w:after="40"/>
            </w:pPr>
            <w:r>
              <w:rPr>
                <w:rFonts w:ascii="Calibri" w:hAnsi="Calibri"/>
                <w:b w:val="0"/>
                <w:i w:val="0"/>
                <w:color w:val="5A5A5A"/>
                <w:sz w:val="18"/>
              </w:rPr>
              <w:t>#adolescents  #earlyonset  #youth  #brainmaturation  #initiation</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Malnourished / meal-skipping drinkers</w:t>
            </w:r>
          </w:p>
        </w:tc>
        <w:tc>
          <w:tcPr>
            <w:tcW w:type="dxa" w:w="4276"/>
            <w:vAlign w:val="top"/>
          </w:tcPr>
          <w:p>
            <w:pPr>
              <w:spacing w:after="60" w:line="259" w:lineRule="auto"/>
            </w:pPr>
            <w:r>
              <w:rPr>
                <w:rFonts w:ascii="Calibri" w:hAnsi="Calibri"/>
                <w:b w:val="0"/>
                <w:i w:val="0"/>
                <w:color w:val="212121"/>
                <w:sz w:val="19"/>
              </w:rPr>
              <w:t>Heavy drinkers often substitute alcohol for food; the resulting thiamine and micronutrient deficiency predisposes to Wernicke-Korsakoff syndrome, anaemia and impaired recovery, while alcohol itself supplies 'empty' calories.</w:t>
            </w:r>
          </w:p>
          <w:p>
            <w:pPr>
              <w:spacing w:after="40" w:before="60" w:line="259" w:lineRule="auto"/>
            </w:pPr>
            <w:r>
              <w:rPr>
                <w:rFonts w:ascii="Calibri" w:hAnsi="Calibri"/>
                <w:b w:val="0"/>
                <w:i w:val="0"/>
                <w:color w:val="212121"/>
                <w:sz w:val="19"/>
              </w:rPr>
              <w:t>Chronic heavy alcohol use commonly causes thiamine (vitamin B1) and folate deficiency, the basis of Wernicke's encephalopathy and macrocytic anaemia.</w:t>
            </w:r>
          </w:p>
          <w:p>
            <w:pPr>
              <w:spacing w:before="60" w:after="40"/>
            </w:pPr>
            <w:r>
              <w:rPr>
                <w:rFonts w:ascii="Calibri" w:hAnsi="Calibri"/>
                <w:b w:val="0"/>
                <w:i w:val="0"/>
                <w:color w:val="5A5A5A"/>
                <w:sz w:val="18"/>
              </w:rPr>
              <w:t>#malnutrition  #thiamine  #emptycalories  #wernicke  #anaemia</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alcohol dependence</w:t>
            </w:r>
          </w:p>
        </w:tc>
        <w:tc>
          <w:tcPr>
            <w:tcW w:type="dxa" w:w="4276"/>
            <w:vAlign w:val="top"/>
          </w:tcPr>
          <w:p>
            <w:pPr>
              <w:spacing w:after="60" w:line="259" w:lineRule="auto"/>
            </w:pPr>
            <w:r>
              <w:rPr>
                <w:rFonts w:ascii="Calibri" w:hAnsi="Calibri"/>
                <w:b w:val="0"/>
                <w:i w:val="0"/>
                <w:color w:val="212121"/>
                <w:sz w:val="19"/>
              </w:rPr>
              <w:t>Alcohol use disorder clusters strongly in families through inherited differences in reward sensitivity, impulsivity and alcohol metabolism; a positive family history is one of the strongest single predictors.</w:t>
            </w:r>
          </w:p>
          <w:p>
            <w:pPr>
              <w:spacing w:after="40" w:before="60" w:line="259" w:lineRule="auto"/>
            </w:pPr>
            <w:r>
              <w:rPr>
                <w:rFonts w:ascii="Calibri" w:hAnsi="Calibri"/>
                <w:b w:val="0"/>
                <w:i w:val="0"/>
                <w:color w:val="212121"/>
                <w:sz w:val="19"/>
              </w:rPr>
              <w:t>A meta-analysis of twin and adoption studies estimated the heritability of alcohol use disorder at about 49% (approximately 50%).</w:t>
            </w:r>
          </w:p>
          <w:p>
            <w:pPr>
              <w:spacing w:after="40" w:line="252" w:lineRule="auto"/>
            </w:pPr>
            <w:hyperlink r:id="rId12">
              <w:r>
                <w:rPr>
                  <w:rFonts w:ascii="Calibri" w:hAnsi="Calibri" w:cs="Calibri"/>
                  <w:sz w:val="18"/>
                  <w:color w:val="1155CC"/>
                  <w:u w:val="single"/>
                </w:rPr>
                <w:t xml:space="preserve">pubmed.ncbi.nlm.nih.gov - heritability of AUD meta-analysis</w:t>
              </w:r>
            </w:hyperlink>
          </w:p>
          <w:p>
            <w:pPr>
              <w:spacing w:before="60" w:after="40"/>
            </w:pPr>
            <w:r>
              <w:rPr>
                <w:rFonts w:ascii="Calibri" w:hAnsi="Calibri"/>
                <w:b w:val="0"/>
                <w:i w:val="0"/>
                <w:color w:val="5A5A5A"/>
                <w:sz w:val="18"/>
              </w:rPr>
              <w:t>#familyhistory  #heritability  #genetics  #reward  #impulsivity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gene variants</w:t>
            </w:r>
          </w:p>
        </w:tc>
        <w:tc>
          <w:tcPr>
            <w:tcW w:type="dxa" w:w="2160"/>
            <w:vAlign w:val="top"/>
          </w:tcPr>
          <w:p>
            <w:pPr>
              <w:spacing w:after="40" w:before="0" w:line="259" w:lineRule="auto"/>
            </w:pPr>
            <w:r>
              <w:rPr>
                <w:rFonts w:ascii="Calibri" w:hAnsi="Calibri"/>
                <w:b w:val="0"/>
                <w:i w:val="0"/>
                <w:color w:val="212121"/>
                <w:sz w:val="19"/>
              </w:rPr>
              <w:t>Carriers of ADH1B / ALDH2 variants</w:t>
            </w:r>
          </w:p>
        </w:tc>
        <w:tc>
          <w:tcPr>
            <w:tcW w:type="dxa" w:w="4276"/>
            <w:vAlign w:val="top"/>
          </w:tcPr>
          <w:p>
            <w:pPr>
              <w:spacing w:after="60" w:line="259" w:lineRule="auto"/>
            </w:pPr>
            <w:r>
              <w:rPr>
                <w:rFonts w:ascii="Calibri" w:hAnsi="Calibri"/>
                <w:b w:val="0"/>
                <w:i w:val="0"/>
                <w:color w:val="212121"/>
                <w:sz w:val="19"/>
              </w:rPr>
              <w:t>Variants in alcohol-metabolising enzymes shape risk: fast-acting ADH1B and the ALDH2*2 'flushing' allele (common in some Asian groups) cause acetaldehyde build-up and aversive flushing that usually lowers, but does not eliminate, dependence risk.</w:t>
            </w:r>
          </w:p>
          <w:p>
            <w:pPr>
              <w:spacing w:after="40" w:before="60" w:line="259" w:lineRule="auto"/>
            </w:pPr>
            <w:r>
              <w:rPr>
                <w:rFonts w:ascii="Calibri" w:hAnsi="Calibri"/>
                <w:b w:val="0"/>
                <w:i w:val="0"/>
                <w:color w:val="212121"/>
                <w:sz w:val="19"/>
              </w:rPr>
              <w:t>ADH1B and ALDH2 functional variants are the best-established single-gene modifiers of alcohol-dependence risk, acting through altered acetaldehyde metabolism.</w:t>
            </w:r>
          </w:p>
          <w:p>
            <w:pPr>
              <w:spacing w:before="60" w:after="40"/>
            </w:pPr>
            <w:r>
              <w:rPr>
                <w:rFonts w:ascii="Calibri" w:hAnsi="Calibri"/>
                <w:b w:val="0"/>
                <w:i w:val="0"/>
                <w:color w:val="5A5A5A"/>
                <w:sz w:val="18"/>
              </w:rPr>
              <w:t>#ADH1B  #ALDH2  #acetaldehyde  #flushing  #pharmacogenetics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Depression / mood disorder</w:t>
            </w:r>
          </w:p>
        </w:tc>
        <w:tc>
          <w:tcPr>
            <w:tcW w:type="dxa" w:w="2160"/>
            <w:vAlign w:val="top"/>
          </w:tcPr>
          <w:p>
            <w:pPr>
              <w:spacing w:after="40" w:before="0" w:line="259" w:lineRule="auto"/>
            </w:pPr>
            <w:r>
              <w:rPr>
                <w:rFonts w:ascii="Calibri" w:hAnsi="Calibri"/>
                <w:b w:val="0"/>
                <w:i w:val="0"/>
                <w:color w:val="212121"/>
                <w:sz w:val="19"/>
              </w:rPr>
              <w:t>Patients with depression or bipolar disorder</w:t>
            </w:r>
          </w:p>
        </w:tc>
        <w:tc>
          <w:tcPr>
            <w:tcW w:type="dxa" w:w="4276"/>
            <w:vAlign w:val="top"/>
          </w:tcPr>
          <w:p>
            <w:pPr>
              <w:spacing w:after="60" w:line="259" w:lineRule="auto"/>
            </w:pPr>
            <w:r>
              <w:rPr>
                <w:rFonts w:ascii="Calibri" w:hAnsi="Calibri"/>
                <w:b w:val="0"/>
                <w:i w:val="0"/>
                <w:color w:val="212121"/>
                <w:sz w:val="19"/>
              </w:rPr>
              <w:t>Mood disorders and alcohol use disorder are bidirectionally linked - drinking is used to self-medicate low mood, while chronic alcohol worsens depression and sharply raises suicide risk.</w:t>
            </w:r>
          </w:p>
          <w:p>
            <w:pPr>
              <w:spacing w:after="40" w:before="60" w:line="259" w:lineRule="auto"/>
            </w:pPr>
            <w:r>
              <w:rPr>
                <w:rFonts w:ascii="Calibri" w:hAnsi="Calibri"/>
                <w:b w:val="0"/>
                <w:i w:val="0"/>
                <w:color w:val="212121"/>
                <w:sz w:val="19"/>
              </w:rPr>
              <w:t>In alcohol-dependent inpatients in rural south India, about 33% had a comorbid psychiatric disorder, mood disorders being commonest at 18% (major depression 8%).</w:t>
            </w:r>
          </w:p>
          <w:p>
            <w:pPr>
              <w:spacing w:after="40" w:line="252" w:lineRule="auto"/>
            </w:pPr>
            <w:hyperlink r:id="rId13">
              <w:r>
                <w:rPr>
                  <w:rFonts w:ascii="Calibri" w:hAnsi="Calibri" w:cs="Calibri"/>
                  <w:sz w:val="18"/>
                  <w:color w:val="1155CC"/>
                  <w:u w:val="single"/>
                </w:rPr>
                <w:t xml:space="preserve">link.springer.com - psychiatric comorbidity in AUD (India)</w:t>
              </w:r>
            </w:hyperlink>
          </w:p>
          <w:p>
            <w:pPr>
              <w:spacing w:before="60" w:after="40"/>
            </w:pPr>
            <w:r>
              <w:rPr>
                <w:rFonts w:ascii="Calibri" w:hAnsi="Calibri"/>
                <w:b w:val="0"/>
                <w:i w:val="0"/>
                <w:color w:val="5A5A5A"/>
                <w:sz w:val="18"/>
              </w:rPr>
              <w:t>#depression  #bipolar  #selfmedication  #suicide  #bidirectional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Anxiety disorders</w:t>
            </w:r>
          </w:p>
        </w:tc>
        <w:tc>
          <w:tcPr>
            <w:tcW w:type="dxa" w:w="2160"/>
            <w:vAlign w:val="top"/>
          </w:tcPr>
          <w:p>
            <w:pPr>
              <w:spacing w:after="40" w:before="0" w:line="259" w:lineRule="auto"/>
            </w:pPr>
            <w:r>
              <w:rPr>
                <w:rFonts w:ascii="Calibri" w:hAnsi="Calibri"/>
                <w:b w:val="0"/>
                <w:i w:val="0"/>
                <w:color w:val="212121"/>
                <w:sz w:val="19"/>
              </w:rPr>
              <w:t>Patients with anxiety disorders</w:t>
            </w:r>
          </w:p>
        </w:tc>
        <w:tc>
          <w:tcPr>
            <w:tcW w:type="dxa" w:w="4276"/>
            <w:vAlign w:val="top"/>
          </w:tcPr>
          <w:p>
            <w:pPr>
              <w:spacing w:after="60" w:line="259" w:lineRule="auto"/>
            </w:pPr>
            <w:r>
              <w:rPr>
                <w:rFonts w:ascii="Calibri" w:hAnsi="Calibri"/>
                <w:b w:val="0"/>
                <w:i w:val="0"/>
                <w:color w:val="212121"/>
                <w:sz w:val="19"/>
              </w:rPr>
              <w:t>Anxiety both drives and results from drinking; alcohol gives short-term relief but rebound anxiety during withdrawal reinforces the cycle of use.</w:t>
            </w:r>
          </w:p>
          <w:p>
            <w:pPr>
              <w:spacing w:after="40" w:before="60" w:line="259" w:lineRule="auto"/>
            </w:pPr>
            <w:r>
              <w:rPr>
                <w:rFonts w:ascii="Calibri" w:hAnsi="Calibri"/>
                <w:b w:val="0"/>
                <w:i w:val="0"/>
                <w:color w:val="212121"/>
                <w:sz w:val="19"/>
              </w:rPr>
              <w:t>Anxiety disorders were present in about 11% of alcohol-dependent patients in a rural south-Indian series (generalised anxiety 6%).</w:t>
            </w:r>
          </w:p>
          <w:p>
            <w:pPr>
              <w:spacing w:after="40" w:line="252" w:lineRule="auto"/>
            </w:pPr>
            <w:hyperlink r:id="rId13">
              <w:r>
                <w:rPr>
                  <w:rFonts w:ascii="Calibri" w:hAnsi="Calibri" w:cs="Calibri"/>
                  <w:sz w:val="18"/>
                  <w:color w:val="1155CC"/>
                  <w:u w:val="single"/>
                </w:rPr>
                <w:t xml:space="preserve">link.springer.com - anxiety comorbidity in AUD</w:t>
              </w:r>
            </w:hyperlink>
          </w:p>
          <w:p>
            <w:pPr>
              <w:spacing w:before="60" w:after="40"/>
            </w:pPr>
            <w:r>
              <w:rPr>
                <w:rFonts w:ascii="Calibri" w:hAnsi="Calibri"/>
                <w:b w:val="0"/>
                <w:i w:val="0"/>
                <w:color w:val="5A5A5A"/>
                <w:sz w:val="18"/>
              </w:rPr>
              <w:t>#anxiety  #GAD  #reboundanxiety  #withdrawal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Alcoholic liver disease</w:t>
            </w:r>
          </w:p>
        </w:tc>
        <w:tc>
          <w:tcPr>
            <w:tcW w:type="dxa" w:w="2160"/>
            <w:vAlign w:val="top"/>
          </w:tcPr>
          <w:p>
            <w:pPr>
              <w:spacing w:after="40" w:before="0" w:line="259" w:lineRule="auto"/>
            </w:pPr>
            <w:r>
              <w:rPr>
                <w:rFonts w:ascii="Calibri" w:hAnsi="Calibri"/>
                <w:b w:val="0"/>
                <w:i w:val="0"/>
                <w:color w:val="212121"/>
                <w:sz w:val="19"/>
              </w:rPr>
              <w:t>Patients with fatty liver / hepatitis / cirrhosis</w:t>
            </w:r>
          </w:p>
        </w:tc>
        <w:tc>
          <w:tcPr>
            <w:tcW w:type="dxa" w:w="4276"/>
            <w:vAlign w:val="top"/>
          </w:tcPr>
          <w:p>
            <w:pPr>
              <w:spacing w:after="60" w:line="259" w:lineRule="auto"/>
            </w:pPr>
            <w:r>
              <w:rPr>
                <w:rFonts w:ascii="Calibri" w:hAnsi="Calibri"/>
                <w:b w:val="0"/>
                <w:i w:val="0"/>
                <w:color w:val="212121"/>
                <w:sz w:val="19"/>
              </w:rPr>
              <w:t>The liver bears the brunt of chronic heavy drinking, progressing from reversible fatty liver through alcoholic hepatitis to fibrosis and irreversible cirrhosis and its complications.</w:t>
            </w:r>
          </w:p>
          <w:p>
            <w:pPr>
              <w:spacing w:after="40" w:before="60" w:line="259" w:lineRule="auto"/>
            </w:pPr>
            <w:r>
              <w:rPr>
                <w:rFonts w:ascii="Calibri" w:hAnsi="Calibri"/>
                <w:b w:val="0"/>
                <w:i w:val="0"/>
                <w:color w:val="212121"/>
                <w:sz w:val="19"/>
              </w:rPr>
              <w:t>Alcohol is a leading cause of chronic liver disease and cirrhosis in India, with disease risk rising steeply with cumulative lifetime intake.</w:t>
            </w:r>
          </w:p>
          <w:p>
            <w:pPr>
              <w:spacing w:before="60" w:after="40"/>
            </w:pPr>
            <w:r>
              <w:rPr>
                <w:rFonts w:ascii="Calibri" w:hAnsi="Calibri"/>
                <w:b w:val="0"/>
                <w:i w:val="0"/>
                <w:color w:val="5A5A5A"/>
                <w:sz w:val="18"/>
              </w:rPr>
              <w:t>#liver  #cirrhosis  #alcoholichepatitis  #fattyliver  #fibrosis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Tuberculosis</w:t>
            </w:r>
          </w:p>
        </w:tc>
        <w:tc>
          <w:tcPr>
            <w:tcW w:type="dxa" w:w="2160"/>
            <w:vAlign w:val="top"/>
          </w:tcPr>
          <w:p>
            <w:pPr>
              <w:spacing w:after="40" w:before="0" w:line="259" w:lineRule="auto"/>
            </w:pPr>
            <w:r>
              <w:rPr>
                <w:rFonts w:ascii="Calibri" w:hAnsi="Calibri"/>
                <w:b w:val="0"/>
                <w:i w:val="0"/>
                <w:color w:val="212121"/>
                <w:sz w:val="19"/>
              </w:rPr>
              <w:t>Patients with active TB</w:t>
            </w:r>
          </w:p>
        </w:tc>
        <w:tc>
          <w:tcPr>
            <w:tcW w:type="dxa" w:w="4276"/>
            <w:vAlign w:val="top"/>
          </w:tcPr>
          <w:p>
            <w:pPr>
              <w:spacing w:after="60" w:line="259" w:lineRule="auto"/>
            </w:pPr>
            <w:r>
              <w:rPr>
                <w:rFonts w:ascii="Calibri" w:hAnsi="Calibri"/>
                <w:b w:val="0"/>
                <w:i w:val="0"/>
                <w:color w:val="212121"/>
                <w:sz w:val="19"/>
              </w:rPr>
              <w:t>Alcohol suppresses immunity, worsens nutrition and undermines treatment adherence, increasing both TB acquisition and poor outcomes; the two are strongly linked in India.</w:t>
            </w:r>
          </w:p>
          <w:p>
            <w:pPr>
              <w:spacing w:after="40" w:before="60" w:line="259" w:lineRule="auto"/>
            </w:pPr>
            <w:r>
              <w:rPr>
                <w:rFonts w:ascii="Calibri" w:hAnsi="Calibri"/>
                <w:b w:val="0"/>
                <w:i w:val="0"/>
                <w:color w:val="212121"/>
                <w:sz w:val="19"/>
              </w:rPr>
              <w:t>Hazardous drinking (AUDIT &gt;= 8) was associated with about 1.72 times higher risk of unfavourable TB treatment outcomes (failure, recurrence, death) among Indian TB patients.</w:t>
            </w:r>
          </w:p>
          <w:p>
            <w:pPr>
              <w:spacing w:after="40" w:line="252" w:lineRule="auto"/>
            </w:pPr>
            <w:hyperlink r:id="rId11">
              <w:r>
                <w:rPr>
                  <w:rFonts w:ascii="Calibri" w:hAnsi="Calibri" w:cs="Calibri"/>
                  <w:sz w:val="18"/>
                  <w:color w:val="1155CC"/>
                  <w:u w:val="single"/>
                </w:rPr>
                <w:t xml:space="preserve">plos.one - AUD and TB treatment outcomes</w:t>
              </w:r>
            </w:hyperlink>
          </w:p>
          <w:p>
            <w:pPr>
              <w:spacing w:before="60" w:after="40"/>
            </w:pPr>
            <w:r>
              <w:rPr>
                <w:rFonts w:ascii="Calibri" w:hAnsi="Calibri"/>
                <w:b w:val="0"/>
                <w:i w:val="0"/>
                <w:color w:val="5A5A5A"/>
                <w:sz w:val="18"/>
              </w:rPr>
              <w:t>#tuberculosis  #immunosuppression  #adherence  #TBoutcomes  #syndemic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Nicotine dependence</w:t>
            </w:r>
          </w:p>
        </w:tc>
        <w:tc>
          <w:tcPr>
            <w:tcW w:type="dxa" w:w="2160"/>
            <w:vAlign w:val="top"/>
          </w:tcPr>
          <w:p>
            <w:pPr>
              <w:spacing w:after="40" w:before="0" w:line="259" w:lineRule="auto"/>
            </w:pPr>
            <w:r>
              <w:rPr>
                <w:rFonts w:ascii="Calibri" w:hAnsi="Calibri"/>
                <w:b w:val="0"/>
                <w:i w:val="0"/>
                <w:color w:val="212121"/>
                <w:sz w:val="19"/>
              </w:rPr>
              <w:t>Patients with tobacco dependence</w:t>
            </w:r>
          </w:p>
        </w:tc>
        <w:tc>
          <w:tcPr>
            <w:tcW w:type="dxa" w:w="4276"/>
            <w:vAlign w:val="top"/>
          </w:tcPr>
          <w:p>
            <w:pPr>
              <w:spacing w:after="60" w:line="259" w:lineRule="auto"/>
            </w:pPr>
            <w:r>
              <w:rPr>
                <w:rFonts w:ascii="Calibri" w:hAnsi="Calibri"/>
                <w:b w:val="0"/>
                <w:i w:val="0"/>
                <w:color w:val="212121"/>
                <w:sz w:val="19"/>
              </w:rPr>
              <w:t>Tobacco and alcohol dependence very frequently co-occur, sharing genetic and reward-pathway vulnerability; concurrent use complicates cessation and multiplies organ damage.</w:t>
            </w:r>
          </w:p>
          <w:p>
            <w:pPr>
              <w:spacing w:after="40" w:before="60" w:line="259" w:lineRule="auto"/>
            </w:pPr>
            <w:r>
              <w:rPr>
                <w:rFonts w:ascii="Calibri" w:hAnsi="Calibri"/>
                <w:b w:val="0"/>
                <w:i w:val="0"/>
                <w:color w:val="212121"/>
                <w:sz w:val="19"/>
              </w:rPr>
              <w:t>Tobacco use is strongly clustered with harmful drinking, and combined alcohol-tobacco use greatly worsens cardiovascular, cancer and TB-treatment outcomes.</w:t>
            </w:r>
          </w:p>
          <w:p>
            <w:pPr>
              <w:spacing w:after="40" w:line="252" w:lineRule="auto"/>
            </w:pPr>
            <w:hyperlink r:id="rId11">
              <w:r>
                <w:rPr>
                  <w:rFonts w:ascii="Calibri" w:hAnsi="Calibri" w:cs="Calibri"/>
                  <w:sz w:val="18"/>
                  <w:color w:val="1155CC"/>
                  <w:u w:val="single"/>
                </w:rPr>
                <w:t xml:space="preserve">plos.one - dual alcohol-tobacco burden</w:t>
              </w:r>
            </w:hyperlink>
          </w:p>
          <w:p>
            <w:pPr>
              <w:spacing w:before="60" w:after="40"/>
            </w:pPr>
            <w:r>
              <w:rPr>
                <w:rFonts w:ascii="Calibri" w:hAnsi="Calibri"/>
                <w:b w:val="0"/>
                <w:i w:val="0"/>
                <w:color w:val="5A5A5A"/>
                <w:sz w:val="18"/>
              </w:rPr>
              <w:t>#nicotine  #tobacco  #coaddiction  #reward  #cessation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Psychotic disorders</w:t>
            </w:r>
          </w:p>
        </w:tc>
        <w:tc>
          <w:tcPr>
            <w:tcW w:type="dxa" w:w="2160"/>
            <w:vAlign w:val="top"/>
          </w:tcPr>
          <w:p>
            <w:pPr>
              <w:spacing w:after="40" w:before="0" w:line="259" w:lineRule="auto"/>
            </w:pPr>
            <w:r>
              <w:rPr>
                <w:rFonts w:ascii="Calibri" w:hAnsi="Calibri"/>
                <w:b w:val="0"/>
                <w:i w:val="0"/>
                <w:color w:val="212121"/>
                <w:sz w:val="19"/>
              </w:rPr>
              <w:t>Patients with psychosis / alcoholic hallucinosis</w:t>
            </w:r>
          </w:p>
        </w:tc>
        <w:tc>
          <w:tcPr>
            <w:tcW w:type="dxa" w:w="4276"/>
            <w:vAlign w:val="top"/>
          </w:tcPr>
          <w:p>
            <w:pPr>
              <w:spacing w:after="60" w:line="259" w:lineRule="auto"/>
            </w:pPr>
            <w:r>
              <w:rPr>
                <w:rFonts w:ascii="Calibri" w:hAnsi="Calibri"/>
                <w:b w:val="0"/>
                <w:i w:val="0"/>
                <w:color w:val="212121"/>
                <w:sz w:val="19"/>
              </w:rPr>
              <w:t>Heavy drinking can precipitate alcoholic hallucinosis and paranoia, and coexists with primary psychotic disorders, complicating diagnosis and worsening prognosis.</w:t>
            </w:r>
          </w:p>
          <w:p>
            <w:pPr>
              <w:spacing w:after="40" w:before="60" w:line="259" w:lineRule="auto"/>
            </w:pPr>
            <w:r>
              <w:rPr>
                <w:rFonts w:ascii="Calibri" w:hAnsi="Calibri"/>
                <w:b w:val="0"/>
                <w:i w:val="0"/>
                <w:color w:val="212121"/>
                <w:sz w:val="19"/>
              </w:rPr>
              <w:t>Psychotic disorders were found in about 4% of alcohol-dependent inpatients in a rural south-Indian study.</w:t>
            </w:r>
          </w:p>
          <w:p>
            <w:pPr>
              <w:spacing w:after="40" w:line="252" w:lineRule="auto"/>
            </w:pPr>
            <w:hyperlink r:id="rId13">
              <w:r>
                <w:rPr>
                  <w:rFonts w:ascii="Calibri" w:hAnsi="Calibri" w:cs="Calibri"/>
                  <w:sz w:val="18"/>
                  <w:color w:val="1155CC"/>
                  <w:u w:val="single"/>
                </w:rPr>
                <w:t xml:space="preserve">link.springer.com - psychotic comorbidity in AUD</w:t>
              </w:r>
            </w:hyperlink>
          </w:p>
          <w:p>
            <w:pPr>
              <w:spacing w:before="60" w:after="40"/>
            </w:pPr>
            <w:r>
              <w:rPr>
                <w:rFonts w:ascii="Calibri" w:hAnsi="Calibri"/>
                <w:b w:val="0"/>
                <w:i w:val="0"/>
                <w:color w:val="5A5A5A"/>
                <w:sz w:val="18"/>
              </w:rPr>
              <w:t>#psychosis  #hallucinosis  #paranoia  #dualdiagnosis  #prognosis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is common in dependence, and structured exercise is a useful adjunct in recovery - improving mood, sleep and craving control - though it does not by itself treat the disorder.</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drinkers often replace meals with alcohol, causing thiamine, folate and protein deficiency that underlies Wernicke-Korsakoff syndrome, anaemia and poor recovery; nutritional repletion (especially parenteral thiamine) is essential in detox.</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shortens sleep onset but suppresses REM and fragments the second half of the night; withdrawal causes severe insomnia and vivid dreams, and poor sleep is a major relapse trigger.</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and alcohol dependence strongly co-occur through shared reward pathways and settings; concurrent use multiplies cancer, cardiovascular and TB-treatment risks and complicates cessation of either.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is the causal exposure itself - the pattern, quantity, frequency, potency (spirits vs beer) and duration of drinking determine the onset, severity and complications of the disorder; there is no risk-free level of intake.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anxiety, bipolar disorder, PTSD and trauma are bidirectionally linked with AUD; about a third of Indian alcohol-dependent patients have a comorbid psychiatric disorder, and alcohol markedly increases suicide risk.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a diuretic and heavy drinking dehydrates and disturbs electrolytes; adequate hydration and correction of magnesium/potassium are supportive during withdrawal but hydration does not prevent the disorder.</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Highly caffeinated mixers and energy drinks can mask intoxication and encourage heavier drinking, but caffeine has only a minor direct role in the disorder itself.</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Self-neglect, poor personal and dental hygiene and injury risk accompany advanced dependence; hygiene is a marker of severity rather than a cause.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Stress, negative emotions, interpersonal conflict, environmental drinking cues, easy availability, pay-day and festivals are classic precipitants of heavy drinking and of relapse after abstinence.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AUDIT score (WHO)</w:t>
            </w:r>
          </w:p>
        </w:tc>
        <w:tc>
          <w:tcPr>
            <w:tcW w:type="dxa" w:w="1655"/>
            <w:vAlign w:val="top"/>
          </w:tcPr>
          <w:p>
            <w:pPr>
              <w:spacing w:after="40" w:before="0" w:line="259" w:lineRule="auto"/>
            </w:pPr>
            <w:r>
              <w:rPr>
                <w:rFonts w:ascii="Calibri" w:hAnsi="Calibri"/>
                <w:b w:val="0"/>
                <w:i w:val="0"/>
                <w:color w:val="212121"/>
                <w:sz w:val="19"/>
              </w:rPr>
              <w:t>All adults screened</w:t>
            </w:r>
          </w:p>
        </w:tc>
        <w:tc>
          <w:tcPr>
            <w:tcW w:type="dxa" w:w="1512"/>
            <w:vAlign w:val="top"/>
          </w:tcPr>
          <w:p>
            <w:pPr>
              <w:spacing w:after="40" w:before="0" w:line="259" w:lineRule="auto"/>
            </w:pPr>
            <w:r>
              <w:rPr>
                <w:rFonts w:ascii="Calibri" w:hAnsi="Calibri"/>
                <w:b w:val="0"/>
                <w:i w:val="0"/>
                <w:color w:val="212121"/>
                <w:sz w:val="19"/>
              </w:rPr>
              <w:t>0-7 (low risk)</w:t>
            </w:r>
          </w:p>
        </w:tc>
        <w:tc>
          <w:tcPr>
            <w:tcW w:type="dxa" w:w="1512"/>
            <w:vAlign w:val="top"/>
          </w:tcPr>
          <w:p>
            <w:pPr>
              <w:spacing w:after="40" w:before="0" w:line="259" w:lineRule="auto"/>
            </w:pPr>
            <w:r>
              <w:rPr>
                <w:rFonts w:ascii="Calibri" w:hAnsi="Calibri"/>
                <w:b w:val="0"/>
                <w:i w:val="0"/>
                <w:color w:val="212121"/>
                <w:sz w:val="19"/>
              </w:rPr>
              <w:t>&gt;= 8 (hazardous/harmful); &gt;= 15-20 possible dependence</w:t>
            </w:r>
          </w:p>
        </w:tc>
        <w:tc>
          <w:tcPr>
            <w:tcW w:type="dxa" w:w="1468"/>
            <w:vAlign w:val="top"/>
          </w:tcPr>
          <w:p>
            <w:pPr>
              <w:spacing w:after="60" w:line="259" w:lineRule="auto"/>
            </w:pPr>
            <w:r>
              <w:rPr>
                <w:rFonts w:ascii="Calibri" w:hAnsi="Calibri"/>
                <w:b w:val="0"/>
                <w:i w:val="0"/>
                <w:color w:val="212121"/>
                <w:sz w:val="19"/>
              </w:rPr>
              <w:t>Primary validated screening instrument for AUD</w:t>
            </w:r>
          </w:p>
          <w:p>
            <w:pPr>
              <w:spacing w:after="40" w:line="252" w:lineRule="auto"/>
            </w:pPr>
            <w:hyperlink r:id="rId14">
              <w:r>
                <w:rPr>
                  <w:rFonts w:ascii="Calibri" w:hAnsi="Calibri" w:cs="Calibri"/>
                  <w:sz w:val="18"/>
                  <w:color w:val="1155CC"/>
                  <w:u w:val="single"/>
                </w:rPr>
                <w:t xml:space="preserve">https://auditscreen.org/cmsb/uploads/2007-the-alcohol-use-disorders-identification-test_-an-update-of-research-findings.pdf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Adult drinkers</w:t>
            </w:r>
          </w:p>
        </w:tc>
        <w:tc>
          <w:tcPr>
            <w:tcW w:type="dxa" w:w="1512"/>
            <w:vAlign w:val="top"/>
          </w:tcPr>
          <w:p>
            <w:pPr>
              <w:spacing w:after="40" w:before="0" w:line="259" w:lineRule="auto"/>
            </w:pPr>
            <w:r>
              <w:rPr>
                <w:rFonts w:ascii="Calibri" w:hAnsi="Calibri"/>
                <w:b w:val="0"/>
                <w:i w:val="0"/>
                <w:color w:val="212121"/>
                <w:sz w:val="19"/>
              </w:rPr>
              <w:t>No safe level; if drinking, keep low and have alcohol-free days</w:t>
            </w:r>
          </w:p>
        </w:tc>
        <w:tc>
          <w:tcPr>
            <w:tcW w:type="dxa" w:w="1512"/>
            <w:vAlign w:val="top"/>
          </w:tcPr>
          <w:p>
            <w:pPr>
              <w:spacing w:after="40" w:before="0" w:line="259" w:lineRule="auto"/>
            </w:pPr>
            <w:r>
              <w:rPr>
                <w:rFonts w:ascii="Calibri" w:hAnsi="Calibri"/>
                <w:b w:val="0"/>
                <w:i w:val="0"/>
                <w:color w:val="212121"/>
                <w:sz w:val="19"/>
              </w:rPr>
              <w:t>Sustained heavy intake (e.g. &gt; 14 standard drinks/week)</w:t>
            </w:r>
          </w:p>
        </w:tc>
        <w:tc>
          <w:tcPr>
            <w:tcW w:type="dxa" w:w="1468"/>
            <w:vAlign w:val="top"/>
          </w:tcPr>
          <w:p>
            <w:pPr>
              <w:spacing w:after="40" w:before="0" w:line="259" w:lineRule="auto"/>
            </w:pPr>
            <w:r>
              <w:rPr>
                <w:rFonts w:ascii="Calibri" w:hAnsi="Calibri"/>
                <w:b w:val="0"/>
                <w:i w:val="0"/>
                <w:color w:val="212121"/>
                <w:sz w:val="19"/>
              </w:rPr>
              <w:t>One standard drink is approx. 10 g ethanol</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Heavy-episodic (binge) frequency</w:t>
            </w:r>
          </w:p>
        </w:tc>
        <w:tc>
          <w:tcPr>
            <w:tcW w:type="dxa" w:w="1655"/>
            <w:vAlign w:val="top"/>
          </w:tcPr>
          <w:p>
            <w:pPr>
              <w:spacing w:after="40" w:before="0" w:line="259" w:lineRule="auto"/>
            </w:pPr>
            <w:r>
              <w:rPr>
                <w:rFonts w:ascii="Calibri" w:hAnsi="Calibri"/>
                <w:b w:val="0"/>
                <w:i w:val="0"/>
                <w:color w:val="212121"/>
                <w:sz w:val="19"/>
              </w:rPr>
              <w:t>Adult drinkers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&gt;= 60 g ethanol (approx. 5+ drinks) on one occasion</w:t>
            </w:r>
          </w:p>
        </w:tc>
        <w:tc>
          <w:tcPr>
            <w:tcW w:type="dxa" w:w="1468"/>
            <w:vAlign w:val="top"/>
          </w:tcPr>
          <w:p>
            <w:pPr>
              <w:spacing w:after="40" w:before="0" w:line="259" w:lineRule="auto"/>
            </w:pPr>
            <w:r>
              <w:rPr>
                <w:rFonts w:ascii="Calibri" w:hAnsi="Calibri"/>
                <w:b w:val="0"/>
                <w:i w:val="0"/>
                <w:color w:val="212121"/>
                <w:sz w:val="19"/>
              </w:rPr>
              <w:t>Binge pattern drives acute harm and progression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Gamma-glutamyl transferase (GGT)</w:t>
            </w:r>
          </w:p>
        </w:tc>
        <w:tc>
          <w:tcPr>
            <w:tcW w:type="dxa" w:w="1655"/>
            <w:vAlign w:val="top"/>
          </w:tcPr>
          <w:p>
            <w:pPr>
              <w:spacing w:after="40" w:before="0" w:line="259" w:lineRule="auto"/>
            </w:pPr>
            <w:r>
              <w:rPr>
                <w:rFonts w:ascii="Calibri" w:hAnsi="Calibri"/>
                <w:b w:val="0"/>
                <w:i w:val="0"/>
                <w:color w:val="212121"/>
                <w:sz w:val="19"/>
              </w:rPr>
              <w:t>Chronic drinkers</w:t>
            </w:r>
          </w:p>
        </w:tc>
        <w:tc>
          <w:tcPr>
            <w:tcW w:type="dxa" w:w="1512"/>
            <w:vAlign w:val="top"/>
          </w:tcPr>
          <w:p>
            <w:pPr>
              <w:spacing w:after="40" w:before="0" w:line="259" w:lineRule="auto"/>
            </w:pPr>
            <w:r>
              <w:rPr>
                <w:rFonts w:ascii="Calibri" w:hAnsi="Calibri"/>
                <w:b w:val="0"/>
                <w:i w:val="0"/>
                <w:color w:val="212121"/>
                <w:sz w:val="19"/>
              </w:rPr>
              <w:t>Within reference range</w:t>
            </w:r>
          </w:p>
        </w:tc>
        <w:tc>
          <w:tcPr>
            <w:tcW w:type="dxa" w:w="1512"/>
            <w:vAlign w:val="top"/>
          </w:tcPr>
          <w:p>
            <w:pPr>
              <w:spacing w:after="40" w:before="0" w:line="259" w:lineRule="auto"/>
            </w:pPr>
            <w:r>
              <w:rPr>
                <w:rFonts w:ascii="Calibri" w:hAnsi="Calibri"/>
                <w:b w:val="0"/>
                <w:i w:val="0"/>
                <w:color w:val="212121"/>
                <w:sz w:val="19"/>
              </w:rPr>
              <w:t>Raised GGT (falls with abstinence)</w:t>
            </w:r>
          </w:p>
        </w:tc>
        <w:tc>
          <w:tcPr>
            <w:tcW w:type="dxa" w:w="1468"/>
            <w:vAlign w:val="top"/>
          </w:tcPr>
          <w:p>
            <w:pPr>
              <w:spacing w:after="40" w:before="0" w:line="259" w:lineRule="auto"/>
            </w:pPr>
            <w:r>
              <w:rPr>
                <w:rFonts w:ascii="Calibri" w:hAnsi="Calibri"/>
                <w:b w:val="0"/>
                <w:i w:val="0"/>
                <w:color w:val="212121"/>
                <w:sz w:val="19"/>
              </w:rPr>
              <w:t>Sensitive but non-specific marker of heavy use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Carbohydrate-deficient transferrin (CDT)</w:t>
            </w:r>
          </w:p>
        </w:tc>
        <w:tc>
          <w:tcPr>
            <w:tcW w:type="dxa" w:w="1655"/>
            <w:vAlign w:val="top"/>
          </w:tcPr>
          <w:p>
            <w:pPr>
              <w:spacing w:after="40" w:before="0" w:line="259" w:lineRule="auto"/>
            </w:pPr>
            <w:r>
              <w:rPr>
                <w:rFonts w:ascii="Calibri" w:hAnsi="Calibri"/>
                <w:b w:val="0"/>
                <w:i w:val="0"/>
                <w:color w:val="212121"/>
                <w:sz w:val="19"/>
              </w:rPr>
              <w:t>Chronic heavy drinkers</w:t>
            </w:r>
          </w:p>
        </w:tc>
        <w:tc>
          <w:tcPr>
            <w:tcW w:type="dxa" w:w="1512"/>
            <w:vAlign w:val="top"/>
          </w:tcPr>
          <w:p>
            <w:pPr>
              <w:spacing w:after="40" w:before="0" w:line="259" w:lineRule="auto"/>
            </w:pPr>
            <w:r>
              <w:rPr>
                <w:rFonts w:ascii="Calibri" w:hAnsi="Calibri"/>
                <w:b w:val="0"/>
                <w:i w:val="0"/>
                <w:color w:val="212121"/>
                <w:sz w:val="19"/>
              </w:rPr>
              <w:t>&lt; 1.7-2.0%</w:t>
            </w:r>
          </w:p>
        </w:tc>
        <w:tc>
          <w:tcPr>
            <w:tcW w:type="dxa" w:w="1512"/>
            <w:vAlign w:val="top"/>
          </w:tcPr>
          <w:p>
            <w:pPr>
              <w:spacing w:after="40" w:before="0" w:line="259" w:lineRule="auto"/>
            </w:pPr>
            <w:r>
              <w:rPr>
                <w:rFonts w:ascii="Calibri" w:hAnsi="Calibri"/>
                <w:b w:val="0"/>
                <w:i w:val="0"/>
                <w:color w:val="212121"/>
                <w:sz w:val="19"/>
              </w:rPr>
              <w:t>Elevated %CDT</w:t>
            </w:r>
          </w:p>
        </w:tc>
        <w:tc>
          <w:tcPr>
            <w:tcW w:type="dxa" w:w="1468"/>
            <w:vAlign w:val="top"/>
          </w:tcPr>
          <w:p>
            <w:pPr>
              <w:spacing w:after="40" w:before="0" w:line="259" w:lineRule="auto"/>
            </w:pPr>
            <w:r>
              <w:rPr>
                <w:rFonts w:ascii="Calibri" w:hAnsi="Calibri"/>
                <w:b w:val="0"/>
                <w:i w:val="0"/>
                <w:color w:val="212121"/>
                <w:sz w:val="19"/>
              </w:rPr>
              <w:t>More specific marker of sustained heavy drinking</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Mean corpuscular volume (MCV)</w:t>
            </w:r>
          </w:p>
        </w:tc>
        <w:tc>
          <w:tcPr>
            <w:tcW w:type="dxa" w:w="1655"/>
            <w:vAlign w:val="top"/>
          </w:tcPr>
          <w:p>
            <w:pPr>
              <w:spacing w:after="40" w:before="0" w:line="259" w:lineRule="auto"/>
            </w:pPr>
            <w:r>
              <w:rPr>
                <w:rFonts w:ascii="Calibri" w:hAnsi="Calibri"/>
                <w:b w:val="0"/>
                <w:i w:val="0"/>
                <w:color w:val="212121"/>
                <w:sz w:val="19"/>
              </w:rPr>
              <w:t>Chronic drinkers</w:t>
            </w:r>
          </w:p>
        </w:tc>
        <w:tc>
          <w:tcPr>
            <w:tcW w:type="dxa" w:w="1512"/>
            <w:vAlign w:val="top"/>
          </w:tcPr>
          <w:p>
            <w:pPr>
              <w:spacing w:after="40" w:before="0" w:line="259" w:lineRule="auto"/>
            </w:pPr>
            <w:r>
              <w:rPr>
                <w:rFonts w:ascii="Calibri" w:hAnsi="Calibri"/>
                <w:b w:val="0"/>
                <w:i w:val="0"/>
                <w:color w:val="212121"/>
                <w:sz w:val="19"/>
              </w:rPr>
              <w:t>80-100 fL</w:t>
            </w:r>
          </w:p>
        </w:tc>
        <w:tc>
          <w:tcPr>
            <w:tcW w:type="dxa" w:w="1512"/>
            <w:vAlign w:val="top"/>
          </w:tcPr>
          <w:p>
            <w:pPr>
              <w:spacing w:after="40" w:before="0" w:line="259" w:lineRule="auto"/>
            </w:pPr>
            <w:r>
              <w:rPr>
                <w:rFonts w:ascii="Calibri" w:hAnsi="Calibri"/>
                <w:b w:val="0"/>
                <w:i w:val="0"/>
                <w:color w:val="212121"/>
                <w:sz w:val="19"/>
              </w:rPr>
              <w:t>&gt; 100 fL (macrocytosis)</w:t>
            </w:r>
          </w:p>
        </w:tc>
        <w:tc>
          <w:tcPr>
            <w:tcW w:type="dxa" w:w="1468"/>
            <w:vAlign w:val="top"/>
          </w:tcPr>
          <w:p>
            <w:pPr>
              <w:spacing w:after="40" w:before="0" w:line="259" w:lineRule="auto"/>
            </w:pPr>
            <w:r>
              <w:rPr>
                <w:rFonts w:ascii="Calibri" w:hAnsi="Calibri"/>
                <w:b w:val="0"/>
                <w:i w:val="0"/>
                <w:color w:val="212121"/>
                <w:sz w:val="19"/>
              </w:rPr>
              <w:t>Reflects direct marrow toxicity and folate deficiency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AST:ALT ratio</w:t>
            </w:r>
          </w:p>
        </w:tc>
        <w:tc>
          <w:tcPr>
            <w:tcW w:type="dxa" w:w="1655"/>
            <w:vAlign w:val="top"/>
          </w:tcPr>
          <w:p>
            <w:pPr>
              <w:spacing w:after="40" w:before="0" w:line="259" w:lineRule="auto"/>
            </w:pPr>
            <w:r>
              <w:rPr>
                <w:rFonts w:ascii="Calibri" w:hAnsi="Calibri"/>
                <w:b w:val="0"/>
                <w:i w:val="0"/>
                <w:color w:val="212121"/>
                <w:sz w:val="19"/>
              </w:rPr>
              <w:t>Suspected alcoholic liver disease</w:t>
            </w:r>
          </w:p>
        </w:tc>
        <w:tc>
          <w:tcPr>
            <w:tcW w:type="dxa" w:w="1512"/>
            <w:vAlign w:val="top"/>
          </w:tcPr>
          <w:p>
            <w:pPr>
              <w:spacing w:after="40" w:before="0" w:line="259" w:lineRule="auto"/>
            </w:pPr>
            <w:r>
              <w:rPr>
                <w:rFonts w:ascii="Calibri" w:hAnsi="Calibri"/>
                <w:b w:val="0"/>
                <w:i w:val="0"/>
                <w:color w:val="212121"/>
                <w:sz w:val="19"/>
              </w:rPr>
              <w:t>&lt; 1</w:t>
            </w:r>
          </w:p>
        </w:tc>
        <w:tc>
          <w:tcPr>
            <w:tcW w:type="dxa" w:w="1512"/>
            <w:vAlign w:val="top"/>
          </w:tcPr>
          <w:p>
            <w:pPr>
              <w:spacing w:after="40" w:before="0" w:line="259" w:lineRule="auto"/>
            </w:pPr>
            <w:r>
              <w:rPr>
                <w:rFonts w:ascii="Calibri" w:hAnsi="Calibri"/>
                <w:b w:val="0"/>
                <w:i w:val="0"/>
                <w:color w:val="212121"/>
                <w:sz w:val="19"/>
              </w:rPr>
              <w:t>&gt; 2 (with raised GGT)</w:t>
            </w:r>
          </w:p>
        </w:tc>
        <w:tc>
          <w:tcPr>
            <w:tcW w:type="dxa" w:w="1468"/>
            <w:vAlign w:val="top"/>
          </w:tcPr>
          <w:p>
            <w:pPr>
              <w:spacing w:after="40" w:before="0" w:line="259" w:lineRule="auto"/>
            </w:pPr>
            <w:r>
              <w:rPr>
                <w:rFonts w:ascii="Calibri" w:hAnsi="Calibri"/>
                <w:b w:val="0"/>
                <w:i w:val="0"/>
                <w:color w:val="212121"/>
                <w:sz w:val="19"/>
              </w:rPr>
              <w:t>Ratio &gt; 2 suggests alcoholic rather than viral/NAFLD liver injury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Phosphatidylethanol (PEth)</w:t>
            </w:r>
          </w:p>
        </w:tc>
        <w:tc>
          <w:tcPr>
            <w:tcW w:type="dxa" w:w="1655"/>
            <w:vAlign w:val="top"/>
          </w:tcPr>
          <w:p>
            <w:pPr>
              <w:spacing w:after="40" w:before="0" w:line="259" w:lineRule="auto"/>
            </w:pPr>
            <w:r>
              <w:rPr>
                <w:rFonts w:ascii="Calibri" w:hAnsi="Calibri"/>
                <w:b w:val="0"/>
                <w:i w:val="0"/>
                <w:color w:val="212121"/>
                <w:sz w:val="19"/>
              </w:rPr>
              <w:t>Monitoring abstinence</w:t>
            </w:r>
          </w:p>
        </w:tc>
        <w:tc>
          <w:tcPr>
            <w:tcW w:type="dxa" w:w="1512"/>
            <w:vAlign w:val="top"/>
          </w:tcPr>
          <w:p>
            <w:pPr>
              <w:spacing w:after="40" w:before="0" w:line="259" w:lineRule="auto"/>
            </w:pPr>
            <w:r>
              <w:rPr>
                <w:rFonts w:ascii="Calibri" w:hAnsi="Calibri"/>
                <w:b w:val="0"/>
                <w:i w:val="0"/>
                <w:color w:val="212121"/>
                <w:sz w:val="19"/>
              </w:rPr>
              <w:t>Low / undetectable</w:t>
            </w:r>
          </w:p>
        </w:tc>
        <w:tc>
          <w:tcPr>
            <w:tcW w:type="dxa" w:w="1512"/>
            <w:vAlign w:val="top"/>
          </w:tcPr>
          <w:p>
            <w:pPr>
              <w:spacing w:after="40" w:before="0" w:line="259" w:lineRule="auto"/>
            </w:pPr>
            <w:r>
              <w:rPr>
                <w:rFonts w:ascii="Calibri" w:hAnsi="Calibri"/>
                <w:b w:val="0"/>
                <w:i w:val="0"/>
                <w:color w:val="212121"/>
                <w:sz w:val="19"/>
              </w:rPr>
              <w:t>Elevated (recent heavy use)</w:t>
            </w:r>
          </w:p>
        </w:tc>
        <w:tc>
          <w:tcPr>
            <w:tcW w:type="dxa" w:w="1468"/>
            <w:vAlign w:val="top"/>
          </w:tcPr>
          <w:p>
            <w:pPr>
              <w:spacing w:after="40" w:before="0" w:line="259" w:lineRule="auto"/>
            </w:pPr>
            <w:r>
              <w:rPr>
                <w:rFonts w:ascii="Calibri" w:hAnsi="Calibri"/>
                <w:b w:val="0"/>
                <w:i w:val="0"/>
                <w:color w:val="212121"/>
                <w:sz w:val="19"/>
              </w:rPr>
              <w:t>Highly specific direct alcohol biomarker over ~2-4 weeks</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PHQ-9 / GAD-7 screen</w:t>
            </w:r>
          </w:p>
        </w:tc>
        <w:tc>
          <w:tcPr>
            <w:tcW w:type="dxa" w:w="1655"/>
            <w:vAlign w:val="top"/>
          </w:tcPr>
          <w:p>
            <w:pPr>
              <w:spacing w:after="40" w:before="0" w:line="259" w:lineRule="auto"/>
            </w:pPr>
            <w:r>
              <w:rPr>
                <w:rFonts w:ascii="Calibri" w:hAnsi="Calibri"/>
                <w:b w:val="0"/>
                <w:i w:val="0"/>
                <w:color w:val="212121"/>
                <w:sz w:val="19"/>
              </w:rPr>
              <w:t>All AUD patients</w:t>
            </w:r>
          </w:p>
        </w:tc>
        <w:tc>
          <w:tcPr>
            <w:tcW w:type="dxa" w:w="1512"/>
            <w:vAlign w:val="top"/>
          </w:tcPr>
          <w:p>
            <w:pPr>
              <w:spacing w:after="40" w:before="0" w:line="259" w:lineRule="auto"/>
            </w:pPr>
            <w:r>
              <w:rPr>
                <w:rFonts w:ascii="Calibri" w:hAnsi="Calibri"/>
                <w:b w:val="0"/>
                <w:i w:val="0"/>
                <w:color w:val="212121"/>
                <w:sz w:val="19"/>
              </w:rPr>
              <w:t>Below clinical cut-off</w:t>
            </w:r>
          </w:p>
        </w:tc>
        <w:tc>
          <w:tcPr>
            <w:tcW w:type="dxa" w:w="1512"/>
            <w:vAlign w:val="top"/>
          </w:tcPr>
          <w:p>
            <w:pPr>
              <w:spacing w:after="40" w:before="0" w:line="259" w:lineRule="auto"/>
            </w:pPr>
            <w:r>
              <w:rPr>
                <w:rFonts w:ascii="Calibri" w:hAnsi="Calibri"/>
                <w:b w:val="0"/>
                <w:i w:val="0"/>
                <w:color w:val="212121"/>
                <w:sz w:val="19"/>
              </w:rPr>
              <w:t>Positive depression/anxiety screen</w:t>
            </w:r>
          </w:p>
        </w:tc>
        <w:tc>
          <w:tcPr>
            <w:tcW w:type="dxa" w:w="1468"/>
            <w:vAlign w:val="top"/>
          </w:tcPr>
          <w:p>
            <w:pPr>
              <w:spacing w:after="40" w:before="0" w:line="259" w:lineRule="auto"/>
            </w:pPr>
            <w:r>
              <w:rPr>
                <w:rFonts w:ascii="Calibri" w:hAnsi="Calibri"/>
                <w:b w:val="0"/>
                <w:i w:val="0"/>
                <w:color w:val="212121"/>
                <w:sz w:val="19"/>
              </w:rPr>
              <w:t>Comorbid mood/anxiety needs concurrent treatment</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tobacco per day</w:t>
            </w:r>
          </w:p>
        </w:tc>
        <w:tc>
          <w:tcPr>
            <w:tcW w:type="dxa" w:w="1655"/>
            <w:vAlign w:val="top"/>
          </w:tcPr>
          <w:p>
            <w:pPr>
              <w:spacing w:after="40" w:before="0" w:line="259" w:lineRule="auto"/>
            </w:pPr>
            <w:r>
              <w:rPr>
                <w:rFonts w:ascii="Calibri" w:hAnsi="Calibri"/>
                <w:b w:val="0"/>
                <w:i w:val="0"/>
                <w:color w:val="212121"/>
                <w:sz w:val="19"/>
              </w:rPr>
              <w:t>Dual users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&gt;= 1/day</w:t>
            </w:r>
          </w:p>
        </w:tc>
        <w:tc>
          <w:tcPr>
            <w:tcW w:type="dxa" w:w="1468"/>
            <w:vAlign w:val="top"/>
          </w:tcPr>
          <w:p>
            <w:pPr>
              <w:spacing w:after="40" w:before="0" w:line="259" w:lineRule="auto"/>
            </w:pPr>
            <w:r>
              <w:rPr>
                <w:rFonts w:ascii="Calibri" w:hAnsi="Calibri"/>
                <w:b w:val="0"/>
                <w:i w:val="0"/>
                <w:color w:val="212121"/>
                <w:sz w:val="19"/>
              </w:rPr>
              <w:t>Co-use worsens outcomes and relapse risk</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Nutrition / thiamine status (BMI, B1)</w:t>
            </w:r>
          </w:p>
        </w:tc>
        <w:tc>
          <w:tcPr>
            <w:tcW w:type="dxa" w:w="1655"/>
            <w:vAlign w:val="top"/>
          </w:tcPr>
          <w:p>
            <w:pPr>
              <w:spacing w:after="40" w:before="0" w:line="259" w:lineRule="auto"/>
            </w:pPr>
            <w:r>
              <w:rPr>
                <w:rFonts w:ascii="Calibri" w:hAnsi="Calibri"/>
                <w:b w:val="0"/>
                <w:i w:val="0"/>
                <w:color w:val="212121"/>
                <w:sz w:val="19"/>
              </w:rPr>
              <w:t>Chronic drinkers</w:t>
            </w:r>
          </w:p>
        </w:tc>
        <w:tc>
          <w:tcPr>
            <w:tcW w:type="dxa" w:w="1512"/>
            <w:vAlign w:val="top"/>
          </w:tcPr>
          <w:p>
            <w:pPr>
              <w:spacing w:after="40" w:before="0" w:line="259" w:lineRule="auto"/>
            </w:pPr>
            <w:r>
              <w:rPr>
                <w:rFonts w:ascii="Calibri" w:hAnsi="Calibri"/>
                <w:b w:val="0"/>
                <w:i w:val="0"/>
                <w:color w:val="212121"/>
                <w:sz w:val="19"/>
              </w:rPr>
              <w:t>Adequate; BMI 18.5-24.9</w:t>
            </w:r>
          </w:p>
        </w:tc>
        <w:tc>
          <w:tcPr>
            <w:tcW w:type="dxa" w:w="1512"/>
            <w:vAlign w:val="top"/>
          </w:tcPr>
          <w:p>
            <w:pPr>
              <w:spacing w:after="40" w:before="0" w:line="259" w:lineRule="auto"/>
            </w:pPr>
            <w:r>
              <w:rPr>
                <w:rFonts w:ascii="Calibri" w:hAnsi="Calibri"/>
                <w:b w:val="0"/>
                <w:i w:val="0"/>
                <w:color w:val="212121"/>
                <w:sz w:val="19"/>
              </w:rPr>
              <w:t>Underweight, low thiamine/folate</w:t>
            </w:r>
          </w:p>
        </w:tc>
        <w:tc>
          <w:tcPr>
            <w:tcW w:type="dxa" w:w="1468"/>
            <w:vAlign w:val="top"/>
          </w:tcPr>
          <w:p>
            <w:pPr>
              <w:spacing w:after="40" w:before="0" w:line="259" w:lineRule="auto"/>
            </w:pPr>
            <w:r>
              <w:rPr>
                <w:rFonts w:ascii="Calibri" w:hAnsi="Calibri"/>
                <w:b w:val="0"/>
                <w:i w:val="0"/>
                <w:color w:val="212121"/>
                <w:sz w:val="19"/>
              </w:rPr>
              <w:t>Deficiency risks Wernicke-Korsakoff; give thiamine before glucose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Rating scale</w:t>
            </w:r>
          </w:p>
        </w:tc>
        <w:tc>
          <w:tcPr>
            <w:tcW w:type="dxa" w:w="1036"/>
            <w:vAlign w:val="top"/>
          </w:tcPr>
          <w:p>
            <w:pPr>
              <w:spacing w:after="40" w:before="0" w:line="259" w:lineRule="auto"/>
            </w:pPr>
            <w:r>
              <w:rPr>
                <w:rFonts w:ascii="Calibri" w:hAnsi="Calibri"/>
                <w:b w:val="0"/>
                <w:i w:val="0"/>
                <w:color w:val="212121"/>
                <w:sz w:val="16"/>
              </w:rPr>
              <w:t>AUDIT / AUDIT-C / CAGE</w:t>
            </w:r>
          </w:p>
        </w:tc>
        <w:tc>
          <w:tcPr>
            <w:tcW w:type="dxa" w:w="892"/>
            <w:vAlign w:val="top"/>
          </w:tcPr>
          <w:p>
            <w:pPr>
              <w:spacing w:after="40" w:before="0" w:line="259" w:lineRule="auto"/>
            </w:pPr>
            <w:r>
              <w:rPr>
                <w:rFonts w:ascii="Calibri" w:hAnsi="Calibri"/>
                <w:b w:val="0"/>
                <w:i w:val="0"/>
                <w:color w:val="212121"/>
                <w:sz w:val="16"/>
              </w:rPr>
              <w:t>Validated questionnaire</w:t>
            </w:r>
          </w:p>
        </w:tc>
        <w:tc>
          <w:tcPr>
            <w:tcW w:type="dxa" w:w="950"/>
            <w:vAlign w:val="top"/>
          </w:tcPr>
          <w:p>
            <w:pPr>
              <w:spacing w:after="40" w:before="0" w:line="259" w:lineRule="auto"/>
            </w:pPr>
            <w:r>
              <w:rPr>
                <w:rFonts w:ascii="Calibri" w:hAnsi="Calibri"/>
                <w:b w:val="0"/>
                <w:i w:val="0"/>
                <w:color w:val="212121"/>
                <w:sz w:val="16"/>
              </w:rPr>
              <w:t>AUDIT 0-7; CAGE 0-1</w:t>
            </w:r>
          </w:p>
        </w:tc>
        <w:tc>
          <w:tcPr>
            <w:tcW w:type="dxa" w:w="950"/>
            <w:vAlign w:val="top"/>
          </w:tcPr>
          <w:p>
            <w:pPr>
              <w:spacing w:after="40" w:before="0" w:line="259" w:lineRule="auto"/>
            </w:pPr>
            <w:r>
              <w:rPr>
                <w:rFonts w:ascii="Calibri" w:hAnsi="Calibri"/>
                <w:b w:val="0"/>
                <w:i w:val="0"/>
                <w:color w:val="212121"/>
                <w:sz w:val="16"/>
              </w:rPr>
              <w:t>AUDIT &gt;= 8; CAGE &gt;= 2</w:t>
            </w:r>
          </w:p>
        </w:tc>
        <w:tc>
          <w:tcPr>
            <w:tcW w:type="dxa" w:w="1036"/>
            <w:vAlign w:val="top"/>
          </w:tcPr>
          <w:p>
            <w:pPr>
              <w:spacing w:after="40" w:before="0" w:line="259" w:lineRule="auto"/>
            </w:pPr>
            <w:r>
              <w:rPr>
                <w:rFonts w:ascii="Calibri" w:hAnsi="Calibri"/>
                <w:b w:val="0"/>
                <w:i w:val="0"/>
                <w:color w:val="212121"/>
                <w:sz w:val="16"/>
              </w:rPr>
              <w:t>Screens for hazardous/harmful use and probable dependence; quantifies severity</w:t>
            </w:r>
          </w:p>
        </w:tc>
        <w:tc>
          <w:tcPr>
            <w:tcW w:type="dxa" w:w="1036"/>
            <w:vAlign w:val="top"/>
          </w:tcPr>
          <w:p>
            <w:pPr>
              <w:spacing w:after="40" w:before="0" w:line="259" w:lineRule="auto"/>
            </w:pPr>
            <w:r>
              <w:rPr>
                <w:rFonts w:ascii="Calibri" w:hAnsi="Calibri"/>
                <w:b w:val="0"/>
                <w:i w:val="0"/>
                <w:color w:val="212121"/>
                <w:sz w:val="16"/>
              </w:rPr>
              <w:t>All adults, primary-care attendees, at-risk groups</w:t>
            </w:r>
          </w:p>
        </w:tc>
        <w:tc>
          <w:tcPr>
            <w:tcW w:type="dxa" w:w="720"/>
            <w:vAlign w:val="top"/>
          </w:tcPr>
          <w:p>
            <w:pPr>
              <w:spacing w:after="40" w:before="0" w:line="259" w:lineRule="auto"/>
            </w:pPr>
            <w:r>
              <w:rPr>
                <w:rFonts w:ascii="Calibri" w:hAnsi="Calibri"/>
                <w:b w:val="0"/>
                <w:i w:val="0"/>
                <w:color w:val="212121"/>
                <w:sz w:val="16"/>
              </w:rPr>
              <w:t>Alcohol;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AUDIT &gt;= 15-20 suggests dependence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Gamma-glutamyl transferase (GGT)</w:t>
            </w:r>
          </w:p>
        </w:tc>
        <w:tc>
          <w:tcPr>
            <w:tcW w:type="dxa" w:w="892"/>
            <w:vAlign w:val="top"/>
          </w:tcPr>
          <w:p>
            <w:pPr>
              <w:spacing w:after="40" w:before="0" w:line="259" w:lineRule="auto"/>
            </w:pPr>
            <w:r>
              <w:rPr>
                <w:rFonts w:ascii="Calibri" w:hAnsi="Calibri"/>
                <w:b w:val="0"/>
                <w:i w:val="0"/>
                <w:color w:val="212121"/>
                <w:sz w:val="16"/>
              </w:rPr>
              <w:t>Liver enzyme test</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Elevated GGT</w:t>
            </w:r>
          </w:p>
        </w:tc>
        <w:tc>
          <w:tcPr>
            <w:tcW w:type="dxa" w:w="1036"/>
            <w:vAlign w:val="top"/>
          </w:tcPr>
          <w:p>
            <w:pPr>
              <w:spacing w:after="40" w:before="0" w:line="259" w:lineRule="auto"/>
            </w:pPr>
            <w:r>
              <w:rPr>
                <w:rFonts w:ascii="Calibri" w:hAnsi="Calibri"/>
                <w:b w:val="0"/>
                <w:i w:val="0"/>
                <w:color w:val="212121"/>
                <w:sz w:val="16"/>
              </w:rPr>
              <w:t>Sensitive (non-specific) marker of heavy drinking; falls with abstinence</w:t>
            </w:r>
          </w:p>
        </w:tc>
        <w:tc>
          <w:tcPr>
            <w:tcW w:type="dxa" w:w="1036"/>
            <w:vAlign w:val="top"/>
          </w:tcPr>
          <w:p>
            <w:pPr>
              <w:spacing w:after="40" w:before="0" w:line="259" w:lineRule="auto"/>
            </w:pPr>
            <w:r>
              <w:rPr>
                <w:rFonts w:ascii="Calibri" w:hAnsi="Calibri"/>
                <w:b w:val="0"/>
                <w:i w:val="0"/>
                <w:color w:val="212121"/>
                <w:sz w:val="16"/>
              </w:rPr>
              <w:t>Chronic drinkers, suspected relapse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Also raised by enzyme inducers and biliary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Carbohydrate-deficient transferrin (CDT)</w:t>
            </w:r>
          </w:p>
        </w:tc>
        <w:tc>
          <w:tcPr>
            <w:tcW w:type="dxa" w:w="892"/>
            <w:vAlign w:val="top"/>
          </w:tcPr>
          <w:p>
            <w:pPr>
              <w:spacing w:after="40" w:before="0" w:line="259" w:lineRule="auto"/>
            </w:pPr>
            <w:r>
              <w:rPr>
                <w:rFonts w:ascii="Calibri" w:hAnsi="Calibri"/>
                <w:b w:val="0"/>
                <w:i w:val="0"/>
                <w:color w:val="212121"/>
                <w:sz w:val="16"/>
              </w:rPr>
              <w:t>Alcohol biomarker</w:t>
            </w:r>
          </w:p>
        </w:tc>
        <w:tc>
          <w:tcPr>
            <w:tcW w:type="dxa" w:w="950"/>
            <w:vAlign w:val="top"/>
          </w:tcPr>
          <w:p>
            <w:pPr>
              <w:spacing w:after="40" w:before="0" w:line="259" w:lineRule="auto"/>
            </w:pPr>
            <w:r>
              <w:rPr>
                <w:rFonts w:ascii="Calibri" w:hAnsi="Calibri"/>
                <w:b w:val="0"/>
                <w:i w:val="0"/>
                <w:color w:val="212121"/>
                <w:sz w:val="16"/>
              </w:rPr>
              <w:t>&lt; 1.7-2.0%</w:t>
            </w:r>
          </w:p>
        </w:tc>
        <w:tc>
          <w:tcPr>
            <w:tcW w:type="dxa" w:w="950"/>
            <w:vAlign w:val="top"/>
          </w:tcPr>
          <w:p>
            <w:pPr>
              <w:spacing w:after="40" w:before="0" w:line="259" w:lineRule="auto"/>
            </w:pPr>
            <w:r>
              <w:rPr>
                <w:rFonts w:ascii="Calibri" w:hAnsi="Calibri"/>
                <w:b w:val="0"/>
                <w:i w:val="0"/>
                <w:color w:val="212121"/>
                <w:sz w:val="16"/>
              </w:rPr>
              <w:t>Elevated %CDT</w:t>
            </w:r>
          </w:p>
        </w:tc>
        <w:tc>
          <w:tcPr>
            <w:tcW w:type="dxa" w:w="1036"/>
            <w:vAlign w:val="top"/>
          </w:tcPr>
          <w:p>
            <w:pPr>
              <w:spacing w:after="40" w:before="0" w:line="259" w:lineRule="auto"/>
            </w:pPr>
            <w:r>
              <w:rPr>
                <w:rFonts w:ascii="Calibri" w:hAnsi="Calibri"/>
                <w:b w:val="0"/>
                <w:i w:val="0"/>
                <w:color w:val="212121"/>
                <w:sz w:val="16"/>
              </w:rPr>
              <w:t>More specific for sustained heavy intake (approx. &gt;= 60 g/day for 2 weeks)</w:t>
            </w:r>
          </w:p>
        </w:tc>
        <w:tc>
          <w:tcPr>
            <w:tcW w:type="dxa" w:w="1036"/>
            <w:vAlign w:val="top"/>
          </w:tcPr>
          <w:p>
            <w:pPr>
              <w:spacing w:after="40" w:before="0" w:line="259" w:lineRule="auto"/>
            </w:pPr>
            <w:r>
              <w:rPr>
                <w:rFonts w:ascii="Calibri" w:hAnsi="Calibri"/>
                <w:b w:val="0"/>
                <w:i w:val="0"/>
                <w:color w:val="212121"/>
                <w:sz w:val="16"/>
              </w:rPr>
              <w:t>Chronic heavy drinkers, monitoring</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Combine with GGT to improve detection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 MCV</w:t>
            </w:r>
          </w:p>
        </w:tc>
        <w:tc>
          <w:tcPr>
            <w:tcW w:type="dxa" w:w="892"/>
            <w:vAlign w:val="top"/>
          </w:tcPr>
          <w:p>
            <w:pPr>
              <w:spacing w:after="40" w:before="0" w:line="259" w:lineRule="auto"/>
            </w:pPr>
            <w:r>
              <w:rPr>
                <w:rFonts w:ascii="Calibri" w:hAnsi="Calibri"/>
                <w:b w:val="0"/>
                <w:i w:val="0"/>
                <w:color w:val="212121"/>
                <w:sz w:val="16"/>
              </w:rPr>
              <w:t>CBC with red-cell indices</w:t>
            </w:r>
          </w:p>
        </w:tc>
        <w:tc>
          <w:tcPr>
            <w:tcW w:type="dxa" w:w="950"/>
            <w:vAlign w:val="top"/>
          </w:tcPr>
          <w:p>
            <w:pPr>
              <w:spacing w:after="40" w:before="0" w:line="259" w:lineRule="auto"/>
            </w:pPr>
            <w:r>
              <w:rPr>
                <w:rFonts w:ascii="Calibri" w:hAnsi="Calibri"/>
                <w:b w:val="0"/>
                <w:i w:val="0"/>
                <w:color w:val="212121"/>
                <w:sz w:val="16"/>
              </w:rPr>
              <w:t>MCV 80-100 fL</w:t>
            </w:r>
          </w:p>
        </w:tc>
        <w:tc>
          <w:tcPr>
            <w:tcW w:type="dxa" w:w="950"/>
            <w:vAlign w:val="top"/>
          </w:tcPr>
          <w:p>
            <w:pPr>
              <w:spacing w:after="40" w:before="0" w:line="259" w:lineRule="auto"/>
            </w:pPr>
            <w:r>
              <w:rPr>
                <w:rFonts w:ascii="Calibri" w:hAnsi="Calibri"/>
                <w:b w:val="0"/>
                <w:i w:val="0"/>
                <w:color w:val="212121"/>
                <w:sz w:val="16"/>
              </w:rPr>
              <w:t>MCV &gt; 100 fL (macrocytosis)</w:t>
            </w:r>
          </w:p>
        </w:tc>
        <w:tc>
          <w:tcPr>
            <w:tcW w:type="dxa" w:w="1036"/>
            <w:vAlign w:val="top"/>
          </w:tcPr>
          <w:p>
            <w:pPr>
              <w:spacing w:after="40" w:before="0" w:line="259" w:lineRule="auto"/>
            </w:pPr>
            <w:r>
              <w:rPr>
                <w:rFonts w:ascii="Calibri" w:hAnsi="Calibri"/>
                <w:b w:val="0"/>
                <w:i w:val="0"/>
                <w:color w:val="212121"/>
                <w:sz w:val="16"/>
              </w:rPr>
              <w:t>Macrocytosis reflects marrow toxicity and folate deficiency in chronic use</w:t>
            </w:r>
          </w:p>
        </w:tc>
        <w:tc>
          <w:tcPr>
            <w:tcW w:type="dxa" w:w="1036"/>
            <w:vAlign w:val="top"/>
          </w:tcPr>
          <w:p>
            <w:pPr>
              <w:spacing w:after="40" w:before="0" w:line="259" w:lineRule="auto"/>
            </w:pPr>
            <w:r>
              <w:rPr>
                <w:rFonts w:ascii="Calibri" w:hAnsi="Calibri"/>
                <w:b w:val="0"/>
                <w:i w:val="0"/>
                <w:color w:val="212121"/>
                <w:sz w:val="16"/>
              </w:rPr>
              <w:t>Chronic drinkers, malnourished</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Anaemia and thrombocytopenia may coexist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Liver function tests (AST, ALT, bilirubin, albumin, INR)</w:t>
            </w:r>
          </w:p>
        </w:tc>
        <w:tc>
          <w:tcPr>
            <w:tcW w:type="dxa" w:w="892"/>
            <w:vAlign w:val="top"/>
          </w:tcPr>
          <w:p>
            <w:pPr>
              <w:spacing w:after="40" w:before="0" w:line="259" w:lineRule="auto"/>
            </w:pPr>
            <w:r>
              <w:rPr>
                <w:rFonts w:ascii="Calibri" w:hAnsi="Calibri"/>
                <w:b w:val="0"/>
                <w:i w:val="0"/>
                <w:color w:val="212121"/>
                <w:sz w:val="16"/>
              </w:rPr>
              <w:t>LFT panel</w:t>
            </w:r>
          </w:p>
        </w:tc>
        <w:tc>
          <w:tcPr>
            <w:tcW w:type="dxa" w:w="950"/>
            <w:vAlign w:val="top"/>
          </w:tcPr>
          <w:p>
            <w:pPr>
              <w:spacing w:after="40" w:before="0" w:line="259" w:lineRule="auto"/>
            </w:pPr>
            <w:r>
              <w:rPr>
                <w:rFonts w:ascii="Calibri" w:hAnsi="Calibri"/>
                <w:b w:val="0"/>
                <w:i w:val="0"/>
                <w:color w:val="212121"/>
                <w:sz w:val="16"/>
              </w:rPr>
              <w:t>Normal enzymes and synthetic function</w:t>
            </w:r>
          </w:p>
        </w:tc>
        <w:tc>
          <w:tcPr>
            <w:tcW w:type="dxa" w:w="950"/>
            <w:vAlign w:val="top"/>
          </w:tcPr>
          <w:p>
            <w:pPr>
              <w:spacing w:after="40" w:before="0" w:line="259" w:lineRule="auto"/>
            </w:pPr>
            <w:r>
              <w:rPr>
                <w:rFonts w:ascii="Calibri" w:hAnsi="Calibri"/>
                <w:b w:val="0"/>
                <w:i w:val="0"/>
                <w:color w:val="212121"/>
                <w:sz w:val="16"/>
              </w:rPr>
              <w:t>AST:ALT &gt; 2, raised bilirubin, low albumin, prolonged INR</w:t>
            </w:r>
          </w:p>
        </w:tc>
        <w:tc>
          <w:tcPr>
            <w:tcW w:type="dxa" w:w="1036"/>
            <w:vAlign w:val="top"/>
          </w:tcPr>
          <w:p>
            <w:pPr>
              <w:spacing w:after="40" w:before="0" w:line="259" w:lineRule="auto"/>
            </w:pPr>
            <w:r>
              <w:rPr>
                <w:rFonts w:ascii="Calibri" w:hAnsi="Calibri"/>
                <w:b w:val="0"/>
                <w:i w:val="0"/>
                <w:color w:val="212121"/>
                <w:sz w:val="16"/>
              </w:rPr>
              <w:t>Detects and stages alcoholic liver disease from steatosis to cirrhosis</w:t>
            </w:r>
          </w:p>
        </w:tc>
        <w:tc>
          <w:tcPr>
            <w:tcW w:type="dxa" w:w="1036"/>
            <w:vAlign w:val="top"/>
          </w:tcPr>
          <w:p>
            <w:pPr>
              <w:spacing w:after="40" w:before="0" w:line="259" w:lineRule="auto"/>
            </w:pPr>
            <w:r>
              <w:rPr>
                <w:rFonts w:ascii="Calibri" w:hAnsi="Calibri"/>
                <w:b w:val="0"/>
                <w:i w:val="0"/>
                <w:color w:val="212121"/>
                <w:sz w:val="16"/>
              </w:rPr>
              <w:t>Long-standing dependence, stigmata of liver disease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Low albumin and high INR indicate synthetic failure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Phosphatidylethanol (PEth) / urine EtG</w:t>
            </w:r>
          </w:p>
        </w:tc>
        <w:tc>
          <w:tcPr>
            <w:tcW w:type="dxa" w:w="892"/>
            <w:vAlign w:val="top"/>
          </w:tcPr>
          <w:p>
            <w:pPr>
              <w:spacing w:after="40" w:before="0" w:line="259" w:lineRule="auto"/>
            </w:pPr>
            <w:r>
              <w:rPr>
                <w:rFonts w:ascii="Calibri" w:hAnsi="Calibri"/>
                <w:b w:val="0"/>
                <w:i w:val="0"/>
                <w:color w:val="212121"/>
                <w:sz w:val="16"/>
              </w:rPr>
              <w:t>Direct alcohol biomarker</w:t>
            </w:r>
          </w:p>
        </w:tc>
        <w:tc>
          <w:tcPr>
            <w:tcW w:type="dxa" w:w="950"/>
            <w:vAlign w:val="top"/>
          </w:tcPr>
          <w:p>
            <w:pPr>
              <w:spacing w:after="40" w:before="0" w:line="259" w:lineRule="auto"/>
            </w:pPr>
            <w:r>
              <w:rPr>
                <w:rFonts w:ascii="Calibri" w:hAnsi="Calibri"/>
                <w:b w:val="0"/>
                <w:i w:val="0"/>
                <w:color w:val="212121"/>
                <w:sz w:val="16"/>
              </w:rPr>
              <w:t>Low / undetectable</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Confirms recent alcohol intake and monitors abstinence objectively</w:t>
            </w:r>
          </w:p>
        </w:tc>
        <w:tc>
          <w:tcPr>
            <w:tcW w:type="dxa" w:w="1036"/>
            <w:vAlign w:val="top"/>
          </w:tcPr>
          <w:p>
            <w:pPr>
              <w:spacing w:after="40" w:before="0" w:line="259" w:lineRule="auto"/>
            </w:pPr>
            <w:r>
              <w:rPr>
                <w:rFonts w:ascii="Calibri" w:hAnsi="Calibri"/>
                <w:b w:val="0"/>
                <w:i w:val="0"/>
                <w:color w:val="212121"/>
                <w:sz w:val="16"/>
              </w:rPr>
              <w:t>Abstinence monitoring, treatment programmes, medico-legal</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PEth reflects ~2-4 weeks of use; EtG a few days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Electrolytes, magnesium, glucose, thiamine</w:t>
            </w:r>
          </w:p>
        </w:tc>
        <w:tc>
          <w:tcPr>
            <w:tcW w:type="dxa" w:w="892"/>
            <w:vAlign w:val="top"/>
          </w:tcPr>
          <w:p>
            <w:pPr>
              <w:spacing w:after="40" w:before="0" w:line="259" w:lineRule="auto"/>
            </w:pPr>
            <w:r>
              <w:rPr>
                <w:rFonts w:ascii="Calibri" w:hAnsi="Calibri"/>
                <w:b w:val="0"/>
                <w:i w:val="0"/>
                <w:color w:val="212121"/>
                <w:sz w:val="16"/>
              </w:rPr>
              <w:t>Metabolic / nutritional panel</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Hypomagnesaemia, hypokalaemia, hypoglycaemia, low thiamine</w:t>
            </w:r>
          </w:p>
        </w:tc>
        <w:tc>
          <w:tcPr>
            <w:tcW w:type="dxa" w:w="1036"/>
            <w:vAlign w:val="top"/>
          </w:tcPr>
          <w:p>
            <w:pPr>
              <w:spacing w:after="40" w:before="0" w:line="259" w:lineRule="auto"/>
            </w:pPr>
            <w:r>
              <w:rPr>
                <w:rFonts w:ascii="Calibri" w:hAnsi="Calibri"/>
                <w:b w:val="0"/>
                <w:i w:val="0"/>
                <w:color w:val="212121"/>
                <w:sz w:val="16"/>
              </w:rPr>
              <w:t>Guides safe withdrawal management and prevents Wernicke's encephalopathy</w:t>
            </w:r>
          </w:p>
        </w:tc>
        <w:tc>
          <w:tcPr>
            <w:tcW w:type="dxa" w:w="1036"/>
            <w:vAlign w:val="top"/>
          </w:tcPr>
          <w:p>
            <w:pPr>
              <w:spacing w:after="40" w:before="0" w:line="259" w:lineRule="auto"/>
            </w:pPr>
            <w:r>
              <w:rPr>
                <w:rFonts w:ascii="Calibri" w:hAnsi="Calibri"/>
                <w:b w:val="0"/>
                <w:i w:val="0"/>
                <w:color w:val="212121"/>
                <w:sz w:val="16"/>
              </w:rPr>
              <w:t>Patients in withdrawal, malnourished, detox admissions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Give parenteral thiamine before any glucose load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Drinking history &amp; quantification</w:t>
            </w:r>
          </w:p>
        </w:tc>
        <w:tc>
          <w:tcPr>
            <w:tcW w:type="dxa" w:w="979"/>
            <w:vAlign w:val="top"/>
          </w:tcPr>
          <w:p>
            <w:pPr>
              <w:spacing w:after="40" w:before="0" w:line="259" w:lineRule="auto"/>
            </w:pPr>
            <w:r>
              <w:rPr>
                <w:rFonts w:ascii="Calibri" w:hAnsi="Calibri"/>
                <w:b w:val="0"/>
                <w:i w:val="0"/>
                <w:color w:val="212121"/>
                <w:sz w:val="16"/>
              </w:rPr>
              <w:t>Quantity, frequency, pattern, duration; typical day; CAGE/AUDIT</w:t>
            </w:r>
          </w:p>
        </w:tc>
        <w:tc>
          <w:tcPr>
            <w:tcW w:type="dxa" w:w="950"/>
            <w:vAlign w:val="top"/>
          </w:tcPr>
          <w:p>
            <w:pPr>
              <w:spacing w:after="40" w:before="0" w:line="259" w:lineRule="auto"/>
            </w:pPr>
            <w:r>
              <w:rPr>
                <w:rFonts w:ascii="Calibri" w:hAnsi="Calibri"/>
                <w:b w:val="0"/>
                <w:i w:val="0"/>
                <w:color w:val="212121"/>
                <w:sz w:val="16"/>
              </w:rPr>
              <w:t>Low-risk or no use</w:t>
            </w:r>
          </w:p>
        </w:tc>
        <w:tc>
          <w:tcPr>
            <w:tcW w:type="dxa" w:w="950"/>
            <w:vAlign w:val="top"/>
          </w:tcPr>
          <w:p>
            <w:pPr>
              <w:spacing w:after="40" w:before="0" w:line="259" w:lineRule="auto"/>
            </w:pPr>
            <w:r>
              <w:rPr>
                <w:rFonts w:ascii="Calibri" w:hAnsi="Calibri"/>
                <w:b w:val="0"/>
                <w:i w:val="0"/>
                <w:color w:val="212121"/>
                <w:sz w:val="16"/>
              </w:rPr>
              <w:t>Hazardous/harmful pattern, loss of control, tolerance</w:t>
            </w:r>
          </w:p>
        </w:tc>
        <w:tc>
          <w:tcPr>
            <w:tcW w:type="dxa" w:w="1036"/>
            <w:vAlign w:val="top"/>
          </w:tcPr>
          <w:p>
            <w:pPr>
              <w:spacing w:after="40" w:before="0" w:line="259" w:lineRule="auto"/>
            </w:pPr>
            <w:r>
              <w:rPr>
                <w:rFonts w:ascii="Calibri" w:hAnsi="Calibri"/>
                <w:b w:val="0"/>
                <w:i w:val="0"/>
                <w:color w:val="212121"/>
                <w:sz w:val="16"/>
              </w:rPr>
              <w:t>Establishes the pattern and severity and maps DSM-5 criteria</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Use a non-judgemental, quantified approach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Dependence &amp; withdrawal features</w:t>
            </w:r>
          </w:p>
        </w:tc>
        <w:tc>
          <w:tcPr>
            <w:tcW w:type="dxa" w:w="979"/>
            <w:vAlign w:val="top"/>
          </w:tcPr>
          <w:p>
            <w:pPr>
              <w:spacing w:after="40" w:before="0" w:line="259" w:lineRule="auto"/>
            </w:pPr>
            <w:r>
              <w:rPr>
                <w:rFonts w:ascii="Calibri" w:hAnsi="Calibri"/>
                <w:b w:val="0"/>
                <w:i w:val="0"/>
                <w:color w:val="212121"/>
                <w:sz w:val="16"/>
              </w:rPr>
              <w:t>Craving, morning drinking, tolerance, tremor, prior seizures/DTs, CIWA-Ar</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Withdrawal on stopping, relief drinking, past complicated withdrawal</w:t>
            </w:r>
          </w:p>
        </w:tc>
        <w:tc>
          <w:tcPr>
            <w:tcW w:type="dxa" w:w="1036"/>
            <w:vAlign w:val="top"/>
          </w:tcPr>
          <w:p>
            <w:pPr>
              <w:spacing w:after="40" w:before="0" w:line="259" w:lineRule="auto"/>
            </w:pPr>
            <w:r>
              <w:rPr>
                <w:rFonts w:ascii="Calibri" w:hAnsi="Calibri"/>
                <w:b w:val="0"/>
                <w:i w:val="0"/>
                <w:color w:val="212121"/>
                <w:sz w:val="16"/>
              </w:rPr>
              <w:t>Confirms physiological dependence and gauges withdrawal risk</w:t>
            </w:r>
          </w:p>
        </w:tc>
        <w:tc>
          <w:tcPr>
            <w:tcW w:type="dxa" w:w="1036"/>
            <w:vAlign w:val="top"/>
          </w:tcPr>
          <w:p>
            <w:pPr>
              <w:spacing w:after="40" w:before="0" w:line="259" w:lineRule="auto"/>
            </w:pPr>
            <w:r>
              <w:rPr>
                <w:rFonts w:ascii="Calibri" w:hAnsi="Calibri"/>
                <w:b w:val="0"/>
                <w:i w:val="0"/>
                <w:color w:val="212121"/>
                <w:sz w:val="16"/>
              </w:rPr>
              <w:t>Dependent drinkers, detox candidates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History of DTs/seizures mandates inpatient detox</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Psychiatric &amp; risk assessment</w:t>
            </w:r>
          </w:p>
        </w:tc>
        <w:tc>
          <w:tcPr>
            <w:tcW w:type="dxa" w:w="979"/>
            <w:vAlign w:val="top"/>
          </w:tcPr>
          <w:p>
            <w:pPr>
              <w:spacing w:after="40" w:before="0" w:line="259" w:lineRule="auto"/>
            </w:pPr>
            <w:r>
              <w:rPr>
                <w:rFonts w:ascii="Calibri" w:hAnsi="Calibri"/>
                <w:b w:val="0"/>
                <w:i w:val="0"/>
                <w:color w:val="212121"/>
                <w:sz w:val="16"/>
              </w:rPr>
              <w:t>PHQ-9, GAD-7, mood, psychosis, suicide risk, trauma</w:t>
            </w:r>
          </w:p>
        </w:tc>
        <w:tc>
          <w:tcPr>
            <w:tcW w:type="dxa" w:w="950"/>
            <w:vAlign w:val="top"/>
          </w:tcPr>
          <w:p>
            <w:pPr>
              <w:spacing w:after="40" w:before="0" w:line="259" w:lineRule="auto"/>
            </w:pPr>
            <w:r>
              <w:rPr>
                <w:rFonts w:ascii="Calibri" w:hAnsi="Calibri"/>
                <w:b w:val="0"/>
                <w:i w:val="0"/>
                <w:color w:val="212121"/>
                <w:sz w:val="16"/>
              </w:rPr>
              <w:t>Negative screens, no risk</w:t>
            </w:r>
          </w:p>
        </w:tc>
        <w:tc>
          <w:tcPr>
            <w:tcW w:type="dxa" w:w="950"/>
            <w:vAlign w:val="top"/>
          </w:tcPr>
          <w:p>
            <w:pPr>
              <w:spacing w:after="40" w:before="0" w:line="259" w:lineRule="auto"/>
            </w:pPr>
            <w:r>
              <w:rPr>
                <w:rFonts w:ascii="Calibri" w:hAnsi="Calibri"/>
                <w:b w:val="0"/>
                <w:i w:val="0"/>
                <w:color w:val="212121"/>
                <w:sz w:val="16"/>
              </w:rPr>
              <w:t>Comorbid depression/anxiety/psychosis, suicidal ideation</w:t>
            </w:r>
          </w:p>
        </w:tc>
        <w:tc>
          <w:tcPr>
            <w:tcW w:type="dxa" w:w="1036"/>
            <w:vAlign w:val="top"/>
          </w:tcPr>
          <w:p>
            <w:pPr>
              <w:spacing w:after="40" w:before="0" w:line="259" w:lineRule="auto"/>
            </w:pPr>
            <w:r>
              <w:rPr>
                <w:rFonts w:ascii="Calibri" w:hAnsi="Calibri"/>
                <w:b w:val="0"/>
                <w:i w:val="0"/>
                <w:color w:val="212121"/>
                <w:sz w:val="16"/>
              </w:rPr>
              <w:t>Detects bidirectional psychiatric comorbidity that must be treated concurrently</w:t>
            </w:r>
          </w:p>
        </w:tc>
        <w:tc>
          <w:tcPr>
            <w:tcW w:type="dxa" w:w="1036"/>
            <w:vAlign w:val="top"/>
          </w:tcPr>
          <w:p>
            <w:pPr>
              <w:spacing w:after="40" w:before="0" w:line="259" w:lineRule="auto"/>
            </w:pPr>
            <w:r>
              <w:rPr>
                <w:rFonts w:ascii="Calibri" w:hAnsi="Calibri"/>
                <w:b w:val="0"/>
                <w:i w:val="0"/>
                <w:color w:val="212121"/>
                <w:sz w:val="16"/>
              </w:rPr>
              <w:t>Patients with mood/anxiety symptoms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Suicide risk is markedly raised in AUD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Social &amp; functional impact</w:t>
            </w:r>
          </w:p>
        </w:tc>
        <w:tc>
          <w:tcPr>
            <w:tcW w:type="dxa" w:w="979"/>
            <w:vAlign w:val="top"/>
          </w:tcPr>
          <w:p>
            <w:pPr>
              <w:spacing w:after="40" w:before="0" w:line="259" w:lineRule="auto"/>
            </w:pPr>
            <w:r>
              <w:rPr>
                <w:rFonts w:ascii="Calibri" w:hAnsi="Calibri"/>
                <w:b w:val="0"/>
                <w:i w:val="0"/>
                <w:color w:val="212121"/>
                <w:sz w:val="16"/>
              </w:rPr>
              <w:t>Work, family, legal, financial and interpersonal consequences; collateral history</w:t>
            </w:r>
          </w:p>
        </w:tc>
        <w:tc>
          <w:tcPr>
            <w:tcW w:type="dxa" w:w="950"/>
            <w:vAlign w:val="top"/>
          </w:tcPr>
          <w:p>
            <w:pPr>
              <w:spacing w:after="40" w:before="0" w:line="259" w:lineRule="auto"/>
            </w:pPr>
            <w:r>
              <w:rPr>
                <w:rFonts w:ascii="Calibri" w:hAnsi="Calibri"/>
                <w:b w:val="0"/>
                <w:i w:val="0"/>
                <w:color w:val="212121"/>
                <w:sz w:val="16"/>
              </w:rPr>
              <w:t>No impairment</w:t>
            </w:r>
          </w:p>
        </w:tc>
        <w:tc>
          <w:tcPr>
            <w:tcW w:type="dxa" w:w="950"/>
            <w:vAlign w:val="top"/>
          </w:tcPr>
          <w:p>
            <w:pPr>
              <w:spacing w:after="40" w:before="0" w:line="259" w:lineRule="auto"/>
            </w:pPr>
            <w:r>
              <w:rPr>
                <w:rFonts w:ascii="Calibri" w:hAnsi="Calibri"/>
                <w:b w:val="0"/>
                <w:i w:val="0"/>
                <w:color w:val="212121"/>
                <w:sz w:val="16"/>
              </w:rPr>
              <w:t>Job loss, family/marital conflict, legal or financial harm</w:t>
            </w:r>
          </w:p>
        </w:tc>
        <w:tc>
          <w:tcPr>
            <w:tcW w:type="dxa" w:w="1036"/>
            <w:vAlign w:val="top"/>
          </w:tcPr>
          <w:p>
            <w:pPr>
              <w:spacing w:after="40" w:before="0" w:line="259" w:lineRule="auto"/>
            </w:pPr>
            <w:r>
              <w:rPr>
                <w:rFonts w:ascii="Calibri" w:hAnsi="Calibri"/>
                <w:b w:val="0"/>
                <w:i w:val="0"/>
                <w:color w:val="212121"/>
                <w:sz w:val="16"/>
              </w:rPr>
              <w:t>Documents impairment for diagnosis and gauges support needs</w:t>
            </w:r>
          </w:p>
        </w:tc>
        <w:tc>
          <w:tcPr>
            <w:tcW w:type="dxa" w:w="1036"/>
            <w:vAlign w:val="top"/>
          </w:tcPr>
          <w:p>
            <w:pPr>
              <w:spacing w:after="40" w:before="0" w:line="259" w:lineRule="auto"/>
            </w:pPr>
            <w:r>
              <w:rPr>
                <w:rFonts w:ascii="Calibri" w:hAnsi="Calibri"/>
                <w:b w:val="0"/>
                <w:i w:val="0"/>
                <w:color w:val="212121"/>
                <w:sz w:val="16"/>
              </w:rPr>
              <w:t>All patients; involve family</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Collateral history from family is often revealing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Stigmata of chronic alcohol use</w:t>
            </w:r>
          </w:p>
        </w:tc>
        <w:tc>
          <w:tcPr>
            <w:tcW w:type="dxa" w:w="979"/>
            <w:vAlign w:val="top"/>
          </w:tcPr>
          <w:p>
            <w:pPr>
              <w:spacing w:after="40" w:before="0" w:line="259" w:lineRule="auto"/>
            </w:pPr>
            <w:r>
              <w:rPr>
                <w:rFonts w:ascii="Calibri" w:hAnsi="Calibri"/>
                <w:b w:val="0"/>
                <w:i w:val="0"/>
                <w:color w:val="212121"/>
                <w:sz w:val="16"/>
              </w:rPr>
              <w:t>Jaundice, spider naevi, palmar erythema, hepatomegaly/ascites, gynaecomastia, tremor, neuropathy</w:t>
            </w:r>
          </w:p>
        </w:tc>
        <w:tc>
          <w:tcPr>
            <w:tcW w:type="dxa" w:w="950"/>
            <w:vAlign w:val="top"/>
          </w:tcPr>
          <w:p>
            <w:pPr>
              <w:spacing w:after="40" w:before="0" w:line="259" w:lineRule="auto"/>
            </w:pPr>
            <w:r>
              <w:rPr>
                <w:rFonts w:ascii="Calibri" w:hAnsi="Calibri"/>
                <w:b w:val="0"/>
                <w:i w:val="0"/>
                <w:color w:val="212121"/>
                <w:sz w:val="16"/>
              </w:rPr>
              <w:t>No stigmata</w:t>
            </w:r>
          </w:p>
        </w:tc>
        <w:tc>
          <w:tcPr>
            <w:tcW w:type="dxa" w:w="950"/>
            <w:vAlign w:val="top"/>
          </w:tcPr>
          <w:p>
            <w:pPr>
              <w:spacing w:after="40" w:before="0" w:line="259" w:lineRule="auto"/>
            </w:pPr>
            <w:r>
              <w:rPr>
                <w:rFonts w:ascii="Calibri" w:hAnsi="Calibri"/>
                <w:b w:val="0"/>
                <w:i w:val="0"/>
                <w:color w:val="212121"/>
                <w:sz w:val="16"/>
              </w:rPr>
              <w:t>Signs of chronic liver disease, withdrawal or neuropathy</w:t>
            </w:r>
          </w:p>
        </w:tc>
        <w:tc>
          <w:tcPr>
            <w:tcW w:type="dxa" w:w="1036"/>
            <w:vAlign w:val="top"/>
          </w:tcPr>
          <w:p>
            <w:pPr>
              <w:spacing w:after="40" w:before="0" w:line="259" w:lineRule="auto"/>
            </w:pPr>
            <w:r>
              <w:rPr>
                <w:rFonts w:ascii="Calibri" w:hAnsi="Calibri"/>
                <w:b w:val="0"/>
                <w:i w:val="0"/>
                <w:color w:val="212121"/>
                <w:sz w:val="16"/>
              </w:rPr>
              <w:t>Identifies end-organ damage and current withdrawal</w:t>
            </w:r>
          </w:p>
        </w:tc>
        <w:tc>
          <w:tcPr>
            <w:tcW w:type="dxa" w:w="1036"/>
            <w:vAlign w:val="top"/>
          </w:tcPr>
          <w:p>
            <w:pPr>
              <w:spacing w:after="40" w:before="0" w:line="259" w:lineRule="auto"/>
            </w:pPr>
            <w:r>
              <w:rPr>
                <w:rFonts w:ascii="Calibri" w:hAnsi="Calibri"/>
                <w:b w:val="0"/>
                <w:i w:val="0"/>
                <w:color w:val="212121"/>
                <w:sz w:val="16"/>
              </w:rPr>
              <w:t>Long-standing dependence</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Look for Dupuytren's contracture and parotid enlargement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 / mental state</w:t>
            </w:r>
          </w:p>
        </w:tc>
        <w:tc>
          <w:tcPr>
            <w:tcW w:type="dxa" w:w="950"/>
            <w:vAlign w:val="top"/>
          </w:tcPr>
          <w:p>
            <w:pPr>
              <w:spacing w:after="40" w:before="0" w:line="259" w:lineRule="auto"/>
            </w:pPr>
            <w:r>
              <w:rPr>
                <w:rFonts w:ascii="Calibri" w:hAnsi="Calibri"/>
                <w:b w:val="0"/>
                <w:i w:val="0"/>
                <w:color w:val="212121"/>
                <w:sz w:val="16"/>
              </w:rPr>
              <w:t>Cognition &amp; Wernicke screen</w:t>
            </w:r>
          </w:p>
        </w:tc>
        <w:tc>
          <w:tcPr>
            <w:tcW w:type="dxa" w:w="979"/>
            <w:vAlign w:val="top"/>
          </w:tcPr>
          <w:p>
            <w:pPr>
              <w:spacing w:after="40" w:before="0" w:line="259" w:lineRule="auto"/>
            </w:pPr>
            <w:r>
              <w:rPr>
                <w:rFonts w:ascii="Calibri" w:hAnsi="Calibri"/>
                <w:b w:val="0"/>
                <w:i w:val="0"/>
                <w:color w:val="212121"/>
                <w:sz w:val="16"/>
              </w:rPr>
              <w:t>Confusion, ophthalmoplegia, ataxia (Wernicke triad); memory/confabulation (Korsakoff); MMSE</w:t>
            </w:r>
          </w:p>
        </w:tc>
        <w:tc>
          <w:tcPr>
            <w:tcW w:type="dxa" w:w="950"/>
            <w:vAlign w:val="top"/>
          </w:tcPr>
          <w:p>
            <w:pPr>
              <w:spacing w:after="40" w:before="0" w:line="259" w:lineRule="auto"/>
            </w:pPr>
            <w:r>
              <w:rPr>
                <w:rFonts w:ascii="Calibri" w:hAnsi="Calibri"/>
                <w:b w:val="0"/>
                <w:i w:val="0"/>
                <w:color w:val="212121"/>
                <w:sz w:val="16"/>
              </w:rPr>
              <w:t>Intact cognition, no eye signs</w:t>
            </w:r>
          </w:p>
        </w:tc>
        <w:tc>
          <w:tcPr>
            <w:tcW w:type="dxa" w:w="950"/>
            <w:vAlign w:val="top"/>
          </w:tcPr>
          <w:p>
            <w:pPr>
              <w:spacing w:after="40" w:before="0" w:line="259" w:lineRule="auto"/>
            </w:pPr>
            <w:r>
              <w:rPr>
                <w:rFonts w:ascii="Calibri" w:hAnsi="Calibri"/>
                <w:b w:val="0"/>
                <w:i w:val="0"/>
                <w:color w:val="212121"/>
                <w:sz w:val="16"/>
              </w:rPr>
              <w:t>Any Wernicke feature, memory impairment, confabulation</w:t>
            </w:r>
          </w:p>
        </w:tc>
        <w:tc>
          <w:tcPr>
            <w:tcW w:type="dxa" w:w="1036"/>
            <w:vAlign w:val="top"/>
          </w:tcPr>
          <w:p>
            <w:pPr>
              <w:spacing w:after="40" w:before="0" w:line="259" w:lineRule="auto"/>
            </w:pPr>
            <w:r>
              <w:rPr>
                <w:rFonts w:ascii="Calibri" w:hAnsi="Calibri"/>
                <w:b w:val="0"/>
                <w:i w:val="0"/>
                <w:color w:val="212121"/>
                <w:sz w:val="16"/>
              </w:rPr>
              <w:t>Flags thiamine-deficiency encephalopathy - a treatable emergency</w:t>
            </w:r>
          </w:p>
        </w:tc>
        <w:tc>
          <w:tcPr>
            <w:tcW w:type="dxa" w:w="1036"/>
            <w:vAlign w:val="top"/>
          </w:tcPr>
          <w:p>
            <w:pPr>
              <w:spacing w:after="40" w:before="0" w:line="259" w:lineRule="auto"/>
            </w:pPr>
            <w:r>
              <w:rPr>
                <w:rFonts w:ascii="Calibri" w:hAnsi="Calibri"/>
                <w:b w:val="0"/>
                <w:i w:val="0"/>
                <w:color w:val="212121"/>
                <w:sz w:val="16"/>
              </w:rPr>
              <w:t>Malnourished, chronic dependence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Treat suspected Wernicke's empirically with thiamine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Craving / strong urge to drink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persistent compulsion to drink, often cue-triggered, central to loss of control.</w:t>
            </w:r>
          </w:p>
        </w:tc>
      </w:tr>
      <w:tr>
        <w:trPr>
          <w:cantSplit/>
        </w:trPr>
        <w:tc>
          <w:tcPr>
            <w:tcW w:type="dxa" w:w="2304"/>
            <w:vAlign w:val="top"/>
          </w:tcPr>
          <w:p>
            <w:pPr>
              <w:spacing w:after="40" w:before="0" w:line="259" w:lineRule="auto"/>
            </w:pPr>
            <w:r>
              <w:rPr>
                <w:rFonts w:ascii="Calibri" w:hAnsi="Calibri"/>
                <w:b/>
                <w:i w:val="0"/>
                <w:color w:val="212121"/>
                <w:sz w:val="19"/>
              </w:rPr>
              <w:t>Loss of control over drinking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Drinking in larger amounts or for longer than intended despite intentions to stop.</w:t>
            </w:r>
          </w:p>
        </w:tc>
      </w:tr>
      <w:tr>
        <w:trPr>
          <w:cantSplit/>
        </w:trPr>
        <w:tc>
          <w:tcPr>
            <w:tcW w:type="dxa" w:w="2304"/>
            <w:vAlign w:val="top"/>
          </w:tcPr>
          <w:p>
            <w:pPr>
              <w:spacing w:after="40" w:before="0" w:line="259" w:lineRule="auto"/>
            </w:pPr>
            <w:r>
              <w:rPr>
                <w:rFonts w:ascii="Calibri" w:hAnsi="Calibri"/>
                <w:b/>
                <w:i w:val="0"/>
                <w:color w:val="212121"/>
                <w:sz w:val="19"/>
              </w:rPr>
              <w:t>Unsuccessful attempts to cut down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Repeated failed efforts to reduce or quit, a core DSM-5 criterion.</w:t>
            </w:r>
          </w:p>
        </w:tc>
      </w:tr>
      <w:tr>
        <w:trPr>
          <w:cantSplit/>
        </w:trPr>
        <w:tc>
          <w:tcPr>
            <w:tcW w:type="dxa" w:w="2304"/>
            <w:vAlign w:val="top"/>
          </w:tcPr>
          <w:p>
            <w:pPr>
              <w:spacing w:after="40" w:before="0" w:line="259" w:lineRule="auto"/>
            </w:pPr>
            <w:r>
              <w:rPr>
                <w:rFonts w:ascii="Calibri" w:hAnsi="Calibri"/>
                <w:b/>
                <w:i w:val="0"/>
                <w:color w:val="212121"/>
                <w:sz w:val="19"/>
              </w:rPr>
              <w:t>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Needing progressively more alcohol for the same effect, or reduced effect from the usual amount.</w:t>
            </w:r>
          </w:p>
        </w:tc>
      </w:tr>
      <w:tr>
        <w:trPr>
          <w:cantSplit/>
        </w:trPr>
        <w:tc>
          <w:tcPr>
            <w:tcW w:type="dxa" w:w="2304"/>
            <w:vAlign w:val="top"/>
          </w:tcPr>
          <w:p>
            <w:pPr>
              <w:spacing w:after="40" w:before="0" w:line="259" w:lineRule="auto"/>
            </w:pPr>
            <w:r>
              <w:rPr>
                <w:rFonts w:ascii="Calibri" w:hAnsi="Calibri"/>
                <w:b/>
                <w:i w:val="0"/>
                <w:color w:val="212121"/>
                <w:sz w:val="19"/>
              </w:rPr>
              <w:t>Withdrawal symptoms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Tremor, sweating, nausea, anxiety, insomnia and craving 6-24 h after the last drink, relieved by drinking.</w:t>
            </w:r>
          </w:p>
        </w:tc>
      </w:tr>
      <w:tr>
        <w:trPr>
          <w:cantSplit/>
        </w:trPr>
        <w:tc>
          <w:tcPr>
            <w:tcW w:type="dxa" w:w="2304"/>
            <w:vAlign w:val="top"/>
          </w:tcPr>
          <w:p>
            <w:pPr>
              <w:spacing w:after="40" w:before="0" w:line="259" w:lineRule="auto"/>
            </w:pPr>
            <w:r>
              <w:rPr>
                <w:rFonts w:ascii="Calibri" w:hAnsi="Calibri"/>
                <w:b/>
                <w:i w:val="0"/>
                <w:color w:val="212121"/>
                <w:sz w:val="19"/>
              </w:rPr>
              <w:t>Morning / relief drinking ('eye-opener')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Drinking early in the day to steady nerves or relieve withdrawal - a marker of dependence.</w:t>
            </w:r>
          </w:p>
        </w:tc>
      </w:tr>
      <w:tr>
        <w:trPr>
          <w:cantSplit/>
        </w:trPr>
        <w:tc>
          <w:tcPr>
            <w:tcW w:type="dxa" w:w="2304"/>
            <w:vAlign w:val="top"/>
          </w:tcPr>
          <w:p>
            <w:pPr>
              <w:spacing w:after="40" w:before="0" w:line="259" w:lineRule="auto"/>
            </w:pPr>
            <w:r>
              <w:rPr>
                <w:rFonts w:ascii="Calibri" w:hAnsi="Calibri"/>
                <w:b/>
                <w:i w:val="0"/>
                <w:color w:val="212121"/>
                <w:sz w:val="19"/>
              </w:rPr>
              <w:t>Neglect of responsibilities and interests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Work, family and recreational activities given up or reduced because of drinking.</w:t>
            </w:r>
          </w:p>
        </w:tc>
      </w:tr>
      <w:tr>
        <w:trPr>
          <w:cantSplit/>
        </w:trPr>
        <w:tc>
          <w:tcPr>
            <w:tcW w:type="dxa" w:w="2304"/>
            <w:vAlign w:val="top"/>
          </w:tcPr>
          <w:p>
            <w:pPr>
              <w:spacing w:after="40" w:before="0" w:line="259" w:lineRule="auto"/>
            </w:pPr>
            <w:r>
              <w:rPr>
                <w:rFonts w:ascii="Calibri" w:hAnsi="Calibri"/>
                <w:b/>
                <w:i w:val="0"/>
                <w:color w:val="212121"/>
                <w:sz w:val="19"/>
              </w:rPr>
              <w:t>Continued use despite harm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Persisting despite clear physical, psychological, social or occupational damage.</w:t>
            </w:r>
          </w:p>
        </w:tc>
      </w:tr>
      <w:tr>
        <w:trPr>
          <w:cantSplit/>
        </w:trPr>
        <w:tc>
          <w:tcPr>
            <w:tcW w:type="dxa" w:w="2304"/>
            <w:vAlign w:val="top"/>
          </w:tcPr>
          <w:p>
            <w:pPr>
              <w:spacing w:after="40" w:before="0" w:line="259" w:lineRule="auto"/>
            </w:pPr>
            <w:r>
              <w:rPr>
                <w:rFonts w:ascii="Calibri" w:hAnsi="Calibri"/>
                <w:b/>
                <w:i w:val="0"/>
                <w:color w:val="212121"/>
                <w:sz w:val="19"/>
              </w:rPr>
              <w:t>Insomnia and disturbed sleep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falling and staying asleep, worsened during withdrawal and abstinence.</w:t>
            </w:r>
          </w:p>
        </w:tc>
      </w:tr>
      <w:tr>
        <w:trPr>
          <w:cantSplit/>
        </w:trPr>
        <w:tc>
          <w:tcPr>
            <w:tcW w:type="dxa" w:w="2304"/>
            <w:vAlign w:val="top"/>
          </w:tcPr>
          <w:p>
            <w:pPr>
              <w:spacing w:after="40" w:before="0" w:line="259" w:lineRule="auto"/>
            </w:pPr>
            <w:r>
              <w:rPr>
                <w:rFonts w:ascii="Calibri" w:hAnsi="Calibri"/>
                <w:b/>
                <w:i w:val="0"/>
                <w:color w:val="212121"/>
                <w:sz w:val="19"/>
              </w:rPr>
              <w:t>Low mood, irritability and anxiety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Depressive and anxious symptoms, partly rebound from withdrawal and partly comorbid.</w:t>
            </w:r>
          </w:p>
        </w:tc>
      </w:tr>
      <w:tr>
        <w:trPr>
          <w:cantSplit/>
        </w:trPr>
        <w:tc>
          <w:tcPr>
            <w:tcW w:type="dxa" w:w="2304"/>
            <w:vAlign w:val="top"/>
          </w:tcPr>
          <w:p>
            <w:pPr>
              <w:spacing w:after="40" w:before="0" w:line="259" w:lineRule="auto"/>
            </w:pPr>
            <w:r>
              <w:rPr>
                <w:rFonts w:ascii="Calibri" w:hAnsi="Calibri"/>
                <w:b/>
                <w:i w:val="0"/>
                <w:color w:val="212121"/>
                <w:sz w:val="19"/>
              </w:rPr>
              <w:t>Memory blackouts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Amnesia for events during heavy intoxication despite apparent wakefulness.</w:t>
            </w:r>
          </w:p>
        </w:tc>
      </w:tr>
      <w:tr>
        <w:trPr>
          <w:cantSplit/>
        </w:trPr>
        <w:tc>
          <w:tcPr>
            <w:tcW w:type="dxa" w:w="2304"/>
            <w:vAlign w:val="top"/>
          </w:tcPr>
          <w:p>
            <w:pPr>
              <w:spacing w:after="40" w:before="0" w:line="259" w:lineRule="auto"/>
            </w:pPr>
            <w:r>
              <w:rPr>
                <w:rFonts w:ascii="Calibri" w:hAnsi="Calibri"/>
                <w:b/>
                <w:i w:val="0"/>
                <w:color w:val="212121"/>
                <w:sz w:val="19"/>
              </w:rPr>
              <w:t>Secretive or solitary drinking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Hiding alcohol, drinking alone and concealing quantity from others.</w:t>
            </w:r>
          </w:p>
        </w:tc>
      </w:tr>
      <w:tr>
        <w:trPr>
          <w:cantSplit/>
        </w:trPr>
        <w:tc>
          <w:tcPr>
            <w:tcW w:type="dxa" w:w="2304"/>
            <w:vAlign w:val="top"/>
          </w:tcPr>
          <w:p>
            <w:pPr>
              <w:spacing w:after="40" w:before="0" w:line="259" w:lineRule="auto"/>
            </w:pPr>
            <w:r>
              <w:rPr>
                <w:rFonts w:ascii="Calibri" w:hAnsi="Calibri"/>
                <w:b/>
                <w:i w:val="0"/>
                <w:color w:val="212121"/>
                <w:sz w:val="19"/>
              </w:rPr>
              <w:t>Visual/tactile hallucinations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Alcoholic hallucinosis or, in severe withdrawal, delirium tremens - a medical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Smell of alcohol / signs of intoxication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Slurred speech, incoordination, disinhibition or the odour of alcohol on the breath.</w:t>
            </w:r>
          </w:p>
        </w:tc>
      </w:tr>
      <w:tr>
        <w:trPr>
          <w:cantSplit/>
        </w:trPr>
        <w:tc>
          <w:tcPr>
            <w:tcW w:type="dxa" w:w="3456"/>
            <w:vAlign w:val="top"/>
          </w:tcPr>
          <w:p>
            <w:pPr>
              <w:spacing w:after="40" w:before="0" w:line="259" w:lineRule="auto"/>
            </w:pPr>
            <w:r>
              <w:rPr>
                <w:rFonts w:ascii="Calibri" w:hAnsi="Calibri"/>
                <w:b/>
                <w:i w:val="0"/>
                <w:color w:val="212121"/>
                <w:sz w:val="19"/>
              </w:rPr>
              <w:t>Fine tremor of the outstretched hands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Especially in the morning or early withdrawal; a sensitive sign of dependence.</w:t>
            </w:r>
          </w:p>
        </w:tc>
      </w:tr>
      <w:tr>
        <w:trPr>
          <w:cantSplit/>
        </w:trPr>
        <w:tc>
          <w:tcPr>
            <w:tcW w:type="dxa" w:w="3456"/>
            <w:vAlign w:val="top"/>
          </w:tcPr>
          <w:p>
            <w:pPr>
              <w:spacing w:after="40" w:before="0" w:line="259" w:lineRule="auto"/>
            </w:pPr>
            <w:r>
              <w:rPr>
                <w:rFonts w:ascii="Calibri" w:hAnsi="Calibri"/>
                <w:b/>
                <w:i w:val="0"/>
                <w:color w:val="212121"/>
                <w:sz w:val="19"/>
              </w:rPr>
              <w:t>Tachycardia, sweating and agitation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Autonomic hyperactivity of the alcohol withdrawal syndrome.</w:t>
            </w:r>
          </w:p>
        </w:tc>
      </w:tr>
      <w:tr>
        <w:trPr>
          <w:cantSplit/>
        </w:trPr>
        <w:tc>
          <w:tcPr>
            <w:tcW w:type="dxa" w:w="3456"/>
            <w:vAlign w:val="top"/>
          </w:tcPr>
          <w:p>
            <w:pPr>
              <w:spacing w:after="40" w:before="0" w:line="259" w:lineRule="auto"/>
            </w:pPr>
            <w:r>
              <w:rPr>
                <w:rFonts w:ascii="Calibri" w:hAnsi="Calibri"/>
                <w:b/>
                <w:i w:val="0"/>
                <w:color w:val="212121"/>
                <w:sz w:val="19"/>
              </w:rPr>
              <w:t>Hepatomegaly / stigmata of chronic liver disease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Enlarged tender liver, spider naevi, palmar erythema and gynaecomastia.</w:t>
            </w:r>
          </w:p>
        </w:tc>
      </w:tr>
      <w:tr>
        <w:trPr>
          <w:cantSplit/>
        </w:trPr>
        <w:tc>
          <w:tcPr>
            <w:tcW w:type="dxa" w:w="3456"/>
            <w:vAlign w:val="top"/>
          </w:tcPr>
          <w:p>
            <w:pPr>
              <w:spacing w:after="40" w:before="0" w:line="259" w:lineRule="auto"/>
            </w:pPr>
            <w:r>
              <w:rPr>
                <w:rFonts w:ascii="Calibri" w:hAnsi="Calibri"/>
                <w:b/>
                <w:i w:val="0"/>
                <w:color w:val="212121"/>
                <w:sz w:val="19"/>
              </w:rPr>
              <w:t>Jaundice and ascites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 advanced alcoholic hepatitis or decompensated cirrhosis.</w:t>
            </w:r>
          </w:p>
        </w:tc>
      </w:tr>
      <w:tr>
        <w:trPr>
          <w:cantSplit/>
        </w:trPr>
        <w:tc>
          <w:tcPr>
            <w:tcW w:type="dxa" w:w="3456"/>
            <w:vAlign w:val="top"/>
          </w:tcPr>
          <w:p>
            <w:pPr>
              <w:spacing w:after="40" w:before="0" w:line="259" w:lineRule="auto"/>
            </w:pPr>
            <w:r>
              <w:rPr>
                <w:rFonts w:ascii="Calibri" w:hAnsi="Calibri"/>
                <w:b/>
                <w:i w:val="0"/>
                <w:color w:val="212121"/>
                <w:sz w:val="19"/>
              </w:rPr>
              <w:t>Peripheral neuropathy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Symmetrical distal sensory loss, burning feet and reduced ankle reflexes from alcohol and thiamine deficiency.</w:t>
            </w:r>
          </w:p>
        </w:tc>
      </w:tr>
      <w:tr>
        <w:trPr>
          <w:cantSplit/>
        </w:trPr>
        <w:tc>
          <w:tcPr>
            <w:tcW w:type="dxa" w:w="3456"/>
            <w:vAlign w:val="top"/>
          </w:tcPr>
          <w:p>
            <w:pPr>
              <w:spacing w:after="40" w:before="0" w:line="259" w:lineRule="auto"/>
            </w:pPr>
            <w:r>
              <w:rPr>
                <w:rFonts w:ascii="Calibri" w:hAnsi="Calibri"/>
                <w:b/>
                <w:i w:val="0"/>
                <w:color w:val="212121"/>
                <w:sz w:val="19"/>
              </w:rPr>
              <w:t>Wernicke's encephalopathy triad</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Confusion, ophthalmoplegia/nystagmus and ataxia - a thiamine-deficiency emergency.</w:t>
            </w:r>
          </w:p>
        </w:tc>
      </w:tr>
      <w:tr>
        <w:trPr>
          <w:cantSplit/>
        </w:trPr>
        <w:tc>
          <w:tcPr>
            <w:tcW w:type="dxa" w:w="3456"/>
            <w:vAlign w:val="top"/>
          </w:tcPr>
          <w:p>
            <w:pPr>
              <w:spacing w:after="40" w:before="0" w:line="259" w:lineRule="auto"/>
            </w:pPr>
            <w:r>
              <w:rPr>
                <w:rFonts w:ascii="Calibri" w:hAnsi="Calibri"/>
                <w:b/>
                <w:i w:val="0"/>
                <w:color w:val="212121"/>
                <w:sz w:val="19"/>
              </w:rPr>
              <w:t>Bilateral parotid gland enlargement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Painless sialadenosis associated with chronic alcohol use and malnutrition.</w:t>
            </w:r>
          </w:p>
        </w:tc>
      </w:tr>
      <w:tr>
        <w:trPr>
          <w:cantSplit/>
        </w:trPr>
        <w:tc>
          <w:tcPr>
            <w:tcW w:type="dxa" w:w="3456"/>
            <w:vAlign w:val="top"/>
          </w:tcPr>
          <w:p>
            <w:pPr>
              <w:spacing w:after="40" w:before="0" w:line="259" w:lineRule="auto"/>
            </w:pPr>
            <w:r>
              <w:rPr>
                <w:rFonts w:ascii="Calibri" w:hAnsi="Calibri"/>
                <w:b/>
                <w:i w:val="0"/>
                <w:color w:val="212121"/>
                <w:sz w:val="19"/>
              </w:rPr>
              <w:t>Dupuytren's contracture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Fibrous thickening of the palmar fascia, associated with chronic alcohol use.</w:t>
            </w:r>
          </w:p>
        </w:tc>
      </w:tr>
      <w:tr>
        <w:trPr>
          <w:cantSplit/>
        </w:trPr>
        <w:tc>
          <w:tcPr>
            <w:tcW w:type="dxa" w:w="3456"/>
            <w:vAlign w:val="top"/>
          </w:tcPr>
          <w:p>
            <w:pPr>
              <w:spacing w:after="40" w:before="0" w:line="259" w:lineRule="auto"/>
            </w:pPr>
            <w:r>
              <w:rPr>
                <w:rFonts w:ascii="Calibri" w:hAnsi="Calibri"/>
                <w:b/>
                <w:i w:val="0"/>
                <w:color w:val="212121"/>
                <w:sz w:val="19"/>
              </w:rPr>
              <w:t>Delirium tremens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Severe agitation, disorientation, hallucinations and autonomic storm 48-96 h after cessation; a life-threatening emergency.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alcohol intoxication and blackouts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withdrawal syndrome (tremor, anxiety,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Withdrawal seizures ('rum fits')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Alcoholic hallucinosis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Delirium tremens (medical emergency)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alcohol poisoning and aspiration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Injuries, road-traffic accidents and violence</w:t>
            </w:r>
          </w:p>
        </w:tc>
        <w:tc>
          <w:tcPr>
            <w:tcW w:type="dxa" w:w="2980"/>
            <w:vAlign w:val="top"/>
          </w:tcPr>
          <w:p>
            <w:pPr>
              <w:spacing w:after="40" w:before="0" w:line="259" w:lineRule="auto"/>
            </w:pPr>
            <w:r>
              <w:rPr>
                <w:rFonts w:ascii="Calibri" w:hAnsi="Calibri"/>
                <w:b w:val="0"/>
                <w:i w:val="0"/>
                <w:color w:val="212121"/>
                <w:sz w:val="19"/>
              </w:rPr>
              <w:t>Direct acute effects of intoxication and of abrupt cessation in a dependent drinker</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Alcoholic liver disease (fatty liver, hepatitis, fibrosis)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and chronic pancreatitis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Gastritis, peptic ulcer and gastrointestinal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Hypertension, cardiomyopathy and arrhythmias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Peripheral neuropathy and Wernicke's encephalopathy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Anaemia, thrombocytopenia and malnutrition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Immune suppression with increased infection and TB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and sexual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Foetal alcohol spectrum disorder (with drinking in pregnancy)</w:t>
            </w:r>
          </w:p>
        </w:tc>
        <w:tc>
          <w:tcPr>
            <w:tcW w:type="dxa" w:w="2980"/>
            <w:vAlign w:val="top"/>
          </w:tcPr>
          <w:p>
            <w:pPr>
              <w:spacing w:after="40" w:before="0" w:line="259" w:lineRule="auto"/>
            </w:pPr>
            <w:r>
              <w:rPr>
                <w:rFonts w:ascii="Calibri" w:hAnsi="Calibri"/>
                <w:b w:val="0"/>
                <w:i w:val="0"/>
                <w:color w:val="212121"/>
                <w:sz w:val="19"/>
              </w:rPr>
              <w:t>Chronic multi-organ toxicity, nutritional deficiency and psychiatric sequelae of sustained heavy use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Decompensated cirrhosis, liver failure and hepatocellular carcinoma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Korsakoff amnestic syndrome and alcohol-related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Alcohol-related cancers (mouth, oesophagus, liver, breast, colorectum)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Suicide and completed self-harm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breakdown, domestic violence and child neglect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Job loss, poverty, debt and social exclusion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death and reduced life expectancy</w:t>
            </w:r>
          </w:p>
        </w:tc>
        <w:tc>
          <w:tcPr>
            <w:tcW w:type="dxa" w:w="2980"/>
            <w:vAlign w:val="top"/>
          </w:tcPr>
          <w:p>
            <w:pPr>
              <w:spacing w:after="40" w:before="0" w:line="259" w:lineRule="auto"/>
            </w:pPr>
            <w:r>
              <w:rPr>
                <w:rFonts w:ascii="Calibri" w:hAnsi="Calibri"/>
                <w:b w:val="0"/>
                <w:i w:val="0"/>
                <w:color w:val="212121"/>
                <w:sz w:val="19"/>
              </w:rPr>
              <w:t>Irreversible, disabling and fatal outcomes of long-standing untreated dependence and its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448"/>
            <w:shd w:val="clear" w:color="auto" w:fill="F2F2F2"/>
            <w:vAlign w:val="center"/>
          </w:tcPr>
          <w:p>
            <w:pPr>
              <w:spacing w:after="40" w:before="0" w:line="259" w:lineRule="auto"/>
            </w:pPr>
            <w:r>
              <w:rPr>
                <w:rFonts w:ascii="Calibri" w:hAnsi="Calibri"/>
                <w:b/>
                <w:i w:val="0"/>
                <w:color w:val="212121"/>
                <w:sz w:val="19"/>
              </w:rPr>
              <w:t>AMC</w:t>
            </w:r>
          </w:p>
        </w:tc>
        <w:tc>
          <w:tcPr>
            <w:tcW w:type="dxa" w:w="715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448"/>
            <w:vAlign w:val="top"/>
          </w:tcPr>
          <w:p>
            <w:pPr>
              <w:spacing w:after="40" w:before="0" w:line="259" w:lineRule="auto"/>
            </w:pPr>
            <w:r>
              <w:rPr>
                <w:rFonts w:ascii="Calibri" w:hAnsi="Calibri"/>
                <w:b/>
                <w:i w:val="0"/>
                <w:color w:val="212121"/>
                <w:sz w:val="19"/>
              </w:rPr>
              <w:t>Any psychiatric comorbidity</w:t>
            </w:r>
          </w:p>
        </w:tc>
        <w:tc>
          <w:tcPr>
            <w:tcW w:type="dxa" w:w="7156"/>
            <w:vAlign w:val="top"/>
          </w:tcPr>
          <w:p>
            <w:pPr>
              <w:spacing w:after="40" w:before="0" w:line="259" w:lineRule="auto"/>
            </w:pPr>
            <w:r>
              <w:rPr>
                <w:rFonts w:ascii="Calibri" w:hAnsi="Calibri"/>
                <w:b w:val="0"/>
                <w:i w:val="0"/>
                <w:color w:val="212121"/>
                <w:sz w:val="19"/>
              </w:rPr>
              <w:t>About a third of Indian alcohol-dependent inpatients have a co-occurring psychiatric disorder, rising with severity of dependence.</w:t>
            </w:r>
          </w:p>
          <w:p>
            <w:pPr>
              <w:spacing w:after="40" w:before="0" w:line="259" w:lineRule="auto"/>
            </w:pPr>
            <w:r>
              <w:rPr>
                <w:rFonts w:ascii="Calibri" w:hAnsi="Calibri"/>
                <w:b/>
                <w:i w:val="0"/>
                <w:color w:val="212121"/>
                <w:sz w:val="19"/>
              </w:rPr>
              <w:t>~33%</w:t>
            </w:r>
          </w:p>
        </w:tc>
      </w:tr>
      <w:tr>
        <w:trPr>
          <w:cantSplit/>
        </w:trPr>
        <w:tc>
          <w:tcPr>
            <w:tcW w:type="dxa" w:w="2448"/>
            <w:vAlign w:val="top"/>
          </w:tcPr>
          <w:p>
            <w:pPr>
              <w:spacing w:after="40" w:before="0" w:line="259" w:lineRule="auto"/>
            </w:pPr>
            <w:r>
              <w:rPr>
                <w:rFonts w:ascii="Calibri" w:hAnsi="Calibri"/>
                <w:b/>
                <w:i w:val="0"/>
                <w:color w:val="212121"/>
                <w:sz w:val="19"/>
              </w:rPr>
              <w:t>Depression / mood disorders</w:t>
            </w:r>
          </w:p>
        </w:tc>
        <w:tc>
          <w:tcPr>
            <w:tcW w:type="dxa" w:w="7156"/>
            <w:vAlign w:val="top"/>
          </w:tcPr>
          <w:p>
            <w:pPr>
              <w:spacing w:after="40" w:before="0" w:line="259" w:lineRule="auto"/>
            </w:pPr>
            <w:r>
              <w:rPr>
                <w:rFonts w:ascii="Calibri" w:hAnsi="Calibri"/>
                <w:b w:val="0"/>
                <w:i w:val="0"/>
                <w:color w:val="212121"/>
                <w:sz w:val="19"/>
              </w:rPr>
              <w:t>Bidirectional with AUD; commonest comorbidity and a major driver of suicide risk.</w:t>
            </w:r>
          </w:p>
          <w:p>
            <w:pPr>
              <w:spacing w:after="40" w:before="0" w:line="259" w:lineRule="auto"/>
            </w:pPr>
            <w:r>
              <w:rPr>
                <w:rFonts w:ascii="Calibri" w:hAnsi="Calibri"/>
                <w:b/>
                <w:i w:val="0"/>
                <w:color w:val="212121"/>
                <w:sz w:val="19"/>
              </w:rPr>
              <w:t>~18% (mood; MDD ~8%)</w:t>
            </w:r>
          </w:p>
        </w:tc>
      </w:tr>
      <w:tr>
        <w:trPr>
          <w:cantSplit/>
        </w:trPr>
        <w:tc>
          <w:tcPr>
            <w:tcW w:type="dxa" w:w="2448"/>
            <w:vAlign w:val="top"/>
          </w:tcPr>
          <w:p>
            <w:pPr>
              <w:spacing w:after="40" w:before="0" w:line="259" w:lineRule="auto"/>
            </w:pPr>
            <w:r>
              <w:rPr>
                <w:rFonts w:ascii="Calibri" w:hAnsi="Calibri"/>
                <w:b/>
                <w:i w:val="0"/>
                <w:color w:val="212121"/>
                <w:sz w:val="19"/>
              </w:rPr>
              <w:t>Anxiety disorders</w:t>
            </w:r>
          </w:p>
        </w:tc>
        <w:tc>
          <w:tcPr>
            <w:tcW w:type="dxa" w:w="7156"/>
            <w:vAlign w:val="top"/>
          </w:tcPr>
          <w:p>
            <w:pPr>
              <w:spacing w:after="40" w:before="0" w:line="259" w:lineRule="auto"/>
            </w:pPr>
            <w:r>
              <w:rPr>
                <w:rFonts w:ascii="Calibri" w:hAnsi="Calibri"/>
                <w:b w:val="0"/>
                <w:i w:val="0"/>
                <w:color w:val="212121"/>
                <w:sz w:val="19"/>
              </w:rPr>
              <w:t>Alcohol used to self-medicate anxiety, with rebound anxiety in withdrawal reinforcing use.</w:t>
            </w:r>
          </w:p>
          <w:p>
            <w:pPr>
              <w:spacing w:after="40" w:before="0" w:line="259" w:lineRule="auto"/>
            </w:pPr>
            <w:r>
              <w:rPr>
                <w:rFonts w:ascii="Calibri" w:hAnsi="Calibri"/>
                <w:b/>
                <w:i w:val="0"/>
                <w:color w:val="212121"/>
                <w:sz w:val="19"/>
              </w:rPr>
              <w:t>~11%</w:t>
            </w:r>
          </w:p>
        </w:tc>
      </w:tr>
      <w:tr>
        <w:trPr>
          <w:cantSplit/>
        </w:trPr>
        <w:tc>
          <w:tcPr>
            <w:tcW w:type="dxa" w:w="2448"/>
            <w:vAlign w:val="top"/>
          </w:tcPr>
          <w:p>
            <w:pPr>
              <w:spacing w:after="40" w:before="0" w:line="259" w:lineRule="auto"/>
            </w:pPr>
            <w:r>
              <w:rPr>
                <w:rFonts w:ascii="Calibri" w:hAnsi="Calibri"/>
                <w:b/>
                <w:i w:val="0"/>
                <w:color w:val="212121"/>
                <w:sz w:val="19"/>
              </w:rPr>
              <w:t>Nicotine / tobacco dependence</w:t>
            </w:r>
          </w:p>
        </w:tc>
        <w:tc>
          <w:tcPr>
            <w:tcW w:type="dxa" w:w="7156"/>
            <w:vAlign w:val="top"/>
          </w:tcPr>
          <w:p>
            <w:pPr>
              <w:spacing w:after="40" w:before="0" w:line="259" w:lineRule="auto"/>
            </w:pPr>
            <w:r>
              <w:rPr>
                <w:rFonts w:ascii="Calibri" w:hAnsi="Calibri"/>
                <w:b w:val="0"/>
                <w:i w:val="0"/>
                <w:color w:val="212121"/>
                <w:sz w:val="19"/>
              </w:rPr>
              <w:t>Very common co-addiction sharing reward pathways; multiplies cancer, cardiovascular and TB-treatment harm.</w:t>
            </w:r>
          </w:p>
        </w:tc>
      </w:tr>
      <w:tr>
        <w:trPr>
          <w:cantSplit/>
        </w:trPr>
        <w:tc>
          <w:tcPr>
            <w:tcW w:type="dxa" w:w="2448"/>
            <w:vAlign w:val="top"/>
          </w:tcPr>
          <w:p>
            <w:pPr>
              <w:spacing w:after="40" w:before="0" w:line="259" w:lineRule="auto"/>
            </w:pPr>
            <w:r>
              <w:rPr>
                <w:rFonts w:ascii="Calibri" w:hAnsi="Calibri"/>
                <w:b/>
                <w:i w:val="0"/>
                <w:color w:val="212121"/>
                <w:sz w:val="19"/>
              </w:rPr>
              <w:t>Alcoholic liver disease</w:t>
            </w:r>
          </w:p>
        </w:tc>
        <w:tc>
          <w:tcPr>
            <w:tcW w:type="dxa" w:w="7156"/>
            <w:vAlign w:val="top"/>
          </w:tcPr>
          <w:p>
            <w:pPr>
              <w:spacing w:after="40" w:before="0" w:line="259" w:lineRule="auto"/>
            </w:pPr>
            <w:r>
              <w:rPr>
                <w:rFonts w:ascii="Calibri" w:hAnsi="Calibri"/>
                <w:b w:val="0"/>
                <w:i w:val="0"/>
                <w:color w:val="212121"/>
                <w:sz w:val="19"/>
              </w:rPr>
              <w:t>Fatty liver, hepatitis and cirrhosis; alcohol is a leading cause of chronic liver disease in India.</w:t>
            </w:r>
          </w:p>
        </w:tc>
      </w:tr>
      <w:tr>
        <w:trPr>
          <w:cantSplit/>
        </w:trPr>
        <w:tc>
          <w:tcPr>
            <w:tcW w:type="dxa" w:w="2448"/>
            <w:vAlign w:val="top"/>
          </w:tcPr>
          <w:p>
            <w:pPr>
              <w:spacing w:after="40" w:before="0" w:line="259" w:lineRule="auto"/>
            </w:pPr>
            <w:r>
              <w:rPr>
                <w:rFonts w:ascii="Calibri" w:hAnsi="Calibri"/>
                <w:b/>
                <w:i w:val="0"/>
                <w:color w:val="212121"/>
                <w:sz w:val="19"/>
              </w:rPr>
              <w:t>Tuberculosis</w:t>
            </w:r>
          </w:p>
        </w:tc>
        <w:tc>
          <w:tcPr>
            <w:tcW w:type="dxa" w:w="7156"/>
            <w:vAlign w:val="top"/>
          </w:tcPr>
          <w:p>
            <w:pPr>
              <w:spacing w:after="40" w:before="0" w:line="259" w:lineRule="auto"/>
            </w:pPr>
            <w:r>
              <w:rPr>
                <w:rFonts w:ascii="Calibri" w:hAnsi="Calibri"/>
                <w:b w:val="0"/>
                <w:i w:val="0"/>
                <w:color w:val="212121"/>
                <w:sz w:val="19"/>
              </w:rPr>
              <w:t>Alcohol suppresses immunity and adherence; hazardous drinking raised unfavourable TB outcomes about 1.72-fold in Indian patients.</w:t>
            </w:r>
          </w:p>
          <w:p>
            <w:pPr>
              <w:spacing w:after="40" w:before="0" w:line="259" w:lineRule="auto"/>
            </w:pPr>
            <w:r>
              <w:rPr>
                <w:rFonts w:ascii="Calibri" w:hAnsi="Calibri"/>
                <w:b/>
                <w:i w:val="0"/>
                <w:color w:val="212121"/>
                <w:sz w:val="19"/>
              </w:rPr>
              <w:t>~10% of TB patients (AUDIT&gt;=8)</w:t>
            </w:r>
          </w:p>
        </w:tc>
      </w:tr>
      <w:tr>
        <w:trPr>
          <w:cantSplit/>
        </w:trPr>
        <w:tc>
          <w:tcPr>
            <w:tcW w:type="dxa" w:w="2448"/>
            <w:vAlign w:val="top"/>
          </w:tcPr>
          <w:p>
            <w:pPr>
              <w:spacing w:after="40" w:before="0" w:line="259" w:lineRule="auto"/>
            </w:pPr>
            <w:r>
              <w:rPr>
                <w:rFonts w:ascii="Calibri" w:hAnsi="Calibri"/>
                <w:b/>
                <w:i w:val="0"/>
                <w:color w:val="212121"/>
                <w:sz w:val="19"/>
              </w:rPr>
              <w:t>Chronic pancreatitis</w:t>
            </w:r>
          </w:p>
        </w:tc>
        <w:tc>
          <w:tcPr>
            <w:tcW w:type="dxa" w:w="7156"/>
            <w:vAlign w:val="top"/>
          </w:tcPr>
          <w:p>
            <w:pPr>
              <w:spacing w:after="40" w:before="0" w:line="259" w:lineRule="auto"/>
            </w:pPr>
            <w:r>
              <w:rPr>
                <w:rFonts w:ascii="Calibri" w:hAnsi="Calibri"/>
                <w:b w:val="0"/>
                <w:i w:val="0"/>
                <w:color w:val="212121"/>
                <w:sz w:val="19"/>
              </w:rPr>
              <w:t>Alcohol is a leading cause of chronic pancreatitis, causing pain, malabsorption and secondary diabetes.</w:t>
            </w:r>
          </w:p>
        </w:tc>
      </w:tr>
      <w:tr>
        <w:trPr>
          <w:cantSplit/>
        </w:trPr>
        <w:tc>
          <w:tcPr>
            <w:tcW w:type="dxa" w:w="2448"/>
            <w:vAlign w:val="top"/>
          </w:tcPr>
          <w:p>
            <w:pPr>
              <w:spacing w:after="40" w:before="0" w:line="259" w:lineRule="auto"/>
            </w:pPr>
            <w:r>
              <w:rPr>
                <w:rFonts w:ascii="Calibri" w:hAnsi="Calibri"/>
                <w:b/>
                <w:i w:val="0"/>
                <w:color w:val="212121"/>
                <w:sz w:val="19"/>
              </w:rPr>
              <w:t>Hypertension &amp; cardiomyopathy</w:t>
            </w:r>
          </w:p>
        </w:tc>
        <w:tc>
          <w:tcPr>
            <w:tcW w:type="dxa" w:w="7156"/>
            <w:vAlign w:val="top"/>
          </w:tcPr>
          <w:p>
            <w:pPr>
              <w:spacing w:after="40" w:before="0" w:line="259" w:lineRule="auto"/>
            </w:pPr>
            <w:r>
              <w:rPr>
                <w:rFonts w:ascii="Calibri" w:hAnsi="Calibri"/>
                <w:b w:val="0"/>
                <w:i w:val="0"/>
                <w:color w:val="212121"/>
                <w:sz w:val="19"/>
              </w:rPr>
              <w:t>Heavy drinking raises blood pressure and can cause dilated cardiomyopathy and atrial fibrillation ('holiday heart').</w:t>
            </w:r>
          </w:p>
        </w:tc>
      </w:tr>
      <w:tr>
        <w:trPr>
          <w:cantSplit/>
        </w:trPr>
        <w:tc>
          <w:tcPr>
            <w:tcW w:type="dxa" w:w="2448"/>
            <w:vAlign w:val="top"/>
          </w:tcPr>
          <w:p>
            <w:pPr>
              <w:spacing w:after="40" w:before="0" w:line="259" w:lineRule="auto"/>
            </w:pPr>
            <w:r>
              <w:rPr>
                <w:rFonts w:ascii="Calibri" w:hAnsi="Calibri"/>
                <w:b/>
                <w:i w:val="0"/>
                <w:color w:val="212121"/>
                <w:sz w:val="19"/>
              </w:rPr>
              <w:t>Wernicke-Korsakoff syndrome</w:t>
            </w:r>
          </w:p>
        </w:tc>
        <w:tc>
          <w:tcPr>
            <w:tcW w:type="dxa" w:w="7156"/>
            <w:vAlign w:val="top"/>
          </w:tcPr>
          <w:p>
            <w:pPr>
              <w:spacing w:after="40" w:before="0" w:line="259" w:lineRule="auto"/>
            </w:pPr>
            <w:r>
              <w:rPr>
                <w:rFonts w:ascii="Calibri" w:hAnsi="Calibri"/>
                <w:b w:val="0"/>
                <w:i w:val="0"/>
                <w:color w:val="212121"/>
                <w:sz w:val="19"/>
              </w:rPr>
              <w:t>Thiamine-deficiency encephalopathy and amnestic syndrome; preventable with early thiamine.</w:t>
            </w:r>
          </w:p>
        </w:tc>
      </w:tr>
      <w:tr>
        <w:trPr>
          <w:cantSplit/>
        </w:trPr>
        <w:tc>
          <w:tcPr>
            <w:tcW w:type="dxa" w:w="2448"/>
            <w:vAlign w:val="top"/>
          </w:tcPr>
          <w:p>
            <w:pPr>
              <w:spacing w:after="40" w:before="0" w:line="259" w:lineRule="auto"/>
            </w:pPr>
            <w:r>
              <w:rPr>
                <w:rFonts w:ascii="Calibri" w:hAnsi="Calibri"/>
                <w:b/>
                <w:i w:val="0"/>
                <w:color w:val="212121"/>
                <w:sz w:val="19"/>
              </w:rPr>
              <w:t>Psychotic disorders</w:t>
            </w:r>
          </w:p>
        </w:tc>
        <w:tc>
          <w:tcPr>
            <w:tcW w:type="dxa" w:w="7156"/>
            <w:vAlign w:val="top"/>
          </w:tcPr>
          <w:p>
            <w:pPr>
              <w:spacing w:after="40" w:before="0" w:line="259" w:lineRule="auto"/>
            </w:pPr>
            <w:r>
              <w:rPr>
                <w:rFonts w:ascii="Calibri" w:hAnsi="Calibri"/>
                <w:b w:val="0"/>
                <w:i w:val="0"/>
                <w:color w:val="212121"/>
                <w:sz w:val="19"/>
              </w:rPr>
              <w:t>Alcoholic hallucinosis and comorbid primary psychosis complicate diagnosis and prognosis.</w:t>
            </w:r>
          </w:p>
          <w:p>
            <w:pPr>
              <w:spacing w:after="40" w:before="0" w:line="259" w:lineRule="auto"/>
            </w:pPr>
            <w:r>
              <w:rPr>
                <w:rFonts w:ascii="Calibri" w:hAnsi="Calibri"/>
                <w:b/>
                <w:i w:val="0"/>
                <w:color w:val="212121"/>
                <w:sz w:val="19"/>
              </w:rPr>
              <w:t>~4%</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there is no risk-free level of drinking and that risk rises with quantity, frequency and potency (spirits, country liquor).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needing more to get the same effect, morning drinking, failed attempts to cut down, and drinking despite harm - and seek help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safe-limit guidance, keep alcohol-free days, and never drink and drive or drink in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that dependence is a treatable medical condition, not a moral failing, and that effective medicines and counselling exist.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sudden cessation in a heavy dependent drinker can cause dangerous withdrawal (seizures, delirium tremens) and should be medically supervised.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 hazardous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&amp; migrant workers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brief interventions and motivational interviewing to hazardous drinkers in primary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withdrawal with a benzodiazepine-based regimen plus parenteral thiamine; admit those with a history of seizures or delirium tremens.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relapse-prevention pharmacotherapy - naltrexone, acamprosate or disulfiram - alongside psychosocial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a clear goal (abstinence is preferred in dependence) and combine with structured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patients to mutual-help groups (Alcoholics Anonymous) and de-addiction / community services.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the family and address the social and occupational context to sustain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Hazardous/harmful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Detox admissions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Relapsing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every patient for depression, anxiety, PTSD and, crucially, suicide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comorbid psychiatric disorders concurrently rather than waiting for abstinence.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cognitive behavioural therapy, relapse-prevention and coping-skills training to manage craving and triggers.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stress-management and emotion-regulation skills to replace alcohol as a coping tool.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high-risk, dual-diagnosis or treatment-resistant patients to specialist psychiatric and de-addiction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Dual-diagnosis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suicide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Trauma survivors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regular aerobic exercise (about 150 minutes/week of brisk walking, cycling or swimming) as an adjunct to improve mood, sleep and craving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structured daily routine and physical activity to fill time previously spent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Incorporate yoga, relaxation or mindful movement to reduce stress and relapse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activity gradually in those deconditioned by chronic illness or malnutrition.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dependent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regular balanced meals; never substitute alcohol for food.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thiamine (vitamin B1) supplementation to all chronic heavy drinkers, and always before any glucose load, to prevent Wernicke's encephalopathy.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folate, magnesium and other micronutrient deficiencies during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 protein-adequate, liver-friendly diet in those with alcoholic liver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Detox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Alcoholic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dependence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use alcohol as a sleep aid - it fragments sleep and worsens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 and prepare for withdrawal-related insomnia and vivid dreams during early abstinence.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consistent sleep-wake timing and good sleep hygiene to support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persistent insomnia with behavioural methods rather than a return to drinking.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early abstinence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Insomniac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Recovery phase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tobacco use alongside alcohol, as the two strongly co-occur and worsen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structured cessation support (counselling, nicotine replacement) during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Highlight the multiplied cancer, cardiovascular and TB-treatment risks of combined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Frame quitting both as improving long-term recovery and survival.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Dual alcohol-tobacco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Cardiovascular risk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sport, exercise and structured leisure in young people as protective alternatives to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community and workplace activity programmes that reduce drinking opportunities.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physical activity to build routine, self-efficacy and stress resilience.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Workplace programmes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ib.gov.in/Pressreleaseshare.aspx?PRID=1565001" TargetMode="External"/><Relationship Id="rId10" Type="http://schemas.openxmlformats.org/officeDocument/2006/relationships/hyperlink" Target="https://pmc.ncbi.nlm.nih.gov/articles/PMC7618931/" TargetMode="External"/><Relationship Id="rId11" Type="http://schemas.openxmlformats.org/officeDocument/2006/relationships/hyperlink" Target="https://journals.plos.org/plosone/article?id=10.1371%2Fjournal.pone.0220507" TargetMode="External"/><Relationship Id="rId12" Type="http://schemas.openxmlformats.org/officeDocument/2006/relationships/hyperlink" Target="https://pubmed.ncbi.nlm.nih.gov/25171596/" TargetMode="External"/><Relationship Id="rId13" Type="http://schemas.openxmlformats.org/officeDocument/2006/relationships/hyperlink" Target="https://link.springer.com/article/10.1186/s43045-019-0010-y" TargetMode="External"/><Relationship Id="rId14" Type="http://schemas.openxmlformats.org/officeDocument/2006/relationships/hyperlink" Target="https://auditscreen.org/cmsb/uploads/2007-the-alcohol-use-disorders-identification-test_-an-update-of-research-finding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