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Smokeless Tobacco Use (gutka, khaini)</w:t>
      </w:r>
    </w:p>
    <w:p>
      <w:pPr>
        <w:spacing w:before="0" w:after="160"/>
      </w:pPr>
      <w:r>
        <w:rPr>
          <w:rFonts w:ascii="Calibri" w:hAnsi="Calibri"/>
          <w:b/>
          <w:i w:val="0"/>
          <w:color w:val="212121"/>
          <w:sz w:val="22"/>
        </w:rPr>
        <w:t xml:space="preserve">AKA </w:t>
      </w:r>
      <w:r>
        <w:rPr>
          <w:rFonts w:ascii="Calibri" w:hAnsi="Calibri"/>
          <w:b w:val="0"/>
          <w:i w:val="0"/>
          <w:color w:val="212121"/>
          <w:sz w:val="22"/>
        </w:rPr>
        <w:t>i.e., Chewing tobacco, Oral/spit tobacco, SLT use; local forms include khaini, gutka/gutkha, zarda, mishri/masheri, gul, mawa, naswar, betel quid (paan) with tobacco, and pan masala with tobacco</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Smokeless tobacco (SLT) use is the habitual consumption of tobacco that is not burned but instead chewed, sucked, held in the mouth, or applied to the teeth and gums, and inhaled/sniffed in a few forms. Common Indian products include khaini (tobacco-lime), gutka (tobacco, areca nut and lime), zarda, betel quid (paan) with tobacco, mishri, gul and pan masala. These products deliver highly addictive nicotine along with more than 30 known carcinogens, chiefly tobacco-specific N-nitrosamines. Habitual use produces nicotine dependence (a behavioural disorder) and is the single largest cause of oral cancer and oral potentially malignant disorders in India.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Smokeless tobacco is the dominant form of tobacco use in India. The Global Adult Tobacco Survey (GATS-2, 2016-17) found that 21.4% of Indian adults currently use smokeless tobacco (18.2% use it daily) - roughly 1 in 5 adults. Use is far higher in men (29.6%) than women (12.8%). Khaini is the most commonly used product (11.2%), followed by pan masala with tobacco (8.7%), betel quid with tobacco (8.0%) and gutka (6.8%). WHO estimates over 200 million Indian adults use smokeless tobacco, and India carries the largest share of the global SLT burden.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Smokeless tobacco use is a clinical/behavioural diagnosis based on a use history combined with assessment of nicotine dependence and screening of the oral cavity for tobacco-related lesions. Supporting criteria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self-reported current use (daily or occasional) of any smokeless tobacco product (khaini, gutka, zarda, betel quid with tobacco, mishri, gul, pan masala, snuff, etc.);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DSM-5 Tobacco Use Disorder - at least 2 of 11 criteria within 12 months (tolerance, withdrawal, craving, use larger/longer than intended, unsuccessful attempts to cut down, continued use despite harm);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quantified nicotine dependence using the Fagerstrom Test for Nicotine Dependence adapted for Smokeless Tobacco (FTND-ST), e.g., time to first dip/quid after waking and daily quantity used;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biochemical confirmation of tobacco exposure where needed - elevated salivary/urinary cotinine (nicotine metabolite);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systematic oral examination for potentially malignant disorders - leukoplakia, erythroplakia, oral submucous fibrosis (blanching/fibrous bands, restricted mouth opening) and any non-healing ulcer or growth.</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Smokeless tobacco use is classified by product/route, by the type of preparation used, and by the severity of nicotine dependence:</w:t>
      </w:r>
    </w:p>
    <w:p>
      <w:pPr>
        <w:spacing w:before="0" w:after="80"/>
      </w:pPr>
      <w:r>
        <w:rPr>
          <w:rFonts w:ascii="Calibri" w:hAnsi="Calibri"/>
          <w:b w:val="0"/>
          <w:i w:val="0"/>
          <w:color w:val="212121"/>
          <w:sz w:val="21"/>
        </w:rPr>
        <w:t>(1) By route/method - chewing and oral-held products (khaini, gutka, zarda, betel quid with tobacco, mawa, mishri applied to gums) versus nasal/inhaled products (dry snuff, naswar). Chewed and gum-applied forms predominate in India;</w:t>
      </w:r>
    </w:p>
    <w:p>
      <w:pPr>
        <w:spacing w:before="0" w:after="80"/>
      </w:pPr>
      <w:r>
        <w:rPr>
          <w:rFonts w:ascii="Calibri" w:hAnsi="Calibri"/>
          <w:b w:val="0"/>
          <w:i w:val="0"/>
          <w:color w:val="212121"/>
          <w:sz w:val="21"/>
        </w:rPr>
        <w:t>(2) By composition - tobacco-only preparations (khaini, zarda, snuff) versus areca-nut-containing mixtures (gutka, mawa, betel quid with tobacco, pan masala). Areca nut independently causes oral submucous fibrosis, so mixtures carry combined tobacco + areca-nut risk;</w:t>
      </w:r>
    </w:p>
    <w:p>
      <w:pPr>
        <w:spacing w:before="0" w:after="80"/>
      </w:pPr>
      <w:r>
        <w:rPr>
          <w:rFonts w:ascii="Calibri" w:hAnsi="Calibri"/>
          <w:b w:val="0"/>
          <w:i w:val="0"/>
          <w:color w:val="212121"/>
          <w:sz w:val="21"/>
        </w:rPr>
        <w:t>(3) By nicotine dependence severity - graded by the FTND-ST as low (0-3), moderate (4-6) or high (7-10); high dependence is marked by first use within 30 minutes of waking and inability to abstain;</w:t>
      </w:r>
    </w:p>
    <w:p>
      <w:pPr>
        <w:spacing w:before="0" w:after="80"/>
      </w:pPr>
      <w:r>
        <w:rPr>
          <w:rFonts w:ascii="Calibri" w:hAnsi="Calibri"/>
          <w:b w:val="0"/>
          <w:i w:val="0"/>
          <w:color w:val="212121"/>
          <w:sz w:val="21"/>
        </w:rPr>
        <w:t>(4) By DSM-5 Tobacco Use Disorder severity - mild (2-3 criteria), moderate (4-5 criteria) or severe (6 or more criteria), which guides intensity of cessation support.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Nicotine dependence: Nicotine is rapidly absorbed through the oral/nasal mucosa, driving addiction, craving and withdrawal that perpetuate daily use.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Social and cultural normalisation: Deep-rooted acceptance of paan/khaini/gutka chewing in families and communities, and its use as hospitality, ritual and stress relief, promotes initiation and continuation.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Easy availability and low cost: Cheap, loose, single-serve sachets sold widely and to minors make SLT highly accessible despite bans.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Peer and family influence: Initiation is strongly linked to parents, siblings or peers who use SLT, typically in adolescence (average initiation age ~17.9 years).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Misperception of safety: A common but false belief that chewing is 'safer' than smoking or even medicinal (mishri for 'toothache/cleaning teeth') sustains use.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Psychosocial stress and occupation: Manual labour, long working hours, fatigue and stress promote SLT use as a stimulant and coping aid.</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Aggressive marketing and surrogate advertising: Pan masala/branding and flavoured products lower the threshold to start, especially among youth and women.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 age, 25-44 yrs)</w:t>
            </w:r>
          </w:p>
        </w:tc>
        <w:tc>
          <w:tcPr>
            <w:tcW w:type="dxa" w:w="4276"/>
            <w:vAlign w:val="top"/>
          </w:tcPr>
          <w:p>
            <w:pPr>
              <w:spacing w:after="60" w:line="259" w:lineRule="auto"/>
            </w:pPr>
            <w:r>
              <w:rPr>
                <w:rFonts w:ascii="Calibri" w:hAnsi="Calibri"/>
                <w:b w:val="0"/>
                <w:i w:val="0"/>
                <w:color w:val="212121"/>
                <w:sz w:val="19"/>
              </w:rPr>
              <w:t>SLT use peaks in economically active adults, with most users having started in adolescence and developed nicotine dependence. Chronic use at this stage accumulates carcinogen exposure that later manifests as oral lesions and cancer.</w:t>
            </w:r>
          </w:p>
          <w:p>
            <w:pPr>
              <w:spacing w:after="40" w:before="60" w:line="259" w:lineRule="auto"/>
            </w:pPr>
            <w:r>
              <w:rPr>
                <w:rFonts w:ascii="Calibri" w:hAnsi="Calibri"/>
                <w:b w:val="0"/>
                <w:i w:val="0"/>
                <w:color w:val="212121"/>
                <w:sz w:val="19"/>
              </w:rPr>
              <w:t>21.4% of Indian adults currently use smokeless tobacco (18.2% daily); average age of initiation is about 17.9 years.</w:t>
            </w:r>
          </w:p>
          <w:p>
            <w:pPr>
              <w:spacing w:after="40" w:line="252" w:lineRule="auto"/>
            </w:pPr>
            <w:hyperlink r:id="rId9">
              <w:r>
                <w:rPr>
                  <w:rFonts w:ascii="Calibri" w:hAnsi="Calibri" w:cs="Calibri"/>
                  <w:sz w:val="18"/>
                  <w:color w:val="1155CC"/>
                  <w:u w:val="single"/>
                </w:rPr>
                <w:t xml:space="preserve">GATS-2 India 2016-17 Fact Sheet (mohfw)</w:t>
              </w:r>
            </w:hyperlink>
          </w:p>
          <w:p>
            <w:pPr>
              <w:spacing w:before="60" w:after="40"/>
            </w:pPr>
            <w:r>
              <w:rPr>
                <w:rFonts w:ascii="Calibri" w:hAnsi="Calibri"/>
                <w:b w:val="0"/>
                <w:i w:val="0"/>
                <w:color w:val="5A5A5A"/>
                <w:sz w:val="18"/>
              </w:rPr>
              <w:t>#smokelesstobacco  #khaini  #gutka  #nicotinedependence  #workingage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(long-duration users)</w:t>
            </w:r>
          </w:p>
        </w:tc>
        <w:tc>
          <w:tcPr>
            <w:tcW w:type="dxa" w:w="4276"/>
            <w:vAlign w:val="top"/>
          </w:tcPr>
          <w:p>
            <w:pPr>
              <w:spacing w:after="60" w:line="259" w:lineRule="auto"/>
            </w:pPr>
            <w:r>
              <w:rPr>
                <w:rFonts w:ascii="Calibri" w:hAnsi="Calibri"/>
                <w:b w:val="0"/>
                <w:i w:val="0"/>
                <w:color w:val="212121"/>
                <w:sz w:val="19"/>
              </w:rPr>
              <w:t>Decades of daily use mean the highest cumulative carcinogen dose, so oral potentially malignant disorders, oral cancer and cardiovascular events cluster in older users. Deep dependence also makes cessation harder.</w:t>
            </w:r>
          </w:p>
          <w:p>
            <w:pPr>
              <w:spacing w:after="40" w:before="60" w:line="259" w:lineRule="auto"/>
            </w:pPr>
            <w:r>
              <w:rPr>
                <w:rFonts w:ascii="Calibri" w:hAnsi="Calibri"/>
                <w:b w:val="0"/>
                <w:i w:val="0"/>
                <w:color w:val="212121"/>
                <w:sz w:val="19"/>
              </w:rPr>
              <w:t>India records ~1.19 lakh new oral cancer cases each year (about 85,000 in men and 34,000 in women); more than half are attributable to smokeless tobacco.</w:t>
            </w:r>
          </w:p>
          <w:p>
            <w:pPr>
              <w:spacing w:after="40" w:line="252" w:lineRule="auto"/>
            </w:pPr>
            <w:hyperlink r:id="rId10">
              <w:r>
                <w:rPr>
                  <w:rFonts w:ascii="Calibri" w:hAnsi="Calibri" w:cs="Calibri"/>
                  <w:sz w:val="18"/>
                  <w:color w:val="1155CC"/>
                  <w:u w:val="single"/>
                </w:rPr>
                <w:t xml:space="preserve">WHO - Smokeless Tobacco and Public Health in India</w:t>
              </w:r>
            </w:hyperlink>
          </w:p>
          <w:p>
            <w:pPr>
              <w:spacing w:before="60" w:after="40"/>
            </w:pPr>
            <w:r>
              <w:rPr>
                <w:rFonts w:ascii="Calibri" w:hAnsi="Calibri"/>
                <w:b w:val="0"/>
                <w:i w:val="0"/>
                <w:color w:val="5A5A5A"/>
                <w:sz w:val="18"/>
              </w:rPr>
              <w:t>#oralcancer  #cumulativeexposure  #elderly  #carcinogen</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have the highest overall SLT prevalence, often as khaini, gutka or zarda, and frequently combine it with bidi/cigarette smoking, multiplying oral and cardiovascular risk.</w:t>
            </w:r>
          </w:p>
          <w:p>
            <w:pPr>
              <w:spacing w:after="40" w:before="60" w:line="259" w:lineRule="auto"/>
            </w:pPr>
            <w:r>
              <w:rPr>
                <w:rFonts w:ascii="Calibri" w:hAnsi="Calibri"/>
                <w:b w:val="0"/>
                <w:i w:val="0"/>
                <w:color w:val="212121"/>
                <w:sz w:val="19"/>
              </w:rPr>
              <w:t>29.6% of Indian men currently use smokeless tobacco versus 12.8% of women (GATS-2).</w:t>
            </w:r>
          </w:p>
          <w:p>
            <w:pPr>
              <w:spacing w:after="40" w:line="252" w:lineRule="auto"/>
            </w:pPr>
            <w:hyperlink r:id="rId9">
              <w:r>
                <w:rPr>
                  <w:rFonts w:ascii="Calibri" w:hAnsi="Calibri" w:cs="Calibri"/>
                  <w:sz w:val="18"/>
                  <w:color w:val="1155CC"/>
                  <w:u w:val="single"/>
                </w:rPr>
                <w:t xml:space="preserve">GATS-2 India 2016-17 Fact Sheet (mohfw)</w:t>
              </w:r>
            </w:hyperlink>
          </w:p>
          <w:p>
            <w:pPr>
              <w:spacing w:before="60" w:after="40"/>
            </w:pPr>
            <w:r>
              <w:rPr>
                <w:rFonts w:ascii="Calibri" w:hAnsi="Calibri"/>
                <w:b w:val="0"/>
                <w:i w:val="0"/>
                <w:color w:val="5A5A5A"/>
                <w:sz w:val="18"/>
              </w:rPr>
              <w:t>#men  #dualuse  #khaini  #highprevalence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(incl. pregnant women)</w:t>
            </w:r>
          </w:p>
        </w:tc>
        <w:tc>
          <w:tcPr>
            <w:tcW w:type="dxa" w:w="4276"/>
            <w:vAlign w:val="top"/>
          </w:tcPr>
          <w:p>
            <w:pPr>
              <w:spacing w:after="60" w:line="259" w:lineRule="auto"/>
            </w:pPr>
            <w:r>
              <w:rPr>
                <w:rFonts w:ascii="Calibri" w:hAnsi="Calibri"/>
                <w:b w:val="0"/>
                <w:i w:val="0"/>
                <w:color w:val="212121"/>
                <w:sz w:val="19"/>
              </w:rPr>
              <w:t>Women more often use applied/held forms (mishri, dry snuff, betel quid) that are socially tolerated indoors; per unit of use they bear a disproportionately high oral-cancer risk, and use during pregnancy harms the fetus.</w:t>
            </w:r>
          </w:p>
          <w:p>
            <w:pPr>
              <w:spacing w:after="40" w:before="60" w:line="259" w:lineRule="auto"/>
            </w:pPr>
            <w:r>
              <w:rPr>
                <w:rFonts w:ascii="Calibri" w:hAnsi="Calibri"/>
                <w:b w:val="0"/>
                <w:i w:val="0"/>
                <w:color w:val="212121"/>
                <w:sz w:val="19"/>
              </w:rPr>
              <w:t>Women SLT users have been reported to carry up to 8 times higher relative risk of oral cancer than male users; SLT in pregnancy raises stillbirth and low-birthweight rates 2-3 fold.</w:t>
            </w:r>
          </w:p>
          <w:p>
            <w:pPr>
              <w:spacing w:after="40" w:line="252" w:lineRule="auto"/>
            </w:pPr>
            <w:hyperlink r:id="rId10">
              <w:r>
                <w:rPr>
                  <w:rFonts w:ascii="Calibri" w:hAnsi="Calibri" w:cs="Calibri"/>
                  <w:sz w:val="18"/>
                  <w:color w:val="1155CC"/>
                  <w:u w:val="single"/>
                </w:rPr>
                <w:t xml:space="preserve">WHO - Smokeless Tobacco and Public Health in India</w:t>
              </w:r>
            </w:hyperlink>
          </w:p>
          <w:p>
            <w:pPr>
              <w:spacing w:before="60" w:after="40"/>
            </w:pPr>
            <w:r>
              <w:rPr>
                <w:rFonts w:ascii="Calibri" w:hAnsi="Calibri"/>
                <w:b w:val="0"/>
                <w:i w:val="0"/>
                <w:color w:val="5A5A5A"/>
                <w:sz w:val="18"/>
              </w:rPr>
              <w:t>#women  #pregnancy  #mishri  #oralcancerrisk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income / less-educated groups</w:t>
            </w:r>
          </w:p>
        </w:tc>
        <w:tc>
          <w:tcPr>
            <w:tcW w:type="dxa" w:w="4276"/>
            <w:vAlign w:val="top"/>
          </w:tcPr>
          <w:p>
            <w:pPr>
              <w:spacing w:after="60" w:line="259" w:lineRule="auto"/>
            </w:pPr>
            <w:r>
              <w:rPr>
                <w:rFonts w:ascii="Calibri" w:hAnsi="Calibri"/>
                <w:b w:val="0"/>
                <w:i w:val="0"/>
                <w:color w:val="212121"/>
                <w:sz w:val="19"/>
              </w:rPr>
              <w:t>Cheap single-serve sachets, lower risk awareness and use as an appetite/fatigue suppressant concentrate SLT use in poorer and less-educated populations, widening health inequities.</w:t>
            </w:r>
          </w:p>
          <w:p>
            <w:pPr>
              <w:spacing w:after="40" w:before="60" w:line="259" w:lineRule="auto"/>
            </w:pPr>
            <w:r>
              <w:rPr>
                <w:rFonts w:ascii="Calibri" w:hAnsi="Calibri"/>
                <w:b w:val="0"/>
                <w:i w:val="0"/>
                <w:color w:val="212121"/>
                <w:sz w:val="19"/>
              </w:rPr>
              <w:t>Smokeless tobacco use in India shows a strong inverse gradient, being markedly higher among those with no or low formal education and in lower wealth quintiles.</w:t>
            </w:r>
          </w:p>
          <w:p>
            <w:pPr>
              <w:spacing w:after="40" w:line="252" w:lineRule="auto"/>
            </w:pPr>
            <w:hyperlink r:id="rId11">
              <w:r>
                <w:rPr>
                  <w:rFonts w:ascii="Calibri" w:hAnsi="Calibri" w:cs="Calibri"/>
                  <w:sz w:val="18"/>
                  <w:color w:val="1155CC"/>
                  <w:u w:val="single"/>
                </w:rPr>
                <w:t xml:space="preserve">GATS-2 India 2016-17 Country Report (mohfw)</w:t>
              </w:r>
            </w:hyperlink>
          </w:p>
          <w:p>
            <w:pPr>
              <w:spacing w:before="60" w:after="40"/>
            </w:pPr>
            <w:r>
              <w:rPr>
                <w:rFonts w:ascii="Calibri" w:hAnsi="Calibri"/>
                <w:b w:val="0"/>
                <w:i w:val="0"/>
                <w:color w:val="5A5A5A"/>
                <w:sz w:val="18"/>
              </w:rPr>
              <w:t>#socioeconomic  #inequity  #lowincome  #affordability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North-East &amp; Eastern India (rural)</w:t>
            </w:r>
          </w:p>
        </w:tc>
        <w:tc>
          <w:tcPr>
            <w:tcW w:type="dxa" w:w="4276"/>
            <w:vAlign w:val="top"/>
          </w:tcPr>
          <w:p>
            <w:pPr>
              <w:spacing w:after="60" w:line="259" w:lineRule="auto"/>
            </w:pPr>
            <w:r>
              <w:rPr>
                <w:rFonts w:ascii="Calibri" w:hAnsi="Calibri"/>
                <w:b w:val="0"/>
                <w:i w:val="0"/>
                <w:color w:val="212121"/>
                <w:sz w:val="19"/>
              </w:rPr>
              <w:t>SLT chewing is culturally entrenched in the North-East and eastern belt (Mizoram, Manipur, Tripura, Assam, Odisha, Bihar, Jharkhand, West Bengal), where products like tuibur, khaini and gutka are widely used from an early age.</w:t>
            </w:r>
          </w:p>
          <w:p>
            <w:pPr>
              <w:spacing w:after="40" w:before="60" w:line="259" w:lineRule="auto"/>
            </w:pPr>
            <w:r>
              <w:rPr>
                <w:rFonts w:ascii="Calibri" w:hAnsi="Calibri"/>
                <w:b w:val="0"/>
                <w:i w:val="0"/>
                <w:color w:val="212121"/>
                <w:sz w:val="19"/>
              </w:rPr>
              <w:t>Youth SLT use varies enormously by state - from about 1% (Himachal Pradesh) to 56% (Bihar) in the Global Youth Tobacco Survey, reflecting deep regional differences.</w:t>
            </w:r>
          </w:p>
          <w:p>
            <w:pPr>
              <w:spacing w:after="40" w:line="252" w:lineRule="auto"/>
            </w:pPr>
            <w:hyperlink r:id="rId10">
              <w:r>
                <w:rPr>
                  <w:rFonts w:ascii="Calibri" w:hAnsi="Calibri" w:cs="Calibri"/>
                  <w:sz w:val="18"/>
                  <w:color w:val="1155CC"/>
                  <w:u w:val="single"/>
                </w:rPr>
                <w:t xml:space="preserve">WHO - Smokeless Tobacco and Public Health in India</w:t>
              </w:r>
            </w:hyperlink>
          </w:p>
          <w:p>
            <w:pPr>
              <w:spacing w:before="60" w:after="40"/>
            </w:pPr>
            <w:r>
              <w:rPr>
                <w:rFonts w:ascii="Calibri" w:hAnsi="Calibri"/>
                <w:b w:val="0"/>
                <w:i w:val="0"/>
                <w:color w:val="5A5A5A"/>
                <w:sz w:val="18"/>
              </w:rPr>
              <w:t>#northeastindia  #regional  #rural  #culturaluse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Rural populations</w:t>
            </w:r>
          </w:p>
        </w:tc>
        <w:tc>
          <w:tcPr>
            <w:tcW w:type="dxa" w:w="4276"/>
            <w:vAlign w:val="top"/>
          </w:tcPr>
          <w:p>
            <w:pPr>
              <w:spacing w:after="60" w:line="259" w:lineRule="auto"/>
            </w:pPr>
            <w:r>
              <w:rPr>
                <w:rFonts w:ascii="Calibri" w:hAnsi="Calibri"/>
                <w:b w:val="0"/>
                <w:i w:val="0"/>
                <w:color w:val="212121"/>
                <w:sz w:val="19"/>
              </w:rPr>
              <w:t>Rural areas have higher SLT prevalence than urban areas due to greater cultural acceptance, agrarian/manual work patterns and weaker enforcement of sales bans.</w:t>
            </w:r>
          </w:p>
          <w:p>
            <w:pPr>
              <w:spacing w:after="40" w:before="60" w:line="259" w:lineRule="auto"/>
            </w:pPr>
            <w:r>
              <w:rPr>
                <w:rFonts w:ascii="Calibri" w:hAnsi="Calibri"/>
                <w:b w:val="0"/>
                <w:i w:val="0"/>
                <w:color w:val="212121"/>
                <w:sz w:val="19"/>
              </w:rPr>
              <w:t>Smokeless tobacco is the predominant tobacco form nationally, and its use is consistently higher in rural than urban India across national surveys.</w:t>
            </w:r>
          </w:p>
          <w:p>
            <w:pPr>
              <w:spacing w:after="40" w:line="252" w:lineRule="auto"/>
            </w:pPr>
            <w:hyperlink r:id="rId11">
              <w:r>
                <w:rPr>
                  <w:rFonts w:ascii="Calibri" w:hAnsi="Calibri" w:cs="Calibri"/>
                  <w:sz w:val="18"/>
                  <w:color w:val="1155CC"/>
                  <w:u w:val="single"/>
                </w:rPr>
                <w:t xml:space="preserve">GATS-2 India 2016-17 Country Report (mohfw)</w:t>
              </w:r>
            </w:hyperlink>
          </w:p>
          <w:p>
            <w:pPr>
              <w:spacing w:before="60" w:after="40"/>
            </w:pPr>
            <w:r>
              <w:rPr>
                <w:rFonts w:ascii="Calibri" w:hAnsi="Calibri"/>
                <w:b w:val="0"/>
                <w:i w:val="0"/>
                <w:color w:val="5A5A5A"/>
                <w:sz w:val="18"/>
              </w:rPr>
              <w:t>#rural  #access  #enforcement  #agrarian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Dual tobacco use</w:t>
            </w:r>
          </w:p>
        </w:tc>
        <w:tc>
          <w:tcPr>
            <w:tcW w:type="dxa" w:w="2160"/>
            <w:vAlign w:val="top"/>
          </w:tcPr>
          <w:p>
            <w:pPr>
              <w:spacing w:after="40" w:before="0" w:line="259" w:lineRule="auto"/>
            </w:pPr>
            <w:r>
              <w:rPr>
                <w:rFonts w:ascii="Calibri" w:hAnsi="Calibri"/>
                <w:b w:val="0"/>
                <w:i w:val="0"/>
                <w:color w:val="212121"/>
                <w:sz w:val="19"/>
              </w:rPr>
              <w:t>Chewers who also smoke bidi/cigarettes</w:t>
            </w:r>
          </w:p>
        </w:tc>
        <w:tc>
          <w:tcPr>
            <w:tcW w:type="dxa" w:w="4276"/>
            <w:vAlign w:val="top"/>
          </w:tcPr>
          <w:p>
            <w:pPr>
              <w:spacing w:after="60" w:line="259" w:lineRule="auto"/>
            </w:pPr>
            <w:r>
              <w:rPr>
                <w:rFonts w:ascii="Calibri" w:hAnsi="Calibri"/>
                <w:b w:val="0"/>
                <w:i w:val="0"/>
                <w:color w:val="212121"/>
                <w:sz w:val="19"/>
              </w:rPr>
              <w:t>Combining smokeless tobacco with smoking greatly multiplies exposure to nicotine and carcinogens, sharply raising oral, oesophageal and cardiovascular disease risk.</w:t>
            </w:r>
          </w:p>
          <w:p>
            <w:pPr>
              <w:spacing w:after="40" w:before="60" w:line="259" w:lineRule="auto"/>
            </w:pPr>
            <w:r>
              <w:rPr>
                <w:rFonts w:ascii="Calibri" w:hAnsi="Calibri"/>
                <w:b w:val="0"/>
                <w:i w:val="0"/>
                <w:color w:val="212121"/>
                <w:sz w:val="19"/>
              </w:rPr>
              <w:t>About 5.3% of Indian adults are dual tobacco users (~42 million); dual users face roughly 2-12 times higher oral-cancer risk than single-product users.</w:t>
            </w:r>
          </w:p>
          <w:p>
            <w:pPr>
              <w:spacing w:after="40" w:line="252" w:lineRule="auto"/>
            </w:pPr>
            <w:hyperlink r:id="rId10">
              <w:r>
                <w:rPr>
                  <w:rFonts w:ascii="Calibri" w:hAnsi="Calibri" w:cs="Calibri"/>
                  <w:sz w:val="18"/>
                  <w:color w:val="1155CC"/>
                  <w:u w:val="single"/>
                </w:rPr>
                <w:t xml:space="preserve">WHO - Smokeless Tobacco and Public Health in India</w:t>
              </w:r>
            </w:hyperlink>
          </w:p>
          <w:p>
            <w:pPr>
              <w:spacing w:before="60" w:after="40"/>
            </w:pPr>
            <w:r>
              <w:rPr>
                <w:rFonts w:ascii="Calibri" w:hAnsi="Calibri"/>
                <w:b w:val="0"/>
                <w:i w:val="0"/>
                <w:color w:val="5A5A5A"/>
                <w:sz w:val="18"/>
              </w:rPr>
              <w:t>#dualuse  #smoking  #multiplicativerisk  #oralcancer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Concurrent alcohol users</w:t>
            </w:r>
          </w:p>
        </w:tc>
        <w:tc>
          <w:tcPr>
            <w:tcW w:type="dxa" w:w="4276"/>
            <w:vAlign w:val="top"/>
          </w:tcPr>
          <w:p>
            <w:pPr>
              <w:spacing w:after="60" w:line="259" w:lineRule="auto"/>
            </w:pPr>
            <w:r>
              <w:rPr>
                <w:rFonts w:ascii="Calibri" w:hAnsi="Calibri"/>
                <w:b w:val="0"/>
                <w:i w:val="0"/>
                <w:color w:val="212121"/>
                <w:sz w:val="19"/>
              </w:rPr>
              <w:t>Alcohol acts synergistically with tobacco carcinogens, increasing mucosal permeability and dramatically raising the risk of oral, pharyngeal and oesophageal cancers.</w:t>
            </w:r>
          </w:p>
          <w:p>
            <w:pPr>
              <w:spacing w:after="40" w:before="60" w:line="259" w:lineRule="auto"/>
            </w:pPr>
            <w:r>
              <w:rPr>
                <w:rFonts w:ascii="Calibri" w:hAnsi="Calibri"/>
                <w:b w:val="0"/>
                <w:i w:val="0"/>
                <w:color w:val="212121"/>
                <w:sz w:val="19"/>
              </w:rPr>
              <w:t>Smokeless tobacco alone confers odds ratios of ~3-22 for oral cavity, 2-4 for pharyngeal and 2-7 for oesophageal cancer; concurrent alcohol compounds this risk.</w:t>
            </w:r>
          </w:p>
          <w:p>
            <w:pPr>
              <w:spacing w:after="40" w:line="252" w:lineRule="auto"/>
            </w:pPr>
            <w:hyperlink r:id="rId10">
              <w:r>
                <w:rPr>
                  <w:rFonts w:ascii="Calibri" w:hAnsi="Calibri" w:cs="Calibri"/>
                  <w:sz w:val="18"/>
                  <w:color w:val="1155CC"/>
                  <w:u w:val="single"/>
                </w:rPr>
                <w:t xml:space="preserve">WHO - Smokeless Tobacco and Public Health in India</w:t>
              </w:r>
            </w:hyperlink>
          </w:p>
          <w:p>
            <w:pPr>
              <w:spacing w:before="60" w:after="40"/>
            </w:pPr>
            <w:r>
              <w:rPr>
                <w:rFonts w:ascii="Calibri" w:hAnsi="Calibri"/>
                <w:b w:val="0"/>
                <w:i w:val="0"/>
                <w:color w:val="5A5A5A"/>
                <w:sz w:val="18"/>
              </w:rPr>
              <w:t>#alcohol  #synergy  #oesophagealcancer  #carcinogen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Manual labourers, drivers, construction &amp; farm workers</w:t>
            </w:r>
          </w:p>
        </w:tc>
        <w:tc>
          <w:tcPr>
            <w:tcW w:type="dxa" w:w="4276"/>
            <w:vAlign w:val="top"/>
          </w:tcPr>
          <w:p>
            <w:pPr>
              <w:spacing w:after="60" w:line="259" w:lineRule="auto"/>
            </w:pPr>
            <w:r>
              <w:rPr>
                <w:rFonts w:ascii="Calibri" w:hAnsi="Calibri"/>
                <w:b w:val="0"/>
                <w:i w:val="0"/>
                <w:color w:val="212121"/>
                <w:sz w:val="19"/>
              </w:rPr>
              <w:t>Long hours, fatigue and stress lead many manual and transport workers to use khaini/gutka as a cheap stimulant, entrenching heavy daily dependence.</w:t>
            </w:r>
          </w:p>
          <w:p>
            <w:pPr>
              <w:spacing w:after="40" w:before="60" w:line="259" w:lineRule="auto"/>
            </w:pPr>
            <w:r>
              <w:rPr>
                <w:rFonts w:ascii="Calibri" w:hAnsi="Calibri"/>
                <w:b w:val="0"/>
                <w:i w:val="0"/>
                <w:color w:val="212121"/>
                <w:sz w:val="19"/>
              </w:rPr>
              <w:t>Occupational studies in India consistently report high smokeless tobacco prevalence among labourers, drivers and agricultural workers, used to combat fatigue and stress.</w:t>
            </w:r>
          </w:p>
          <w:p>
            <w:pPr>
              <w:spacing w:after="40" w:line="252" w:lineRule="auto"/>
            </w:pPr>
            <w:hyperlink r:id="rId11">
              <w:r>
                <w:rPr>
                  <w:rFonts w:ascii="Calibri" w:hAnsi="Calibri" w:cs="Calibri"/>
                  <w:sz w:val="18"/>
                  <w:color w:val="1155CC"/>
                  <w:u w:val="single"/>
                </w:rPr>
                <w:t xml:space="preserve">GATS-2 India 2016-17 Country Report (mohfw)</w:t>
              </w:r>
            </w:hyperlink>
          </w:p>
          <w:p>
            <w:pPr>
              <w:spacing w:before="60" w:after="40"/>
            </w:pPr>
            <w:r>
              <w:rPr>
                <w:rFonts w:ascii="Calibri" w:hAnsi="Calibri"/>
                <w:b w:val="0"/>
                <w:i w:val="0"/>
                <w:color w:val="5A5A5A"/>
                <w:sz w:val="18"/>
              </w:rPr>
              <w:t>#occupation  #labourers  #drivers  #fatigue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Areca nut / betel-quid (paan) chewing communities</w:t>
            </w:r>
          </w:p>
        </w:tc>
        <w:tc>
          <w:tcPr>
            <w:tcW w:type="dxa" w:w="4276"/>
            <w:vAlign w:val="top"/>
          </w:tcPr>
          <w:p>
            <w:pPr>
              <w:spacing w:after="60" w:line="259" w:lineRule="auto"/>
            </w:pPr>
            <w:r>
              <w:rPr>
                <w:rFonts w:ascii="Calibri" w:hAnsi="Calibri"/>
                <w:b w:val="0"/>
                <w:i w:val="0"/>
                <w:color w:val="212121"/>
                <w:sz w:val="19"/>
              </w:rPr>
              <w:t>Areca nut (supari) in gutka, mawa and paan is itself a Group-1 carcinogen and the prime cause of oral submucous fibrosis; adding tobacco compounds mucosal damage and malignant potential.</w:t>
            </w:r>
          </w:p>
          <w:p>
            <w:pPr>
              <w:spacing w:after="40" w:before="60" w:line="259" w:lineRule="auto"/>
            </w:pPr>
            <w:r>
              <w:rPr>
                <w:rFonts w:ascii="Calibri" w:hAnsi="Calibri"/>
                <w:b w:val="0"/>
                <w:i w:val="0"/>
                <w:color w:val="212121"/>
                <w:sz w:val="19"/>
              </w:rPr>
              <w:t>Oral submucous fibrosis - an irreversible, precancerous stiffening of the oral mucosa - is strongly linked to areca-nut/gutka chewing and is rising among Indian youth.</w:t>
            </w:r>
          </w:p>
          <w:p>
            <w:pPr>
              <w:spacing w:after="40" w:line="252" w:lineRule="auto"/>
            </w:pPr>
            <w:hyperlink r:id="rId12">
              <w:r>
                <w:rPr>
                  <w:rFonts w:ascii="Calibri" w:hAnsi="Calibri" w:cs="Calibri"/>
                  <w:sz w:val="18"/>
                  <w:color w:val="1155CC"/>
                  <w:u w:val="single"/>
                </w:rPr>
                <w:t xml:space="preserve">PMC - OSMF &amp; areca nut use among Indians</w:t>
              </w:r>
            </w:hyperlink>
          </w:p>
          <w:p>
            <w:pPr>
              <w:spacing w:before="60" w:after="40"/>
            </w:pPr>
            <w:r>
              <w:rPr>
                <w:rFonts w:ascii="Calibri" w:hAnsi="Calibri"/>
                <w:b w:val="0"/>
                <w:i w:val="0"/>
                <w:color w:val="5A5A5A"/>
                <w:sz w:val="18"/>
              </w:rPr>
              <w:t>#arecanut  #betelquid  #OSMF  #supari</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Genetic susceptibility</w:t>
            </w:r>
          </w:p>
        </w:tc>
        <w:tc>
          <w:tcPr>
            <w:tcW w:type="dxa" w:w="2160"/>
            <w:vAlign w:val="top"/>
          </w:tcPr>
          <w:p>
            <w:pPr>
              <w:spacing w:after="40" w:before="0" w:line="259" w:lineRule="auto"/>
            </w:pPr>
            <w:r>
              <w:rPr>
                <w:rFonts w:ascii="Calibri" w:hAnsi="Calibri"/>
                <w:b w:val="0"/>
                <w:i w:val="0"/>
                <w:color w:val="212121"/>
                <w:sz w:val="19"/>
              </w:rPr>
              <w:t>Carriers of carcinogen-metabolising gene variants / family history</w:t>
            </w:r>
          </w:p>
        </w:tc>
        <w:tc>
          <w:tcPr>
            <w:tcW w:type="dxa" w:w="4276"/>
            <w:vAlign w:val="top"/>
          </w:tcPr>
          <w:p>
            <w:pPr>
              <w:spacing w:after="60" w:line="259" w:lineRule="auto"/>
            </w:pPr>
            <w:r>
              <w:rPr>
                <w:rFonts w:ascii="Calibri" w:hAnsi="Calibri"/>
                <w:b w:val="0"/>
                <w:i w:val="0"/>
                <w:color w:val="212121"/>
                <w:sz w:val="19"/>
              </w:rPr>
              <w:t>Polymorphisms in carcinogen-activating and detoxifying genes (e.g., CYP, GSTM1/T1 null) and DNA-repair genes modulate how efficiently nitrosamines are handled, so some chewers develop oral cancer at lower exposures. Familial use also clusters risk behaviour.</w:t>
            </w:r>
          </w:p>
          <w:p>
            <w:pPr>
              <w:spacing w:after="40" w:before="60" w:line="259" w:lineRule="auto"/>
            </w:pPr>
            <w:r>
              <w:rPr>
                <w:rFonts w:ascii="Calibri" w:hAnsi="Calibri"/>
                <w:b w:val="0"/>
                <w:i w:val="0"/>
                <w:color w:val="212121"/>
                <w:sz w:val="19"/>
              </w:rPr>
              <w:t>Genetic variation in xenobiotic-metabolising and DNA-repair genes is an established modifier of tobacco-related oral carcinogenesis risk in Indian populations.</w:t>
            </w:r>
          </w:p>
          <w:p>
            <w:pPr>
              <w:spacing w:after="40" w:line="252" w:lineRule="auto"/>
            </w:pPr>
            <w:hyperlink r:id="rId13">
              <w:r>
                <w:rPr>
                  <w:rFonts w:ascii="Calibri" w:hAnsi="Calibri" w:cs="Calibri"/>
                  <w:sz w:val="18"/>
                  <w:color w:val="1155CC"/>
                  <w:u w:val="single"/>
                </w:rPr>
                <w:t xml:space="preserve">JCO Global Oncology - tobacco &amp; cancer incidence in India</w:t>
              </w:r>
            </w:hyperlink>
          </w:p>
          <w:p>
            <w:pPr>
              <w:spacing w:before="60" w:after="40"/>
            </w:pPr>
            <w:r>
              <w:rPr>
                <w:rFonts w:ascii="Calibri" w:hAnsi="Calibri"/>
                <w:b w:val="0"/>
                <w:i w:val="0"/>
                <w:color w:val="5A5A5A"/>
                <w:sz w:val="18"/>
              </w:rPr>
              <w:t>#genetics  #GSTM1  #susceptibility  #familyhistory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Oral potentially malignant disorders</w:t>
            </w:r>
          </w:p>
        </w:tc>
        <w:tc>
          <w:tcPr>
            <w:tcW w:type="dxa" w:w="2160"/>
            <w:vAlign w:val="top"/>
          </w:tcPr>
          <w:p>
            <w:pPr>
              <w:spacing w:after="40" w:before="0" w:line="259" w:lineRule="auto"/>
            </w:pPr>
            <w:r>
              <w:rPr>
                <w:rFonts w:ascii="Calibri" w:hAnsi="Calibri"/>
                <w:b w:val="0"/>
                <w:i w:val="0"/>
                <w:color w:val="212121"/>
                <w:sz w:val="19"/>
              </w:rPr>
              <w:t>Chewers with leukoplakia / OSMF</w:t>
            </w:r>
          </w:p>
        </w:tc>
        <w:tc>
          <w:tcPr>
            <w:tcW w:type="dxa" w:w="4276"/>
            <w:vAlign w:val="top"/>
          </w:tcPr>
          <w:p>
            <w:pPr>
              <w:spacing w:after="60" w:line="259" w:lineRule="auto"/>
            </w:pPr>
            <w:r>
              <w:rPr>
                <w:rFonts w:ascii="Calibri" w:hAnsi="Calibri"/>
                <w:b w:val="0"/>
                <w:i w:val="0"/>
                <w:color w:val="212121"/>
                <w:sz w:val="19"/>
              </w:rPr>
              <w:t>Chronic mucosal contact with tobacco/areca products produces leukoplakia, erythroplakia and OSMF; these lesions carry a substantial risk of transforming into oral squamous cell carcinoma.</w:t>
            </w:r>
          </w:p>
          <w:p>
            <w:pPr>
              <w:spacing w:after="40" w:before="60" w:line="259" w:lineRule="auto"/>
            </w:pPr>
            <w:r>
              <w:rPr>
                <w:rFonts w:ascii="Calibri" w:hAnsi="Calibri"/>
                <w:b w:val="0"/>
                <w:i w:val="0"/>
                <w:color w:val="212121"/>
                <w:sz w:val="19"/>
              </w:rPr>
              <w:t>Oral cancer accounts for 30-40% of all cancers in India, with smokeless tobacco/areca-nut chewing the leading cause; precancerous lesions markedly raise transformation risk.</w:t>
            </w:r>
          </w:p>
          <w:p>
            <w:pPr>
              <w:spacing w:after="40" w:line="252" w:lineRule="auto"/>
            </w:pPr>
            <w:hyperlink r:id="rId14">
              <w:r>
                <w:rPr>
                  <w:rFonts w:ascii="Calibri" w:hAnsi="Calibri" w:cs="Calibri"/>
                  <w:sz w:val="18"/>
                  <w:color w:val="1155CC"/>
                  <w:u w:val="single"/>
                </w:rPr>
                <w:t xml:space="preserve">PubMed - SLT (paan/gutkha) &amp; oral cancer</w:t>
              </w:r>
            </w:hyperlink>
          </w:p>
          <w:p>
            <w:pPr>
              <w:spacing w:before="60" w:after="40"/>
            </w:pPr>
            <w:r>
              <w:rPr>
                <w:rFonts w:ascii="Calibri" w:hAnsi="Calibri"/>
                <w:b w:val="0"/>
                <w:i w:val="0"/>
                <w:color w:val="5A5A5A"/>
                <w:sz w:val="18"/>
              </w:rPr>
              <w:t>#leukoplakia  #OSMF  #premalignant  #oralcancer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Oral &amp; oropharyngeal cancer</w:t>
            </w:r>
          </w:p>
        </w:tc>
        <w:tc>
          <w:tcPr>
            <w:tcW w:type="dxa" w:w="2160"/>
            <w:vAlign w:val="top"/>
          </w:tcPr>
          <w:p>
            <w:pPr>
              <w:spacing w:after="40" w:before="0" w:line="259" w:lineRule="auto"/>
            </w:pPr>
            <w:r>
              <w:rPr>
                <w:rFonts w:ascii="Calibri" w:hAnsi="Calibri"/>
                <w:b w:val="0"/>
                <w:i w:val="0"/>
                <w:color w:val="212121"/>
                <w:sz w:val="19"/>
              </w:rPr>
              <w:t>Long-term heavy chewers</w:t>
            </w:r>
          </w:p>
        </w:tc>
        <w:tc>
          <w:tcPr>
            <w:tcW w:type="dxa" w:w="4276"/>
            <w:vAlign w:val="top"/>
          </w:tcPr>
          <w:p>
            <w:pPr>
              <w:spacing w:after="60" w:line="259" w:lineRule="auto"/>
            </w:pPr>
            <w:r>
              <w:rPr>
                <w:rFonts w:ascii="Calibri" w:hAnsi="Calibri"/>
                <w:b w:val="0"/>
                <w:i w:val="0"/>
                <w:color w:val="212121"/>
                <w:sz w:val="19"/>
              </w:rPr>
              <w:t>Tobacco-specific nitrosamines cause DNA damage at the site of quid placement, driving squamous cell carcinoma of the buccal mucosa, gingiva, tongue and oropharynx.</w:t>
            </w:r>
          </w:p>
          <w:p>
            <w:pPr>
              <w:spacing w:after="40" w:before="60" w:line="259" w:lineRule="auto"/>
            </w:pPr>
            <w:r>
              <w:rPr>
                <w:rFonts w:ascii="Calibri" w:hAnsi="Calibri"/>
                <w:b w:val="0"/>
                <w:i w:val="0"/>
                <w:color w:val="212121"/>
                <w:sz w:val="19"/>
              </w:rPr>
              <w:t>More than half of India's oral cancers are attributable to smokeless tobacco; India carries the world's highest oral cancer burden.</w:t>
            </w:r>
          </w:p>
          <w:p>
            <w:pPr>
              <w:spacing w:after="40" w:line="252" w:lineRule="auto"/>
            </w:pPr>
            <w:hyperlink r:id="rId15">
              <w:r>
                <w:rPr>
                  <w:rFonts w:ascii="Calibri" w:hAnsi="Calibri" w:cs="Calibri"/>
                  <w:sz w:val="18"/>
                  <w:color w:val="1155CC"/>
                  <w:u w:val="single"/>
                </w:rPr>
                <w:t xml:space="preserve">NEJM - Smokeless Tobacco and Oral Cancer in Global Perspective</w:t>
              </w:r>
            </w:hyperlink>
          </w:p>
          <w:p>
            <w:pPr>
              <w:spacing w:before="60" w:after="40"/>
            </w:pPr>
            <w:r>
              <w:rPr>
                <w:rFonts w:ascii="Calibri" w:hAnsi="Calibri"/>
                <w:b w:val="0"/>
                <w:i w:val="0"/>
                <w:color w:val="5A5A5A"/>
                <w:sz w:val="18"/>
              </w:rPr>
              <w:t>#oralcancer  #nitrosamines  #buccalmucosa  #SCC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Cardiovascular disease</w:t>
            </w:r>
          </w:p>
        </w:tc>
        <w:tc>
          <w:tcPr>
            <w:tcW w:type="dxa" w:w="2160"/>
            <w:vAlign w:val="top"/>
          </w:tcPr>
          <w:p>
            <w:pPr>
              <w:spacing w:after="40" w:before="0" w:line="259" w:lineRule="auto"/>
            </w:pPr>
            <w:r>
              <w:rPr>
                <w:rFonts w:ascii="Calibri" w:hAnsi="Calibri"/>
                <w:b w:val="0"/>
                <w:i w:val="0"/>
                <w:color w:val="212121"/>
                <w:sz w:val="19"/>
              </w:rPr>
              <w:t>Users with hypertension / heart disease</w:t>
            </w:r>
          </w:p>
        </w:tc>
        <w:tc>
          <w:tcPr>
            <w:tcW w:type="dxa" w:w="4276"/>
            <w:vAlign w:val="top"/>
          </w:tcPr>
          <w:p>
            <w:pPr>
              <w:spacing w:after="60" w:line="259" w:lineRule="auto"/>
            </w:pPr>
            <w:r>
              <w:rPr>
                <w:rFonts w:ascii="Calibri" w:hAnsi="Calibri"/>
                <w:b w:val="0"/>
                <w:i w:val="0"/>
                <w:color w:val="212121"/>
                <w:sz w:val="19"/>
              </w:rPr>
              <w:t>Nicotine raises blood pressure and heart rate and promotes endothelial dysfunction and thrombosis, increasing risk of myocardial infarction and stroke even without smoking.</w:t>
            </w:r>
          </w:p>
          <w:p>
            <w:pPr>
              <w:spacing w:after="40" w:before="60" w:line="259" w:lineRule="auto"/>
            </w:pPr>
            <w:r>
              <w:rPr>
                <w:rFonts w:ascii="Calibri" w:hAnsi="Calibri"/>
                <w:b w:val="0"/>
                <w:i w:val="0"/>
                <w:color w:val="212121"/>
                <w:sz w:val="19"/>
              </w:rPr>
              <w:t>WHO estimates smokeless tobacco raises heart-attack risk by roughly 30-220% and stroke risk by about 40-70%.</w:t>
            </w:r>
          </w:p>
          <w:p>
            <w:pPr>
              <w:spacing w:after="40" w:line="252" w:lineRule="auto"/>
            </w:pPr>
            <w:hyperlink r:id="rId10">
              <w:r>
                <w:rPr>
                  <w:rFonts w:ascii="Calibri" w:hAnsi="Calibri" w:cs="Calibri"/>
                  <w:sz w:val="18"/>
                  <w:color w:val="1155CC"/>
                  <w:u w:val="single"/>
                </w:rPr>
                <w:t xml:space="preserve">WHO - Smokeless Tobacco and Public Health in India</w:t>
              </w:r>
            </w:hyperlink>
          </w:p>
          <w:p>
            <w:pPr>
              <w:spacing w:before="60" w:after="40"/>
            </w:pPr>
            <w:r>
              <w:rPr>
                <w:rFonts w:ascii="Calibri" w:hAnsi="Calibri"/>
                <w:b w:val="0"/>
                <w:i w:val="0"/>
                <w:color w:val="5A5A5A"/>
                <w:sz w:val="18"/>
              </w:rPr>
              <w:t>#cardiovascular  #myocardialinfarction  #stroke  #nicotine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w:t>
            </w:r>
          </w:p>
        </w:tc>
        <w:tc>
          <w:tcPr>
            <w:tcW w:type="dxa" w:w="2160"/>
            <w:vAlign w:val="top"/>
          </w:tcPr>
          <w:p>
            <w:pPr>
              <w:spacing w:after="40" w:before="0" w:line="259" w:lineRule="auto"/>
            </w:pPr>
            <w:r>
              <w:rPr>
                <w:rFonts w:ascii="Calibri" w:hAnsi="Calibri"/>
                <w:b w:val="0"/>
                <w:i w:val="0"/>
                <w:color w:val="212121"/>
                <w:sz w:val="19"/>
              </w:rPr>
              <w:t>Chewers with metabolic risk</w:t>
            </w:r>
          </w:p>
        </w:tc>
        <w:tc>
          <w:tcPr>
            <w:tcW w:type="dxa" w:w="4276"/>
            <w:vAlign w:val="top"/>
          </w:tcPr>
          <w:p>
            <w:pPr>
              <w:spacing w:after="60" w:line="259" w:lineRule="auto"/>
            </w:pPr>
            <w:r>
              <w:rPr>
                <w:rFonts w:ascii="Calibri" w:hAnsi="Calibri"/>
                <w:b w:val="0"/>
                <w:i w:val="0"/>
                <w:color w:val="212121"/>
                <w:sz w:val="19"/>
              </w:rPr>
              <w:t>Nicotine promotes insulin resistance and beta-cell stress, and smokeless tobacco has been linked to a higher risk of developing type 2 diabetes.</w:t>
            </w:r>
          </w:p>
          <w:p>
            <w:pPr>
              <w:spacing w:after="40" w:before="60" w:line="259" w:lineRule="auto"/>
            </w:pPr>
            <w:r>
              <w:rPr>
                <w:rFonts w:ascii="Calibri" w:hAnsi="Calibri"/>
                <w:b w:val="0"/>
                <w:i w:val="0"/>
                <w:color w:val="212121"/>
                <w:sz w:val="19"/>
              </w:rPr>
              <w:t>An Indian case-control study reported smokeless tobacco users had ~1.77 times higher odds of type 2 diabetes (95% CI 1.03-3.03) than non-users.</w:t>
            </w:r>
          </w:p>
          <w:p>
            <w:pPr>
              <w:spacing w:after="40" w:line="252" w:lineRule="auto"/>
            </w:pPr>
            <w:hyperlink r:id="rId16">
              <w:r>
                <w:rPr>
                  <w:rFonts w:ascii="Calibri" w:hAnsi="Calibri" w:cs="Calibri"/>
                  <w:sz w:val="18"/>
                  <w:color w:val="1155CC"/>
                  <w:u w:val="single"/>
                </w:rPr>
                <w:t xml:space="preserve">APJCP - SLT use &amp; type 2 diabetes (India, case-control)</w:t>
              </w:r>
            </w:hyperlink>
          </w:p>
          <w:p>
            <w:pPr>
              <w:spacing w:before="60" w:after="40"/>
            </w:pPr>
            <w:r>
              <w:rPr>
                <w:rFonts w:ascii="Calibri" w:hAnsi="Calibri"/>
                <w:b w:val="0"/>
                <w:i w:val="0"/>
                <w:color w:val="5A5A5A"/>
                <w:sz w:val="18"/>
              </w:rPr>
              <w:t>#type2diabetes  #insulinresistance  #nicotine  #metabolic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Adverse pregnancy outcomes</w:t>
            </w:r>
          </w:p>
        </w:tc>
        <w:tc>
          <w:tcPr>
            <w:tcW w:type="dxa" w:w="2160"/>
            <w:vAlign w:val="top"/>
          </w:tcPr>
          <w:p>
            <w:pPr>
              <w:spacing w:after="40" w:before="0" w:line="259" w:lineRule="auto"/>
            </w:pPr>
            <w:r>
              <w:rPr>
                <w:rFonts w:ascii="Calibri" w:hAnsi="Calibri"/>
                <w:b w:val="0"/>
                <w:i w:val="0"/>
                <w:color w:val="212121"/>
                <w:sz w:val="19"/>
              </w:rPr>
              <w:t>Pregnant women using SLT</w:t>
            </w:r>
          </w:p>
        </w:tc>
        <w:tc>
          <w:tcPr>
            <w:tcW w:type="dxa" w:w="4276"/>
            <w:vAlign w:val="top"/>
          </w:tcPr>
          <w:p>
            <w:pPr>
              <w:spacing w:after="60" w:line="259" w:lineRule="auto"/>
            </w:pPr>
            <w:r>
              <w:rPr>
                <w:rFonts w:ascii="Calibri" w:hAnsi="Calibri"/>
                <w:b w:val="0"/>
                <w:i w:val="0"/>
                <w:color w:val="212121"/>
                <w:sz w:val="19"/>
              </w:rPr>
              <w:t>Nicotine and toxicants cross the placenta, causing vasoconstriction and hypoxia that impair fetal growth and raise the risk of stillbirth, prematurity and low birth weight.</w:t>
            </w:r>
          </w:p>
          <w:p>
            <w:pPr>
              <w:spacing w:after="40" w:before="60" w:line="259" w:lineRule="auto"/>
            </w:pPr>
            <w:r>
              <w:rPr>
                <w:rFonts w:ascii="Calibri" w:hAnsi="Calibri"/>
                <w:b w:val="0"/>
                <w:i w:val="0"/>
                <w:color w:val="212121"/>
                <w:sz w:val="19"/>
              </w:rPr>
              <w:t>SLT use in pregnancy is associated with ~70% higher risk of anaemia and 2-3 times higher rates of low birth weight and stillbirth.</w:t>
            </w:r>
          </w:p>
          <w:p>
            <w:pPr>
              <w:spacing w:after="40" w:line="252" w:lineRule="auto"/>
            </w:pPr>
            <w:hyperlink r:id="rId10">
              <w:r>
                <w:rPr>
                  <w:rFonts w:ascii="Calibri" w:hAnsi="Calibri" w:cs="Calibri"/>
                  <w:sz w:val="18"/>
                  <w:color w:val="1155CC"/>
                  <w:u w:val="single"/>
                </w:rPr>
                <w:t xml:space="preserve">WHO - Smokeless Tobacco and Public Health in India</w:t>
              </w:r>
            </w:hyperlink>
          </w:p>
          <w:p>
            <w:pPr>
              <w:spacing w:before="60" w:after="40"/>
            </w:pPr>
            <w:r>
              <w:rPr>
                <w:rFonts w:ascii="Calibri" w:hAnsi="Calibri"/>
                <w:b w:val="0"/>
                <w:i w:val="0"/>
                <w:color w:val="5A5A5A"/>
                <w:sz w:val="18"/>
              </w:rPr>
              <w:t>#pregnancy  #lowbirthweight  #stillbirth  #fetalhypoxia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inactivity does not cause SLT use, but SLT users often cluster other risk behaviours; regular exercise helps manage cravings and supports cessation and cardiovascular recovery.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Areca-nut/betel-quid chewing is closely tied to dietary and hospitality culture; an antioxidant-poor diet plus SLT worsens oral mucosal damage, while fruit/vegetable intake is modestly protective against oral lesions.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Nicotine is a stimulant that fragments sleep, and poor sleep intensifies craving and relapse during withdrawal; the direct causal link to SLT use is weak.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Dual use (chewing plus bidi/cigarette) is common (~5.3% of adults) and multiplies carcinogen and nicotine exposure, raising oral and cardiovascular disease risk 2-12 fold over single use.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acts synergistically with tobacco carcinogens, increasing mucosal permeability and sharply raising oral, pharyngeal and oesophageal cancer risk in chewers who also drink.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Nicotine dependence is itself a behavioural/mental disorder; stress, anxiety and depression drive initiation, heavy use and relapse, and withdrawal produces irritability and low mood.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relieves the oral dryness that chewing causes, but there is no strong evidence that water intake influences SLT use or its harms.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SLT is often paired with tea/coffee as a habit cue, but caffeine itself has a negligible direct effect on smokeless tobacco use or its complications.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oral hygiene compounds periodontal disease, staining and delayed lesion detection in chewers; good hygiene and regular oral self-exam aid early detection of premalignant change.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Peer/family use, ready availability of cheap sachets, cultural rituals, work fatigue and stress are strong triggers for initiation, daily use and relapse after quitting.</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Nicotine dependence (FTND-ST score)</w:t>
            </w:r>
          </w:p>
        </w:tc>
        <w:tc>
          <w:tcPr>
            <w:tcW w:type="dxa" w:w="1655"/>
            <w:vAlign w:val="top"/>
          </w:tcPr>
          <w:p>
            <w:pPr>
              <w:spacing w:after="40" w:before="0" w:line="259" w:lineRule="auto"/>
            </w:pPr>
            <w:r>
              <w:rPr>
                <w:rFonts w:ascii="Calibri" w:hAnsi="Calibri"/>
                <w:b w:val="0"/>
                <w:i w:val="0"/>
                <w:color w:val="212121"/>
                <w:sz w:val="19"/>
              </w:rPr>
              <w:t>All SLT users</w:t>
            </w:r>
          </w:p>
        </w:tc>
        <w:tc>
          <w:tcPr>
            <w:tcW w:type="dxa" w:w="1512"/>
            <w:vAlign w:val="top"/>
          </w:tcPr>
          <w:p>
            <w:pPr>
              <w:spacing w:after="40" w:before="0" w:line="259" w:lineRule="auto"/>
            </w:pPr>
            <w:r>
              <w:rPr>
                <w:rFonts w:ascii="Calibri" w:hAnsi="Calibri"/>
                <w:b w:val="0"/>
                <w:i w:val="0"/>
                <w:color w:val="212121"/>
                <w:sz w:val="19"/>
              </w:rPr>
              <w:t>0 (non-user)</w:t>
            </w:r>
          </w:p>
        </w:tc>
        <w:tc>
          <w:tcPr>
            <w:tcW w:type="dxa" w:w="1512"/>
            <w:vAlign w:val="top"/>
          </w:tcPr>
          <w:p>
            <w:pPr>
              <w:spacing w:after="40" w:before="0" w:line="259" w:lineRule="auto"/>
            </w:pPr>
            <w:r>
              <w:rPr>
                <w:rFonts w:ascii="Calibri" w:hAnsi="Calibri"/>
                <w:b w:val="0"/>
                <w:i w:val="0"/>
                <w:color w:val="212121"/>
                <w:sz w:val="19"/>
              </w:rPr>
              <w:t>4-6 moderate; 7-10 high dependence</w:t>
            </w:r>
          </w:p>
        </w:tc>
        <w:tc>
          <w:tcPr>
            <w:tcW w:type="dxa" w:w="1468"/>
            <w:vAlign w:val="top"/>
          </w:tcPr>
          <w:p>
            <w:pPr>
              <w:spacing w:after="60" w:line="259" w:lineRule="auto"/>
            </w:pPr>
            <w:r>
              <w:rPr>
                <w:rFonts w:ascii="Calibri" w:hAnsi="Calibri"/>
                <w:b w:val="0"/>
                <w:i w:val="0"/>
                <w:color w:val="212121"/>
                <w:sz w:val="19"/>
              </w:rPr>
              <w:t>Higher score predicts harder cessation and need for pharmacotherapy</w:t>
            </w:r>
          </w:p>
          <w:p>
            <w:pPr>
              <w:spacing w:after="40" w:line="252" w:lineRule="auto"/>
            </w:pPr>
            <w:hyperlink r:id="rId17">
              <w:r>
                <w:rPr>
                  <w:rFonts w:ascii="Calibri" w:hAnsi="Calibri" w:cs="Calibri"/>
                  <w:sz w:val="18"/>
                  <w:color w:val="1155CC"/>
                  <w:u w:val="single"/>
                </w:rPr>
                <w:t xml:space="preserve">https://pmc.ncbi.nlm.nih.gov/articles/PMC10243400/</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Sachets / quids used per day</w:t>
            </w:r>
          </w:p>
        </w:tc>
        <w:tc>
          <w:tcPr>
            <w:tcW w:type="dxa" w:w="1655"/>
            <w:vAlign w:val="top"/>
          </w:tcPr>
          <w:p>
            <w:pPr>
              <w:spacing w:after="40" w:before="0" w:line="259" w:lineRule="auto"/>
            </w:pPr>
            <w:r>
              <w:rPr>
                <w:rFonts w:ascii="Calibri" w:hAnsi="Calibri"/>
                <w:b w:val="0"/>
                <w:i w:val="0"/>
                <w:color w:val="212121"/>
                <w:sz w:val="19"/>
              </w:rPr>
              <w:t>Chewers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&gt;=1 per day (any daily use)</w:t>
            </w:r>
          </w:p>
        </w:tc>
        <w:tc>
          <w:tcPr>
            <w:tcW w:type="dxa" w:w="1468"/>
            <w:vAlign w:val="top"/>
          </w:tcPr>
          <w:p>
            <w:pPr>
              <w:spacing w:after="60" w:line="259" w:lineRule="auto"/>
            </w:pPr>
            <w:r>
              <w:rPr>
                <w:rFonts w:ascii="Calibri" w:hAnsi="Calibri"/>
                <w:b w:val="0"/>
                <w:i w:val="0"/>
                <w:color w:val="212121"/>
                <w:sz w:val="19"/>
              </w:rPr>
              <w:t>Dose-response for oral lesions and cancer; more units = higher risk</w:t>
            </w:r>
          </w:p>
          <w:p>
            <w:pPr>
              <w:spacing w:after="40" w:line="252" w:lineRule="auto"/>
            </w:pPr>
            <w:hyperlink r:id="rId9">
              <w:r>
                <w:rPr>
                  <w:rFonts w:ascii="Calibri" w:hAnsi="Calibri" w:cs="Calibri"/>
                  <w:sz w:val="18"/>
                  <w:color w:val="1155CC"/>
                  <w:u w:val="single"/>
                </w:rPr>
                <w:t xml:space="preserve">https://ntcp.mohfw.gov.in/assets/document/surveys-reports-publications/GATS-2-FactSheet.pdf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Time to first use after waking</w:t>
            </w:r>
          </w:p>
        </w:tc>
        <w:tc>
          <w:tcPr>
            <w:tcW w:type="dxa" w:w="1655"/>
            <w:vAlign w:val="top"/>
          </w:tcPr>
          <w:p>
            <w:pPr>
              <w:spacing w:after="40" w:before="0" w:line="259" w:lineRule="auto"/>
            </w:pPr>
            <w:r>
              <w:rPr>
                <w:rFonts w:ascii="Calibri" w:hAnsi="Calibri"/>
                <w:b w:val="0"/>
                <w:i w:val="0"/>
                <w:color w:val="212121"/>
                <w:sz w:val="19"/>
              </w:rPr>
              <w:t>Dependent users</w:t>
            </w:r>
          </w:p>
        </w:tc>
        <w:tc>
          <w:tcPr>
            <w:tcW w:type="dxa" w:w="1512"/>
            <w:vAlign w:val="top"/>
          </w:tcPr>
          <w:p>
            <w:pPr>
              <w:spacing w:after="40" w:before="0" w:line="259" w:lineRule="auto"/>
            </w:pPr>
            <w:r>
              <w:rPr>
                <w:rFonts w:ascii="Calibri" w:hAnsi="Calibri"/>
                <w:b w:val="0"/>
                <w:i w:val="0"/>
                <w:color w:val="212121"/>
                <w:sz w:val="19"/>
              </w:rPr>
              <w:t>No use</w:t>
            </w:r>
          </w:p>
        </w:tc>
        <w:tc>
          <w:tcPr>
            <w:tcW w:type="dxa" w:w="1512"/>
            <w:vAlign w:val="top"/>
          </w:tcPr>
          <w:p>
            <w:pPr>
              <w:spacing w:after="40" w:before="0" w:line="259" w:lineRule="auto"/>
            </w:pPr>
            <w:r>
              <w:rPr>
                <w:rFonts w:ascii="Calibri" w:hAnsi="Calibri"/>
                <w:b w:val="0"/>
                <w:i w:val="0"/>
                <w:color w:val="212121"/>
                <w:sz w:val="19"/>
              </w:rPr>
              <w:t>&lt;30 minutes after waking</w:t>
            </w:r>
          </w:p>
        </w:tc>
        <w:tc>
          <w:tcPr>
            <w:tcW w:type="dxa" w:w="1468"/>
            <w:vAlign w:val="top"/>
          </w:tcPr>
          <w:p>
            <w:pPr>
              <w:spacing w:after="60" w:line="259" w:lineRule="auto"/>
            </w:pPr>
            <w:r>
              <w:rPr>
                <w:rFonts w:ascii="Calibri" w:hAnsi="Calibri"/>
                <w:b w:val="0"/>
                <w:i w:val="0"/>
                <w:color w:val="212121"/>
                <w:sz w:val="19"/>
              </w:rPr>
              <w:t>Early first use signals high physical dependence</w:t>
            </w:r>
          </w:p>
          <w:p>
            <w:pPr>
              <w:spacing w:after="40" w:line="252" w:lineRule="auto"/>
            </w:pPr>
            <w:hyperlink r:id="rId17">
              <w:r>
                <w:rPr>
                  <w:rFonts w:ascii="Calibri" w:hAnsi="Calibri" w:cs="Calibri"/>
                  <w:sz w:val="18"/>
                  <w:color w:val="1155CC"/>
                  <w:u w:val="single"/>
                </w:rPr>
                <w:t xml:space="preserve">https://pmc.ncbi.nlm.nih.gov/articles/PMC10243400/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Duration of use (years)</w:t>
            </w:r>
          </w:p>
        </w:tc>
        <w:tc>
          <w:tcPr>
            <w:tcW w:type="dxa" w:w="1655"/>
            <w:vAlign w:val="top"/>
          </w:tcPr>
          <w:p>
            <w:pPr>
              <w:spacing w:after="40" w:before="0" w:line="259" w:lineRule="auto"/>
            </w:pPr>
            <w:r>
              <w:rPr>
                <w:rFonts w:ascii="Calibri" w:hAnsi="Calibri"/>
                <w:b w:val="0"/>
                <w:i w:val="0"/>
                <w:color w:val="212121"/>
                <w:sz w:val="19"/>
              </w:rPr>
              <w:t>Long-term chewers</w:t>
            </w:r>
          </w:p>
        </w:tc>
        <w:tc>
          <w:tcPr>
            <w:tcW w:type="dxa" w:w="1512"/>
            <w:vAlign w:val="top"/>
          </w:tcPr>
          <w:p>
            <w:pPr>
              <w:spacing w:after="40" w:before="0" w:line="259" w:lineRule="auto"/>
            </w:pPr>
            <w:r>
              <w:rPr>
                <w:rFonts w:ascii="Calibri" w:hAnsi="Calibri"/>
                <w:b w:val="0"/>
                <w:i w:val="0"/>
                <w:color w:val="212121"/>
                <w:sz w:val="19"/>
              </w:rPr>
              <w:t>0 years</w:t>
            </w:r>
          </w:p>
        </w:tc>
        <w:tc>
          <w:tcPr>
            <w:tcW w:type="dxa" w:w="1512"/>
            <w:vAlign w:val="top"/>
          </w:tcPr>
          <w:p>
            <w:pPr>
              <w:spacing w:after="40" w:before="0" w:line="259" w:lineRule="auto"/>
            </w:pPr>
            <w:r>
              <w:rPr>
                <w:rFonts w:ascii="Calibri" w:hAnsi="Calibri"/>
                <w:b w:val="0"/>
                <w:i w:val="0"/>
                <w:color w:val="212121"/>
                <w:sz w:val="19"/>
              </w:rPr>
              <w:t>&gt;=10 years of daily use</w:t>
            </w:r>
          </w:p>
        </w:tc>
        <w:tc>
          <w:tcPr>
            <w:tcW w:type="dxa" w:w="1468"/>
            <w:vAlign w:val="top"/>
          </w:tcPr>
          <w:p>
            <w:pPr>
              <w:spacing w:after="60" w:line="259" w:lineRule="auto"/>
            </w:pPr>
            <w:r>
              <w:rPr>
                <w:rFonts w:ascii="Calibri" w:hAnsi="Calibri"/>
                <w:b w:val="0"/>
                <w:i w:val="0"/>
                <w:color w:val="212121"/>
                <w:sz w:val="19"/>
              </w:rPr>
              <w:t>Cumulative carcinogen dose drives OSMF and malignant transformation</w:t>
            </w:r>
          </w:p>
          <w:p>
            <w:pPr>
              <w:spacing w:after="40" w:line="252" w:lineRule="auto"/>
            </w:pPr>
            <w:hyperlink r:id="rId10">
              <w:r>
                <w:rPr>
                  <w:rFonts w:ascii="Calibri" w:hAnsi="Calibri" w:cs="Calibri"/>
                  <w:sz w:val="18"/>
                  <w:color w:val="1155CC"/>
                  <w:u w:val="single"/>
                </w:rPr>
                <w:t xml:space="preserve">https://cdn.who.int/media/docs/default-source/searo/india/health-topic-pdf/smokeless-tobacco-and-public-health-in-india.pdf</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Bidis/cigarettes per day (dual use)</w:t>
            </w:r>
          </w:p>
        </w:tc>
        <w:tc>
          <w:tcPr>
            <w:tcW w:type="dxa" w:w="1655"/>
            <w:vAlign w:val="top"/>
          </w:tcPr>
          <w:p>
            <w:pPr>
              <w:spacing w:after="40" w:before="0" w:line="259" w:lineRule="auto"/>
            </w:pPr>
            <w:r>
              <w:rPr>
                <w:rFonts w:ascii="Calibri" w:hAnsi="Calibri"/>
                <w:b w:val="0"/>
                <w:i w:val="0"/>
                <w:color w:val="212121"/>
                <w:sz w:val="19"/>
              </w:rPr>
              <w:t>Dual tobacco users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&gt;=1 per day</w:t>
            </w:r>
          </w:p>
        </w:tc>
        <w:tc>
          <w:tcPr>
            <w:tcW w:type="dxa" w:w="1468"/>
            <w:vAlign w:val="top"/>
          </w:tcPr>
          <w:p>
            <w:pPr>
              <w:spacing w:after="60" w:line="259" w:lineRule="auto"/>
            </w:pPr>
            <w:r>
              <w:rPr>
                <w:rFonts w:ascii="Calibri" w:hAnsi="Calibri"/>
                <w:b w:val="0"/>
                <w:i w:val="0"/>
                <w:color w:val="212121"/>
                <w:sz w:val="19"/>
              </w:rPr>
              <w:t>Concurrent smoking multiplies oral and cardiovascular risk</w:t>
            </w:r>
          </w:p>
          <w:p>
            <w:pPr>
              <w:spacing w:after="40" w:line="252" w:lineRule="auto"/>
            </w:pPr>
            <w:hyperlink r:id="rId10">
              <w:r>
                <w:rPr>
                  <w:rFonts w:ascii="Calibri" w:hAnsi="Calibri" w:cs="Calibri"/>
                  <w:sz w:val="18"/>
                  <w:color w:val="1155CC"/>
                  <w:u w:val="single"/>
                </w:rPr>
                <w:t xml:space="preserve">https://cdn.who.int/media/docs/default-source/searo/india/health-topic-pdf/smokeless-tobacco-and-public-health-in-india.pdf</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drinks per week</w:t>
            </w:r>
          </w:p>
        </w:tc>
        <w:tc>
          <w:tcPr>
            <w:tcW w:type="dxa" w:w="1655"/>
            <w:vAlign w:val="top"/>
          </w:tcPr>
          <w:p>
            <w:pPr>
              <w:spacing w:after="40" w:before="0" w:line="259" w:lineRule="auto"/>
            </w:pPr>
            <w:r>
              <w:rPr>
                <w:rFonts w:ascii="Calibri" w:hAnsi="Calibri"/>
                <w:b w:val="0"/>
                <w:i w:val="0"/>
                <w:color w:val="212121"/>
                <w:sz w:val="19"/>
              </w:rPr>
              <w:t>Chewers who also drink</w:t>
            </w:r>
          </w:p>
        </w:tc>
        <w:tc>
          <w:tcPr>
            <w:tcW w:type="dxa" w:w="1512"/>
            <w:vAlign w:val="top"/>
          </w:tcPr>
          <w:p>
            <w:pPr>
              <w:spacing w:after="40" w:before="0" w:line="259" w:lineRule="auto"/>
            </w:pPr>
            <w:r>
              <w:rPr>
                <w:rFonts w:ascii="Calibri" w:hAnsi="Calibri"/>
                <w:b w:val="0"/>
                <w:i w:val="0"/>
                <w:color w:val="212121"/>
                <w:sz w:val="19"/>
              </w:rPr>
              <w:t>0 (avoid with tobacco)</w:t>
            </w:r>
          </w:p>
        </w:tc>
        <w:tc>
          <w:tcPr>
            <w:tcW w:type="dxa" w:w="1512"/>
            <w:vAlign w:val="top"/>
          </w:tcPr>
          <w:p>
            <w:pPr>
              <w:spacing w:after="40" w:before="0" w:line="259" w:lineRule="auto"/>
            </w:pPr>
            <w:r>
              <w:rPr>
                <w:rFonts w:ascii="Calibri" w:hAnsi="Calibri"/>
                <w:b w:val="0"/>
                <w:i w:val="0"/>
                <w:color w:val="212121"/>
                <w:sz w:val="19"/>
              </w:rPr>
              <w:t>Any regular intake with tobacco</w:t>
            </w:r>
          </w:p>
        </w:tc>
        <w:tc>
          <w:tcPr>
            <w:tcW w:type="dxa" w:w="1468"/>
            <w:vAlign w:val="top"/>
          </w:tcPr>
          <w:p>
            <w:pPr>
              <w:spacing w:after="60" w:line="259" w:lineRule="auto"/>
            </w:pPr>
            <w:r>
              <w:rPr>
                <w:rFonts w:ascii="Calibri" w:hAnsi="Calibri"/>
                <w:b w:val="0"/>
                <w:i w:val="0"/>
                <w:color w:val="212121"/>
                <w:sz w:val="19"/>
              </w:rPr>
              <w:t>Alcohol-tobacco synergy sharply raises aerodigestive cancer risk</w:t>
            </w:r>
          </w:p>
          <w:p>
            <w:pPr>
              <w:spacing w:after="40" w:line="252" w:lineRule="auto"/>
            </w:pPr>
            <w:hyperlink r:id="rId10">
              <w:r>
                <w:rPr>
                  <w:rFonts w:ascii="Calibri" w:hAnsi="Calibri" w:cs="Calibri"/>
                  <w:sz w:val="18"/>
                  <w:color w:val="1155CC"/>
                  <w:u w:val="single"/>
                </w:rPr>
                <w:t xml:space="preserve">https://cdn.who.int/media/docs/default-source/searo/india/health-topic-pdf/smokeless-tobacco-and-public-health-in-india.pdf</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Maximal mouth opening (inter-incisal distance)</w:t>
            </w:r>
          </w:p>
        </w:tc>
        <w:tc>
          <w:tcPr>
            <w:tcW w:type="dxa" w:w="1655"/>
            <w:vAlign w:val="top"/>
          </w:tcPr>
          <w:p>
            <w:pPr>
              <w:spacing w:after="40" w:before="0" w:line="259" w:lineRule="auto"/>
            </w:pPr>
            <w:r>
              <w:rPr>
                <w:rFonts w:ascii="Calibri" w:hAnsi="Calibri"/>
                <w:b w:val="0"/>
                <w:i w:val="0"/>
                <w:color w:val="212121"/>
                <w:sz w:val="19"/>
              </w:rPr>
              <w:t>Areca-nut/gutka chewers</w:t>
            </w:r>
          </w:p>
        </w:tc>
        <w:tc>
          <w:tcPr>
            <w:tcW w:type="dxa" w:w="1512"/>
            <w:vAlign w:val="top"/>
          </w:tcPr>
          <w:p>
            <w:pPr>
              <w:spacing w:after="40" w:before="0" w:line="259" w:lineRule="auto"/>
            </w:pPr>
            <w:r>
              <w:rPr>
                <w:rFonts w:ascii="Calibri" w:hAnsi="Calibri"/>
                <w:b w:val="0"/>
                <w:i w:val="0"/>
                <w:color w:val="212121"/>
                <w:sz w:val="19"/>
              </w:rPr>
              <w:t>&gt;=35 mm</w:t>
            </w:r>
          </w:p>
        </w:tc>
        <w:tc>
          <w:tcPr>
            <w:tcW w:type="dxa" w:w="1512"/>
            <w:vAlign w:val="top"/>
          </w:tcPr>
          <w:p>
            <w:pPr>
              <w:spacing w:after="40" w:before="0" w:line="259" w:lineRule="auto"/>
            </w:pPr>
            <w:r>
              <w:rPr>
                <w:rFonts w:ascii="Calibri" w:hAnsi="Calibri"/>
                <w:b w:val="0"/>
                <w:i w:val="0"/>
                <w:color w:val="212121"/>
                <w:sz w:val="19"/>
              </w:rPr>
              <w:t>&lt;35 mm (progressive trismus)</w:t>
            </w:r>
          </w:p>
        </w:tc>
        <w:tc>
          <w:tcPr>
            <w:tcW w:type="dxa" w:w="1468"/>
            <w:vAlign w:val="top"/>
          </w:tcPr>
          <w:p>
            <w:pPr>
              <w:spacing w:after="60" w:line="259" w:lineRule="auto"/>
            </w:pPr>
            <w:r>
              <w:rPr>
                <w:rFonts w:ascii="Calibri" w:hAnsi="Calibri"/>
                <w:b w:val="0"/>
                <w:i w:val="0"/>
                <w:color w:val="212121"/>
                <w:sz w:val="19"/>
              </w:rPr>
              <w:t>Reduced opening indicates oral submucous fibrosis</w:t>
            </w:r>
          </w:p>
          <w:p>
            <w:pPr>
              <w:spacing w:after="40" w:line="252" w:lineRule="auto"/>
            </w:pPr>
            <w:hyperlink r:id="rId12">
              <w:r>
                <w:rPr>
                  <w:rFonts w:ascii="Calibri" w:hAnsi="Calibri" w:cs="Calibri"/>
                  <w:sz w:val="18"/>
                  <w:color w:val="1155CC"/>
                  <w:u w:val="single"/>
                </w:rPr>
                <w:t xml:space="preserve">https://pmc.ncbi.nlm.nih.gov/articles/PMC11414337/</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Areca nut (supari) quids per day</w:t>
            </w:r>
          </w:p>
        </w:tc>
        <w:tc>
          <w:tcPr>
            <w:tcW w:type="dxa" w:w="1655"/>
            <w:vAlign w:val="top"/>
          </w:tcPr>
          <w:p>
            <w:pPr>
              <w:spacing w:after="40" w:before="0" w:line="259" w:lineRule="auto"/>
            </w:pPr>
            <w:r>
              <w:rPr>
                <w:rFonts w:ascii="Calibri" w:hAnsi="Calibri"/>
                <w:b w:val="0"/>
                <w:i w:val="0"/>
                <w:color w:val="212121"/>
                <w:sz w:val="19"/>
              </w:rPr>
              <w:t>Betel-quid / gutka users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&gt;=1 per day</w:t>
            </w:r>
          </w:p>
        </w:tc>
        <w:tc>
          <w:tcPr>
            <w:tcW w:type="dxa" w:w="1468"/>
            <w:vAlign w:val="top"/>
          </w:tcPr>
          <w:p>
            <w:pPr>
              <w:spacing w:after="60" w:line="259" w:lineRule="auto"/>
            </w:pPr>
            <w:r>
              <w:rPr>
                <w:rFonts w:ascii="Calibri" w:hAnsi="Calibri"/>
                <w:b w:val="0"/>
                <w:i w:val="0"/>
                <w:color w:val="212121"/>
                <w:sz w:val="19"/>
              </w:rPr>
              <w:t>Areca nut independently causes OSMF regardless of tobacco</w:t>
            </w:r>
          </w:p>
          <w:p>
            <w:pPr>
              <w:spacing w:after="40" w:line="252" w:lineRule="auto"/>
            </w:pPr>
            <w:hyperlink r:id="rId12">
              <w:r>
                <w:rPr>
                  <w:rFonts w:ascii="Calibri" w:hAnsi="Calibri" w:cs="Calibri"/>
                  <w:sz w:val="18"/>
                  <w:color w:val="1155CC"/>
                  <w:u w:val="single"/>
                </w:rPr>
                <w:t xml:space="preserve">https://pmc.ncbi.nlm.nih.gov/articles/PMC11414337/</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Salivary/urinary cotinine</w:t>
            </w:r>
          </w:p>
        </w:tc>
        <w:tc>
          <w:tcPr>
            <w:tcW w:type="dxa" w:w="1655"/>
            <w:vAlign w:val="top"/>
          </w:tcPr>
          <w:p>
            <w:pPr>
              <w:spacing w:after="40" w:before="0" w:line="259" w:lineRule="auto"/>
            </w:pPr>
            <w:r>
              <w:rPr>
                <w:rFonts w:ascii="Calibri" w:hAnsi="Calibri"/>
                <w:b w:val="0"/>
                <w:i w:val="0"/>
                <w:color w:val="212121"/>
                <w:sz w:val="19"/>
              </w:rPr>
              <w:t>Users / abstinence monitoring</w:t>
            </w:r>
          </w:p>
        </w:tc>
        <w:tc>
          <w:tcPr>
            <w:tcW w:type="dxa" w:w="1512"/>
            <w:vAlign w:val="top"/>
          </w:tcPr>
          <w:p>
            <w:pPr>
              <w:spacing w:after="40" w:before="0" w:line="259" w:lineRule="auto"/>
            </w:pPr>
            <w:r>
              <w:rPr>
                <w:rFonts w:ascii="Calibri" w:hAnsi="Calibri"/>
                <w:b w:val="0"/>
                <w:i w:val="0"/>
                <w:color w:val="212121"/>
                <w:sz w:val="19"/>
              </w:rPr>
              <w:t>Undetectable (non-user)</w:t>
            </w:r>
          </w:p>
        </w:tc>
        <w:tc>
          <w:tcPr>
            <w:tcW w:type="dxa" w:w="1512"/>
            <w:vAlign w:val="top"/>
          </w:tcPr>
          <w:p>
            <w:pPr>
              <w:spacing w:after="40" w:before="0" w:line="259" w:lineRule="auto"/>
            </w:pPr>
            <w:r>
              <w:rPr>
                <w:rFonts w:ascii="Calibri" w:hAnsi="Calibri"/>
                <w:b w:val="0"/>
                <w:i w:val="0"/>
                <w:color w:val="212121"/>
                <w:sz w:val="19"/>
              </w:rPr>
              <w:t>Elevated (recent nicotine exposure)</w:t>
            </w:r>
          </w:p>
        </w:tc>
        <w:tc>
          <w:tcPr>
            <w:tcW w:type="dxa" w:w="1468"/>
            <w:vAlign w:val="top"/>
          </w:tcPr>
          <w:p>
            <w:pPr>
              <w:spacing w:after="60" w:line="259" w:lineRule="auto"/>
            </w:pPr>
            <w:r>
              <w:rPr>
                <w:rFonts w:ascii="Calibri" w:hAnsi="Calibri"/>
                <w:b w:val="0"/>
                <w:i w:val="0"/>
                <w:color w:val="212121"/>
                <w:sz w:val="19"/>
              </w:rPr>
              <w:t>Objective biomarker of tobacco use and abstinence</w:t>
            </w:r>
          </w:p>
          <w:p>
            <w:pPr>
              <w:spacing w:after="40" w:line="252" w:lineRule="auto"/>
            </w:pPr>
            <w:hyperlink r:id="rId18">
              <w:r>
                <w:rPr>
                  <w:rFonts w:ascii="Calibri" w:hAnsi="Calibri" w:cs="Calibri"/>
                  <w:sz w:val="18"/>
                  <w:color w:val="1155CC"/>
                  <w:u w:val="single"/>
                </w:rPr>
                <w:t xml:space="preserve">https://ijmr.org.in/oral-health-consequences-of-smokeless-tobacco-use/</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Blood pressure (mmHg)</w:t>
            </w:r>
          </w:p>
        </w:tc>
        <w:tc>
          <w:tcPr>
            <w:tcW w:type="dxa" w:w="1655"/>
            <w:vAlign w:val="top"/>
          </w:tcPr>
          <w:p>
            <w:pPr>
              <w:spacing w:after="40" w:before="0" w:line="259" w:lineRule="auto"/>
            </w:pPr>
            <w:r>
              <w:rPr>
                <w:rFonts w:ascii="Calibri" w:hAnsi="Calibri"/>
                <w:b w:val="0"/>
                <w:i w:val="0"/>
                <w:color w:val="212121"/>
                <w:sz w:val="19"/>
              </w:rPr>
              <w:t>Users with CVD risk</w:t>
            </w:r>
          </w:p>
        </w:tc>
        <w:tc>
          <w:tcPr>
            <w:tcW w:type="dxa" w:w="1512"/>
            <w:vAlign w:val="top"/>
          </w:tcPr>
          <w:p>
            <w:pPr>
              <w:spacing w:after="40" w:before="0" w:line="259" w:lineRule="auto"/>
            </w:pPr>
            <w:r>
              <w:rPr>
                <w:rFonts w:ascii="Calibri" w:hAnsi="Calibri"/>
                <w:b w:val="0"/>
                <w:i w:val="0"/>
                <w:color w:val="212121"/>
                <w:sz w:val="19"/>
              </w:rPr>
              <w:t>&lt;120/80</w:t>
            </w:r>
          </w:p>
        </w:tc>
        <w:tc>
          <w:tcPr>
            <w:tcW w:type="dxa" w:w="1512"/>
            <w:vAlign w:val="top"/>
          </w:tcPr>
          <w:p>
            <w:pPr>
              <w:spacing w:after="40" w:before="0" w:line="259" w:lineRule="auto"/>
            </w:pPr>
            <w:r>
              <w:rPr>
                <w:rFonts w:ascii="Calibri" w:hAnsi="Calibri"/>
                <w:b w:val="0"/>
                <w:i w:val="0"/>
                <w:color w:val="212121"/>
                <w:sz w:val="19"/>
              </w:rPr>
              <w:t>&gt;=140/90</w:t>
            </w:r>
          </w:p>
        </w:tc>
        <w:tc>
          <w:tcPr>
            <w:tcW w:type="dxa" w:w="1468"/>
            <w:vAlign w:val="top"/>
          </w:tcPr>
          <w:p>
            <w:pPr>
              <w:spacing w:after="60" w:line="259" w:lineRule="auto"/>
            </w:pPr>
            <w:r>
              <w:rPr>
                <w:rFonts w:ascii="Calibri" w:hAnsi="Calibri"/>
                <w:b w:val="0"/>
                <w:i w:val="0"/>
                <w:color w:val="212121"/>
                <w:sz w:val="19"/>
              </w:rPr>
              <w:t>Nicotine raises BP and heart rate; monitor cardiovascular risk</w:t>
            </w:r>
          </w:p>
          <w:p>
            <w:pPr>
              <w:spacing w:after="40" w:line="252" w:lineRule="auto"/>
            </w:pPr>
            <w:hyperlink r:id="rId19">
              <w:r>
                <w:rPr>
                  <w:rFonts w:ascii="Calibri" w:hAnsi="Calibri" w:cs="Calibri"/>
                  <w:sz w:val="18"/>
                  <w:color w:val="1155CC"/>
                  <w:u w:val="single"/>
                </w:rPr>
                <w:t xml:space="preserve">https://pubmed.ncbi.nlm.nih.gov/19690343/</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Salivary / Urinary Cotinine</w:t>
            </w:r>
          </w:p>
        </w:tc>
        <w:tc>
          <w:tcPr>
            <w:tcW w:type="dxa" w:w="892"/>
            <w:vAlign w:val="top"/>
          </w:tcPr>
          <w:p>
            <w:pPr>
              <w:spacing w:after="40" w:before="0" w:line="259" w:lineRule="auto"/>
            </w:pPr>
            <w:r>
              <w:rPr>
                <w:rFonts w:ascii="Calibri" w:hAnsi="Calibri"/>
                <w:b w:val="0"/>
                <w:i w:val="0"/>
                <w:color w:val="212121"/>
                <w:sz w:val="16"/>
              </w:rPr>
              <w:t>Nicotine metabolite assay</w:t>
            </w:r>
          </w:p>
        </w:tc>
        <w:tc>
          <w:tcPr>
            <w:tcW w:type="dxa" w:w="950"/>
            <w:vAlign w:val="top"/>
          </w:tcPr>
          <w:p>
            <w:pPr>
              <w:spacing w:after="40" w:before="0" w:line="259" w:lineRule="auto"/>
            </w:pPr>
            <w:r>
              <w:rPr>
                <w:rFonts w:ascii="Calibri" w:hAnsi="Calibri"/>
                <w:b w:val="0"/>
                <w:i w:val="0"/>
                <w:color w:val="212121"/>
                <w:sz w:val="16"/>
              </w:rPr>
              <w:t>Undetectable in non-users</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Confirms recent tobacco/nicotine exposure; monitors abstinence</w:t>
            </w:r>
          </w:p>
        </w:tc>
        <w:tc>
          <w:tcPr>
            <w:tcW w:type="dxa" w:w="1036"/>
            <w:vAlign w:val="top"/>
          </w:tcPr>
          <w:p>
            <w:pPr>
              <w:spacing w:after="40" w:before="0" w:line="259" w:lineRule="auto"/>
            </w:pPr>
            <w:r>
              <w:rPr>
                <w:rFonts w:ascii="Calibri" w:hAnsi="Calibri"/>
                <w:b w:val="0"/>
                <w:i w:val="0"/>
                <w:color w:val="212121"/>
                <w:sz w:val="16"/>
              </w:rPr>
              <w:t>Users, patients denying use, abstinence follow-up</w:t>
            </w:r>
          </w:p>
        </w:tc>
        <w:tc>
          <w:tcPr>
            <w:tcW w:type="dxa" w:w="720"/>
            <w:vAlign w:val="top"/>
          </w:tcPr>
          <w:p>
            <w:pPr>
              <w:spacing w:after="40" w:before="0" w:line="259" w:lineRule="auto"/>
            </w:pPr>
            <w:r>
              <w:rPr>
                <w:rFonts w:ascii="Calibri" w:hAnsi="Calibri"/>
                <w:b w:val="0"/>
                <w:i w:val="0"/>
                <w:color w:val="212121"/>
                <w:sz w:val="16"/>
              </w:rPr>
              <w:t>Mental health; 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Cotinine is the standard exposure biomarker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Special stain (chairside)</w:t>
            </w:r>
          </w:p>
        </w:tc>
        <w:tc>
          <w:tcPr>
            <w:tcW w:type="dxa" w:w="1036"/>
            <w:vAlign w:val="top"/>
          </w:tcPr>
          <w:p>
            <w:pPr>
              <w:spacing w:after="40" w:before="0" w:line="259" w:lineRule="auto"/>
            </w:pPr>
            <w:r>
              <w:rPr>
                <w:rFonts w:ascii="Calibri" w:hAnsi="Calibri"/>
                <w:b w:val="0"/>
                <w:i w:val="0"/>
                <w:color w:val="212121"/>
                <w:sz w:val="16"/>
              </w:rPr>
              <w:t>Toluidine Blue staining of oral lesion</w:t>
            </w:r>
          </w:p>
        </w:tc>
        <w:tc>
          <w:tcPr>
            <w:tcW w:type="dxa" w:w="892"/>
            <w:vAlign w:val="top"/>
          </w:tcPr>
          <w:p>
            <w:pPr>
              <w:spacing w:after="40" w:before="0" w:line="259" w:lineRule="auto"/>
            </w:pPr>
            <w:r>
              <w:rPr>
                <w:rFonts w:ascii="Calibri" w:hAnsi="Calibri"/>
                <w:b w:val="0"/>
                <w:i w:val="0"/>
                <w:color w:val="212121"/>
                <w:sz w:val="16"/>
              </w:rPr>
              <w:t>Vital tissue staining</w:t>
            </w:r>
          </w:p>
        </w:tc>
        <w:tc>
          <w:tcPr>
            <w:tcW w:type="dxa" w:w="950"/>
            <w:vAlign w:val="top"/>
          </w:tcPr>
          <w:p>
            <w:pPr>
              <w:spacing w:after="40" w:before="0" w:line="259" w:lineRule="auto"/>
            </w:pPr>
            <w:r>
              <w:rPr>
                <w:rFonts w:ascii="Calibri" w:hAnsi="Calibri"/>
                <w:b w:val="0"/>
                <w:i w:val="0"/>
                <w:color w:val="212121"/>
                <w:sz w:val="16"/>
              </w:rPr>
              <w:t>No dye uptake</w:t>
            </w:r>
          </w:p>
        </w:tc>
        <w:tc>
          <w:tcPr>
            <w:tcW w:type="dxa" w:w="950"/>
            <w:vAlign w:val="top"/>
          </w:tcPr>
          <w:p>
            <w:pPr>
              <w:spacing w:after="40" w:before="0" w:line="259" w:lineRule="auto"/>
            </w:pPr>
            <w:r>
              <w:rPr>
                <w:rFonts w:ascii="Calibri" w:hAnsi="Calibri"/>
                <w:b w:val="0"/>
                <w:i w:val="0"/>
                <w:color w:val="212121"/>
                <w:sz w:val="16"/>
              </w:rPr>
              <w:t>Retained blue stain</w:t>
            </w:r>
          </w:p>
        </w:tc>
        <w:tc>
          <w:tcPr>
            <w:tcW w:type="dxa" w:w="1036"/>
            <w:vAlign w:val="top"/>
          </w:tcPr>
          <w:p>
            <w:pPr>
              <w:spacing w:after="40" w:before="0" w:line="259" w:lineRule="auto"/>
            </w:pPr>
            <w:r>
              <w:rPr>
                <w:rFonts w:ascii="Calibri" w:hAnsi="Calibri"/>
                <w:b w:val="0"/>
                <w:i w:val="0"/>
                <w:color w:val="212121"/>
                <w:sz w:val="16"/>
              </w:rPr>
              <w:t>Highlights dysplastic/malignant mucosa to guide biopsy site</w:t>
            </w:r>
          </w:p>
        </w:tc>
        <w:tc>
          <w:tcPr>
            <w:tcW w:type="dxa" w:w="1036"/>
            <w:vAlign w:val="top"/>
          </w:tcPr>
          <w:p>
            <w:pPr>
              <w:spacing w:after="40" w:before="0" w:line="259" w:lineRule="auto"/>
            </w:pPr>
            <w:r>
              <w:rPr>
                <w:rFonts w:ascii="Calibri" w:hAnsi="Calibri"/>
                <w:b w:val="0"/>
                <w:i w:val="0"/>
                <w:color w:val="212121"/>
                <w:sz w:val="16"/>
              </w:rPr>
              <w:t>Chewers with leukoplakia/erythroplakia/ulcer</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Screening/adjunct</w:t>
            </w:r>
          </w:p>
        </w:tc>
        <w:tc>
          <w:tcPr>
            <w:tcW w:type="dxa" w:w="720"/>
            <w:vAlign w:val="top"/>
          </w:tcPr>
          <w:p>
            <w:pPr>
              <w:spacing w:after="40" w:before="0" w:line="259" w:lineRule="auto"/>
            </w:pPr>
            <w:r>
              <w:rPr>
                <w:rFonts w:ascii="Calibri" w:hAnsi="Calibri"/>
                <w:b w:val="0"/>
                <w:i w:val="0"/>
                <w:color w:val="212121"/>
                <w:sz w:val="16"/>
              </w:rPr>
              <w:t>Adjunct, not a substitute for biopsy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w:t>
            </w:r>
          </w:p>
        </w:tc>
        <w:tc>
          <w:tcPr>
            <w:tcW w:type="dxa" w:w="1036"/>
            <w:vAlign w:val="top"/>
          </w:tcPr>
          <w:p>
            <w:pPr>
              <w:spacing w:after="40" w:before="0" w:line="259" w:lineRule="auto"/>
            </w:pPr>
            <w:r>
              <w:rPr>
                <w:rFonts w:ascii="Calibri" w:hAnsi="Calibri"/>
                <w:b w:val="0"/>
                <w:i w:val="0"/>
                <w:color w:val="212121"/>
                <w:sz w:val="16"/>
              </w:rPr>
              <w:t>Oral exfoliative / brush cytology</w:t>
            </w:r>
          </w:p>
        </w:tc>
        <w:tc>
          <w:tcPr>
            <w:tcW w:type="dxa" w:w="892"/>
            <w:vAlign w:val="top"/>
          </w:tcPr>
          <w:p>
            <w:pPr>
              <w:spacing w:after="40" w:before="0" w:line="259" w:lineRule="auto"/>
            </w:pPr>
            <w:r>
              <w:rPr>
                <w:rFonts w:ascii="Calibri" w:hAnsi="Calibri"/>
                <w:b w:val="0"/>
                <w:i w:val="0"/>
                <w:color w:val="212121"/>
                <w:sz w:val="16"/>
              </w:rPr>
              <w:t>Brush biopsy</w:t>
            </w:r>
          </w:p>
        </w:tc>
        <w:tc>
          <w:tcPr>
            <w:tcW w:type="dxa" w:w="950"/>
            <w:vAlign w:val="top"/>
          </w:tcPr>
          <w:p>
            <w:pPr>
              <w:spacing w:after="40" w:before="0" w:line="259" w:lineRule="auto"/>
            </w:pPr>
            <w:r>
              <w:rPr>
                <w:rFonts w:ascii="Calibri" w:hAnsi="Calibri"/>
                <w:b w:val="0"/>
                <w:i w:val="0"/>
                <w:color w:val="212121"/>
                <w:sz w:val="16"/>
              </w:rPr>
              <w:t>Normal squamous cells</w:t>
            </w:r>
          </w:p>
        </w:tc>
        <w:tc>
          <w:tcPr>
            <w:tcW w:type="dxa" w:w="950"/>
            <w:vAlign w:val="top"/>
          </w:tcPr>
          <w:p>
            <w:pPr>
              <w:spacing w:after="40" w:before="0" w:line="259" w:lineRule="auto"/>
            </w:pPr>
            <w:r>
              <w:rPr>
                <w:rFonts w:ascii="Calibri" w:hAnsi="Calibri"/>
                <w:b w:val="0"/>
                <w:i w:val="0"/>
                <w:color w:val="212121"/>
                <w:sz w:val="16"/>
              </w:rPr>
              <w:t>Atypical/dysplastic cells</w:t>
            </w:r>
          </w:p>
        </w:tc>
        <w:tc>
          <w:tcPr>
            <w:tcW w:type="dxa" w:w="1036"/>
            <w:vAlign w:val="top"/>
          </w:tcPr>
          <w:p>
            <w:pPr>
              <w:spacing w:after="40" w:before="0" w:line="259" w:lineRule="auto"/>
            </w:pPr>
            <w:r>
              <w:rPr>
                <w:rFonts w:ascii="Calibri" w:hAnsi="Calibri"/>
                <w:b w:val="0"/>
                <w:i w:val="0"/>
                <w:color w:val="212121"/>
                <w:sz w:val="16"/>
              </w:rPr>
              <w:t>Non-invasive screen for suspicious lesions</w:t>
            </w:r>
          </w:p>
        </w:tc>
        <w:tc>
          <w:tcPr>
            <w:tcW w:type="dxa" w:w="1036"/>
            <w:vAlign w:val="top"/>
          </w:tcPr>
          <w:p>
            <w:pPr>
              <w:spacing w:after="40" w:before="0" w:line="259" w:lineRule="auto"/>
            </w:pPr>
            <w:r>
              <w:rPr>
                <w:rFonts w:ascii="Calibri" w:hAnsi="Calibri"/>
                <w:b w:val="0"/>
                <w:i w:val="0"/>
                <w:color w:val="212121"/>
                <w:sz w:val="16"/>
              </w:rPr>
              <w:t>High-risk chewers, screening camps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Positive/atypical result mandates biopsy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Incisional biopsy of lesion</w:t>
            </w:r>
          </w:p>
        </w:tc>
        <w:tc>
          <w:tcPr>
            <w:tcW w:type="dxa" w:w="892"/>
            <w:vAlign w:val="top"/>
          </w:tcPr>
          <w:p>
            <w:pPr>
              <w:spacing w:after="40" w:before="0" w:line="259" w:lineRule="auto"/>
            </w:pPr>
            <w:r>
              <w:rPr>
                <w:rFonts w:ascii="Calibri" w:hAnsi="Calibri"/>
                <w:b w:val="0"/>
                <w:i w:val="0"/>
                <w:color w:val="212121"/>
                <w:sz w:val="16"/>
              </w:rPr>
              <w:t>Tissue biopsy</w:t>
            </w:r>
          </w:p>
        </w:tc>
        <w:tc>
          <w:tcPr>
            <w:tcW w:type="dxa" w:w="950"/>
            <w:vAlign w:val="top"/>
          </w:tcPr>
          <w:p>
            <w:pPr>
              <w:spacing w:after="40" w:before="0" w:line="259" w:lineRule="auto"/>
            </w:pPr>
            <w:r>
              <w:rPr>
                <w:rFonts w:ascii="Calibri" w:hAnsi="Calibri"/>
                <w:b w:val="0"/>
                <w:i w:val="0"/>
                <w:color w:val="212121"/>
                <w:sz w:val="16"/>
              </w:rPr>
              <w:t>No dysplasia</w:t>
            </w:r>
          </w:p>
        </w:tc>
        <w:tc>
          <w:tcPr>
            <w:tcW w:type="dxa" w:w="950"/>
            <w:vAlign w:val="top"/>
          </w:tcPr>
          <w:p>
            <w:pPr>
              <w:spacing w:after="40" w:before="0" w:line="259" w:lineRule="auto"/>
            </w:pPr>
            <w:r>
              <w:rPr>
                <w:rFonts w:ascii="Calibri" w:hAnsi="Calibri"/>
                <w:b w:val="0"/>
                <w:i w:val="0"/>
                <w:color w:val="212121"/>
                <w:sz w:val="16"/>
              </w:rPr>
              <w:t>Dysplasia / carcinoma-in-situ / invasive SCC</w:t>
            </w:r>
          </w:p>
        </w:tc>
        <w:tc>
          <w:tcPr>
            <w:tcW w:type="dxa" w:w="1036"/>
            <w:vAlign w:val="top"/>
          </w:tcPr>
          <w:p>
            <w:pPr>
              <w:spacing w:after="40" w:before="0" w:line="259" w:lineRule="auto"/>
            </w:pPr>
            <w:r>
              <w:rPr>
                <w:rFonts w:ascii="Calibri" w:hAnsi="Calibri"/>
                <w:b w:val="0"/>
                <w:i w:val="0"/>
                <w:color w:val="212121"/>
                <w:sz w:val="16"/>
              </w:rPr>
              <w:t>Definitive diagnosis of premalignant or malignant change</w:t>
            </w:r>
          </w:p>
        </w:tc>
        <w:tc>
          <w:tcPr>
            <w:tcW w:type="dxa" w:w="1036"/>
            <w:vAlign w:val="top"/>
          </w:tcPr>
          <w:p>
            <w:pPr>
              <w:spacing w:after="40" w:before="0" w:line="259" w:lineRule="auto"/>
            </w:pPr>
            <w:r>
              <w:rPr>
                <w:rFonts w:ascii="Calibri" w:hAnsi="Calibri"/>
                <w:b w:val="0"/>
                <w:i w:val="0"/>
                <w:color w:val="212121"/>
                <w:sz w:val="16"/>
              </w:rPr>
              <w:t>Any persistent/suspicious oral lesion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Grade of dysplasia guides management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Blood Glucose /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FBG 70-99 mg/dL; HbA1c 4.0-5.6%</w:t>
            </w:r>
          </w:p>
        </w:tc>
        <w:tc>
          <w:tcPr>
            <w:tcW w:type="dxa" w:w="950"/>
            <w:vAlign w:val="top"/>
          </w:tcPr>
          <w:p>
            <w:pPr>
              <w:spacing w:after="40" w:before="0" w:line="259" w:lineRule="auto"/>
            </w:pPr>
            <w:r>
              <w:rPr>
                <w:rFonts w:ascii="Calibri" w:hAnsi="Calibri"/>
                <w:b w:val="0"/>
                <w:i w:val="0"/>
                <w:color w:val="212121"/>
                <w:sz w:val="16"/>
              </w:rPr>
              <w:t>FBG &gt;=126 mg/dL; HbA1c &gt;=6.5%</w:t>
            </w:r>
          </w:p>
        </w:tc>
        <w:tc>
          <w:tcPr>
            <w:tcW w:type="dxa" w:w="1036"/>
            <w:vAlign w:val="top"/>
          </w:tcPr>
          <w:p>
            <w:pPr>
              <w:spacing w:after="40" w:before="0" w:line="259" w:lineRule="auto"/>
            </w:pPr>
            <w:r>
              <w:rPr>
                <w:rFonts w:ascii="Calibri" w:hAnsi="Calibri"/>
                <w:b w:val="0"/>
                <w:i w:val="0"/>
                <w:color w:val="212121"/>
                <w:sz w:val="16"/>
              </w:rPr>
              <w:t>Screens for associated type 2 diabetes</w:t>
            </w:r>
          </w:p>
        </w:tc>
        <w:tc>
          <w:tcPr>
            <w:tcW w:type="dxa" w:w="1036"/>
            <w:vAlign w:val="top"/>
          </w:tcPr>
          <w:p>
            <w:pPr>
              <w:spacing w:after="40" w:before="0" w:line="259" w:lineRule="auto"/>
            </w:pPr>
            <w:r>
              <w:rPr>
                <w:rFonts w:ascii="Calibri" w:hAnsi="Calibri"/>
                <w:b w:val="0"/>
                <w:i w:val="0"/>
                <w:color w:val="212121"/>
                <w:sz w:val="16"/>
              </w:rPr>
              <w:t>Long-term users with metabolic risk</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SLT linked to higher diabetes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M 13-17 g/dL; F 12-15 g/dL</w:t>
            </w:r>
          </w:p>
        </w:tc>
        <w:tc>
          <w:tcPr>
            <w:tcW w:type="dxa" w:w="950"/>
            <w:vAlign w:val="top"/>
          </w:tcPr>
          <w:p>
            <w:pPr>
              <w:spacing w:after="40" w:before="0" w:line="259" w:lineRule="auto"/>
            </w:pPr>
            <w:r>
              <w:rPr>
                <w:rFonts w:ascii="Calibri" w:hAnsi="Calibri"/>
                <w:b w:val="0"/>
                <w:i w:val="0"/>
                <w:color w:val="212121"/>
                <w:sz w:val="16"/>
              </w:rPr>
              <w:t>Below reference; lower in pregnancy</w:t>
            </w:r>
          </w:p>
        </w:tc>
        <w:tc>
          <w:tcPr>
            <w:tcW w:type="dxa" w:w="1036"/>
            <w:vAlign w:val="top"/>
          </w:tcPr>
          <w:p>
            <w:pPr>
              <w:spacing w:after="40" w:before="0" w:line="259" w:lineRule="auto"/>
            </w:pPr>
            <w:r>
              <w:rPr>
                <w:rFonts w:ascii="Calibri" w:hAnsi="Calibri"/>
                <w:b w:val="0"/>
                <w:i w:val="0"/>
                <w:color w:val="212121"/>
                <w:sz w:val="16"/>
              </w:rPr>
              <w:t>Detects anaemia, notably in pregnant users</w:t>
            </w:r>
          </w:p>
        </w:tc>
        <w:tc>
          <w:tcPr>
            <w:tcW w:type="dxa" w:w="1036"/>
            <w:vAlign w:val="top"/>
          </w:tcPr>
          <w:p>
            <w:pPr>
              <w:spacing w:after="40" w:before="0" w:line="259" w:lineRule="auto"/>
            </w:pPr>
            <w:r>
              <w:rPr>
                <w:rFonts w:ascii="Calibri" w:hAnsi="Calibri"/>
                <w:b w:val="0"/>
                <w:i w:val="0"/>
                <w:color w:val="212121"/>
                <w:sz w:val="16"/>
              </w:rPr>
              <w:t>Pregnant women using SLT</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SLT in pregnancy raises anaemia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Cardiovascular</w:t>
            </w:r>
          </w:p>
        </w:tc>
        <w:tc>
          <w:tcPr>
            <w:tcW w:type="dxa" w:w="1036"/>
            <w:vAlign w:val="top"/>
          </w:tcPr>
          <w:p>
            <w:pPr>
              <w:spacing w:after="40" w:before="0" w:line="259" w:lineRule="auto"/>
            </w:pPr>
            <w:r>
              <w:rPr>
                <w:rFonts w:ascii="Calibri" w:hAnsi="Calibri"/>
                <w:b w:val="0"/>
                <w:i w:val="0"/>
                <w:color w:val="212121"/>
                <w:sz w:val="16"/>
              </w:rPr>
              <w:t>Blood pressure, ECG, lipid profile</w:t>
            </w:r>
          </w:p>
        </w:tc>
        <w:tc>
          <w:tcPr>
            <w:tcW w:type="dxa" w:w="892"/>
            <w:vAlign w:val="top"/>
          </w:tcPr>
          <w:p>
            <w:pPr>
              <w:spacing w:after="40" w:before="0" w:line="259" w:lineRule="auto"/>
            </w:pPr>
            <w:r>
              <w:rPr>
                <w:rFonts w:ascii="Calibri" w:hAnsi="Calibri"/>
                <w:b w:val="0"/>
                <w:i w:val="0"/>
                <w:color w:val="212121"/>
                <w:sz w:val="16"/>
              </w:rPr>
              <w:t>Cardiovascular workup</w:t>
            </w:r>
          </w:p>
        </w:tc>
        <w:tc>
          <w:tcPr>
            <w:tcW w:type="dxa" w:w="950"/>
            <w:vAlign w:val="top"/>
          </w:tcPr>
          <w:p>
            <w:pPr>
              <w:spacing w:after="40" w:before="0" w:line="259" w:lineRule="auto"/>
            </w:pPr>
            <w:r>
              <w:rPr>
                <w:rFonts w:ascii="Calibri" w:hAnsi="Calibri"/>
                <w:b w:val="0"/>
                <w:i w:val="0"/>
                <w:color w:val="212121"/>
                <w:sz w:val="16"/>
              </w:rPr>
              <w:t>BP &lt;120/80; normal ECG; normal lipids</w:t>
            </w:r>
          </w:p>
        </w:tc>
        <w:tc>
          <w:tcPr>
            <w:tcW w:type="dxa" w:w="950"/>
            <w:vAlign w:val="top"/>
          </w:tcPr>
          <w:p>
            <w:pPr>
              <w:spacing w:after="40" w:before="0" w:line="259" w:lineRule="auto"/>
            </w:pPr>
            <w:r>
              <w:rPr>
                <w:rFonts w:ascii="Calibri" w:hAnsi="Calibri"/>
                <w:b w:val="0"/>
                <w:i w:val="0"/>
                <w:color w:val="212121"/>
                <w:sz w:val="16"/>
              </w:rPr>
              <w:t>BP &gt;=140/90; ischaemic changes; dyslipidaemia</w:t>
            </w:r>
          </w:p>
        </w:tc>
        <w:tc>
          <w:tcPr>
            <w:tcW w:type="dxa" w:w="1036"/>
            <w:vAlign w:val="top"/>
          </w:tcPr>
          <w:p>
            <w:pPr>
              <w:spacing w:after="40" w:before="0" w:line="259" w:lineRule="auto"/>
            </w:pPr>
            <w:r>
              <w:rPr>
                <w:rFonts w:ascii="Calibri" w:hAnsi="Calibri"/>
                <w:b w:val="0"/>
                <w:i w:val="0"/>
                <w:color w:val="212121"/>
                <w:sz w:val="16"/>
              </w:rPr>
              <w:t>Assesses nicotine-related cardiovascular risk</w:t>
            </w:r>
          </w:p>
        </w:tc>
        <w:tc>
          <w:tcPr>
            <w:tcW w:type="dxa" w:w="1036"/>
            <w:vAlign w:val="top"/>
          </w:tcPr>
          <w:p>
            <w:pPr>
              <w:spacing w:after="40" w:before="0" w:line="259" w:lineRule="auto"/>
            </w:pPr>
            <w:r>
              <w:rPr>
                <w:rFonts w:ascii="Calibri" w:hAnsi="Calibri"/>
                <w:b w:val="0"/>
                <w:i w:val="0"/>
                <w:color w:val="212121"/>
                <w:sz w:val="16"/>
              </w:rPr>
              <w:t>Long-term/heavy users, dual users</w:t>
            </w:r>
          </w:p>
        </w:tc>
        <w:tc>
          <w:tcPr>
            <w:tcW w:type="dxa" w:w="720"/>
            <w:vAlign w:val="top"/>
          </w:tcPr>
          <w:p>
            <w:pPr>
              <w:spacing w:after="40" w:before="0" w:line="259" w:lineRule="auto"/>
            </w:pPr>
            <w:r>
              <w:rPr>
                <w:rFonts w:ascii="Calibri" w:hAnsi="Calibri"/>
                <w:b w:val="0"/>
                <w:i w:val="0"/>
                <w:color w:val="212121"/>
                <w:sz w:val="16"/>
              </w:rPr>
              <w:t>Physical activity; Smoking</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Nicotine raises BP, heart rate, thrombotic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Neck CT/MRI / OPG (when cancer suspected)</w:t>
            </w:r>
          </w:p>
        </w:tc>
        <w:tc>
          <w:tcPr>
            <w:tcW w:type="dxa" w:w="892"/>
            <w:vAlign w:val="top"/>
          </w:tcPr>
          <w:p>
            <w:pPr>
              <w:spacing w:after="40" w:before="0" w:line="259" w:lineRule="auto"/>
            </w:pPr>
            <w:r>
              <w:rPr>
                <w:rFonts w:ascii="Calibri" w:hAnsi="Calibri"/>
                <w:b w:val="0"/>
                <w:i w:val="0"/>
                <w:color w:val="212121"/>
                <w:sz w:val="16"/>
              </w:rPr>
              <w:t>Cross-sectional imaging</w:t>
            </w:r>
          </w:p>
        </w:tc>
        <w:tc>
          <w:tcPr>
            <w:tcW w:type="dxa" w:w="950"/>
            <w:vAlign w:val="top"/>
          </w:tcPr>
          <w:p>
            <w:pPr>
              <w:spacing w:after="40" w:before="0" w:line="259" w:lineRule="auto"/>
            </w:pPr>
            <w:r>
              <w:rPr>
                <w:rFonts w:ascii="Calibri" w:hAnsi="Calibri"/>
                <w:b w:val="0"/>
                <w:i w:val="0"/>
                <w:color w:val="212121"/>
                <w:sz w:val="16"/>
              </w:rPr>
              <w:t>No mass or bony invasion</w:t>
            </w:r>
          </w:p>
        </w:tc>
        <w:tc>
          <w:tcPr>
            <w:tcW w:type="dxa" w:w="950"/>
            <w:vAlign w:val="top"/>
          </w:tcPr>
          <w:p>
            <w:pPr>
              <w:spacing w:after="40" w:before="0" w:line="259" w:lineRule="auto"/>
            </w:pPr>
            <w:r>
              <w:rPr>
                <w:rFonts w:ascii="Calibri" w:hAnsi="Calibri"/>
                <w:b w:val="0"/>
                <w:i w:val="0"/>
                <w:color w:val="212121"/>
                <w:sz w:val="16"/>
              </w:rPr>
              <w:t>Soft-tissue mass, nodal spread, bone invasion</w:t>
            </w:r>
          </w:p>
        </w:tc>
        <w:tc>
          <w:tcPr>
            <w:tcW w:type="dxa" w:w="1036"/>
            <w:vAlign w:val="top"/>
          </w:tcPr>
          <w:p>
            <w:pPr>
              <w:spacing w:after="40" w:before="0" w:line="259" w:lineRule="auto"/>
            </w:pPr>
            <w:r>
              <w:rPr>
                <w:rFonts w:ascii="Calibri" w:hAnsi="Calibri"/>
                <w:b w:val="0"/>
                <w:i w:val="0"/>
                <w:color w:val="212121"/>
                <w:sz w:val="16"/>
              </w:rPr>
              <w:t>Stages oral cancer and assesses spread</w:t>
            </w:r>
          </w:p>
        </w:tc>
        <w:tc>
          <w:tcPr>
            <w:tcW w:type="dxa" w:w="1036"/>
            <w:vAlign w:val="top"/>
          </w:tcPr>
          <w:p>
            <w:pPr>
              <w:spacing w:after="40" w:before="0" w:line="259" w:lineRule="auto"/>
            </w:pPr>
            <w:r>
              <w:rPr>
                <w:rFonts w:ascii="Calibri" w:hAnsi="Calibri"/>
                <w:b w:val="0"/>
                <w:i w:val="0"/>
                <w:color w:val="212121"/>
                <w:sz w:val="16"/>
              </w:rPr>
              <w:t>Confirmed/suspected oral malignancy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Staging</w:t>
            </w:r>
          </w:p>
        </w:tc>
        <w:tc>
          <w:tcPr>
            <w:tcW w:type="dxa" w:w="720"/>
            <w:vAlign w:val="top"/>
          </w:tcPr>
          <w:p>
            <w:pPr>
              <w:spacing w:after="40" w:before="0" w:line="259" w:lineRule="auto"/>
            </w:pPr>
            <w:r>
              <w:rPr>
                <w:rFonts w:ascii="Calibri" w:hAnsi="Calibri"/>
                <w:b w:val="0"/>
                <w:i w:val="0"/>
                <w:color w:val="212121"/>
                <w:sz w:val="16"/>
              </w:rPr>
              <w:t>Guides surgical/oncologic planning</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Tobacco use history</w:t>
            </w:r>
          </w:p>
        </w:tc>
        <w:tc>
          <w:tcPr>
            <w:tcW w:type="dxa" w:w="979"/>
            <w:vAlign w:val="top"/>
          </w:tcPr>
          <w:p>
            <w:pPr>
              <w:spacing w:after="40" w:before="0" w:line="259" w:lineRule="auto"/>
            </w:pPr>
            <w:r>
              <w:rPr>
                <w:rFonts w:ascii="Calibri" w:hAnsi="Calibri"/>
                <w:b w:val="0"/>
                <w:i w:val="0"/>
                <w:color w:val="212121"/>
                <w:sz w:val="16"/>
              </w:rPr>
              <w:t>Product, form, quantity, duration, placement site</w:t>
            </w:r>
          </w:p>
        </w:tc>
        <w:tc>
          <w:tcPr>
            <w:tcW w:type="dxa" w:w="950"/>
            <w:vAlign w:val="top"/>
          </w:tcPr>
          <w:p>
            <w:pPr>
              <w:spacing w:after="40" w:before="0" w:line="259" w:lineRule="auto"/>
            </w:pPr>
            <w:r>
              <w:rPr>
                <w:rFonts w:ascii="Calibri" w:hAnsi="Calibri"/>
                <w:b w:val="0"/>
                <w:i w:val="0"/>
                <w:color w:val="212121"/>
                <w:sz w:val="16"/>
              </w:rPr>
              <w:t>No SLT use</w:t>
            </w:r>
          </w:p>
        </w:tc>
        <w:tc>
          <w:tcPr>
            <w:tcW w:type="dxa" w:w="950"/>
            <w:vAlign w:val="top"/>
          </w:tcPr>
          <w:p>
            <w:pPr>
              <w:spacing w:after="40" w:before="0" w:line="259" w:lineRule="auto"/>
            </w:pPr>
            <w:r>
              <w:rPr>
                <w:rFonts w:ascii="Calibri" w:hAnsi="Calibri"/>
                <w:b w:val="0"/>
                <w:i w:val="0"/>
                <w:color w:val="212121"/>
                <w:sz w:val="16"/>
              </w:rPr>
              <w:t>Current/past use of any SLT product</w:t>
            </w:r>
          </w:p>
        </w:tc>
        <w:tc>
          <w:tcPr>
            <w:tcW w:type="dxa" w:w="1036"/>
            <w:vAlign w:val="top"/>
          </w:tcPr>
          <w:p>
            <w:pPr>
              <w:spacing w:after="40" w:before="0" w:line="259" w:lineRule="auto"/>
            </w:pPr>
            <w:r>
              <w:rPr>
                <w:rFonts w:ascii="Calibri" w:hAnsi="Calibri"/>
                <w:b w:val="0"/>
                <w:i w:val="0"/>
                <w:color w:val="212121"/>
                <w:sz w:val="16"/>
              </w:rPr>
              <w:t>Establishes exposure, dose and dependence pattern</w:t>
            </w:r>
          </w:p>
        </w:tc>
        <w:tc>
          <w:tcPr>
            <w:tcW w:type="dxa" w:w="1036"/>
            <w:vAlign w:val="top"/>
          </w:tcPr>
          <w:p>
            <w:pPr>
              <w:spacing w:after="40" w:before="0" w:line="259" w:lineRule="auto"/>
            </w:pPr>
            <w:r>
              <w:rPr>
                <w:rFonts w:ascii="Calibri" w:hAnsi="Calibri"/>
                <w:b w:val="0"/>
                <w:i w:val="0"/>
                <w:color w:val="212121"/>
                <w:sz w:val="16"/>
              </w:rPr>
              <w:t>All patients (routine screening)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khaini/gutka/paan/mishri</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Nicotine dependence assessment</w:t>
            </w:r>
          </w:p>
        </w:tc>
        <w:tc>
          <w:tcPr>
            <w:tcW w:type="dxa" w:w="979"/>
            <w:vAlign w:val="top"/>
          </w:tcPr>
          <w:p>
            <w:pPr>
              <w:spacing w:after="40" w:before="0" w:line="259" w:lineRule="auto"/>
            </w:pPr>
            <w:r>
              <w:rPr>
                <w:rFonts w:ascii="Calibri" w:hAnsi="Calibri"/>
                <w:b w:val="0"/>
                <w:i w:val="0"/>
                <w:color w:val="212121"/>
                <w:sz w:val="16"/>
              </w:rPr>
              <w:t>FTND-ST / DSM-5 Tobacco Use Disorder criteria</w:t>
            </w:r>
          </w:p>
        </w:tc>
        <w:tc>
          <w:tcPr>
            <w:tcW w:type="dxa" w:w="950"/>
            <w:vAlign w:val="top"/>
          </w:tcPr>
          <w:p>
            <w:pPr>
              <w:spacing w:after="40" w:before="0" w:line="259" w:lineRule="auto"/>
            </w:pPr>
            <w:r>
              <w:rPr>
                <w:rFonts w:ascii="Calibri" w:hAnsi="Calibri"/>
                <w:b w:val="0"/>
                <w:i w:val="0"/>
                <w:color w:val="212121"/>
                <w:sz w:val="16"/>
              </w:rPr>
              <w:t>No dependence</w:t>
            </w:r>
          </w:p>
        </w:tc>
        <w:tc>
          <w:tcPr>
            <w:tcW w:type="dxa" w:w="950"/>
            <w:vAlign w:val="top"/>
          </w:tcPr>
          <w:p>
            <w:pPr>
              <w:spacing w:after="40" w:before="0" w:line="259" w:lineRule="auto"/>
            </w:pPr>
            <w:r>
              <w:rPr>
                <w:rFonts w:ascii="Calibri" w:hAnsi="Calibri"/>
                <w:b w:val="0"/>
                <w:i w:val="0"/>
                <w:color w:val="212121"/>
                <w:sz w:val="16"/>
              </w:rPr>
              <w:t>Moderate-high dependence / &gt;=2 DSM-5 criteria</w:t>
            </w:r>
          </w:p>
        </w:tc>
        <w:tc>
          <w:tcPr>
            <w:tcW w:type="dxa" w:w="1036"/>
            <w:vAlign w:val="top"/>
          </w:tcPr>
          <w:p>
            <w:pPr>
              <w:spacing w:after="40" w:before="0" w:line="259" w:lineRule="auto"/>
            </w:pPr>
            <w:r>
              <w:rPr>
                <w:rFonts w:ascii="Calibri" w:hAnsi="Calibri"/>
                <w:b w:val="0"/>
                <w:i w:val="0"/>
                <w:color w:val="212121"/>
                <w:sz w:val="16"/>
              </w:rPr>
              <w:t>Grades dependence severity to plan cessation</w:t>
            </w:r>
          </w:p>
        </w:tc>
        <w:tc>
          <w:tcPr>
            <w:tcW w:type="dxa" w:w="1036"/>
            <w:vAlign w:val="top"/>
          </w:tcPr>
          <w:p>
            <w:pPr>
              <w:spacing w:after="40" w:before="0" w:line="259" w:lineRule="auto"/>
            </w:pPr>
            <w:r>
              <w:rPr>
                <w:rFonts w:ascii="Calibri" w:hAnsi="Calibri"/>
                <w:b w:val="0"/>
                <w:i w:val="0"/>
                <w:color w:val="212121"/>
                <w:sz w:val="16"/>
              </w:rPr>
              <w:t>All current users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Time-to-first-use is a key dependence marker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Readiness to quit</w:t>
            </w:r>
          </w:p>
        </w:tc>
        <w:tc>
          <w:tcPr>
            <w:tcW w:type="dxa" w:w="979"/>
            <w:vAlign w:val="top"/>
          </w:tcPr>
          <w:p>
            <w:pPr>
              <w:spacing w:after="40" w:before="0" w:line="259" w:lineRule="auto"/>
            </w:pPr>
            <w:r>
              <w:rPr>
                <w:rFonts w:ascii="Calibri" w:hAnsi="Calibri"/>
                <w:b w:val="0"/>
                <w:i w:val="0"/>
                <w:color w:val="212121"/>
                <w:sz w:val="16"/>
              </w:rPr>
              <w:t>Stage of change; prior quit attempts</w:t>
            </w:r>
          </w:p>
        </w:tc>
        <w:tc>
          <w:tcPr>
            <w:tcW w:type="dxa" w:w="950"/>
            <w:vAlign w:val="top"/>
          </w:tcPr>
          <w:p>
            <w:pPr>
              <w:spacing w:after="40" w:before="0" w:line="259" w:lineRule="auto"/>
            </w:pPr>
            <w:r>
              <w:rPr>
                <w:rFonts w:ascii="Calibri" w:hAnsi="Calibri"/>
                <w:b w:val="0"/>
                <w:i w:val="0"/>
                <w:color w:val="212121"/>
                <w:sz w:val="16"/>
              </w:rPr>
              <w:t>Not applicable (non-user)</w:t>
            </w:r>
          </w:p>
        </w:tc>
        <w:tc>
          <w:tcPr>
            <w:tcW w:type="dxa" w:w="950"/>
            <w:vAlign w:val="top"/>
          </w:tcPr>
          <w:p>
            <w:pPr>
              <w:spacing w:after="40" w:before="0" w:line="259" w:lineRule="auto"/>
            </w:pPr>
            <w:r>
              <w:rPr>
                <w:rFonts w:ascii="Calibri" w:hAnsi="Calibri"/>
                <w:b w:val="0"/>
                <w:i w:val="0"/>
                <w:color w:val="212121"/>
                <w:sz w:val="16"/>
              </w:rPr>
              <w:t>Precontemplation/contemplation; failed attempts</w:t>
            </w:r>
          </w:p>
        </w:tc>
        <w:tc>
          <w:tcPr>
            <w:tcW w:type="dxa" w:w="1036"/>
            <w:vAlign w:val="top"/>
          </w:tcPr>
          <w:p>
            <w:pPr>
              <w:spacing w:after="40" w:before="0" w:line="259" w:lineRule="auto"/>
            </w:pPr>
            <w:r>
              <w:rPr>
                <w:rFonts w:ascii="Calibri" w:hAnsi="Calibri"/>
                <w:b w:val="0"/>
                <w:i w:val="0"/>
                <w:color w:val="212121"/>
                <w:sz w:val="16"/>
              </w:rPr>
              <w:t>Tailors cessation counselling intensity</w:t>
            </w:r>
          </w:p>
        </w:tc>
        <w:tc>
          <w:tcPr>
            <w:tcW w:type="dxa" w:w="1036"/>
            <w:vAlign w:val="top"/>
          </w:tcPr>
          <w:p>
            <w:pPr>
              <w:spacing w:after="40" w:before="0" w:line="259" w:lineRule="auto"/>
            </w:pPr>
            <w:r>
              <w:rPr>
                <w:rFonts w:ascii="Calibri" w:hAnsi="Calibri"/>
                <w:b w:val="0"/>
                <w:i w:val="0"/>
                <w:color w:val="212121"/>
                <w:sz w:val="16"/>
              </w:rPr>
              <w:t>Users considering cessation</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~1 in 3 SLT users attempt to quit yearly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Oral mucosal examination</w:t>
            </w:r>
          </w:p>
        </w:tc>
        <w:tc>
          <w:tcPr>
            <w:tcW w:type="dxa" w:w="979"/>
            <w:vAlign w:val="top"/>
          </w:tcPr>
          <w:p>
            <w:pPr>
              <w:spacing w:after="40" w:before="0" w:line="259" w:lineRule="auto"/>
            </w:pPr>
            <w:r>
              <w:rPr>
                <w:rFonts w:ascii="Calibri" w:hAnsi="Calibri"/>
                <w:b w:val="0"/>
                <w:i w:val="0"/>
                <w:color w:val="212121"/>
                <w:sz w:val="16"/>
              </w:rPr>
              <w:t>Leukoplakia, erythroplakia, ulcer, growth, OSMF bands</w:t>
            </w:r>
          </w:p>
        </w:tc>
        <w:tc>
          <w:tcPr>
            <w:tcW w:type="dxa" w:w="950"/>
            <w:vAlign w:val="top"/>
          </w:tcPr>
          <w:p>
            <w:pPr>
              <w:spacing w:after="40" w:before="0" w:line="259" w:lineRule="auto"/>
            </w:pPr>
            <w:r>
              <w:rPr>
                <w:rFonts w:ascii="Calibri" w:hAnsi="Calibri"/>
                <w:b w:val="0"/>
                <w:i w:val="0"/>
                <w:color w:val="212121"/>
                <w:sz w:val="16"/>
              </w:rPr>
              <w:t>Healthy pink mucosa</w:t>
            </w:r>
          </w:p>
        </w:tc>
        <w:tc>
          <w:tcPr>
            <w:tcW w:type="dxa" w:w="950"/>
            <w:vAlign w:val="top"/>
          </w:tcPr>
          <w:p>
            <w:pPr>
              <w:spacing w:after="40" w:before="0" w:line="259" w:lineRule="auto"/>
            </w:pPr>
            <w:r>
              <w:rPr>
                <w:rFonts w:ascii="Calibri" w:hAnsi="Calibri"/>
                <w:b w:val="0"/>
                <w:i w:val="0"/>
                <w:color w:val="212121"/>
                <w:sz w:val="16"/>
              </w:rPr>
              <w:t>White/red patch, non-healing ulcer, fibrous bands</w:t>
            </w:r>
          </w:p>
        </w:tc>
        <w:tc>
          <w:tcPr>
            <w:tcW w:type="dxa" w:w="1036"/>
            <w:vAlign w:val="top"/>
          </w:tcPr>
          <w:p>
            <w:pPr>
              <w:spacing w:after="40" w:before="0" w:line="259" w:lineRule="auto"/>
            </w:pPr>
            <w:r>
              <w:rPr>
                <w:rFonts w:ascii="Calibri" w:hAnsi="Calibri"/>
                <w:b w:val="0"/>
                <w:i w:val="0"/>
                <w:color w:val="212121"/>
                <w:sz w:val="16"/>
              </w:rPr>
              <w:t>Detects potentially malignant disorders and cancer</w:t>
            </w:r>
          </w:p>
        </w:tc>
        <w:tc>
          <w:tcPr>
            <w:tcW w:type="dxa" w:w="1036"/>
            <w:vAlign w:val="top"/>
          </w:tcPr>
          <w:p>
            <w:pPr>
              <w:spacing w:after="40" w:before="0" w:line="259" w:lineRule="auto"/>
            </w:pPr>
            <w:r>
              <w:rPr>
                <w:rFonts w:ascii="Calibri" w:hAnsi="Calibri"/>
                <w:b w:val="0"/>
                <w:i w:val="0"/>
                <w:color w:val="212121"/>
                <w:sz w:val="16"/>
              </w:rPr>
              <w:t>All chewers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Inspect the habitual quid-placement site closely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Mouth opening measurement</w:t>
            </w:r>
          </w:p>
        </w:tc>
        <w:tc>
          <w:tcPr>
            <w:tcW w:type="dxa" w:w="979"/>
            <w:vAlign w:val="top"/>
          </w:tcPr>
          <w:p>
            <w:pPr>
              <w:spacing w:after="40" w:before="0" w:line="259" w:lineRule="auto"/>
            </w:pPr>
            <w:r>
              <w:rPr>
                <w:rFonts w:ascii="Calibri" w:hAnsi="Calibri"/>
                <w:b w:val="0"/>
                <w:i w:val="0"/>
                <w:color w:val="212121"/>
                <w:sz w:val="16"/>
              </w:rPr>
              <w:t>Inter-incisal distance (mm)</w:t>
            </w:r>
          </w:p>
        </w:tc>
        <w:tc>
          <w:tcPr>
            <w:tcW w:type="dxa" w:w="950"/>
            <w:vAlign w:val="top"/>
          </w:tcPr>
          <w:p>
            <w:pPr>
              <w:spacing w:after="40" w:before="0" w:line="259" w:lineRule="auto"/>
            </w:pPr>
            <w:r>
              <w:rPr>
                <w:rFonts w:ascii="Calibri" w:hAnsi="Calibri"/>
                <w:b w:val="0"/>
                <w:i w:val="0"/>
                <w:color w:val="212121"/>
                <w:sz w:val="16"/>
              </w:rPr>
              <w:t>&gt;=35 mm</w:t>
            </w:r>
          </w:p>
        </w:tc>
        <w:tc>
          <w:tcPr>
            <w:tcW w:type="dxa" w:w="950"/>
            <w:vAlign w:val="top"/>
          </w:tcPr>
          <w:p>
            <w:pPr>
              <w:spacing w:after="40" w:before="0" w:line="259" w:lineRule="auto"/>
            </w:pPr>
            <w:r>
              <w:rPr>
                <w:rFonts w:ascii="Calibri" w:hAnsi="Calibri"/>
                <w:b w:val="0"/>
                <w:i w:val="0"/>
                <w:color w:val="212121"/>
                <w:sz w:val="16"/>
              </w:rPr>
              <w:t>&lt;35 mm (progressive trismus)</w:t>
            </w:r>
          </w:p>
        </w:tc>
        <w:tc>
          <w:tcPr>
            <w:tcW w:type="dxa" w:w="1036"/>
            <w:vAlign w:val="top"/>
          </w:tcPr>
          <w:p>
            <w:pPr>
              <w:spacing w:after="40" w:before="0" w:line="259" w:lineRule="auto"/>
            </w:pPr>
            <w:r>
              <w:rPr>
                <w:rFonts w:ascii="Calibri" w:hAnsi="Calibri"/>
                <w:b w:val="0"/>
                <w:i w:val="0"/>
                <w:color w:val="212121"/>
                <w:sz w:val="16"/>
              </w:rPr>
              <w:t>Screens for oral submucous fibrosis</w:t>
            </w:r>
          </w:p>
        </w:tc>
        <w:tc>
          <w:tcPr>
            <w:tcW w:type="dxa" w:w="1036"/>
            <w:vAlign w:val="top"/>
          </w:tcPr>
          <w:p>
            <w:pPr>
              <w:spacing w:after="40" w:before="0" w:line="259" w:lineRule="auto"/>
            </w:pPr>
            <w:r>
              <w:rPr>
                <w:rFonts w:ascii="Calibri" w:hAnsi="Calibri"/>
                <w:b w:val="0"/>
                <w:i w:val="0"/>
                <w:color w:val="212121"/>
                <w:sz w:val="16"/>
              </w:rPr>
              <w:t>Areca-nut/gutka chewers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Falling opening indicates progressive OSMF</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Neck / lymph node palpation</w:t>
            </w:r>
          </w:p>
        </w:tc>
        <w:tc>
          <w:tcPr>
            <w:tcW w:type="dxa" w:w="979"/>
            <w:vAlign w:val="top"/>
          </w:tcPr>
          <w:p>
            <w:pPr>
              <w:spacing w:after="40" w:before="0" w:line="259" w:lineRule="auto"/>
            </w:pPr>
            <w:r>
              <w:rPr>
                <w:rFonts w:ascii="Calibri" w:hAnsi="Calibri"/>
                <w:b w:val="0"/>
                <w:i w:val="0"/>
                <w:color w:val="212121"/>
                <w:sz w:val="16"/>
              </w:rPr>
              <w:t>Cervical lymphadenopathy</w:t>
            </w:r>
          </w:p>
        </w:tc>
        <w:tc>
          <w:tcPr>
            <w:tcW w:type="dxa" w:w="950"/>
            <w:vAlign w:val="top"/>
          </w:tcPr>
          <w:p>
            <w:pPr>
              <w:spacing w:after="40" w:before="0" w:line="259" w:lineRule="auto"/>
            </w:pPr>
            <w:r>
              <w:rPr>
                <w:rFonts w:ascii="Calibri" w:hAnsi="Calibri"/>
                <w:b w:val="0"/>
                <w:i w:val="0"/>
                <w:color w:val="212121"/>
                <w:sz w:val="16"/>
              </w:rPr>
              <w:t>No palpable nodes</w:t>
            </w:r>
          </w:p>
        </w:tc>
        <w:tc>
          <w:tcPr>
            <w:tcW w:type="dxa" w:w="950"/>
            <w:vAlign w:val="top"/>
          </w:tcPr>
          <w:p>
            <w:pPr>
              <w:spacing w:after="40" w:before="0" w:line="259" w:lineRule="auto"/>
            </w:pPr>
            <w:r>
              <w:rPr>
                <w:rFonts w:ascii="Calibri" w:hAnsi="Calibri"/>
                <w:b w:val="0"/>
                <w:i w:val="0"/>
                <w:color w:val="212121"/>
                <w:sz w:val="16"/>
              </w:rPr>
              <w:t>Hard/fixed enlarged nodes</w:t>
            </w:r>
          </w:p>
        </w:tc>
        <w:tc>
          <w:tcPr>
            <w:tcW w:type="dxa" w:w="1036"/>
            <w:vAlign w:val="top"/>
          </w:tcPr>
          <w:p>
            <w:pPr>
              <w:spacing w:after="40" w:before="0" w:line="259" w:lineRule="auto"/>
            </w:pPr>
            <w:r>
              <w:rPr>
                <w:rFonts w:ascii="Calibri" w:hAnsi="Calibri"/>
                <w:b w:val="0"/>
                <w:i w:val="0"/>
                <w:color w:val="212121"/>
                <w:sz w:val="16"/>
              </w:rPr>
              <w:t>Suggests malignant spread</w:t>
            </w:r>
          </w:p>
        </w:tc>
        <w:tc>
          <w:tcPr>
            <w:tcW w:type="dxa" w:w="1036"/>
            <w:vAlign w:val="top"/>
          </w:tcPr>
          <w:p>
            <w:pPr>
              <w:spacing w:after="40" w:before="0" w:line="259" w:lineRule="auto"/>
            </w:pPr>
            <w:r>
              <w:rPr>
                <w:rFonts w:ascii="Calibri" w:hAnsi="Calibri"/>
                <w:b w:val="0"/>
                <w:i w:val="0"/>
                <w:color w:val="212121"/>
                <w:sz w:val="16"/>
              </w:rPr>
              <w:t>Chewers with suspicious oral lesion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Fixed nodes warrant urgent referral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Dental &amp; periodontal exam</w:t>
            </w:r>
          </w:p>
        </w:tc>
        <w:tc>
          <w:tcPr>
            <w:tcW w:type="dxa" w:w="979"/>
            <w:vAlign w:val="top"/>
          </w:tcPr>
          <w:p>
            <w:pPr>
              <w:spacing w:after="40" w:before="0" w:line="259" w:lineRule="auto"/>
            </w:pPr>
            <w:r>
              <w:rPr>
                <w:rFonts w:ascii="Calibri" w:hAnsi="Calibri"/>
                <w:b w:val="0"/>
                <w:i w:val="0"/>
                <w:color w:val="212121"/>
                <w:sz w:val="16"/>
              </w:rPr>
              <w:t>Staining, attrition, recession, tooth mobility</w:t>
            </w:r>
          </w:p>
        </w:tc>
        <w:tc>
          <w:tcPr>
            <w:tcW w:type="dxa" w:w="950"/>
            <w:vAlign w:val="top"/>
          </w:tcPr>
          <w:p>
            <w:pPr>
              <w:spacing w:after="40" w:before="0" w:line="259" w:lineRule="auto"/>
            </w:pPr>
            <w:r>
              <w:rPr>
                <w:rFonts w:ascii="Calibri" w:hAnsi="Calibri"/>
                <w:b w:val="0"/>
                <w:i w:val="0"/>
                <w:color w:val="212121"/>
                <w:sz w:val="16"/>
              </w:rPr>
              <w:t>Healthy dentition</w:t>
            </w:r>
          </w:p>
        </w:tc>
        <w:tc>
          <w:tcPr>
            <w:tcW w:type="dxa" w:w="950"/>
            <w:vAlign w:val="top"/>
          </w:tcPr>
          <w:p>
            <w:pPr>
              <w:spacing w:after="40" w:before="0" w:line="259" w:lineRule="auto"/>
            </w:pPr>
            <w:r>
              <w:rPr>
                <w:rFonts w:ascii="Calibri" w:hAnsi="Calibri"/>
                <w:b w:val="0"/>
                <w:i w:val="0"/>
                <w:color w:val="212121"/>
                <w:sz w:val="16"/>
              </w:rPr>
              <w:t>Staining, gum recession, loose teeth</w:t>
            </w:r>
          </w:p>
        </w:tc>
        <w:tc>
          <w:tcPr>
            <w:tcW w:type="dxa" w:w="1036"/>
            <w:vAlign w:val="top"/>
          </w:tcPr>
          <w:p>
            <w:pPr>
              <w:spacing w:after="40" w:before="0" w:line="259" w:lineRule="auto"/>
            </w:pPr>
            <w:r>
              <w:rPr>
                <w:rFonts w:ascii="Calibri" w:hAnsi="Calibri"/>
                <w:b w:val="0"/>
                <w:i w:val="0"/>
                <w:color w:val="212121"/>
                <w:sz w:val="16"/>
              </w:rPr>
              <w:t>Documents periodontal harm from SLT</w:t>
            </w:r>
          </w:p>
        </w:tc>
        <w:tc>
          <w:tcPr>
            <w:tcW w:type="dxa" w:w="1036"/>
            <w:vAlign w:val="top"/>
          </w:tcPr>
          <w:p>
            <w:pPr>
              <w:spacing w:after="40" w:before="0" w:line="259" w:lineRule="auto"/>
            </w:pPr>
            <w:r>
              <w:rPr>
                <w:rFonts w:ascii="Calibri" w:hAnsi="Calibri"/>
                <w:b w:val="0"/>
                <w:i w:val="0"/>
                <w:color w:val="212121"/>
                <w:sz w:val="16"/>
              </w:rPr>
              <w:t>Long-term chewers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Recession is typical at the placement site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Craving / urge to chew</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Strong desire to use tobacco, a core feature of nicotine dependence.</w:t>
            </w:r>
          </w:p>
        </w:tc>
      </w:tr>
      <w:tr>
        <w:trPr>
          <w:cantSplit/>
        </w:trPr>
        <w:tc>
          <w:tcPr>
            <w:tcW w:type="dxa" w:w="2304"/>
            <w:vAlign w:val="top"/>
          </w:tcPr>
          <w:p>
            <w:pPr>
              <w:spacing w:after="40" w:before="0" w:line="259" w:lineRule="auto"/>
            </w:pPr>
            <w:r>
              <w:rPr>
                <w:rFonts w:ascii="Calibri" w:hAnsi="Calibri"/>
                <w:b/>
                <w:i w:val="0"/>
                <w:color w:val="212121"/>
                <w:sz w:val="19"/>
              </w:rPr>
              <w:t>Irritability, restlessness, poor concentration on abstaining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Nicotine withdrawal symptoms that drive relapse.</w:t>
            </w:r>
          </w:p>
        </w:tc>
      </w:tr>
      <w:tr>
        <w:trPr>
          <w:cantSplit/>
        </w:trPr>
        <w:tc>
          <w:tcPr>
            <w:tcW w:type="dxa" w:w="2304"/>
            <w:vAlign w:val="top"/>
          </w:tcPr>
          <w:p>
            <w:pPr>
              <w:spacing w:after="40" w:before="0" w:line="259" w:lineRule="auto"/>
            </w:pPr>
            <w:r>
              <w:rPr>
                <w:rFonts w:ascii="Calibri" w:hAnsi="Calibri"/>
                <w:b/>
                <w:i w:val="0"/>
                <w:color w:val="212121"/>
                <w:sz w:val="19"/>
              </w:rPr>
              <w:t>Burning sensation of the mouth with spicy food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symptom of oral submucous fibrosis from areca-nut/gutka use.</w:t>
            </w:r>
          </w:p>
        </w:tc>
      </w:tr>
      <w:tr>
        <w:trPr>
          <w:cantSplit/>
        </w:trPr>
        <w:tc>
          <w:tcPr>
            <w:tcW w:type="dxa" w:w="2304"/>
            <w:vAlign w:val="top"/>
          </w:tcPr>
          <w:p>
            <w:pPr>
              <w:spacing w:after="40" w:before="0" w:line="259" w:lineRule="auto"/>
            </w:pPr>
            <w:r>
              <w:rPr>
                <w:rFonts w:ascii="Calibri" w:hAnsi="Calibri"/>
                <w:b/>
                <w:i w:val="0"/>
                <w:color w:val="212121"/>
                <w:sz w:val="19"/>
              </w:rPr>
              <w:t>Progressive difficulty opening the mouth (trismus)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Fibrosis of oral tissues restricts mouth opening in OSMF.</w:t>
            </w:r>
          </w:p>
        </w:tc>
      </w:tr>
      <w:tr>
        <w:trPr>
          <w:cantSplit/>
        </w:trPr>
        <w:tc>
          <w:tcPr>
            <w:tcW w:type="dxa" w:w="2304"/>
            <w:vAlign w:val="top"/>
          </w:tcPr>
          <w:p>
            <w:pPr>
              <w:spacing w:after="40" w:before="0" w:line="259" w:lineRule="auto"/>
            </w:pPr>
            <w:r>
              <w:rPr>
                <w:rFonts w:ascii="Calibri" w:hAnsi="Calibri"/>
                <w:b/>
                <w:i w:val="0"/>
                <w:color w:val="212121"/>
                <w:sz w:val="19"/>
              </w:rPr>
              <w:t>White or red patch in the mouth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Leukoplakia/erythroplakia at the quid-placement site - potentially malignant.</w:t>
            </w:r>
          </w:p>
        </w:tc>
      </w:tr>
      <w:tr>
        <w:trPr>
          <w:cantSplit/>
        </w:trPr>
        <w:tc>
          <w:tcPr>
            <w:tcW w:type="dxa" w:w="2304"/>
            <w:vAlign w:val="top"/>
          </w:tcPr>
          <w:p>
            <w:pPr>
              <w:spacing w:after="40" w:before="0" w:line="259" w:lineRule="auto"/>
            </w:pPr>
            <w:r>
              <w:rPr>
                <w:rFonts w:ascii="Calibri" w:hAnsi="Calibri"/>
                <w:b/>
                <w:i w:val="0"/>
                <w:color w:val="212121"/>
                <w:sz w:val="19"/>
              </w:rPr>
              <w:t>Dry mouth / altered or reduced taste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Mucosal changes and reduced salivation from chronic chewing.</w:t>
            </w:r>
          </w:p>
        </w:tc>
      </w:tr>
      <w:tr>
        <w:trPr>
          <w:cantSplit/>
        </w:trPr>
        <w:tc>
          <w:tcPr>
            <w:tcW w:type="dxa" w:w="2304"/>
            <w:vAlign w:val="top"/>
          </w:tcPr>
          <w:p>
            <w:pPr>
              <w:spacing w:after="40" w:before="0" w:line="259" w:lineRule="auto"/>
            </w:pPr>
            <w:r>
              <w:rPr>
                <w:rFonts w:ascii="Calibri" w:hAnsi="Calibri"/>
                <w:b/>
                <w:i w:val="0"/>
                <w:color w:val="212121"/>
                <w:sz w:val="19"/>
              </w:rPr>
              <w:t>Bad breath and tooth staining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Tobacco residue causes halitosis and brown-black staining of teeth.</w:t>
            </w:r>
          </w:p>
        </w:tc>
      </w:tr>
      <w:tr>
        <w:trPr>
          <w:cantSplit/>
        </w:trPr>
        <w:tc>
          <w:tcPr>
            <w:tcW w:type="dxa" w:w="2304"/>
            <w:vAlign w:val="top"/>
          </w:tcPr>
          <w:p>
            <w:pPr>
              <w:spacing w:after="40" w:before="0" w:line="259" w:lineRule="auto"/>
            </w:pPr>
            <w:r>
              <w:rPr>
                <w:rFonts w:ascii="Calibri" w:hAnsi="Calibri"/>
                <w:b/>
                <w:i w:val="0"/>
                <w:color w:val="212121"/>
                <w:sz w:val="19"/>
              </w:rPr>
              <w:t>Non-healing mouth ulcer or sore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 ulcer persisting beyond 2-3 weeks is a red flag for oral cancer.</w:t>
            </w:r>
          </w:p>
        </w:tc>
      </w:tr>
      <w:tr>
        <w:trPr>
          <w:cantSplit/>
        </w:trPr>
        <w:tc>
          <w:tcPr>
            <w:tcW w:type="dxa" w:w="2304"/>
            <w:vAlign w:val="top"/>
          </w:tcPr>
          <w:p>
            <w:pPr>
              <w:spacing w:after="40" w:before="0" w:line="259" w:lineRule="auto"/>
            </w:pPr>
            <w:r>
              <w:rPr>
                <w:rFonts w:ascii="Calibri" w:hAnsi="Calibri"/>
                <w:b/>
                <w:i w:val="0"/>
                <w:color w:val="212121"/>
                <w:sz w:val="19"/>
              </w:rPr>
              <w:t>Painful or difficult swallowing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indicate advanced oral/oropharyngeal or oesophageal lesion.</w:t>
            </w:r>
          </w:p>
        </w:tc>
      </w:tr>
      <w:tr>
        <w:trPr>
          <w:cantSplit/>
        </w:trPr>
        <w:tc>
          <w:tcPr>
            <w:tcW w:type="dxa" w:w="2304"/>
            <w:vAlign w:val="top"/>
          </w:tcPr>
          <w:p>
            <w:pPr>
              <w:spacing w:after="40" w:before="0" w:line="259" w:lineRule="auto"/>
            </w:pPr>
            <w:r>
              <w:rPr>
                <w:rFonts w:ascii="Calibri" w:hAnsi="Calibri"/>
                <w:b/>
                <w:i w:val="0"/>
                <w:color w:val="212121"/>
                <w:sz w:val="19"/>
              </w:rPr>
              <w:t>Gum recession and loose teeth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Periodontal destruction at the site of tobacco placement.</w:t>
            </w:r>
          </w:p>
        </w:tc>
      </w:tr>
      <w:tr>
        <w:trPr>
          <w:cantSplit/>
        </w:trPr>
        <w:tc>
          <w:tcPr>
            <w:tcW w:type="dxa" w:w="2304"/>
            <w:vAlign w:val="top"/>
          </w:tcPr>
          <w:p>
            <w:pPr>
              <w:spacing w:after="40" w:before="0" w:line="259" w:lineRule="auto"/>
            </w:pPr>
            <w:r>
              <w:rPr>
                <w:rFonts w:ascii="Calibri" w:hAnsi="Calibri"/>
                <w:b/>
                <w:i w:val="0"/>
                <w:color w:val="212121"/>
                <w:sz w:val="19"/>
              </w:rPr>
              <w:t>Lump or thickening in the cheek/lip/neck</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represent a tumour mass or nodal spread; needs urgent evaluation.</w:t>
            </w:r>
          </w:p>
        </w:tc>
      </w:tr>
      <w:tr>
        <w:trPr>
          <w:cantSplit/>
        </w:trPr>
        <w:tc>
          <w:tcPr>
            <w:tcW w:type="dxa" w:w="2304"/>
            <w:vAlign w:val="top"/>
          </w:tcPr>
          <w:p>
            <w:pPr>
              <w:spacing w:after="40" w:before="0" w:line="259" w:lineRule="auto"/>
            </w:pPr>
            <w:r>
              <w:rPr>
                <w:rFonts w:ascii="Calibri" w:hAnsi="Calibri"/>
                <w:b/>
                <w:i w:val="0"/>
                <w:color w:val="212121"/>
                <w:sz w:val="19"/>
              </w:rPr>
              <w:t>Change in voice or persistent hoarseness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extension to the oropharynx/larynx in advanced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Blanching and palpable fibrous bands of oral mucosa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Hallmark of oral submucous fibrosis from areca-nut/gutka use.</w:t>
            </w:r>
          </w:p>
        </w:tc>
      </w:tr>
      <w:tr>
        <w:trPr>
          <w:cantSplit/>
        </w:trPr>
        <w:tc>
          <w:tcPr>
            <w:tcW w:type="dxa" w:w="3456"/>
            <w:vAlign w:val="top"/>
          </w:tcPr>
          <w:p>
            <w:pPr>
              <w:spacing w:after="40" w:before="0" w:line="259" w:lineRule="auto"/>
            </w:pPr>
            <w:r>
              <w:rPr>
                <w:rFonts w:ascii="Calibri" w:hAnsi="Calibri"/>
                <w:b/>
                <w:i w:val="0"/>
                <w:color w:val="212121"/>
                <w:sz w:val="19"/>
              </w:rPr>
              <w:t>Restricted maximal mouth opening (&lt;35 mm)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marker of progressive OSMF-related trismus.</w:t>
            </w:r>
          </w:p>
        </w:tc>
      </w:tr>
      <w:tr>
        <w:trPr>
          <w:cantSplit/>
        </w:trPr>
        <w:tc>
          <w:tcPr>
            <w:tcW w:type="dxa" w:w="3456"/>
            <w:vAlign w:val="top"/>
          </w:tcPr>
          <w:p>
            <w:pPr>
              <w:spacing w:after="40" w:before="0" w:line="259" w:lineRule="auto"/>
            </w:pPr>
            <w:r>
              <w:rPr>
                <w:rFonts w:ascii="Calibri" w:hAnsi="Calibri"/>
                <w:b/>
                <w:i w:val="0"/>
                <w:color w:val="212121"/>
                <w:sz w:val="19"/>
              </w:rPr>
              <w:t>Leukoplakia (adherent white patch)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Common potentially malignant lesion at the placement site.</w:t>
            </w:r>
          </w:p>
        </w:tc>
      </w:tr>
      <w:tr>
        <w:trPr>
          <w:cantSplit/>
        </w:trPr>
        <w:tc>
          <w:tcPr>
            <w:tcW w:type="dxa" w:w="3456"/>
            <w:vAlign w:val="top"/>
          </w:tcPr>
          <w:p>
            <w:pPr>
              <w:spacing w:after="40" w:before="0" w:line="259" w:lineRule="auto"/>
            </w:pPr>
            <w:r>
              <w:rPr>
                <w:rFonts w:ascii="Calibri" w:hAnsi="Calibri"/>
                <w:b/>
                <w:i w:val="0"/>
                <w:color w:val="212121"/>
                <w:sz w:val="19"/>
              </w:rPr>
              <w:t>Tobacco pouch keratosis at quid-placement site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Grey-white wrinkled mucosa where the quid is habitually held.</w:t>
            </w:r>
          </w:p>
        </w:tc>
      </w:tr>
      <w:tr>
        <w:trPr>
          <w:cantSplit/>
        </w:trPr>
        <w:tc>
          <w:tcPr>
            <w:tcW w:type="dxa" w:w="3456"/>
            <w:vAlign w:val="top"/>
          </w:tcPr>
          <w:p>
            <w:pPr>
              <w:spacing w:after="40" w:before="0" w:line="259" w:lineRule="auto"/>
            </w:pPr>
            <w:r>
              <w:rPr>
                <w:rFonts w:ascii="Calibri" w:hAnsi="Calibri"/>
                <w:b/>
                <w:i w:val="0"/>
                <w:color w:val="212121"/>
                <w:sz w:val="19"/>
              </w:rPr>
              <w:t>Gingival recession &amp; tooth staining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Localised periodontal damage and brown-black staining from tobacco.</w:t>
            </w:r>
          </w:p>
        </w:tc>
      </w:tr>
      <w:tr>
        <w:trPr>
          <w:cantSplit/>
        </w:trPr>
        <w:tc>
          <w:tcPr>
            <w:tcW w:type="dxa" w:w="3456"/>
            <w:vAlign w:val="top"/>
          </w:tcPr>
          <w:p>
            <w:pPr>
              <w:spacing w:after="40" w:before="0" w:line="259" w:lineRule="auto"/>
            </w:pPr>
            <w:r>
              <w:rPr>
                <w:rFonts w:ascii="Calibri" w:hAnsi="Calibri"/>
                <w:b/>
                <w:i w:val="0"/>
                <w:color w:val="212121"/>
                <w:sz w:val="19"/>
              </w:rPr>
              <w:t>Erythroplakia (velvety red patch)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 mucosal patch with high malignant transformation potential.</w:t>
            </w:r>
          </w:p>
        </w:tc>
      </w:tr>
      <w:tr>
        <w:trPr>
          <w:cantSplit/>
        </w:trPr>
        <w:tc>
          <w:tcPr>
            <w:tcW w:type="dxa" w:w="3456"/>
            <w:vAlign w:val="top"/>
          </w:tcPr>
          <w:p>
            <w:pPr>
              <w:spacing w:after="40" w:before="0" w:line="259" w:lineRule="auto"/>
            </w:pPr>
            <w:r>
              <w:rPr>
                <w:rFonts w:ascii="Calibri" w:hAnsi="Calibri"/>
                <w:b/>
                <w:i w:val="0"/>
                <w:color w:val="212121"/>
                <w:sz w:val="19"/>
              </w:rPr>
              <w:t>Ulceroproliferative growth with rolled/indurated margins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Classic appearance of oral squamous cell carcinoma.</w:t>
            </w:r>
          </w:p>
        </w:tc>
      </w:tr>
      <w:tr>
        <w:trPr>
          <w:cantSplit/>
        </w:trPr>
        <w:tc>
          <w:tcPr>
            <w:tcW w:type="dxa" w:w="3456"/>
            <w:vAlign w:val="top"/>
          </w:tcPr>
          <w:p>
            <w:pPr>
              <w:spacing w:after="40" w:before="0" w:line="259" w:lineRule="auto"/>
            </w:pPr>
            <w:r>
              <w:rPr>
                <w:rFonts w:ascii="Calibri" w:hAnsi="Calibri"/>
                <w:b/>
                <w:i w:val="0"/>
                <w:color w:val="212121"/>
                <w:sz w:val="19"/>
              </w:rPr>
              <w:t>Depapillation / leathery stiff tongue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Loss of tongue papillae and reduced protrusion in advanced OSMF.</w:t>
            </w:r>
          </w:p>
        </w:tc>
      </w:tr>
      <w:tr>
        <w:trPr>
          <w:cantSplit/>
        </w:trPr>
        <w:tc>
          <w:tcPr>
            <w:tcW w:type="dxa" w:w="3456"/>
            <w:vAlign w:val="top"/>
          </w:tcPr>
          <w:p>
            <w:pPr>
              <w:spacing w:after="40" w:before="0" w:line="259" w:lineRule="auto"/>
            </w:pPr>
            <w:r>
              <w:rPr>
                <w:rFonts w:ascii="Calibri" w:hAnsi="Calibri"/>
                <w:b/>
                <w:i w:val="0"/>
                <w:color w:val="212121"/>
                <w:sz w:val="19"/>
              </w:rPr>
              <w:t>Cervical lymphadenopathy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Hard, fixed neck nodes suggest metastatic oral cancer.</w:t>
            </w:r>
          </w:p>
        </w:tc>
      </w:tr>
      <w:tr>
        <w:trPr>
          <w:cantSplit/>
        </w:trPr>
        <w:tc>
          <w:tcPr>
            <w:tcW w:type="dxa" w:w="3456"/>
            <w:vAlign w:val="top"/>
          </w:tcPr>
          <w:p>
            <w:pPr>
              <w:spacing w:after="40" w:before="0" w:line="259" w:lineRule="auto"/>
            </w:pPr>
            <w:r>
              <w:rPr>
                <w:rFonts w:ascii="Calibri" w:hAnsi="Calibri"/>
                <w:b/>
                <w:i w:val="0"/>
                <w:color w:val="212121"/>
                <w:sz w:val="19"/>
              </w:rPr>
              <w:t>Elevated blood pressure / tachycardia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Acute sympathomimetic effect of nicotine.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Nicotine dependence with craving and withdrawal (irritability, restlessness, poor concentration)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pouch keratosis and mucosal irritation at the placement site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Halitosis, dental staining, dental attrition and caries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Gingival recession and periodontal disease</w:t>
            </w:r>
          </w:p>
        </w:tc>
        <w:tc>
          <w:tcPr>
            <w:tcW w:type="dxa" w:w="2980"/>
            <w:vAlign w:val="top"/>
          </w:tcPr>
          <w:p>
            <w:pPr>
              <w:spacing w:after="40" w:before="0" w:line="259" w:lineRule="auto"/>
            </w:pPr>
            <w:r>
              <w:rPr>
                <w:rFonts w:ascii="Calibri" w:hAnsi="Calibri"/>
                <w:b w:val="0"/>
                <w:i w:val="0"/>
                <w:color w:val="212121"/>
                <w:sz w:val="19"/>
              </w:rPr>
              <w:t>Direct local and dependence effects of habitual smokeless tobacco contact and nicotine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 submucous fibrosis with progressive trismus (largely irreversible)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 potentially malignant disorders - leukoplakia, erythroplakia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Hypertension and dyslipidaemia; raised type 2 diabetes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pregnancy outcomes - anaemia, low birth weight, prematurity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Leukoplakia/OSMF-related eating and speech difficulty</w:t>
            </w:r>
          </w:p>
        </w:tc>
        <w:tc>
          <w:tcPr>
            <w:tcW w:type="dxa" w:w="2980"/>
            <w:vAlign w:val="top"/>
          </w:tcPr>
          <w:p>
            <w:pPr>
              <w:spacing w:after="40" w:before="0" w:line="259" w:lineRule="auto"/>
            </w:pPr>
            <w:r>
              <w:rPr>
                <w:rFonts w:ascii="Calibri" w:hAnsi="Calibri"/>
                <w:b w:val="0"/>
                <w:i w:val="0"/>
                <w:color w:val="212121"/>
                <w:sz w:val="19"/>
              </w:rPr>
              <w:t>Chronic mucosal, metabolic and reproductive consequences of sustained exposure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 oropharyngeal and oesophageal squamous cell carcinoma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Myocardial infarction and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Cancer-treatment morbidity - facial disfigurement, impaired eating/speech/swallowing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Stillbirth and perinatal loss with use in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w:t>
            </w:r>
          </w:p>
        </w:tc>
        <w:tc>
          <w:tcPr>
            <w:tcW w:type="dxa" w:w="2980"/>
            <w:vAlign w:val="top"/>
          </w:tcPr>
          <w:p>
            <w:pPr>
              <w:spacing w:after="40" w:before="0" w:line="259" w:lineRule="auto"/>
            </w:pPr>
            <w:r>
              <w:rPr>
                <w:rFonts w:ascii="Calibri" w:hAnsi="Calibri"/>
                <w:b w:val="0"/>
                <w:i w:val="0"/>
                <w:color w:val="212121"/>
                <w:sz w:val="19"/>
              </w:rPr>
              <w:t>Irreversible, life-threatening outcomes of longstanding smokeless tobacco use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Oral submucous fibrosis (OSMF)</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Irreversible precancerous fibrosis of oral mucosa driven by areca nut in gutka/mawa/paan.</w:t>
            </w:r>
          </w:p>
        </w:tc>
      </w:tr>
      <w:tr>
        <w:trPr>
          <w:cantSplit/>
        </w:trPr>
        <w:tc>
          <w:tcPr>
            <w:tcW w:type="dxa" w:w="2232"/>
            <w:vAlign w:val="top"/>
          </w:tcPr>
          <w:p>
            <w:pPr>
              <w:spacing w:after="40" w:before="0" w:line="259" w:lineRule="auto"/>
            </w:pPr>
            <w:r>
              <w:rPr>
                <w:rFonts w:ascii="Calibri" w:hAnsi="Calibri"/>
                <w:b/>
                <w:i w:val="0"/>
                <w:color w:val="212121"/>
                <w:sz w:val="19"/>
              </w:rPr>
              <w:t>Oral leukoplakia / erythroplakia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Potentially malignant white/red lesions at the quid-placement site.</w:t>
            </w:r>
          </w:p>
        </w:tc>
      </w:tr>
      <w:tr>
        <w:trPr>
          <w:cantSplit/>
        </w:trPr>
        <w:tc>
          <w:tcPr>
            <w:tcW w:type="dxa" w:w="2232"/>
            <w:vAlign w:val="top"/>
          </w:tcPr>
          <w:p>
            <w:pPr>
              <w:spacing w:after="40" w:before="0" w:line="259" w:lineRule="auto"/>
            </w:pPr>
            <w:r>
              <w:rPr>
                <w:rFonts w:ascii="Calibri" w:hAnsi="Calibri"/>
                <w:b/>
                <w:i w:val="0"/>
                <w:color w:val="212121"/>
                <w:sz w:val="19"/>
              </w:rPr>
              <w:t>Oral &amp; oropharyngeal cancer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Smokeless tobacco causes more than half of India's oral cancers.</w:t>
            </w:r>
          </w:p>
          <w:p>
            <w:pPr>
              <w:spacing w:after="40" w:before="0" w:line="259" w:lineRule="auto"/>
            </w:pPr>
            <w:r>
              <w:rPr>
                <w:rFonts w:ascii="Calibri" w:hAnsi="Calibri"/>
                <w:b/>
                <w:i w:val="0"/>
                <w:color w:val="212121"/>
                <w:sz w:val="19"/>
              </w:rPr>
              <w:t>&gt;50% of oral cancers</w:t>
            </w:r>
          </w:p>
        </w:tc>
      </w:tr>
      <w:tr>
        <w:trPr>
          <w:cantSplit/>
        </w:trPr>
        <w:tc>
          <w:tcPr>
            <w:tcW w:type="dxa" w:w="2232"/>
            <w:vAlign w:val="top"/>
          </w:tcPr>
          <w:p>
            <w:pPr>
              <w:spacing w:after="40" w:before="0" w:line="259" w:lineRule="auto"/>
            </w:pPr>
            <w:r>
              <w:rPr>
                <w:rFonts w:ascii="Calibri" w:hAnsi="Calibri"/>
                <w:b/>
                <w:i w:val="0"/>
                <w:color w:val="212121"/>
                <w:sz w:val="19"/>
              </w:rPr>
              <w:t>Periodontal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Gingival recession, bone loss and tooth loss from chronic tobacco contact.</w:t>
            </w:r>
          </w:p>
        </w:tc>
      </w:tr>
      <w:tr>
        <w:trPr>
          <w:cantSplit/>
        </w:trPr>
        <w:tc>
          <w:tcPr>
            <w:tcW w:type="dxa" w:w="2232"/>
            <w:vAlign w:val="top"/>
          </w:tcPr>
          <w:p>
            <w:pPr>
              <w:spacing w:after="40" w:before="0" w:line="259" w:lineRule="auto"/>
            </w:pPr>
            <w:r>
              <w:rPr>
                <w:rFonts w:ascii="Calibri" w:hAnsi="Calibri"/>
                <w:b/>
                <w:i w:val="0"/>
                <w:color w:val="212121"/>
                <w:sz w:val="19"/>
              </w:rPr>
              <w:t>Cardiovascular disease (MI, stroke)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Nicotine-driven hypertension, endothelial dysfunction and thrombosis.</w:t>
            </w:r>
          </w:p>
          <w:p>
            <w:pPr>
              <w:spacing w:after="40" w:before="0" w:line="259" w:lineRule="auto"/>
            </w:pPr>
            <w:r>
              <w:rPr>
                <w:rFonts w:ascii="Calibri" w:hAnsi="Calibri"/>
                <w:b/>
                <w:i w:val="0"/>
                <w:color w:val="212121"/>
                <w:sz w:val="19"/>
              </w:rPr>
              <w:t>MI risk +30-220%; stroke +40-70%</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Nicotine-related insulin resistance; higher diabetes risk in users.</w:t>
            </w:r>
          </w:p>
          <w:p>
            <w:pPr>
              <w:spacing w:after="40" w:before="0" w:line="259" w:lineRule="auto"/>
            </w:pPr>
            <w:r>
              <w:rPr>
                <w:rFonts w:ascii="Calibri" w:hAnsi="Calibri"/>
                <w:b/>
                <w:i w:val="0"/>
                <w:color w:val="212121"/>
                <w:sz w:val="19"/>
              </w:rPr>
              <w:t>~1.77x odds</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Acute and chronic blood-pressure elevation from nicotine.</w:t>
            </w:r>
          </w:p>
        </w:tc>
      </w:tr>
      <w:tr>
        <w:trPr>
          <w:cantSplit/>
        </w:trPr>
        <w:tc>
          <w:tcPr>
            <w:tcW w:type="dxa" w:w="2232"/>
            <w:vAlign w:val="top"/>
          </w:tcPr>
          <w:p>
            <w:pPr>
              <w:spacing w:after="40" w:before="0" w:line="259" w:lineRule="auto"/>
            </w:pPr>
            <w:r>
              <w:rPr>
                <w:rFonts w:ascii="Calibri" w:hAnsi="Calibri"/>
                <w:b/>
                <w:i w:val="0"/>
                <w:color w:val="212121"/>
                <w:sz w:val="19"/>
              </w:rPr>
              <w:t>Adverse pregnancy outcomes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Anaemia, low birth weight and stillbirth with use in pregnancy.</w:t>
            </w:r>
          </w:p>
          <w:p>
            <w:pPr>
              <w:spacing w:after="40" w:before="0" w:line="259" w:lineRule="auto"/>
            </w:pPr>
            <w:r>
              <w:rPr>
                <w:rFonts w:ascii="Calibri" w:hAnsi="Calibri"/>
                <w:b/>
                <w:i w:val="0"/>
                <w:color w:val="212121"/>
                <w:sz w:val="19"/>
              </w:rPr>
              <w:t>LBW &amp; stillbirth 2-3x</w:t>
            </w:r>
          </w:p>
        </w:tc>
      </w:tr>
      <w:tr>
        <w:trPr>
          <w:cantSplit/>
        </w:trPr>
        <w:tc>
          <w:tcPr>
            <w:tcW w:type="dxa" w:w="2232"/>
            <w:vAlign w:val="top"/>
          </w:tcPr>
          <w:p>
            <w:pPr>
              <w:spacing w:after="40" w:before="0" w:line="259" w:lineRule="auto"/>
            </w:pPr>
            <w:r>
              <w:rPr>
                <w:rFonts w:ascii="Calibri" w:hAnsi="Calibri"/>
                <w:b/>
                <w:i w:val="0"/>
                <w:color w:val="212121"/>
                <w:sz w:val="19"/>
              </w:rPr>
              <w:t>Nicotine dependence / tobacco use disorder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underlying addictive disorder sustaining all other harms.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all smokeless tobacco (khaini, gutka, zarda, paan with tobacco, mishri) is addictive and carcinogenic - 'chewing' is not safe.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areca nut/supari itself causes oral submucous fibrosis, even without tobacco.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mouth burning with spicy food, reducing mouth opening, white/red patches, or any ulcer lasting over 2-3 weeks - and seek prompt oral examination.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monthly oral self-examination and attend oral-cancer screening, especially if a long-term user.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children and adolescents away from initiation; refuse offers of tobacco at social/ritual occasions.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national Quitline (1800-11-2356) and mCessation support are free and confidential.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SLT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low-literacy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counselling (brief advice, motivational interviewing, the 5A's) as the foundation of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pharmacotherapy where appropriate - nicotine replacement (gum/lozenge/patch), or bupropion/varenicline under medical supervision.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a firm quit date and identify and avoid personal triggers (stress, work breaks, tea, peers who chew).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cravings and withdrawal with short-term coping skills - delay, deep breathing, sugar-free chewing, distraction.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stress, anxiety or depression that fuel use, and arrange follow-up to prevent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Grade dependence (FTND-ST) to match support intensity; refer high-dependence users to a tobacco-cessation clinic.</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Dependent SLT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Users with prior failed attempts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Users with stress/anxiety/depression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 tobacco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areca nut/supari, betel quid and pan-masala products, which independently cause oral submucous fibrosis.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the oral habit with healthier alternatives - sugar-free gum, saunf (fennel), cardamom, roasted grams or fruit.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antioxidant-rich diet with plenty of fruits and vegetables to support mucosal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to ease dry mouth during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pairing meals or tea/coffee with tobacco to break habit cues.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Gutka/paan chewers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Areca-nut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Users with OSMF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quitting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 all forms of tobacco together - stopping chewing while continuing to smoke (or vice versa) leaves major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dual use explicitly, as combined smoking and chewing multiplies oral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NRT/pharmacotherapy to cover nicotine withdrawal from both products simultaneously.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in a structured cessation programme with scheduled follow-up.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 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Chewers who also smoke bidi/cigarettes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which acts synergistically with tobacco to sharply raise oral, pharyngeal and oesophageal 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combine drinking sessions with chewing, a common relapse trigger.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combined support if both alcohol and tobacco dependence are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Chewers who also drink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Aerodigestive-cancer high-risk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regular physical activity (brisk walking, cycling) to reduce cravings, stress and withdrawal-related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150 minutes of moderate activity per week to support cardiovascular recovery after quitting.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Channel oral-fixation urges into activity breaks instead of reaching for a sachet.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Users quitting SLT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Users with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chewers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sleep hygiene during cessation, as nicotine withdrawal can disrupt sleep in the first weeks.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tobacco to 'stay alert' on night/shift work; plan alternative alertness strategies.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sleep to normalise within a few weeks of quitting.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Users in early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Shift/night workers who chew</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tcp.mohfw.gov.in/assets/document/surveys-reports-publications/GATS-2-FactSheet.pdf" TargetMode="External"/><Relationship Id="rId10" Type="http://schemas.openxmlformats.org/officeDocument/2006/relationships/hyperlink" Target="https://cdn.who.int/media/docs/default-source/searo/india/health-topic-pdf/smokeless-tobacco-and-public-health-in-india.pdf" TargetMode="External"/><Relationship Id="rId11" Type="http://schemas.openxmlformats.org/officeDocument/2006/relationships/hyperlink" Target="https://ntcp.mohfw.gov.in/assets/document/surveys-reports-publications/Global-Adult-Tobacco-Survey-Second-Round-India-2016-2017.pdf" TargetMode="External"/><Relationship Id="rId12" Type="http://schemas.openxmlformats.org/officeDocument/2006/relationships/hyperlink" Target="https://pmc.ncbi.nlm.nih.gov/articles/PMC11414337/" TargetMode="External"/><Relationship Id="rId13" Type="http://schemas.openxmlformats.org/officeDocument/2006/relationships/hyperlink" Target="https://ascopubs.org/doi/10.1200/GO.24.00152" TargetMode="External"/><Relationship Id="rId14" Type="http://schemas.openxmlformats.org/officeDocument/2006/relationships/hyperlink" Target="https://pubmed.ncbi.nlm.nih.gov/28292008/" TargetMode="External"/><Relationship Id="rId15" Type="http://schemas.openxmlformats.org/officeDocument/2006/relationships/hyperlink" Target="https://www.nejm.org/doi/full/10.1056/NEJMp2500631" TargetMode="External"/><Relationship Id="rId16" Type="http://schemas.openxmlformats.org/officeDocument/2006/relationships/hyperlink" Target="https://journal.waocp.org/article_90929.html" TargetMode="External"/><Relationship Id="rId17" Type="http://schemas.openxmlformats.org/officeDocument/2006/relationships/hyperlink" Target="https://pmc.ncbi.nlm.nih.gov/articles/PMC10243400/" TargetMode="External"/><Relationship Id="rId18" Type="http://schemas.openxmlformats.org/officeDocument/2006/relationships/hyperlink" Target="https://ijmr.org.in/oral-health-consequences-of-smokeless-tobacco-use/" TargetMode="External"/><Relationship Id="rId19" Type="http://schemas.openxmlformats.org/officeDocument/2006/relationships/hyperlink" Target="https://pubmed.ncbi.nlm.nih.gov/196903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