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Somatic Symptom Disorder</w:t>
      </w:r>
    </w:p>
    <w:p>
      <w:pPr>
        <w:spacing w:before="0" w:after="160"/>
      </w:pPr>
      <w:r>
        <w:rPr>
          <w:rFonts w:ascii="Calibri" w:hAnsi="Calibri"/>
          <w:b/>
          <w:i w:val="0"/>
          <w:color w:val="212121"/>
          <w:sz w:val="22"/>
        </w:rPr>
        <w:t xml:space="preserve">AKA </w:t>
      </w:r>
      <w:r>
        <w:rPr>
          <w:rFonts w:ascii="Calibri" w:hAnsi="Calibri"/>
          <w:b w:val="0"/>
          <w:i w:val="0"/>
          <w:color w:val="212121"/>
          <w:sz w:val="22"/>
        </w:rPr>
        <w:t>i.e., SSD, Somatization, Somatoform disorder, Bodily distress disorder (ICD-11), Briquet's syndrome (historical), “medically unexplained physical symptoms”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Somatic Symptom Disorder (SSD) is a mental-health condition in which a person experiences one or more distressing physical (somatic) symptoms — such as pain, fatigue, breathlessness or gastrointestinal upset — together with excessive and disproportionate thoughts, feelings and behaviours about those symptoms and their health implications. The distress and health preoccupation are genuine and disabling regardless of whether the symptoms can be fully explained by an identifiable medical illness; the diagnosis rests on the person's maladaptive response to symptoms rather than on the symptoms being “unexplained.” Introduced in DSM-5 (2013), SSD replaced most of the older “somatoform” categories (somatization disorder, hypochondriasis, pain disorder and undifferentiated somatoform disorder) and corresponds broadly to the ICD-11 diagnosis “bodily distress disorder.”</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Somatic symptoms are among the commonest reasons Indians consult a doctor, yet formal SSD is under-recognised because distress is frequently expressed through the body (“somatic idioms of distress”) rather than named as psychological. In the general population SSD is estimated to affect about 5–7% of adults, rising to roughly 17% of primary-care attenders and to 25–60% of patients with functional syndromes such as fibromyalgia, irritable bowel syndrome and chronic fatigue. Indian data mirror this high burden: neurotic, stress-related and somatoform disorders are consistently among the leading psychiatric presentations in Indian community and clinic studies, and a study of Indian school-going adolescents reported somatoform disorder in about 4.45% of rural youth, significantly higher than in urban peers. India's overall mental-health burden is large — roughly 2,443 disability-adjusted life years (DALYs) per 100,000 population — alongside a wide treatment gap, so many people with SSD cycle through repeated investigations without their underlying distress being addressed.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SSD is a clinical diagnosis based on DSM-5-TR criteria; there is no confirmatory laboratory test, and investigations are used mainly to exclude organic disease while deliberately avoiding excessive, harm-causing testing. Diagnosis requires: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one or more somatic symptoms that are distressing or result in significant disruption of daily life (Criterion 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excessive thoughts, feelings or behaviours related to the somatic symptoms or associated health concerns, shown by at least one of — (1) disproportionate and persistent thoughts about the seriousness of one's symptoms, (2) a persistently high level of anxiety about health or symptoms, or (3) excessive time and energy devoted to these symptoms or health concerns (Criterion B);</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although any one somatic symptom may not be continuously present, the symptomatic state is persistent, typically for more than 6 months (Criterion 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specifiers are then applied — “with predominant pain” (formerly pain disorder), “persistent” (severe symptoms, marked impairment and long duration), and severity graded mild (one Criterion-B symptom), moderate (two or more) or severe (two or more plus multiple somatic complaints or one very severe symptom);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critically, the diagnosis is positive — based on distressing symptoms plus a disproportionate response to them — and does NOT require the symptoms to be “medically unexplained”; SSD may coexist with a genuine medical illness such as diabetes or ischaemic heart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SSD sits within the DSM-5 “Somatic Symptom and Related Disorders” group and is defined more by severity specifiers and related conditions than by discrete subtypes:</w:t>
      </w:r>
    </w:p>
    <w:p>
      <w:pPr>
        <w:spacing w:before="0" w:after="80"/>
      </w:pPr>
      <w:r>
        <w:rPr>
          <w:rFonts w:ascii="Calibri" w:hAnsi="Calibri"/>
          <w:b w:val="0"/>
          <w:i w:val="0"/>
          <w:color w:val="212121"/>
          <w:sz w:val="21"/>
        </w:rPr>
        <w:t>(1) Somatic Symptom Disorder itself — graded by severity (mild / moderate / severe) and chronicity (the “persistent” specifier), and sub-typed “with predominant pain” when pain is the dominant complaint;</w:t>
      </w:r>
    </w:p>
    <w:p>
      <w:pPr>
        <w:spacing w:before="0" w:after="80"/>
      </w:pPr>
      <w:r>
        <w:rPr>
          <w:rFonts w:ascii="Calibri" w:hAnsi="Calibri"/>
          <w:b w:val="0"/>
          <w:i w:val="0"/>
          <w:color w:val="212121"/>
          <w:sz w:val="21"/>
        </w:rPr>
        <w:t>(2) Illness Anxiety Disorder — preoccupation with having or acquiring a serious illness with minimal or no somatic symptoms (the health-anxiety-predominant remnant of former “hypochondriasis”);</w:t>
      </w:r>
    </w:p>
    <w:p>
      <w:pPr>
        <w:spacing w:before="0" w:after="80"/>
      </w:pPr>
      <w:r>
        <w:rPr>
          <w:rFonts w:ascii="Calibri" w:hAnsi="Calibri"/>
          <w:b w:val="0"/>
          <w:i w:val="0"/>
          <w:color w:val="212121"/>
          <w:sz w:val="21"/>
        </w:rPr>
        <w:t>(3) Functional Neurological Symptom Disorder (Conversion Disorder) — neurological symptoms such as weakness, non-epileptic seizures or sensory loss that are internally inconsistent and incompatible with recognised disease;</w:t>
      </w:r>
    </w:p>
    <w:p>
      <w:pPr>
        <w:spacing w:before="0" w:after="80"/>
      </w:pPr>
      <w:r>
        <w:rPr>
          <w:rFonts w:ascii="Calibri" w:hAnsi="Calibri"/>
          <w:b w:val="0"/>
          <w:i w:val="0"/>
          <w:color w:val="212121"/>
          <w:sz w:val="21"/>
        </w:rPr>
        <w:t>(4) related categories — Psychological Factors Affecting Other Medical Conditions and Factitious Disorder; in ICD-11 these are largely unified as “Bodily Distress Disorder,” graded by the degree of bodily preoccupation and functional impairment (mild / moderate / severe).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Childhood adversity and trauma: Childhood neglect, physical or sexual abuse and insecure attachment strongly predispose to later somatic symptom disorder.</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Female sex and psychosocial factors: SSD is markedly more common in women (female-to-male ratio around 10:1), reflecting hormonal, reproductive and gendered psychosocial influences.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Personality and cognitive style: Negative affectivity (neuroticism), catastrophising, symptom rumination, health-focused attention and avoidance amplify normal bodily sensations into distressing, feared symptoms.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and neurobiological factors: Genetic factors account for an estimated 7–21% of the variance in somatic symptoms, while altered pain processing, autonomic arousal and central sensitisation heighten bodily awareness.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Comorbid depression and anxiety: Mood and anxiety disorders frequently present through the body, and their presence both predisposes to and worsens SSD.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Psychosocial stress and illness behaviour: Unemployment, occupational dysfunction, family conflict, chronic stress and learned illness behaviour (reinforcement of the sick role) precipitate and perpetuate symptoms.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Sociocultural idioms of distress: In India, emotional distress is often expressed and legitimised somatically, shaping help-seeking toward physical rather than psychological complaints and delaying recognition.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w:t>
            </w:r>
          </w:p>
        </w:tc>
        <w:tc>
          <w:tcPr>
            <w:tcW w:type="dxa" w:w="4276"/>
            <w:vAlign w:val="top"/>
          </w:tcPr>
          <w:p>
            <w:pPr>
              <w:spacing w:after="60" w:line="259" w:lineRule="auto"/>
            </w:pPr>
            <w:r>
              <w:rPr>
                <w:rFonts w:ascii="Calibri" w:hAnsi="Calibri"/>
                <w:b w:val="0"/>
                <w:i w:val="0"/>
                <w:color w:val="212121"/>
                <w:sz w:val="19"/>
              </w:rPr>
              <w:t>SSD typically begins in adolescence or early adulthood and is most active during the productive years, when work, relationship and financial stressors are channelled into bodily distress and health preoccupation.</w:t>
            </w:r>
          </w:p>
          <w:p>
            <w:pPr>
              <w:spacing w:after="40" w:before="60" w:line="259" w:lineRule="auto"/>
            </w:pPr>
            <w:r>
              <w:rPr>
                <w:rFonts w:ascii="Calibri" w:hAnsi="Calibri"/>
                <w:b w:val="0"/>
                <w:i w:val="0"/>
                <w:color w:val="212121"/>
                <w:sz w:val="19"/>
              </w:rPr>
              <w:t>Somatic symptom disorder usually has its onset before age 30, and affects an estimated 5–7% of adults in the general population.</w:t>
            </w:r>
          </w:p>
          <w:p>
            <w:pPr>
              <w:spacing w:after="40" w:line="252" w:lineRule="auto"/>
            </w:pPr>
            <w:hyperlink r:id="rId9">
              <w:r>
                <w:rPr>
                  <w:rFonts w:ascii="Calibri" w:hAnsi="Calibri" w:cs="Calibri"/>
                  <w:sz w:val="18"/>
                  <w:color w:val="1155CC"/>
                  <w:u w:val="single"/>
                </w:rPr>
                <w:t xml:space="preserve">ncbi.nlm.nih.gov — StatPearls: Somatic Symptom Disorder</w:t>
              </w:r>
            </w:hyperlink>
          </w:p>
          <w:p>
            <w:pPr>
              <w:spacing w:before="60" w:after="40"/>
            </w:pPr>
            <w:r>
              <w:rPr>
                <w:rFonts w:ascii="Calibri" w:hAnsi="Calibri"/>
                <w:b w:val="0"/>
                <w:i w:val="0"/>
                <w:color w:val="5A5A5A"/>
                <w:sz w:val="18"/>
              </w:rPr>
              <w:t>#workingage  #somatization  #earlyonset  #healthanxiety  #distress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Academic pressure, family expectations and difficulty naming emotions lead many young Indians to express distress as headaches, abdominal pain, fatigue and “weakness,” especially where mental-health vocabulary and services are limited.</w:t>
            </w:r>
          </w:p>
          <w:p>
            <w:pPr>
              <w:spacing w:after="40" w:before="60" w:line="259" w:lineRule="auto"/>
            </w:pPr>
            <w:r>
              <w:rPr>
                <w:rFonts w:ascii="Calibri" w:hAnsi="Calibri"/>
                <w:b w:val="0"/>
                <w:i w:val="0"/>
                <w:color w:val="212121"/>
                <w:sz w:val="19"/>
              </w:rPr>
              <w:t>A study of Indian school-going adolescents found somatoform disorder in about 4.45% of rural youth, significantly higher than in their urban peers.</w:t>
            </w:r>
          </w:p>
          <w:p>
            <w:pPr>
              <w:spacing w:after="40" w:line="252" w:lineRule="auto"/>
            </w:pPr>
            <w:hyperlink r:id="rId10">
              <w:r>
                <w:rPr>
                  <w:rFonts w:ascii="Calibri" w:hAnsi="Calibri" w:cs="Calibri"/>
                  <w:sz w:val="18"/>
                  <w:color w:val="1155CC"/>
                  <w:u w:val="single"/>
                </w:rPr>
                <w:t xml:space="preserve">pubmed.ncbi.nlm.nih.gov/30992616 — psychiatric morbidity in Indian adolescents</w:t>
              </w:r>
            </w:hyperlink>
          </w:p>
          <w:p>
            <w:pPr>
              <w:spacing w:before="60" w:after="40"/>
            </w:pPr>
            <w:r>
              <w:rPr>
                <w:rFonts w:ascii="Calibri" w:hAnsi="Calibri"/>
                <w:b w:val="0"/>
                <w:i w:val="0"/>
                <w:color w:val="5A5A5A"/>
                <w:sz w:val="18"/>
              </w:rPr>
              <w:t>#adolescents  #examstress  #somatoform  #India  #ruralyouth</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somatic complaints are readily attributed to genuine age-related illness, so SSD is frequently missed; it overlaps with depression, anxiety, chronic pain and multimorbidity and drives high healthcare use.</w:t>
            </w:r>
          </w:p>
          <w:p>
            <w:pPr>
              <w:spacing w:after="40" w:before="60" w:line="259" w:lineRule="auto"/>
            </w:pPr>
            <w:r>
              <w:rPr>
                <w:rFonts w:ascii="Calibri" w:hAnsi="Calibri"/>
                <w:b w:val="0"/>
                <w:i w:val="0"/>
                <w:color w:val="212121"/>
                <w:sz w:val="19"/>
              </w:rPr>
              <w:t>Somatic symptoms and health anxiety are common in the elderly and frequently coexist with depression and chronic disease, adding to India's large mental-health burden (≈2,443 DALYs per 100,000 population).</w:t>
            </w:r>
          </w:p>
          <w:p>
            <w:pPr>
              <w:spacing w:after="40" w:line="252" w:lineRule="auto"/>
            </w:pPr>
            <w:hyperlink r:id="rId11">
              <w:r>
                <w:rPr>
                  <w:rFonts w:ascii="Calibri" w:hAnsi="Calibri" w:cs="Calibri"/>
                  <w:sz w:val="18"/>
                  <w:color w:val="1155CC"/>
                  <w:u w:val="single"/>
                </w:rPr>
                <w:t xml:space="preserve">who.int/india — mental health</w:t>
              </w:r>
            </w:hyperlink>
          </w:p>
          <w:p>
            <w:pPr>
              <w:spacing w:before="60" w:after="40"/>
            </w:pPr>
            <w:r>
              <w:rPr>
                <w:rFonts w:ascii="Calibri" w:hAnsi="Calibri"/>
                <w:b w:val="0"/>
                <w:i w:val="0"/>
                <w:color w:val="5A5A5A"/>
                <w:sz w:val="18"/>
              </w:rPr>
              <w:t>#elderly  #underdiagnosed  #multimorbidity  #chronicpain  #ageing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SSD is far more common in women, reflecting hormonal and reproductive influences, greater exposure to caregiving and domestic stress, and a stronger tendency for distress to be expressed somatically.</w:t>
            </w:r>
          </w:p>
          <w:p>
            <w:pPr>
              <w:spacing w:after="40" w:before="60" w:line="259" w:lineRule="auto"/>
            </w:pPr>
            <w:r>
              <w:rPr>
                <w:rFonts w:ascii="Calibri" w:hAnsi="Calibri"/>
                <w:b w:val="0"/>
                <w:i w:val="0"/>
                <w:color w:val="212121"/>
                <w:sz w:val="19"/>
              </w:rPr>
              <w:t>The female-to-male ratio for somatic symptom disorder is approximately 10:1.</w:t>
            </w:r>
          </w:p>
          <w:p>
            <w:pPr>
              <w:spacing w:after="40" w:line="252" w:lineRule="auto"/>
            </w:pPr>
            <w:hyperlink r:id="rId9">
              <w:r>
                <w:rPr>
                  <w:rFonts w:ascii="Calibri" w:hAnsi="Calibri" w:cs="Calibri"/>
                  <w:sz w:val="18"/>
                  <w:color w:val="1155CC"/>
                  <w:u w:val="single"/>
                </w:rPr>
                <w:t xml:space="preserve">ncbi.nlm.nih.gov — StatPearls: Somatic Symptom Disorder</w:t>
              </w:r>
            </w:hyperlink>
          </w:p>
          <w:p>
            <w:pPr>
              <w:spacing w:before="60" w:after="40"/>
            </w:pPr>
            <w:r>
              <w:rPr>
                <w:rFonts w:ascii="Calibri" w:hAnsi="Calibri"/>
                <w:b w:val="0"/>
                <w:i w:val="0"/>
                <w:color w:val="5A5A5A"/>
                <w:sz w:val="18"/>
              </w:rPr>
              <w:t>#women  #10to1  #hormonal  #gendered  #somaticdistress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low-education adults</w:t>
            </w:r>
          </w:p>
        </w:tc>
        <w:tc>
          <w:tcPr>
            <w:tcW w:type="dxa" w:w="4276"/>
            <w:vAlign w:val="top"/>
          </w:tcPr>
          <w:p>
            <w:pPr>
              <w:spacing w:after="60" w:line="259" w:lineRule="auto"/>
            </w:pPr>
            <w:r>
              <w:rPr>
                <w:rFonts w:ascii="Calibri" w:hAnsi="Calibri"/>
                <w:b w:val="0"/>
                <w:i w:val="0"/>
                <w:color w:val="212121"/>
                <w:sz w:val="19"/>
              </w:rPr>
              <w:t>Limited psychological vocabulary, financial strain, unemployment and reliance on somatic idioms of distress make lower socioeconomic groups more likely to present emotional distress as physical symptoms.</w:t>
            </w:r>
          </w:p>
          <w:p>
            <w:pPr>
              <w:spacing w:after="40" w:before="60" w:line="259" w:lineRule="auto"/>
            </w:pPr>
            <w:r>
              <w:rPr>
                <w:rFonts w:ascii="Calibri" w:hAnsi="Calibri"/>
                <w:b w:val="0"/>
                <w:i w:val="0"/>
                <w:color w:val="212121"/>
                <w:sz w:val="19"/>
              </w:rPr>
              <w:t>Unemployment and occupational dysfunction are recognised psychosocial risk factors for somatic symptom disorder.</w:t>
            </w:r>
          </w:p>
          <w:p>
            <w:pPr>
              <w:spacing w:after="40" w:line="252" w:lineRule="auto"/>
            </w:pPr>
            <w:hyperlink r:id="rId9">
              <w:r>
                <w:rPr>
                  <w:rFonts w:ascii="Calibri" w:hAnsi="Calibri" w:cs="Calibri"/>
                  <w:sz w:val="18"/>
                  <w:color w:val="1155CC"/>
                  <w:u w:val="single"/>
                </w:rPr>
                <w:t xml:space="preserve">ncbi.nlm.nih.gov — StatPearls: Somatic Symptom Disorder</w:t>
              </w:r>
            </w:hyperlink>
          </w:p>
          <w:p>
            <w:pPr>
              <w:spacing w:before="60" w:after="40"/>
            </w:pPr>
            <w:r>
              <w:rPr>
                <w:rFonts w:ascii="Calibri" w:hAnsi="Calibri"/>
                <w:b w:val="0"/>
                <w:i w:val="0"/>
                <w:color w:val="5A5A5A"/>
                <w:sz w:val="18"/>
              </w:rPr>
              <w:t>#lowincome  #idiomsofdistress  #unemployment  #SES  #accessgap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Rural Indian communities</w:t>
            </w:r>
          </w:p>
        </w:tc>
        <w:tc>
          <w:tcPr>
            <w:tcW w:type="dxa" w:w="4276"/>
            <w:vAlign w:val="top"/>
          </w:tcPr>
          <w:p>
            <w:pPr>
              <w:spacing w:after="60" w:line="259" w:lineRule="auto"/>
            </w:pPr>
            <w:r>
              <w:rPr>
                <w:rFonts w:ascii="Calibri" w:hAnsi="Calibri"/>
                <w:b w:val="0"/>
                <w:i w:val="0"/>
                <w:color w:val="212121"/>
                <w:sz w:val="19"/>
              </w:rPr>
              <w:t>Somatic presentation of distress, stigma toward mental illness and scarce mental-health services mean rural distress is often expressed and treated as physical illness, allowing SSD to become chronic.</w:t>
            </w:r>
          </w:p>
          <w:p>
            <w:pPr>
              <w:spacing w:after="40" w:before="60" w:line="259" w:lineRule="auto"/>
            </w:pPr>
            <w:r>
              <w:rPr>
                <w:rFonts w:ascii="Calibri" w:hAnsi="Calibri"/>
                <w:b w:val="0"/>
                <w:i w:val="0"/>
                <w:color w:val="212121"/>
                <w:sz w:val="19"/>
              </w:rPr>
              <w:t>A community study of rural adults in Haryana, North India, documented a high burden of common mental disorders — including depression, anxiety and somatoform/somatic symptoms.</w:t>
            </w:r>
          </w:p>
          <w:p>
            <w:pPr>
              <w:spacing w:after="40" w:line="252" w:lineRule="auto"/>
            </w:pPr>
            <w:hyperlink r:id="rId12">
              <w:r>
                <w:rPr>
                  <w:rFonts w:ascii="Calibri" w:hAnsi="Calibri" w:cs="Calibri"/>
                  <w:sz w:val="18"/>
                  <w:color w:val="1155CC"/>
                  <w:u w:val="single"/>
                </w:rPr>
                <w:t xml:space="preserve">pubmed.ncbi.nlm.nih.gov/38655225 — CMDs in rural Haryana</w:t>
              </w:r>
            </w:hyperlink>
          </w:p>
          <w:p>
            <w:pPr>
              <w:spacing w:before="60" w:after="40"/>
            </w:pPr>
            <w:r>
              <w:rPr>
                <w:rFonts w:ascii="Calibri" w:hAnsi="Calibri"/>
                <w:b w:val="0"/>
                <w:i w:val="0"/>
                <w:color w:val="5A5A5A"/>
                <w:sz w:val="18"/>
              </w:rPr>
              <w:t>#rural  #stigma  #India  #somatoform  #treatmentgap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Setting</w:t>
            </w:r>
          </w:p>
        </w:tc>
        <w:tc>
          <w:tcPr>
            <w:tcW w:type="dxa" w:w="2160"/>
            <w:vAlign w:val="top"/>
          </w:tcPr>
          <w:p>
            <w:pPr>
              <w:spacing w:after="40" w:before="0" w:line="259" w:lineRule="auto"/>
            </w:pPr>
            <w:r>
              <w:rPr>
                <w:rFonts w:ascii="Calibri" w:hAnsi="Calibri"/>
                <w:b w:val="0"/>
                <w:i w:val="0"/>
                <w:color w:val="212121"/>
                <w:sz w:val="19"/>
              </w:rPr>
              <w:t>Primary- &amp; tertiary-care attenders</w:t>
            </w:r>
          </w:p>
        </w:tc>
        <w:tc>
          <w:tcPr>
            <w:tcW w:type="dxa" w:w="4276"/>
            <w:vAlign w:val="top"/>
          </w:tcPr>
          <w:p>
            <w:pPr>
              <w:spacing w:after="60" w:line="259" w:lineRule="auto"/>
            </w:pPr>
            <w:r>
              <w:rPr>
                <w:rFonts w:ascii="Calibri" w:hAnsi="Calibri"/>
                <w:b w:val="0"/>
                <w:i w:val="0"/>
                <w:color w:val="212121"/>
                <w:sz w:val="19"/>
              </w:rPr>
              <w:t>People with SSD are frequent, high-utilising attenders across GP clinics and specialist departments, undergoing repeated investigations for persistent, distressing symptoms.</w:t>
            </w:r>
          </w:p>
          <w:p>
            <w:pPr>
              <w:spacing w:after="40" w:before="60" w:line="259" w:lineRule="auto"/>
            </w:pPr>
            <w:r>
              <w:rPr>
                <w:rFonts w:ascii="Calibri" w:hAnsi="Calibri"/>
                <w:b w:val="0"/>
                <w:i w:val="0"/>
                <w:color w:val="212121"/>
                <w:sz w:val="19"/>
              </w:rPr>
              <w:t>Neurotic, stress-related and somatoform disorders rank among the commonest psychiatric presentations in Indian tertiary-care settings, and SSD is found in roughly 17% of primary-care attenders.</w:t>
            </w:r>
          </w:p>
          <w:p>
            <w:pPr>
              <w:spacing w:after="40" w:line="252" w:lineRule="auto"/>
            </w:pPr>
            <w:hyperlink r:id="rId13">
              <w:r>
                <w:rPr>
                  <w:rFonts w:ascii="Calibri" w:hAnsi="Calibri" w:cs="Calibri"/>
                  <w:sz w:val="18"/>
                  <w:color w:val="1155CC"/>
                  <w:u w:val="single"/>
                </w:rPr>
                <w:t xml:space="preserve">pubmed.ncbi.nlm.nih.gov/37113348 — psychiatric morbidity, tertiary care</w:t>
              </w:r>
            </w:hyperlink>
          </w:p>
          <w:p>
            <w:pPr>
              <w:spacing w:before="60" w:after="40"/>
            </w:pPr>
            <w:r>
              <w:rPr>
                <w:rFonts w:ascii="Calibri" w:hAnsi="Calibri"/>
                <w:b w:val="0"/>
                <w:i w:val="0"/>
                <w:color w:val="5A5A5A"/>
                <w:sz w:val="18"/>
              </w:rPr>
              <w:t>#primarycare  #highutiliser  #investigations  #frequentattender  #tertiarycare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&amp; chronic-pain patients</w:t>
            </w:r>
          </w:p>
        </w:tc>
        <w:tc>
          <w:tcPr>
            <w:tcW w:type="dxa" w:w="4276"/>
            <w:vAlign w:val="top"/>
          </w:tcPr>
          <w:p>
            <w:pPr>
              <w:spacing w:after="60" w:line="259" w:lineRule="auto"/>
            </w:pPr>
            <w:r>
              <w:rPr>
                <w:rFonts w:ascii="Calibri" w:hAnsi="Calibri"/>
                <w:b w:val="0"/>
                <w:i w:val="0"/>
                <w:color w:val="212121"/>
                <w:sz w:val="19"/>
              </w:rPr>
              <w:t>Inactivity and fear-avoidance of movement cause deconditioning that amplifies fatigue and musculoskeletal pain, reinforcing the belief that the body is diseased; graded activity reduces symptom burden.</w:t>
            </w:r>
          </w:p>
          <w:p>
            <w:pPr>
              <w:spacing w:after="40" w:before="60" w:line="259" w:lineRule="auto"/>
            </w:pPr>
            <w:r>
              <w:rPr>
                <w:rFonts w:ascii="Calibri" w:hAnsi="Calibri"/>
                <w:b w:val="0"/>
                <w:i w:val="0"/>
                <w:color w:val="212121"/>
                <w:sz w:val="19"/>
              </w:rPr>
              <w:t>Physical deconditioning and activity avoidance perpetuate the fatigue and pain that dominate somatic symptom disorder, whereas graded exercise improves functional somatic symptoms.</w:t>
            </w:r>
          </w:p>
          <w:p>
            <w:pPr>
              <w:spacing w:before="60" w:after="40"/>
            </w:pPr>
            <w:r>
              <w:rPr>
                <w:rFonts w:ascii="Calibri" w:hAnsi="Calibri"/>
                <w:b w:val="0"/>
                <w:i w:val="0"/>
                <w:color w:val="5A5A5A"/>
                <w:sz w:val="18"/>
              </w:rPr>
              <w:t>#sedentary  #deconditioning  #fearavoidance  #chronicpain  #fatigue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&amp; tobacco/areca users</w:t>
            </w:r>
          </w:p>
        </w:tc>
        <w:tc>
          <w:tcPr>
            <w:tcW w:type="dxa" w:w="4276"/>
            <w:vAlign w:val="top"/>
          </w:tcPr>
          <w:p>
            <w:pPr>
              <w:spacing w:after="60" w:line="259" w:lineRule="auto"/>
            </w:pPr>
            <w:r>
              <w:rPr>
                <w:rFonts w:ascii="Calibri" w:hAnsi="Calibri"/>
                <w:b w:val="0"/>
                <w:i w:val="0"/>
                <w:color w:val="212121"/>
                <w:sz w:val="19"/>
              </w:rPr>
              <w:t>Tobacco and other substance use co-occur with somatic symptom disorder and add to the somatic load — cough, chest discomfort, palpitations — that patients may catastrophise as serious disease.</w:t>
            </w:r>
          </w:p>
          <w:p>
            <w:pPr>
              <w:spacing w:after="40" w:before="60" w:line="259" w:lineRule="auto"/>
            </w:pPr>
            <w:r>
              <w:rPr>
                <w:rFonts w:ascii="Calibri" w:hAnsi="Calibri"/>
                <w:b w:val="0"/>
                <w:i w:val="0"/>
                <w:color w:val="212121"/>
                <w:sz w:val="19"/>
              </w:rPr>
              <w:t>A history of alcohol and substance abuse is a recognised risk factor for somatic symptom disorder.</w:t>
            </w:r>
          </w:p>
          <w:p>
            <w:pPr>
              <w:spacing w:after="40" w:line="252" w:lineRule="auto"/>
            </w:pPr>
            <w:hyperlink r:id="rId9">
              <w:r>
                <w:rPr>
                  <w:rFonts w:ascii="Calibri" w:hAnsi="Calibri" w:cs="Calibri"/>
                  <w:sz w:val="18"/>
                  <w:color w:val="1155CC"/>
                  <w:u w:val="single"/>
                </w:rPr>
                <w:t xml:space="preserve">ncbi.nlm.nih.gov — StatPearls: Somatic Symptom Disorder</w:t>
              </w:r>
            </w:hyperlink>
          </w:p>
          <w:p>
            <w:pPr>
              <w:spacing w:before="60" w:after="40"/>
            </w:pPr>
            <w:r>
              <w:rPr>
                <w:rFonts w:ascii="Calibri" w:hAnsi="Calibri"/>
                <w:b w:val="0"/>
                <w:i w:val="0"/>
                <w:color w:val="5A5A5A"/>
                <w:sz w:val="18"/>
              </w:rPr>
              <w:t>#smoking  #tobacco  #substanceuse  #arousal  #comorbid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Hazardous alcohol / sedative users</w:t>
            </w:r>
          </w:p>
        </w:tc>
        <w:tc>
          <w:tcPr>
            <w:tcW w:type="dxa" w:w="4276"/>
            <w:vAlign w:val="top"/>
          </w:tcPr>
          <w:p>
            <w:pPr>
              <w:spacing w:after="60" w:line="259" w:lineRule="auto"/>
            </w:pPr>
            <w:r>
              <w:rPr>
                <w:rFonts w:ascii="Calibri" w:hAnsi="Calibri"/>
                <w:b w:val="0"/>
                <w:i w:val="0"/>
                <w:color w:val="212121"/>
                <w:sz w:val="19"/>
              </w:rPr>
              <w:t>Alcohol and sedatives are often used to cope with chronic distress and symptoms; misuse both predisposes to and worsens SSD and complicates its management.</w:t>
            </w:r>
          </w:p>
          <w:p>
            <w:pPr>
              <w:spacing w:after="40" w:before="60" w:line="259" w:lineRule="auto"/>
            </w:pPr>
            <w:r>
              <w:rPr>
                <w:rFonts w:ascii="Calibri" w:hAnsi="Calibri"/>
                <w:b w:val="0"/>
                <w:i w:val="0"/>
                <w:color w:val="212121"/>
                <w:sz w:val="19"/>
              </w:rPr>
              <w:t>A history of alcohol and substance misuse is among the established risk factors for somatic symptom disorder.</w:t>
            </w:r>
          </w:p>
          <w:p>
            <w:pPr>
              <w:spacing w:after="40" w:line="252" w:lineRule="auto"/>
            </w:pPr>
            <w:hyperlink r:id="rId9">
              <w:r>
                <w:rPr>
                  <w:rFonts w:ascii="Calibri" w:hAnsi="Calibri" w:cs="Calibri"/>
                  <w:sz w:val="18"/>
                  <w:color w:val="1155CC"/>
                  <w:u w:val="single"/>
                </w:rPr>
                <w:t xml:space="preserve">ncbi.nlm.nih.gov — StatPearls: Somatic Symptom Disorder</w:t>
              </w:r>
            </w:hyperlink>
          </w:p>
          <w:p>
            <w:pPr>
              <w:spacing w:before="60" w:after="40"/>
            </w:pPr>
            <w:r>
              <w:rPr>
                <w:rFonts w:ascii="Calibri" w:hAnsi="Calibri"/>
                <w:b w:val="0"/>
                <w:i w:val="0"/>
                <w:color w:val="5A5A5A"/>
                <w:sz w:val="18"/>
              </w:rPr>
              <w:t>#alcohol  #selfmedication  #substanceuse  #dependence  #riskfactor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Adults with obesity &amp; chronic pain</w:t>
            </w:r>
          </w:p>
        </w:tc>
        <w:tc>
          <w:tcPr>
            <w:tcW w:type="dxa" w:w="4276"/>
            <w:vAlign w:val="top"/>
          </w:tcPr>
          <w:p>
            <w:pPr>
              <w:spacing w:after="60" w:line="259" w:lineRule="auto"/>
            </w:pPr>
            <w:r>
              <w:rPr>
                <w:rFonts w:ascii="Calibri" w:hAnsi="Calibri"/>
                <w:b w:val="0"/>
                <w:i w:val="0"/>
                <w:color w:val="212121"/>
                <w:sz w:val="19"/>
              </w:rPr>
              <w:t>Obesity is associated with more musculoskeletal pain, fatigue and functional somatic symptoms that can become the focus of disproportionate health concern, though the association is modest and non-specific.</w:t>
            </w:r>
          </w:p>
          <w:p>
            <w:pPr>
              <w:spacing w:after="40" w:before="60" w:line="259" w:lineRule="auto"/>
            </w:pPr>
            <w:r>
              <w:rPr>
                <w:rFonts w:ascii="Calibri" w:hAnsi="Calibri"/>
                <w:b w:val="0"/>
                <w:i w:val="0"/>
                <w:color w:val="212121"/>
                <w:sz w:val="19"/>
              </w:rPr>
              <w:t>Obesity and metabolic ill-health increase the chronic pain and fatigue that overlap with the somatic complaints of SSD.</w:t>
            </w:r>
          </w:p>
          <w:p>
            <w:pPr>
              <w:spacing w:before="60" w:after="40"/>
            </w:pPr>
            <w:r>
              <w:rPr>
                <w:rFonts w:ascii="Calibri" w:hAnsi="Calibri"/>
                <w:b w:val="0"/>
                <w:i w:val="0"/>
                <w:color w:val="5A5A5A"/>
                <w:sz w:val="18"/>
              </w:rPr>
              <w:t>#obesity  #chronicpain  #fatigue  #metabolic  #overlap</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Irregular meals &amp; functional-GI overlap</w:t>
            </w:r>
          </w:p>
        </w:tc>
        <w:tc>
          <w:tcPr>
            <w:tcW w:type="dxa" w:w="4276"/>
            <w:vAlign w:val="top"/>
          </w:tcPr>
          <w:p>
            <w:pPr>
              <w:spacing w:after="60" w:line="259" w:lineRule="auto"/>
            </w:pPr>
            <w:r>
              <w:rPr>
                <w:rFonts w:ascii="Calibri" w:hAnsi="Calibri"/>
                <w:b w:val="0"/>
                <w:i w:val="0"/>
                <w:color w:val="212121"/>
                <w:sz w:val="19"/>
              </w:rPr>
              <w:t>Gastrointestinal complaints — bloating, “gas,” dyspepsia, IBS-type pain — are among the commonest somatic symptoms in India; irregular, skipped or heavily spiced high-stimulant meals can amplify gut symptoms that become the focus of distress.</w:t>
            </w:r>
          </w:p>
          <w:p>
            <w:pPr>
              <w:spacing w:after="40" w:before="60" w:line="259" w:lineRule="auto"/>
            </w:pPr>
            <w:r>
              <w:rPr>
                <w:rFonts w:ascii="Calibri" w:hAnsi="Calibri"/>
                <w:b w:val="0"/>
                <w:i w:val="0"/>
                <w:color w:val="212121"/>
                <w:sz w:val="19"/>
              </w:rPr>
              <w:t>25–60% of patients with functional syndromes such as irritable bowel syndrome meet criteria for somatic symptom disorder.</w:t>
            </w:r>
          </w:p>
          <w:p>
            <w:pPr>
              <w:spacing w:after="40" w:line="252" w:lineRule="auto"/>
            </w:pPr>
            <w:hyperlink r:id="rId9">
              <w:r>
                <w:rPr>
                  <w:rFonts w:ascii="Calibri" w:hAnsi="Calibri" w:cs="Calibri"/>
                  <w:sz w:val="18"/>
                  <w:color w:val="1155CC"/>
                  <w:u w:val="single"/>
                </w:rPr>
                <w:t xml:space="preserve">ncbi.nlm.nih.gov — StatPearls: Somatic Symptom Disorder</w:t>
              </w:r>
            </w:hyperlink>
          </w:p>
          <w:p>
            <w:pPr>
              <w:spacing w:before="60" w:after="40"/>
            </w:pPr>
            <w:r>
              <w:rPr>
                <w:rFonts w:ascii="Calibri" w:hAnsi="Calibri"/>
                <w:b w:val="0"/>
                <w:i w:val="0"/>
                <w:color w:val="5A5A5A"/>
                <w:sz w:val="18"/>
              </w:rPr>
              <w:t>#GIsymptoms  #IBS  #gutbrain  #dyspepsia  #dietarytriggers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somatization / anxiety / depression</w:t>
            </w:r>
          </w:p>
        </w:tc>
        <w:tc>
          <w:tcPr>
            <w:tcW w:type="dxa" w:w="4276"/>
            <w:vAlign w:val="top"/>
          </w:tcPr>
          <w:p>
            <w:pPr>
              <w:spacing w:after="60" w:line="259" w:lineRule="auto"/>
            </w:pPr>
            <w:r>
              <w:rPr>
                <w:rFonts w:ascii="Calibri" w:hAnsi="Calibri"/>
                <w:b w:val="0"/>
                <w:i w:val="0"/>
                <w:color w:val="212121"/>
                <w:sz w:val="19"/>
              </w:rPr>
              <w:t>SSD clusters in families through shared genes and learned illness behaviour; children of parents with health anxiety or chronic somatic complaints are more likely to somatise.</w:t>
            </w:r>
          </w:p>
          <w:p>
            <w:pPr>
              <w:spacing w:after="40" w:before="60" w:line="259" w:lineRule="auto"/>
            </w:pPr>
            <w:r>
              <w:rPr>
                <w:rFonts w:ascii="Calibri" w:hAnsi="Calibri"/>
                <w:b w:val="0"/>
                <w:i w:val="0"/>
                <w:color w:val="212121"/>
                <w:sz w:val="19"/>
              </w:rPr>
              <w:t>Genetic factors are estimated to account for about 7–21% of the variance in somatic symptoms, with the remainder attributable to environmental influences.</w:t>
            </w:r>
          </w:p>
          <w:p>
            <w:pPr>
              <w:spacing w:after="40" w:line="252" w:lineRule="auto"/>
            </w:pPr>
            <w:hyperlink r:id="rId9">
              <w:r>
                <w:rPr>
                  <w:rFonts w:ascii="Calibri" w:hAnsi="Calibri" w:cs="Calibri"/>
                  <w:sz w:val="18"/>
                  <w:color w:val="1155CC"/>
                  <w:u w:val="single"/>
                </w:rPr>
                <w:t xml:space="preserve">ncbi.nlm.nih.gov — StatPearls: Somatic Symptom Disorder</w:t>
              </w:r>
            </w:hyperlink>
          </w:p>
          <w:p>
            <w:pPr>
              <w:spacing w:before="60" w:after="40"/>
            </w:pPr>
            <w:r>
              <w:rPr>
                <w:rFonts w:ascii="Calibri" w:hAnsi="Calibri"/>
                <w:b w:val="0"/>
                <w:i w:val="0"/>
                <w:color w:val="5A5A5A"/>
                <w:sz w:val="18"/>
              </w:rPr>
              <w:t>#familyhistory  #heritable  #illnessbehaviour  #modelling  #geneenvironment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Patients with depressive disorder</w:t>
            </w:r>
          </w:p>
        </w:tc>
        <w:tc>
          <w:tcPr>
            <w:tcW w:type="dxa" w:w="4276"/>
            <w:vAlign w:val="top"/>
          </w:tcPr>
          <w:p>
            <w:pPr>
              <w:spacing w:after="60" w:line="259" w:lineRule="auto"/>
            </w:pPr>
            <w:r>
              <w:rPr>
                <w:rFonts w:ascii="Calibri" w:hAnsi="Calibri"/>
                <w:b w:val="0"/>
                <w:i w:val="0"/>
                <w:color w:val="212121"/>
                <w:sz w:val="19"/>
              </w:rPr>
              <w:t>Depression frequently presents through the body in India (“somatic depression”) — pain, weakness, fatigue, “gas” — and comorbid depression both drives and worsens SSD.</w:t>
            </w:r>
          </w:p>
          <w:p>
            <w:pPr>
              <w:spacing w:after="40" w:before="60" w:line="259" w:lineRule="auto"/>
            </w:pPr>
            <w:r>
              <w:rPr>
                <w:rFonts w:ascii="Calibri" w:hAnsi="Calibri"/>
                <w:b w:val="0"/>
                <w:i w:val="0"/>
                <w:color w:val="212121"/>
                <w:sz w:val="19"/>
              </w:rPr>
              <w:t>A Bangalore study found somatoform and depressive disorders shared symptom-amplification and somatic-attribution styles, underscoring how closely the two are linked in Indian patients.</w:t>
            </w:r>
          </w:p>
          <w:p>
            <w:pPr>
              <w:spacing w:after="40" w:line="252" w:lineRule="auto"/>
            </w:pPr>
            <w:hyperlink r:id="rId14">
              <w:r>
                <w:rPr>
                  <w:rFonts w:ascii="Calibri" w:hAnsi="Calibri" w:cs="Calibri"/>
                  <w:sz w:val="18"/>
                  <w:color w:val="1155CC"/>
                  <w:u w:val="single"/>
                </w:rPr>
                <w:t xml:space="preserve">pubmed.ncbi.nlm.nih.gov/12766320 — amplification &amp; attribution, Bangalore</w:t>
              </w:r>
            </w:hyperlink>
          </w:p>
          <w:p>
            <w:pPr>
              <w:spacing w:before="60" w:after="40"/>
            </w:pPr>
            <w:r>
              <w:rPr>
                <w:rFonts w:ascii="Calibri" w:hAnsi="Calibri"/>
                <w:b w:val="0"/>
                <w:i w:val="0"/>
                <w:color w:val="5A5A5A"/>
                <w:sz w:val="18"/>
              </w:rPr>
              <w:t>#depression  #somaticdepression  #comorbidity  #amplification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Anxiety</w:t>
            </w:r>
          </w:p>
        </w:tc>
        <w:tc>
          <w:tcPr>
            <w:tcW w:type="dxa" w:w="2160"/>
            <w:vAlign w:val="top"/>
          </w:tcPr>
          <w:p>
            <w:pPr>
              <w:spacing w:after="40" w:before="0" w:line="259" w:lineRule="auto"/>
            </w:pPr>
            <w:r>
              <w:rPr>
                <w:rFonts w:ascii="Calibri" w:hAnsi="Calibri"/>
                <w:b w:val="0"/>
                <w:i w:val="0"/>
                <w:color w:val="212121"/>
                <w:sz w:val="19"/>
              </w:rPr>
              <w:t>Patients with anxiety &amp; health anxiety</w:t>
            </w:r>
          </w:p>
        </w:tc>
        <w:tc>
          <w:tcPr>
            <w:tcW w:type="dxa" w:w="4276"/>
            <w:vAlign w:val="top"/>
          </w:tcPr>
          <w:p>
            <w:pPr>
              <w:spacing w:after="60" w:line="259" w:lineRule="auto"/>
            </w:pPr>
            <w:r>
              <w:rPr>
                <w:rFonts w:ascii="Calibri" w:hAnsi="Calibri"/>
                <w:b w:val="0"/>
                <w:i w:val="0"/>
                <w:color w:val="212121"/>
                <w:sz w:val="19"/>
              </w:rPr>
              <w:t>Anxiety disorders and health anxiety amplify normal bodily sensations into feared symptoms; SSD, illness anxiety and panic frequently coexist and reinforce one another.</w:t>
            </w:r>
          </w:p>
          <w:p>
            <w:pPr>
              <w:spacing w:after="40" w:before="60" w:line="259" w:lineRule="auto"/>
            </w:pPr>
            <w:r>
              <w:rPr>
                <w:rFonts w:ascii="Calibri" w:hAnsi="Calibri"/>
                <w:b w:val="0"/>
                <w:i w:val="0"/>
                <w:color w:val="212121"/>
                <w:sz w:val="19"/>
              </w:rPr>
              <w:t>Anxiety and depression are the most frequent comorbidities of somatic symptom disorder.</w:t>
            </w:r>
          </w:p>
          <w:p>
            <w:pPr>
              <w:spacing w:after="40" w:line="252" w:lineRule="auto"/>
            </w:pPr>
            <w:hyperlink r:id="rId9">
              <w:r>
                <w:rPr>
                  <w:rFonts w:ascii="Calibri" w:hAnsi="Calibri" w:cs="Calibri"/>
                  <w:sz w:val="18"/>
                  <w:color w:val="1155CC"/>
                  <w:u w:val="single"/>
                </w:rPr>
                <w:t xml:space="preserve">ncbi.nlm.nih.gov — StatPearls: Somatic Symptom Disorder</w:t>
              </w:r>
            </w:hyperlink>
          </w:p>
          <w:p>
            <w:pPr>
              <w:spacing w:before="60" w:after="40"/>
            </w:pPr>
            <w:r>
              <w:rPr>
                <w:rFonts w:ascii="Calibri" w:hAnsi="Calibri"/>
                <w:b w:val="0"/>
                <w:i w:val="0"/>
                <w:color w:val="5A5A5A"/>
                <w:sz w:val="18"/>
              </w:rPr>
              <w:t>#anxiety  #healthanxiety  #panic  #amplification  #comorbid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Fibromyalgia / chronic pain</w:t>
            </w:r>
          </w:p>
        </w:tc>
        <w:tc>
          <w:tcPr>
            <w:tcW w:type="dxa" w:w="2160"/>
            <w:vAlign w:val="top"/>
          </w:tcPr>
          <w:p>
            <w:pPr>
              <w:spacing w:after="40" w:before="0" w:line="259" w:lineRule="auto"/>
            </w:pPr>
            <w:r>
              <w:rPr>
                <w:rFonts w:ascii="Calibri" w:hAnsi="Calibri"/>
                <w:b w:val="0"/>
                <w:i w:val="0"/>
                <w:color w:val="212121"/>
                <w:sz w:val="19"/>
              </w:rPr>
              <w:t>Patients with fibromyalgia &amp; chronic primary pain</w:t>
            </w:r>
          </w:p>
        </w:tc>
        <w:tc>
          <w:tcPr>
            <w:tcW w:type="dxa" w:w="4276"/>
            <w:vAlign w:val="top"/>
          </w:tcPr>
          <w:p>
            <w:pPr>
              <w:spacing w:after="60" w:line="259" w:lineRule="auto"/>
            </w:pPr>
            <w:r>
              <w:rPr>
                <w:rFonts w:ascii="Calibri" w:hAnsi="Calibri"/>
                <w:b w:val="0"/>
                <w:i w:val="0"/>
                <w:color w:val="212121"/>
                <w:sz w:val="19"/>
              </w:rPr>
              <w:t>Central sensitisation and altered pain processing link fibromyalgia and chronic pain with SSD; pain is the dominant somatic complaint in many patients (“with predominant pain”).</w:t>
            </w:r>
          </w:p>
          <w:p>
            <w:pPr>
              <w:spacing w:after="40" w:before="60" w:line="259" w:lineRule="auto"/>
            </w:pPr>
            <w:r>
              <w:rPr>
                <w:rFonts w:ascii="Calibri" w:hAnsi="Calibri"/>
                <w:b w:val="0"/>
                <w:i w:val="0"/>
                <w:color w:val="212121"/>
                <w:sz w:val="19"/>
              </w:rPr>
              <w:t>25–60% of patients with functional syndromes such as fibromyalgia, IBS and chronic fatigue meet criteria for somatic symptom disorder.</w:t>
            </w:r>
          </w:p>
          <w:p>
            <w:pPr>
              <w:spacing w:after="40" w:line="252" w:lineRule="auto"/>
            </w:pPr>
            <w:hyperlink r:id="rId9">
              <w:r>
                <w:rPr>
                  <w:rFonts w:ascii="Calibri" w:hAnsi="Calibri" w:cs="Calibri"/>
                  <w:sz w:val="18"/>
                  <w:color w:val="1155CC"/>
                  <w:u w:val="single"/>
                </w:rPr>
                <w:t xml:space="preserve">ncbi.nlm.nih.gov — StatPearls: Somatic Symptom Disorder</w:t>
              </w:r>
            </w:hyperlink>
          </w:p>
          <w:p>
            <w:pPr>
              <w:spacing w:before="60" w:after="40"/>
            </w:pPr>
            <w:r>
              <w:rPr>
                <w:rFonts w:ascii="Calibri" w:hAnsi="Calibri"/>
                <w:b w:val="0"/>
                <w:i w:val="0"/>
                <w:color w:val="5A5A5A"/>
                <w:sz w:val="18"/>
              </w:rPr>
              <w:t>#fibromyalgia  #chronicpain  #centralsensitisation  #predominantpain  #functionalsyndrome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Irritable bowel syndrome</w:t>
            </w:r>
          </w:p>
        </w:tc>
        <w:tc>
          <w:tcPr>
            <w:tcW w:type="dxa" w:w="2160"/>
            <w:vAlign w:val="top"/>
          </w:tcPr>
          <w:p>
            <w:pPr>
              <w:spacing w:after="40" w:before="0" w:line="259" w:lineRule="auto"/>
            </w:pPr>
            <w:r>
              <w:rPr>
                <w:rFonts w:ascii="Calibri" w:hAnsi="Calibri"/>
                <w:b w:val="0"/>
                <w:i w:val="0"/>
                <w:color w:val="212121"/>
                <w:sz w:val="19"/>
              </w:rPr>
              <w:t>Patients with IBS / functional dyspepsia</w:t>
            </w:r>
          </w:p>
        </w:tc>
        <w:tc>
          <w:tcPr>
            <w:tcW w:type="dxa" w:w="4276"/>
            <w:vAlign w:val="top"/>
          </w:tcPr>
          <w:p>
            <w:pPr>
              <w:spacing w:after="60" w:line="259" w:lineRule="auto"/>
            </w:pPr>
            <w:r>
              <w:rPr>
                <w:rFonts w:ascii="Calibri" w:hAnsi="Calibri"/>
                <w:b w:val="0"/>
                <w:i w:val="0"/>
                <w:color w:val="212121"/>
                <w:sz w:val="19"/>
              </w:rPr>
              <w:t>Gut-brain axis dysregulation links functional gastrointestinal disorders and SSD bidirectionally; each amplifies the other and both are very common in Indian clinics.</w:t>
            </w:r>
          </w:p>
          <w:p>
            <w:pPr>
              <w:spacing w:after="40" w:before="60" w:line="259" w:lineRule="auto"/>
            </w:pPr>
            <w:r>
              <w:rPr>
                <w:rFonts w:ascii="Calibri" w:hAnsi="Calibri"/>
                <w:b w:val="0"/>
                <w:i w:val="0"/>
                <w:color w:val="212121"/>
                <w:sz w:val="19"/>
              </w:rPr>
              <w:t>Functional gastrointestinal disorders show high overlap with somatic symptom disorder, part of the 25–60% of functional-syndrome patients who meet SSD criteria.</w:t>
            </w:r>
          </w:p>
          <w:p>
            <w:pPr>
              <w:spacing w:after="40" w:line="252" w:lineRule="auto"/>
            </w:pPr>
            <w:hyperlink r:id="rId9">
              <w:r>
                <w:rPr>
                  <w:rFonts w:ascii="Calibri" w:hAnsi="Calibri" w:cs="Calibri"/>
                  <w:sz w:val="18"/>
                  <w:color w:val="1155CC"/>
                  <w:u w:val="single"/>
                </w:rPr>
                <w:t xml:space="preserve">ncbi.nlm.nih.gov — StatPearls: Somatic Symptom Disorder</w:t>
              </w:r>
            </w:hyperlink>
          </w:p>
          <w:p>
            <w:pPr>
              <w:spacing w:before="60" w:after="40"/>
            </w:pPr>
            <w:r>
              <w:rPr>
                <w:rFonts w:ascii="Calibri" w:hAnsi="Calibri"/>
                <w:b w:val="0"/>
                <w:i w:val="0"/>
                <w:color w:val="5A5A5A"/>
                <w:sz w:val="18"/>
              </w:rPr>
              <w:t>#IBS  #functionalGI  #gutbrain  #dyspepsia  #bidirectional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graded activity reduces fatigue, pain and health anxiety and reverses the deconditioning that amplifies bodily symptoms; inactivity and fear-avoidance of movement perpetuate symptoms, and graded exercise is a component of functional-symptom management.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specific diet causes SSD, but gastrointestinal complaints (bloating, dyspepsia, IBS-type pain) are among the commonest somatic symptoms; regular balanced meals and identifying personal triggers reduce gut-focused distress.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and non-restorative sleep amplifies pain perception, fatigue and symptom preoccupation; insomnia is common in SSD and is bidirectionally linked with somatic distress.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 and other substance use co-occur with SSD and add cough, chest and palpitation symptoms that may be catastrophised, but smoking is not a direct cause of the disorder.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 history of alcohol and substance misuse is a recognised risk factor; alcohol and sedatives are often used to cope with distress and worsen the course of SSD.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SSD is itself a mental disorder; comorbid depression and anxiety are its most frequent companions and both drive and worsen somatic symptoms, so mental-health care is central to management.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well-being and can ease non-specific fatigue and headache, but there is no direct causal link between water intake and SSD.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Excess caffeine can heighten palpitations, tremor and arousal that anxious, symptom-focused patients may interpret as serious illness; the overall effect on SSD is minor.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and sleep hygiene support routine and rest, but hygiene has no direct causal role in somatic symptom disorder.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psychosocial stressors, interpersonal conflict, bereavement, physical illness or a frightening medical experience commonly trigger or amplify episodes of somatic distress and health anxiety.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 SSD with predominant musculoskeletal pain, poor posture and ergonomic strain can initiate and sustain the pain that becomes the focus of distress, although posture does not cause the disorder.</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PHQ-15 (somatic symptom severity)</w:t>
            </w:r>
          </w:p>
        </w:tc>
        <w:tc>
          <w:tcPr>
            <w:tcW w:type="dxa" w:w="1655"/>
            <w:vAlign w:val="top"/>
          </w:tcPr>
          <w:p>
            <w:pPr>
              <w:spacing w:after="40" w:before="0" w:line="259" w:lineRule="auto"/>
            </w:pPr>
            <w:r>
              <w:rPr>
                <w:rFonts w:ascii="Calibri" w:hAnsi="Calibri"/>
                <w:b w:val="0"/>
                <w:i w:val="0"/>
                <w:color w:val="212121"/>
                <w:sz w:val="19"/>
              </w:rPr>
              <w:t>Adults being screened/monitored</w:t>
            </w:r>
          </w:p>
        </w:tc>
        <w:tc>
          <w:tcPr>
            <w:tcW w:type="dxa" w:w="1512"/>
            <w:vAlign w:val="top"/>
          </w:tcPr>
          <w:p>
            <w:pPr>
              <w:spacing w:after="40" w:before="0" w:line="259" w:lineRule="auto"/>
            </w:pPr>
            <w:r>
              <w:rPr>
                <w:rFonts w:ascii="Calibri" w:hAnsi="Calibri"/>
                <w:b w:val="0"/>
                <w:i w:val="0"/>
                <w:color w:val="212121"/>
                <w:sz w:val="19"/>
              </w:rPr>
              <w:t>0–4 (minimal)</w:t>
            </w:r>
          </w:p>
        </w:tc>
        <w:tc>
          <w:tcPr>
            <w:tcW w:type="dxa" w:w="1512"/>
            <w:vAlign w:val="top"/>
          </w:tcPr>
          <w:p>
            <w:pPr>
              <w:spacing w:after="40" w:before="0" w:line="259" w:lineRule="auto"/>
            </w:pPr>
            <w:r>
              <w:rPr>
                <w:rFonts w:ascii="Calibri" w:hAnsi="Calibri"/>
                <w:b w:val="0"/>
                <w:i w:val="0"/>
                <w:color w:val="212121"/>
                <w:sz w:val="19"/>
              </w:rPr>
              <w:t>≥ 10 (medium–high somatic burden)</w:t>
            </w:r>
          </w:p>
        </w:tc>
        <w:tc>
          <w:tcPr>
            <w:tcW w:type="dxa" w:w="1468"/>
            <w:vAlign w:val="top"/>
          </w:tcPr>
          <w:p>
            <w:pPr>
              <w:spacing w:after="40" w:before="0" w:line="259" w:lineRule="auto"/>
            </w:pPr>
            <w:r>
              <w:rPr>
                <w:rFonts w:ascii="Calibri" w:hAnsi="Calibri"/>
                <w:b w:val="0"/>
                <w:i w:val="0"/>
                <w:color w:val="212121"/>
                <w:sz w:val="19"/>
              </w:rPr>
              <w:t>Validated measure of somatic symptom severity; tracks SSD burden and response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SSS-8 (Somatic Symptom Scale-8)</w:t>
            </w:r>
          </w:p>
        </w:tc>
        <w:tc>
          <w:tcPr>
            <w:tcW w:type="dxa" w:w="1655"/>
            <w:vAlign w:val="top"/>
          </w:tcPr>
          <w:p>
            <w:pPr>
              <w:spacing w:after="40" w:before="0" w:line="259" w:lineRule="auto"/>
            </w:pPr>
            <w:r>
              <w:rPr>
                <w:rFonts w:ascii="Calibri" w:hAnsi="Calibri"/>
                <w:b w:val="0"/>
                <w:i w:val="0"/>
                <w:color w:val="212121"/>
                <w:sz w:val="19"/>
              </w:rPr>
              <w:t>Primary-care &amp; clinic patients</w:t>
            </w:r>
          </w:p>
        </w:tc>
        <w:tc>
          <w:tcPr>
            <w:tcW w:type="dxa" w:w="1512"/>
            <w:vAlign w:val="top"/>
          </w:tcPr>
          <w:p>
            <w:pPr>
              <w:spacing w:after="40" w:before="0" w:line="259" w:lineRule="auto"/>
            </w:pPr>
            <w:r>
              <w:rPr>
                <w:rFonts w:ascii="Calibri" w:hAnsi="Calibri"/>
                <w:b w:val="0"/>
                <w:i w:val="0"/>
                <w:color w:val="212121"/>
                <w:sz w:val="19"/>
              </w:rPr>
              <w:t>0–3 (no/minimal)</w:t>
            </w:r>
          </w:p>
        </w:tc>
        <w:tc>
          <w:tcPr>
            <w:tcW w:type="dxa" w:w="1512"/>
            <w:vAlign w:val="top"/>
          </w:tcPr>
          <w:p>
            <w:pPr>
              <w:spacing w:after="40" w:before="0" w:line="259" w:lineRule="auto"/>
            </w:pPr>
            <w:r>
              <w:rPr>
                <w:rFonts w:ascii="Calibri" w:hAnsi="Calibri"/>
                <w:b w:val="0"/>
                <w:i w:val="0"/>
                <w:color w:val="212121"/>
                <w:sz w:val="19"/>
              </w:rPr>
              <w:t>≥ 12 (high/very high)</w:t>
            </w:r>
          </w:p>
        </w:tc>
        <w:tc>
          <w:tcPr>
            <w:tcW w:type="dxa" w:w="1468"/>
            <w:vAlign w:val="top"/>
          </w:tcPr>
          <w:p>
            <w:pPr>
              <w:spacing w:after="40" w:before="0" w:line="259" w:lineRule="auto"/>
            </w:pPr>
            <w:r>
              <w:rPr>
                <w:rFonts w:ascii="Calibri" w:hAnsi="Calibri"/>
                <w:b w:val="0"/>
                <w:i w:val="0"/>
                <w:color w:val="212121"/>
                <w:sz w:val="19"/>
              </w:rPr>
              <w:t>Brief validated scale for somatic symptom burden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Health-anxiety score (e.g., Whiteley Index)</w:t>
            </w:r>
          </w:p>
        </w:tc>
        <w:tc>
          <w:tcPr>
            <w:tcW w:type="dxa" w:w="1655"/>
            <w:vAlign w:val="top"/>
          </w:tcPr>
          <w:p>
            <w:pPr>
              <w:spacing w:after="40" w:before="0" w:line="259" w:lineRule="auto"/>
            </w:pPr>
            <w:r>
              <w:rPr>
                <w:rFonts w:ascii="Calibri" w:hAnsi="Calibri"/>
                <w:b w:val="0"/>
                <w:i w:val="0"/>
                <w:color w:val="212121"/>
                <w:sz w:val="19"/>
              </w:rPr>
              <w:t>Health-anxious patients</w:t>
            </w:r>
          </w:p>
        </w:tc>
        <w:tc>
          <w:tcPr>
            <w:tcW w:type="dxa" w:w="1512"/>
            <w:vAlign w:val="top"/>
          </w:tcPr>
          <w:p>
            <w:pPr>
              <w:spacing w:after="40" w:before="0" w:line="259" w:lineRule="auto"/>
            </w:pPr>
            <w:r>
              <w:rPr>
                <w:rFonts w:ascii="Calibri" w:hAnsi="Calibri"/>
                <w:b w:val="0"/>
                <w:i w:val="0"/>
                <w:color w:val="212121"/>
                <w:sz w:val="19"/>
              </w:rPr>
              <w:t>Low</w:t>
            </w:r>
          </w:p>
        </w:tc>
        <w:tc>
          <w:tcPr>
            <w:tcW w:type="dxa" w:w="1512"/>
            <w:vAlign w:val="top"/>
          </w:tcPr>
          <w:p>
            <w:pPr>
              <w:spacing w:after="40" w:before="0" w:line="259" w:lineRule="auto"/>
            </w:pPr>
            <w:r>
              <w:rPr>
                <w:rFonts w:ascii="Calibri" w:hAnsi="Calibri"/>
                <w:b w:val="0"/>
                <w:i w:val="0"/>
                <w:color w:val="212121"/>
                <w:sz w:val="19"/>
              </w:rPr>
              <w:t>High health-anxiety score</w:t>
            </w:r>
          </w:p>
        </w:tc>
        <w:tc>
          <w:tcPr>
            <w:tcW w:type="dxa" w:w="1468"/>
            <w:vAlign w:val="top"/>
          </w:tcPr>
          <w:p>
            <w:pPr>
              <w:spacing w:after="40" w:before="0" w:line="259" w:lineRule="auto"/>
            </w:pPr>
            <w:r>
              <w:rPr>
                <w:rFonts w:ascii="Calibri" w:hAnsi="Calibri"/>
                <w:b w:val="0"/>
                <w:i w:val="0"/>
                <w:color w:val="212121"/>
                <w:sz w:val="19"/>
              </w:rPr>
              <w:t>Captures the illness-worry component central to SSD/illness anxiety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PHQ-9 (comorbid depression)</w:t>
            </w:r>
          </w:p>
        </w:tc>
        <w:tc>
          <w:tcPr>
            <w:tcW w:type="dxa" w:w="1655"/>
            <w:vAlign w:val="top"/>
          </w:tcPr>
          <w:p>
            <w:pPr>
              <w:spacing w:after="40" w:before="0" w:line="259" w:lineRule="auto"/>
            </w:pPr>
            <w:r>
              <w:rPr>
                <w:rFonts w:ascii="Calibri" w:hAnsi="Calibri"/>
                <w:b w:val="0"/>
                <w:i w:val="0"/>
                <w:color w:val="212121"/>
                <w:sz w:val="19"/>
              </w:rPr>
              <w:t>Patients with SSD</w:t>
            </w:r>
          </w:p>
        </w:tc>
        <w:tc>
          <w:tcPr>
            <w:tcW w:type="dxa" w:w="1512"/>
            <w:vAlign w:val="top"/>
          </w:tcPr>
          <w:p>
            <w:pPr>
              <w:spacing w:after="40" w:before="0" w:line="259" w:lineRule="auto"/>
            </w:pPr>
            <w:r>
              <w:rPr>
                <w:rFonts w:ascii="Calibri" w:hAnsi="Calibri"/>
                <w:b w:val="0"/>
                <w:i w:val="0"/>
                <w:color w:val="212121"/>
                <w:sz w:val="19"/>
              </w:rPr>
              <w:t>0–4 (minimal)</w:t>
            </w:r>
          </w:p>
        </w:tc>
        <w:tc>
          <w:tcPr>
            <w:tcW w:type="dxa" w:w="1512"/>
            <w:vAlign w:val="top"/>
          </w:tcPr>
          <w:p>
            <w:pPr>
              <w:spacing w:after="40" w:before="0" w:line="259" w:lineRule="auto"/>
            </w:pPr>
            <w:r>
              <w:rPr>
                <w:rFonts w:ascii="Calibri" w:hAnsi="Calibri"/>
                <w:b w:val="0"/>
                <w:i w:val="0"/>
                <w:color w:val="212121"/>
                <w:sz w:val="19"/>
              </w:rPr>
              <w:t>≥ 10 (probable depression)</w:t>
            </w:r>
          </w:p>
        </w:tc>
        <w:tc>
          <w:tcPr>
            <w:tcW w:type="dxa" w:w="1468"/>
            <w:vAlign w:val="top"/>
          </w:tcPr>
          <w:p>
            <w:pPr>
              <w:spacing w:after="40" w:before="0" w:line="259" w:lineRule="auto"/>
            </w:pPr>
            <w:r>
              <w:rPr>
                <w:rFonts w:ascii="Calibri" w:hAnsi="Calibri"/>
                <w:b w:val="0"/>
                <w:i w:val="0"/>
                <w:color w:val="212121"/>
                <w:sz w:val="19"/>
              </w:rPr>
              <w:t>Comorbid depression is common and worsens outcome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GAD-7 (comorbid anxiety)</w:t>
            </w:r>
          </w:p>
        </w:tc>
        <w:tc>
          <w:tcPr>
            <w:tcW w:type="dxa" w:w="1655"/>
            <w:vAlign w:val="top"/>
          </w:tcPr>
          <w:p>
            <w:pPr>
              <w:spacing w:after="40" w:before="0" w:line="259" w:lineRule="auto"/>
            </w:pPr>
            <w:r>
              <w:rPr>
                <w:rFonts w:ascii="Calibri" w:hAnsi="Calibri"/>
                <w:b w:val="0"/>
                <w:i w:val="0"/>
                <w:color w:val="212121"/>
                <w:sz w:val="19"/>
              </w:rPr>
              <w:t>Patients with SSD</w:t>
            </w:r>
          </w:p>
        </w:tc>
        <w:tc>
          <w:tcPr>
            <w:tcW w:type="dxa" w:w="1512"/>
            <w:vAlign w:val="top"/>
          </w:tcPr>
          <w:p>
            <w:pPr>
              <w:spacing w:after="40" w:before="0" w:line="259" w:lineRule="auto"/>
            </w:pPr>
            <w:r>
              <w:rPr>
                <w:rFonts w:ascii="Calibri" w:hAnsi="Calibri"/>
                <w:b w:val="0"/>
                <w:i w:val="0"/>
                <w:color w:val="212121"/>
                <w:sz w:val="19"/>
              </w:rPr>
              <w:t>0–4 (minimal)</w:t>
            </w:r>
          </w:p>
        </w:tc>
        <w:tc>
          <w:tcPr>
            <w:tcW w:type="dxa" w:w="1512"/>
            <w:vAlign w:val="top"/>
          </w:tcPr>
          <w:p>
            <w:pPr>
              <w:spacing w:after="40" w:before="0" w:line="259" w:lineRule="auto"/>
            </w:pPr>
            <w:r>
              <w:rPr>
                <w:rFonts w:ascii="Calibri" w:hAnsi="Calibri"/>
                <w:b w:val="0"/>
                <w:i w:val="0"/>
                <w:color w:val="212121"/>
                <w:sz w:val="19"/>
              </w:rPr>
              <w:t>≥ 10 (moderate–severe anxiety)</w:t>
            </w:r>
          </w:p>
        </w:tc>
        <w:tc>
          <w:tcPr>
            <w:tcW w:type="dxa" w:w="1468"/>
            <w:vAlign w:val="top"/>
          </w:tcPr>
          <w:p>
            <w:pPr>
              <w:spacing w:after="40" w:before="0" w:line="259" w:lineRule="auto"/>
            </w:pPr>
            <w:r>
              <w:rPr>
                <w:rFonts w:ascii="Calibri" w:hAnsi="Calibri"/>
                <w:b w:val="0"/>
                <w:i w:val="0"/>
                <w:color w:val="212121"/>
                <w:sz w:val="19"/>
              </w:rPr>
              <w:t>Comorbid anxiety amplifies and maintains somatic symptoms</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 activity (minutes/week)</w:t>
            </w:r>
          </w:p>
        </w:tc>
        <w:tc>
          <w:tcPr>
            <w:tcW w:type="dxa" w:w="1655"/>
            <w:vAlign w:val="top"/>
          </w:tcPr>
          <w:p>
            <w:pPr>
              <w:spacing w:after="40" w:before="0" w:line="259" w:lineRule="auto"/>
            </w:pPr>
            <w:r>
              <w:rPr>
                <w:rFonts w:ascii="Calibri" w:hAnsi="Calibri"/>
                <w:b w:val="0"/>
                <w:i w:val="0"/>
                <w:color w:val="212121"/>
                <w:sz w:val="19"/>
              </w:rPr>
              <w:t>Sedentary / deconditioned adults</w:t>
            </w:r>
          </w:p>
        </w:tc>
        <w:tc>
          <w:tcPr>
            <w:tcW w:type="dxa" w:w="1512"/>
            <w:vAlign w:val="top"/>
          </w:tcPr>
          <w:p>
            <w:pPr>
              <w:spacing w:after="40" w:before="0" w:line="259" w:lineRule="auto"/>
            </w:pPr>
            <w:r>
              <w:rPr>
                <w:rFonts w:ascii="Calibri" w:hAnsi="Calibri"/>
                <w:b w:val="0"/>
                <w:i w:val="0"/>
                <w:color w:val="212121"/>
                <w:sz w:val="19"/>
              </w:rPr>
              <w:t>≥ 150 min/week (graded, paced)</w:t>
            </w:r>
          </w:p>
        </w:tc>
        <w:tc>
          <w:tcPr>
            <w:tcW w:type="dxa" w:w="1512"/>
            <w:vAlign w:val="top"/>
          </w:tcPr>
          <w:p>
            <w:pPr>
              <w:spacing w:after="40" w:before="0" w:line="259" w:lineRule="auto"/>
            </w:pPr>
            <w:r>
              <w:rPr>
                <w:rFonts w:ascii="Calibri" w:hAnsi="Calibri"/>
                <w:b w:val="0"/>
                <w:i w:val="0"/>
                <w:color w:val="212121"/>
                <w:sz w:val="19"/>
              </w:rPr>
              <w:t>&lt; 150 min/week or activity avoidance</w:t>
            </w:r>
          </w:p>
        </w:tc>
        <w:tc>
          <w:tcPr>
            <w:tcW w:type="dxa" w:w="1468"/>
            <w:vAlign w:val="top"/>
          </w:tcPr>
          <w:p>
            <w:pPr>
              <w:spacing w:after="40" w:before="0" w:line="259" w:lineRule="auto"/>
            </w:pPr>
            <w:r>
              <w:rPr>
                <w:rFonts w:ascii="Calibri" w:hAnsi="Calibri"/>
                <w:b w:val="0"/>
                <w:i w:val="0"/>
                <w:color w:val="212121"/>
                <w:sz w:val="19"/>
              </w:rPr>
              <w:t>Deconditioning amplifies fatigue and pain; graded activity helps</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with SSD</w:t>
            </w:r>
          </w:p>
        </w:tc>
        <w:tc>
          <w:tcPr>
            <w:tcW w:type="dxa" w:w="1512"/>
            <w:vAlign w:val="top"/>
          </w:tcPr>
          <w:p>
            <w:pPr>
              <w:spacing w:after="40" w:before="0" w:line="259" w:lineRule="auto"/>
            </w:pPr>
            <w:r>
              <w:rPr>
                <w:rFonts w:ascii="Calibri" w:hAnsi="Calibri"/>
                <w:b w:val="0"/>
                <w:i w:val="0"/>
                <w:color w:val="212121"/>
                <w:sz w:val="19"/>
              </w:rPr>
              <w:t>7–9 h/night</w:t>
            </w:r>
          </w:p>
        </w:tc>
        <w:tc>
          <w:tcPr>
            <w:tcW w:type="dxa" w:w="1512"/>
            <w:vAlign w:val="top"/>
          </w:tcPr>
          <w:p>
            <w:pPr>
              <w:spacing w:after="40" w:before="0" w:line="259" w:lineRule="auto"/>
            </w:pPr>
            <w:r>
              <w:rPr>
                <w:rFonts w:ascii="Calibri" w:hAnsi="Calibri"/>
                <w:b w:val="0"/>
                <w:i w:val="0"/>
                <w:color w:val="212121"/>
                <w:sz w:val="19"/>
              </w:rPr>
              <w:t>&lt; 6 h/night or chronically fragmented</w:t>
            </w:r>
          </w:p>
        </w:tc>
        <w:tc>
          <w:tcPr>
            <w:tcW w:type="dxa" w:w="1468"/>
            <w:vAlign w:val="top"/>
          </w:tcPr>
          <w:p>
            <w:pPr>
              <w:spacing w:after="40" w:before="0" w:line="259" w:lineRule="auto"/>
            </w:pPr>
            <w:r>
              <w:rPr>
                <w:rFonts w:ascii="Calibri" w:hAnsi="Calibri"/>
                <w:b w:val="0"/>
                <w:i w:val="0"/>
                <w:color w:val="212121"/>
                <w:sz w:val="19"/>
              </w:rPr>
              <w:t>Poor sleep amplifies pain perception and symptom focus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(standard drinks/week)</w:t>
            </w:r>
          </w:p>
        </w:tc>
        <w:tc>
          <w:tcPr>
            <w:tcW w:type="dxa" w:w="1655"/>
            <w:vAlign w:val="top"/>
          </w:tcPr>
          <w:p>
            <w:pPr>
              <w:spacing w:after="40" w:before="0" w:line="259" w:lineRule="auto"/>
            </w:pPr>
            <w:r>
              <w:rPr>
                <w:rFonts w:ascii="Calibri" w:hAnsi="Calibri"/>
                <w:b w:val="0"/>
                <w:i w:val="0"/>
                <w:color w:val="212121"/>
                <w:sz w:val="19"/>
              </w:rPr>
              <w:t>Adults; hazardous drinkers</w:t>
            </w:r>
          </w:p>
        </w:tc>
        <w:tc>
          <w:tcPr>
            <w:tcW w:type="dxa" w:w="1512"/>
            <w:vAlign w:val="top"/>
          </w:tcPr>
          <w:p>
            <w:pPr>
              <w:spacing w:after="40" w:before="0" w:line="259" w:lineRule="auto"/>
            </w:pPr>
            <w:r>
              <w:rPr>
                <w:rFonts w:ascii="Calibri" w:hAnsi="Calibri"/>
                <w:b w:val="0"/>
                <w:i w:val="0"/>
                <w:color w:val="212121"/>
                <w:sz w:val="19"/>
              </w:rPr>
              <w:t>Abstain or drink minimally</w:t>
            </w:r>
          </w:p>
        </w:tc>
        <w:tc>
          <w:tcPr>
            <w:tcW w:type="dxa" w:w="1512"/>
            <w:vAlign w:val="top"/>
          </w:tcPr>
          <w:p>
            <w:pPr>
              <w:spacing w:after="40" w:before="0" w:line="259" w:lineRule="auto"/>
            </w:pPr>
            <w:r>
              <w:rPr>
                <w:rFonts w:ascii="Calibri" w:hAnsi="Calibri"/>
                <w:b w:val="0"/>
                <w:i w:val="0"/>
                <w:color w:val="212121"/>
                <w:sz w:val="19"/>
              </w:rPr>
              <w:t>Hazardous use or drinking/sedating to cope</w:t>
            </w:r>
          </w:p>
        </w:tc>
        <w:tc>
          <w:tcPr>
            <w:tcW w:type="dxa" w:w="1468"/>
            <w:vAlign w:val="top"/>
          </w:tcPr>
          <w:p>
            <w:pPr>
              <w:spacing w:after="40" w:before="0" w:line="259" w:lineRule="auto"/>
            </w:pPr>
            <w:r>
              <w:rPr>
                <w:rFonts w:ascii="Calibri" w:hAnsi="Calibri"/>
                <w:b w:val="0"/>
                <w:i w:val="0"/>
                <w:color w:val="212121"/>
                <w:sz w:val="19"/>
              </w:rPr>
              <w:t>Substance misuse worsens the course and complicates care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tobacco per day</w:t>
            </w:r>
          </w:p>
        </w:tc>
        <w:tc>
          <w:tcPr>
            <w:tcW w:type="dxa" w:w="1655"/>
            <w:vAlign w:val="top"/>
          </w:tcPr>
          <w:p>
            <w:pPr>
              <w:spacing w:after="40" w:before="0" w:line="259" w:lineRule="auto"/>
            </w:pPr>
            <w:r>
              <w:rPr>
                <w:rFonts w:ascii="Calibri" w:hAnsi="Calibri"/>
                <w:b w:val="0"/>
                <w:i w:val="0"/>
                <w:color w:val="212121"/>
                <w:sz w:val="19"/>
              </w:rPr>
              <w:t>Tobacco users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40" w:before="0" w:line="259" w:lineRule="auto"/>
            </w:pPr>
            <w:r>
              <w:rPr>
                <w:rFonts w:ascii="Calibri" w:hAnsi="Calibri"/>
                <w:b w:val="0"/>
                <w:i w:val="0"/>
                <w:color w:val="212121"/>
                <w:sz w:val="19"/>
              </w:rPr>
              <w:t>Tobacco/substance use co-occurs and adds somatic load</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Healthcare visits &amp; investigations per year</w:t>
            </w:r>
          </w:p>
        </w:tc>
        <w:tc>
          <w:tcPr>
            <w:tcW w:type="dxa" w:w="1655"/>
            <w:vAlign w:val="top"/>
          </w:tcPr>
          <w:p>
            <w:pPr>
              <w:spacing w:after="40" w:before="0" w:line="259" w:lineRule="auto"/>
            </w:pPr>
            <w:r>
              <w:rPr>
                <w:rFonts w:ascii="Calibri" w:hAnsi="Calibri"/>
                <w:b w:val="0"/>
                <w:i w:val="0"/>
                <w:color w:val="212121"/>
                <w:sz w:val="19"/>
              </w:rPr>
              <w:t>Frequent attenders</w:t>
            </w:r>
          </w:p>
        </w:tc>
        <w:tc>
          <w:tcPr>
            <w:tcW w:type="dxa" w:w="1512"/>
            <w:vAlign w:val="top"/>
          </w:tcPr>
          <w:p>
            <w:pPr>
              <w:spacing w:after="40" w:before="0" w:line="259" w:lineRule="auto"/>
            </w:pPr>
            <w:r>
              <w:rPr>
                <w:rFonts w:ascii="Calibri" w:hAnsi="Calibri"/>
                <w:b w:val="0"/>
                <w:i w:val="0"/>
                <w:color w:val="212121"/>
                <w:sz w:val="19"/>
              </w:rPr>
              <w:t>Appropriate, coordinated use</w:t>
            </w:r>
          </w:p>
        </w:tc>
        <w:tc>
          <w:tcPr>
            <w:tcW w:type="dxa" w:w="1512"/>
            <w:vAlign w:val="top"/>
          </w:tcPr>
          <w:p>
            <w:pPr>
              <w:spacing w:after="40" w:before="0" w:line="259" w:lineRule="auto"/>
            </w:pPr>
            <w:r>
              <w:rPr>
                <w:rFonts w:ascii="Calibri" w:hAnsi="Calibri"/>
                <w:b w:val="0"/>
                <w:i w:val="0"/>
                <w:color w:val="212121"/>
                <w:sz w:val="19"/>
              </w:rPr>
              <w:t>Repeated/duplicated investigations, doctor-shopping</w:t>
            </w:r>
          </w:p>
        </w:tc>
        <w:tc>
          <w:tcPr>
            <w:tcW w:type="dxa" w:w="1468"/>
            <w:vAlign w:val="top"/>
          </w:tcPr>
          <w:p>
            <w:pPr>
              <w:spacing w:after="40" w:before="0" w:line="259" w:lineRule="auto"/>
            </w:pPr>
            <w:r>
              <w:rPr>
                <w:rFonts w:ascii="Calibri" w:hAnsi="Calibri"/>
                <w:b w:val="0"/>
                <w:i w:val="0"/>
                <w:color w:val="212121"/>
                <w:sz w:val="19"/>
              </w:rPr>
              <w:t>High utilisation flags SSD and iatrogenic risk; review records before re-testing</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 (TSH, free T4)</w:t>
            </w:r>
          </w:p>
        </w:tc>
        <w:tc>
          <w:tcPr>
            <w:tcW w:type="dxa" w:w="892"/>
            <w:vAlign w:val="top"/>
          </w:tcPr>
          <w:p>
            <w:pPr>
              <w:spacing w:after="40" w:before="0" w:line="259" w:lineRule="auto"/>
            </w:pPr>
            <w:r>
              <w:rPr>
                <w:rFonts w:ascii="Calibri" w:hAnsi="Calibri"/>
                <w:b w:val="0"/>
                <w:i w:val="0"/>
                <w:color w:val="212121"/>
                <w:sz w:val="16"/>
              </w:rPr>
              <w:t>Thyroid Panel</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Suppressed or raised TSH</w:t>
            </w:r>
          </w:p>
        </w:tc>
        <w:tc>
          <w:tcPr>
            <w:tcW w:type="dxa" w:w="1036"/>
            <w:vAlign w:val="top"/>
          </w:tcPr>
          <w:p>
            <w:pPr>
              <w:spacing w:after="40" w:before="0" w:line="259" w:lineRule="auto"/>
            </w:pPr>
            <w:r>
              <w:rPr>
                <w:rFonts w:ascii="Calibri" w:hAnsi="Calibri"/>
                <w:b w:val="0"/>
                <w:i w:val="0"/>
                <w:color w:val="212121"/>
                <w:sz w:val="16"/>
              </w:rPr>
              <w:t>Excludes thyroid disease mimicking fatigue, palpitations, weight change or anxiety</w:t>
            </w:r>
          </w:p>
        </w:tc>
        <w:tc>
          <w:tcPr>
            <w:tcW w:type="dxa" w:w="1036"/>
            <w:vAlign w:val="top"/>
          </w:tcPr>
          <w:p>
            <w:pPr>
              <w:spacing w:after="40" w:before="0" w:line="259" w:lineRule="auto"/>
            </w:pPr>
            <w:r>
              <w:rPr>
                <w:rFonts w:ascii="Calibri" w:hAnsi="Calibri"/>
                <w:b w:val="0"/>
                <w:i w:val="0"/>
                <w:color w:val="212121"/>
                <w:sz w:val="16"/>
              </w:rPr>
              <w:t>Fatigue, palpitations, weight change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Exclude organic mimic</w:t>
            </w:r>
          </w:p>
        </w:tc>
        <w:tc>
          <w:tcPr>
            <w:tcW w:type="dxa" w:w="720"/>
            <w:vAlign w:val="top"/>
          </w:tcPr>
          <w:p>
            <w:pPr>
              <w:spacing w:after="40" w:before="0" w:line="259" w:lineRule="auto"/>
            </w:pPr>
            <w:r>
              <w:rPr>
                <w:rFonts w:ascii="Calibri" w:hAnsi="Calibri"/>
                <w:b w:val="0"/>
                <w:i w:val="0"/>
                <w:color w:val="212121"/>
                <w:sz w:val="16"/>
              </w:rPr>
              <w:t>Screen once; avoid needless repetition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Complete blood count (haemoglobin)</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Hb: M 13–17, F 12–15 g/dL</w:t>
            </w:r>
          </w:p>
        </w:tc>
        <w:tc>
          <w:tcPr>
            <w:tcW w:type="dxa" w:w="950"/>
            <w:vAlign w:val="top"/>
          </w:tcPr>
          <w:p>
            <w:pPr>
              <w:spacing w:after="40" w:before="0" w:line="259" w:lineRule="auto"/>
            </w:pPr>
            <w:r>
              <w:rPr>
                <w:rFonts w:ascii="Calibri" w:hAnsi="Calibri"/>
                <w:b w:val="0"/>
                <w:i w:val="0"/>
                <w:color w:val="212121"/>
                <w:sz w:val="16"/>
              </w:rPr>
              <w:t>Anaemia (low Hb)</w:t>
            </w:r>
          </w:p>
        </w:tc>
        <w:tc>
          <w:tcPr>
            <w:tcW w:type="dxa" w:w="1036"/>
            <w:vAlign w:val="top"/>
          </w:tcPr>
          <w:p>
            <w:pPr>
              <w:spacing w:after="40" w:before="0" w:line="259" w:lineRule="auto"/>
            </w:pPr>
            <w:r>
              <w:rPr>
                <w:rFonts w:ascii="Calibri" w:hAnsi="Calibri"/>
                <w:b w:val="0"/>
                <w:i w:val="0"/>
                <w:color w:val="212121"/>
                <w:sz w:val="16"/>
              </w:rPr>
              <w:t>Anaemia causes fatigue and breathlessness resembling somatic complaints</w:t>
            </w:r>
          </w:p>
        </w:tc>
        <w:tc>
          <w:tcPr>
            <w:tcW w:type="dxa" w:w="1036"/>
            <w:vAlign w:val="top"/>
          </w:tcPr>
          <w:p>
            <w:pPr>
              <w:spacing w:after="40" w:before="0" w:line="259" w:lineRule="auto"/>
            </w:pPr>
            <w:r>
              <w:rPr>
                <w:rFonts w:ascii="Calibri" w:hAnsi="Calibri"/>
                <w:b w:val="0"/>
                <w:i w:val="0"/>
                <w:color w:val="212121"/>
                <w:sz w:val="16"/>
              </w:rPr>
              <w:t>Women of reproductive age, poor diet, fatigue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Exclude organic mimic</w:t>
            </w:r>
          </w:p>
        </w:tc>
        <w:tc>
          <w:tcPr>
            <w:tcW w:type="dxa" w:w="720"/>
            <w:vAlign w:val="top"/>
          </w:tcPr>
          <w:p>
            <w:pPr>
              <w:spacing w:after="40" w:before="0" w:line="259" w:lineRule="auto"/>
            </w:pPr>
            <w:r>
              <w:rPr>
                <w:rFonts w:ascii="Calibri" w:hAnsi="Calibri"/>
                <w:b w:val="0"/>
                <w:i w:val="0"/>
                <w:color w:val="212121"/>
                <w:sz w:val="16"/>
              </w:rPr>
              <w:t>Common in India; treat if found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&amp;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Raised (diabetes/prediabetes)</w:t>
            </w:r>
          </w:p>
        </w:tc>
        <w:tc>
          <w:tcPr>
            <w:tcW w:type="dxa" w:w="1036"/>
            <w:vAlign w:val="top"/>
          </w:tcPr>
          <w:p>
            <w:pPr>
              <w:spacing w:after="40" w:before="0" w:line="259" w:lineRule="auto"/>
            </w:pPr>
            <w:r>
              <w:rPr>
                <w:rFonts w:ascii="Calibri" w:hAnsi="Calibri"/>
                <w:b w:val="0"/>
                <w:i w:val="0"/>
                <w:color w:val="212121"/>
                <w:sz w:val="16"/>
              </w:rPr>
              <w:t>Excludes diabetes (neuropathy, fatigue); SSD may coexist with diabetes</w:t>
            </w:r>
          </w:p>
        </w:tc>
        <w:tc>
          <w:tcPr>
            <w:tcW w:type="dxa" w:w="1036"/>
            <w:vAlign w:val="top"/>
          </w:tcPr>
          <w:p>
            <w:pPr>
              <w:spacing w:after="40" w:before="0" w:line="259" w:lineRule="auto"/>
            </w:pPr>
            <w:r>
              <w:rPr>
                <w:rFonts w:ascii="Calibri" w:hAnsi="Calibri"/>
                <w:b w:val="0"/>
                <w:i w:val="0"/>
                <w:color w:val="212121"/>
                <w:sz w:val="16"/>
              </w:rPr>
              <w:t>Older, obese, family history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Exclude organic mimic</w:t>
            </w:r>
          </w:p>
        </w:tc>
        <w:tc>
          <w:tcPr>
            <w:tcW w:type="dxa" w:w="720"/>
            <w:vAlign w:val="top"/>
          </w:tcPr>
          <w:p>
            <w:pPr>
              <w:spacing w:after="40" w:before="0" w:line="259" w:lineRule="auto"/>
            </w:pPr>
            <w:r>
              <w:rPr>
                <w:rFonts w:ascii="Calibri" w:hAnsi="Calibri"/>
                <w:b w:val="0"/>
                <w:i w:val="0"/>
                <w:color w:val="212121"/>
                <w:sz w:val="16"/>
              </w:rPr>
              <w:t>Positive SSD diagnosis still applies if diabetes present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Vitamin B12 &amp; Vitamin D</w:t>
            </w:r>
          </w:p>
        </w:tc>
        <w:tc>
          <w:tcPr>
            <w:tcW w:type="dxa" w:w="892"/>
            <w:vAlign w:val="top"/>
          </w:tcPr>
          <w:p>
            <w:pPr>
              <w:spacing w:after="40" w:before="0" w:line="259" w:lineRule="auto"/>
            </w:pPr>
            <w:r>
              <w:rPr>
                <w:rFonts w:ascii="Calibri" w:hAnsi="Calibri"/>
                <w:b w:val="0"/>
                <w:i w:val="0"/>
                <w:color w:val="212121"/>
                <w:sz w:val="16"/>
              </w:rPr>
              <w:t>Nutritional Panel</w:t>
            </w:r>
          </w:p>
        </w:tc>
        <w:tc>
          <w:tcPr>
            <w:tcW w:type="dxa" w:w="950"/>
            <w:vAlign w:val="top"/>
          </w:tcPr>
          <w:p>
            <w:pPr>
              <w:spacing w:after="40" w:before="0" w:line="259" w:lineRule="auto"/>
            </w:pPr>
            <w:r>
              <w:rPr>
                <w:rFonts w:ascii="Calibri" w:hAnsi="Calibri"/>
                <w:b w:val="0"/>
                <w:i w:val="0"/>
                <w:color w:val="212121"/>
                <w:sz w:val="16"/>
              </w:rPr>
              <w:t>B12 &gt; 200 pg/mL; 25-OH-D &gt; 20 ng/mL</w:t>
            </w:r>
          </w:p>
        </w:tc>
        <w:tc>
          <w:tcPr>
            <w:tcW w:type="dxa" w:w="950"/>
            <w:vAlign w:val="top"/>
          </w:tcPr>
          <w:p>
            <w:pPr>
              <w:spacing w:after="40" w:before="0" w:line="259" w:lineRule="auto"/>
            </w:pPr>
            <w:r>
              <w:rPr>
                <w:rFonts w:ascii="Calibri" w:hAnsi="Calibri"/>
                <w:b w:val="0"/>
                <w:i w:val="0"/>
                <w:color w:val="212121"/>
                <w:sz w:val="16"/>
              </w:rPr>
              <w:t>Deficiency</w:t>
            </w:r>
          </w:p>
        </w:tc>
        <w:tc>
          <w:tcPr>
            <w:tcW w:type="dxa" w:w="1036"/>
            <w:vAlign w:val="top"/>
          </w:tcPr>
          <w:p>
            <w:pPr>
              <w:spacing w:after="40" w:before="0" w:line="259" w:lineRule="auto"/>
            </w:pPr>
            <w:r>
              <w:rPr>
                <w:rFonts w:ascii="Calibri" w:hAnsi="Calibri"/>
                <w:b w:val="0"/>
                <w:i w:val="0"/>
                <w:color w:val="212121"/>
                <w:sz w:val="16"/>
              </w:rPr>
              <w:t>Deficiencies (very common in India) cause fatigue, pain and paraesthesiae</w:t>
            </w:r>
          </w:p>
        </w:tc>
        <w:tc>
          <w:tcPr>
            <w:tcW w:type="dxa" w:w="1036"/>
            <w:vAlign w:val="top"/>
          </w:tcPr>
          <w:p>
            <w:pPr>
              <w:spacing w:after="40" w:before="0" w:line="259" w:lineRule="auto"/>
            </w:pPr>
            <w:r>
              <w:rPr>
                <w:rFonts w:ascii="Calibri" w:hAnsi="Calibri"/>
                <w:b w:val="0"/>
                <w:i w:val="0"/>
                <w:color w:val="212121"/>
                <w:sz w:val="16"/>
              </w:rPr>
              <w:t>Vegetarians, elderly,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Exclude organic mimic</w:t>
            </w:r>
          </w:p>
        </w:tc>
        <w:tc>
          <w:tcPr>
            <w:tcW w:type="dxa" w:w="720"/>
            <w:vAlign w:val="top"/>
          </w:tcPr>
          <w:p>
            <w:pPr>
              <w:spacing w:after="40" w:before="0" w:line="259" w:lineRule="auto"/>
            </w:pPr>
            <w:r>
              <w:rPr>
                <w:rFonts w:ascii="Calibri" w:hAnsi="Calibri"/>
                <w:b w:val="0"/>
                <w:i w:val="0"/>
                <w:color w:val="212121"/>
                <w:sz w:val="16"/>
              </w:rPr>
              <w:t>Correct if deficient before attributing solely to SSD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Inflammatory markers (ESR, CRP)</w:t>
            </w:r>
          </w:p>
        </w:tc>
        <w:tc>
          <w:tcPr>
            <w:tcW w:type="dxa" w:w="892"/>
            <w:vAlign w:val="top"/>
          </w:tcPr>
          <w:p>
            <w:pPr>
              <w:spacing w:after="40" w:before="0" w:line="259" w:lineRule="auto"/>
            </w:pPr>
            <w:r>
              <w:rPr>
                <w:rFonts w:ascii="Calibri" w:hAnsi="Calibri"/>
                <w:b w:val="0"/>
                <w:i w:val="0"/>
                <w:color w:val="212121"/>
                <w:sz w:val="16"/>
              </w:rPr>
              <w:t>Inflammatory Panel</w:t>
            </w:r>
          </w:p>
        </w:tc>
        <w:tc>
          <w:tcPr>
            <w:tcW w:type="dxa" w:w="950"/>
            <w:vAlign w:val="top"/>
          </w:tcPr>
          <w:p>
            <w:pPr>
              <w:spacing w:after="40" w:before="0" w:line="259" w:lineRule="auto"/>
            </w:pPr>
            <w:r>
              <w:rPr>
                <w:rFonts w:ascii="Calibri" w:hAnsi="Calibri"/>
                <w:b w:val="0"/>
                <w:i w:val="0"/>
                <w:color w:val="212121"/>
                <w:sz w:val="16"/>
              </w:rPr>
              <w:t>ESR &lt; 20 mm/h; CRP &lt; 5 mg/L</w:t>
            </w:r>
          </w:p>
        </w:tc>
        <w:tc>
          <w:tcPr>
            <w:tcW w:type="dxa" w:w="950"/>
            <w:vAlign w:val="top"/>
          </w:tcPr>
          <w:p>
            <w:pPr>
              <w:spacing w:after="40" w:before="0" w:line="259" w:lineRule="auto"/>
            </w:pPr>
            <w:r>
              <w:rPr>
                <w:rFonts w:ascii="Calibri" w:hAnsi="Calibri"/>
                <w:b w:val="0"/>
                <w:i w:val="0"/>
                <w:color w:val="212121"/>
                <w:sz w:val="16"/>
              </w:rPr>
              <w:t>Raised</w:t>
            </w:r>
          </w:p>
        </w:tc>
        <w:tc>
          <w:tcPr>
            <w:tcW w:type="dxa" w:w="1036"/>
            <w:vAlign w:val="top"/>
          </w:tcPr>
          <w:p>
            <w:pPr>
              <w:spacing w:after="40" w:before="0" w:line="259" w:lineRule="auto"/>
            </w:pPr>
            <w:r>
              <w:rPr>
                <w:rFonts w:ascii="Calibri" w:hAnsi="Calibri"/>
                <w:b w:val="0"/>
                <w:i w:val="0"/>
                <w:color w:val="212121"/>
                <w:sz w:val="16"/>
              </w:rPr>
              <w:t>Raised markers point to organic inflammatory disease rather than SSD</w:t>
            </w:r>
          </w:p>
        </w:tc>
        <w:tc>
          <w:tcPr>
            <w:tcW w:type="dxa" w:w="1036"/>
            <w:vAlign w:val="top"/>
          </w:tcPr>
          <w:p>
            <w:pPr>
              <w:spacing w:after="40" w:before="0" w:line="259" w:lineRule="auto"/>
            </w:pPr>
            <w:r>
              <w:rPr>
                <w:rFonts w:ascii="Calibri" w:hAnsi="Calibri"/>
                <w:b w:val="0"/>
                <w:i w:val="0"/>
                <w:color w:val="212121"/>
                <w:sz w:val="16"/>
              </w:rPr>
              <w:t>Chronic pain, joint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Exclude organic mimic</w:t>
            </w:r>
          </w:p>
        </w:tc>
        <w:tc>
          <w:tcPr>
            <w:tcW w:type="dxa" w:w="720"/>
            <w:vAlign w:val="top"/>
          </w:tcPr>
          <w:p>
            <w:pPr>
              <w:spacing w:after="40" w:before="0" w:line="259" w:lineRule="auto"/>
            </w:pPr>
            <w:r>
              <w:rPr>
                <w:rFonts w:ascii="Calibri" w:hAnsi="Calibri"/>
                <w:b w:val="0"/>
                <w:i w:val="0"/>
                <w:color w:val="212121"/>
                <w:sz w:val="16"/>
              </w:rPr>
              <w:t>Normal results support a functional aetiology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Renal &amp; liver function</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Deranged</w:t>
            </w:r>
          </w:p>
        </w:tc>
        <w:tc>
          <w:tcPr>
            <w:tcW w:type="dxa" w:w="1036"/>
            <w:vAlign w:val="top"/>
          </w:tcPr>
          <w:p>
            <w:pPr>
              <w:spacing w:after="40" w:before="0" w:line="259" w:lineRule="auto"/>
            </w:pPr>
            <w:r>
              <w:rPr>
                <w:rFonts w:ascii="Calibri" w:hAnsi="Calibri"/>
                <w:b w:val="0"/>
                <w:i w:val="0"/>
                <w:color w:val="212121"/>
                <w:sz w:val="16"/>
              </w:rPr>
              <w:t>Screens for organ disease underlying fatigue or pain; baseline before drug therapy</w:t>
            </w:r>
          </w:p>
        </w:tc>
        <w:tc>
          <w:tcPr>
            <w:tcW w:type="dxa" w:w="1036"/>
            <w:vAlign w:val="top"/>
          </w:tcPr>
          <w:p>
            <w:pPr>
              <w:spacing w:after="40" w:before="0" w:line="259" w:lineRule="auto"/>
            </w:pPr>
            <w:r>
              <w:rPr>
                <w:rFonts w:ascii="Calibri" w:hAnsi="Calibri"/>
                <w:b w:val="0"/>
                <w:i w:val="0"/>
                <w:color w:val="212121"/>
                <w:sz w:val="16"/>
              </w:rPr>
              <w:t>Systemic or multi-system symptoms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Exclude organic mimic</w:t>
            </w:r>
          </w:p>
        </w:tc>
        <w:tc>
          <w:tcPr>
            <w:tcW w:type="dxa" w:w="720"/>
            <w:vAlign w:val="top"/>
          </w:tcPr>
          <w:p>
            <w:pPr>
              <w:spacing w:after="40" w:before="0" w:line="259" w:lineRule="auto"/>
            </w:pPr>
            <w:r>
              <w:rPr>
                <w:rFonts w:ascii="Calibri" w:hAnsi="Calibri"/>
                <w:b w:val="0"/>
                <w:i w:val="0"/>
                <w:color w:val="212121"/>
                <w:sz w:val="16"/>
              </w:rPr>
              <w:t>Establish baseline before starting antidepressants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Electrocardiogram (ECG)</w:t>
            </w:r>
          </w:p>
        </w:tc>
        <w:tc>
          <w:tcPr>
            <w:tcW w:type="dxa" w:w="892"/>
            <w:vAlign w:val="top"/>
          </w:tcPr>
          <w:p>
            <w:pPr>
              <w:spacing w:after="40" w:before="0" w:line="259" w:lineRule="auto"/>
            </w:pPr>
            <w:r>
              <w:rPr>
                <w:rFonts w:ascii="Calibri" w:hAnsi="Calibri"/>
                <w:b w:val="0"/>
                <w:i w:val="0"/>
                <w:color w:val="212121"/>
                <w:sz w:val="16"/>
              </w:rPr>
              <w:t>12-lead ECG</w:t>
            </w:r>
          </w:p>
        </w:tc>
        <w:tc>
          <w:tcPr>
            <w:tcW w:type="dxa" w:w="950"/>
            <w:vAlign w:val="top"/>
          </w:tcPr>
          <w:p>
            <w:pPr>
              <w:spacing w:after="40" w:before="0" w:line="259" w:lineRule="auto"/>
            </w:pPr>
            <w:r>
              <w:rPr>
                <w:rFonts w:ascii="Calibri" w:hAnsi="Calibri"/>
                <w:b w:val="0"/>
                <w:i w:val="0"/>
                <w:color w:val="212121"/>
                <w:sz w:val="16"/>
              </w:rPr>
              <w:t>Sinus rhythm, no ischaemia</w:t>
            </w:r>
          </w:p>
        </w:tc>
        <w:tc>
          <w:tcPr>
            <w:tcW w:type="dxa" w:w="950"/>
            <w:vAlign w:val="top"/>
          </w:tcPr>
          <w:p>
            <w:pPr>
              <w:spacing w:after="40" w:before="0" w:line="259" w:lineRule="auto"/>
            </w:pPr>
            <w:r>
              <w:rPr>
                <w:rFonts w:ascii="Calibri" w:hAnsi="Calibri"/>
                <w:b w:val="0"/>
                <w:i w:val="0"/>
                <w:color w:val="212121"/>
                <w:sz w:val="16"/>
              </w:rPr>
              <w:t>Arrhythmia or ischaemic changes</w:t>
            </w:r>
          </w:p>
        </w:tc>
        <w:tc>
          <w:tcPr>
            <w:tcW w:type="dxa" w:w="1036"/>
            <w:vAlign w:val="top"/>
          </w:tcPr>
          <w:p>
            <w:pPr>
              <w:spacing w:after="40" w:before="0" w:line="259" w:lineRule="auto"/>
            </w:pPr>
            <w:r>
              <w:rPr>
                <w:rFonts w:ascii="Calibri" w:hAnsi="Calibri"/>
                <w:b w:val="0"/>
                <w:i w:val="0"/>
                <w:color w:val="212121"/>
                <w:sz w:val="16"/>
              </w:rPr>
              <w:t>Evaluates chest pain and palpitations; a normal trace reassures and excludes cardiac disease</w:t>
            </w:r>
          </w:p>
        </w:tc>
        <w:tc>
          <w:tcPr>
            <w:tcW w:type="dxa" w:w="1036"/>
            <w:vAlign w:val="top"/>
          </w:tcPr>
          <w:p>
            <w:pPr>
              <w:spacing w:after="40" w:before="0" w:line="259" w:lineRule="auto"/>
            </w:pPr>
            <w:r>
              <w:rPr>
                <w:rFonts w:ascii="Calibri" w:hAnsi="Calibri"/>
                <w:b w:val="0"/>
                <w:i w:val="0"/>
                <w:color w:val="212121"/>
                <w:sz w:val="16"/>
              </w:rPr>
              <w:t>Chest pain, palpitations, older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Exclude organic mimic</w:t>
            </w:r>
          </w:p>
        </w:tc>
        <w:tc>
          <w:tcPr>
            <w:tcW w:type="dxa" w:w="720"/>
            <w:vAlign w:val="top"/>
          </w:tcPr>
          <w:p>
            <w:pPr>
              <w:spacing w:after="40" w:before="0" w:line="259" w:lineRule="auto"/>
            </w:pPr>
            <w:r>
              <w:rPr>
                <w:rFonts w:ascii="Calibri" w:hAnsi="Calibri"/>
                <w:b w:val="0"/>
                <w:i w:val="0"/>
                <w:color w:val="212121"/>
                <w:sz w:val="16"/>
              </w:rPr>
              <w:t>Avoid repeated cardiac work-ups once normal</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Multiple distressing somatic symptoms + disproportionate health concern</w:t>
            </w:r>
          </w:p>
        </w:tc>
        <w:tc>
          <w:tcPr>
            <w:tcW w:type="dxa" w:w="950"/>
            <w:vAlign w:val="top"/>
          </w:tcPr>
          <w:p>
            <w:pPr>
              <w:spacing w:after="40" w:before="0" w:line="259" w:lineRule="auto"/>
            </w:pPr>
            <w:r>
              <w:rPr>
                <w:rFonts w:ascii="Calibri" w:hAnsi="Calibri"/>
                <w:b w:val="0"/>
                <w:i w:val="0"/>
                <w:color w:val="212121"/>
                <w:sz w:val="16"/>
              </w:rPr>
              <w:t>None / transient</w:t>
            </w:r>
          </w:p>
        </w:tc>
        <w:tc>
          <w:tcPr>
            <w:tcW w:type="dxa" w:w="950"/>
            <w:vAlign w:val="top"/>
          </w:tcPr>
          <w:p>
            <w:pPr>
              <w:spacing w:after="40" w:before="0" w:line="259" w:lineRule="auto"/>
            </w:pPr>
            <w:r>
              <w:rPr>
                <w:rFonts w:ascii="Calibri" w:hAnsi="Calibri"/>
                <w:b w:val="0"/>
                <w:i w:val="0"/>
                <w:color w:val="212121"/>
                <w:sz w:val="16"/>
              </w:rPr>
              <w:t>≥ 1 distressing symptom with excessive thoughts, anxiety or behaviours for &gt; 6 months</w:t>
            </w:r>
          </w:p>
        </w:tc>
        <w:tc>
          <w:tcPr>
            <w:tcW w:type="dxa" w:w="1036"/>
            <w:vAlign w:val="top"/>
          </w:tcPr>
          <w:p>
            <w:pPr>
              <w:spacing w:after="40" w:before="0" w:line="259" w:lineRule="auto"/>
            </w:pPr>
            <w:r>
              <w:rPr>
                <w:rFonts w:ascii="Calibri" w:hAnsi="Calibri"/>
                <w:b w:val="0"/>
                <w:i w:val="0"/>
                <w:color w:val="212121"/>
                <w:sz w:val="16"/>
              </w:rPr>
              <w:t>Core DSM-5-TR features of SSD</w:t>
            </w:r>
          </w:p>
        </w:tc>
        <w:tc>
          <w:tcPr>
            <w:tcW w:type="dxa" w:w="1036"/>
            <w:vAlign w:val="top"/>
          </w:tcPr>
          <w:p>
            <w:pPr>
              <w:spacing w:after="40" w:before="0" w:line="259" w:lineRule="auto"/>
            </w:pPr>
            <w:r>
              <w:rPr>
                <w:rFonts w:ascii="Calibri" w:hAnsi="Calibri"/>
                <w:b w:val="0"/>
                <w:i w:val="0"/>
                <w:color w:val="212121"/>
                <w:sz w:val="16"/>
              </w:rPr>
              <w:t>High-utilising patients with persistent symptoms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Diagnosis is positive, not merely exclusion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 tool</w:t>
            </w:r>
          </w:p>
        </w:tc>
        <w:tc>
          <w:tcPr>
            <w:tcW w:type="dxa" w:w="950"/>
            <w:vAlign w:val="top"/>
          </w:tcPr>
          <w:p>
            <w:pPr>
              <w:spacing w:after="40" w:before="0" w:line="259" w:lineRule="auto"/>
            </w:pPr>
            <w:r>
              <w:rPr>
                <w:rFonts w:ascii="Calibri" w:hAnsi="Calibri"/>
                <w:b w:val="0"/>
                <w:i w:val="0"/>
                <w:color w:val="212121"/>
                <w:sz w:val="16"/>
              </w:rPr>
              <w:t>PHQ-15 / SSS-8</w:t>
            </w:r>
          </w:p>
        </w:tc>
        <w:tc>
          <w:tcPr>
            <w:tcW w:type="dxa" w:w="979"/>
            <w:vAlign w:val="top"/>
          </w:tcPr>
          <w:p>
            <w:pPr>
              <w:spacing w:after="40" w:before="0" w:line="259" w:lineRule="auto"/>
            </w:pPr>
            <w:r>
              <w:rPr>
                <w:rFonts w:ascii="Calibri" w:hAnsi="Calibri"/>
                <w:b w:val="0"/>
                <w:i w:val="0"/>
                <w:color w:val="212121"/>
                <w:sz w:val="16"/>
              </w:rPr>
              <w:t>Somatic symptom severity score</w:t>
            </w:r>
          </w:p>
        </w:tc>
        <w:tc>
          <w:tcPr>
            <w:tcW w:type="dxa" w:w="950"/>
            <w:vAlign w:val="top"/>
          </w:tcPr>
          <w:p>
            <w:pPr>
              <w:spacing w:after="40" w:before="0" w:line="259" w:lineRule="auto"/>
            </w:pPr>
            <w:r>
              <w:rPr>
                <w:rFonts w:ascii="Calibri" w:hAnsi="Calibri"/>
                <w:b w:val="0"/>
                <w:i w:val="0"/>
                <w:color w:val="212121"/>
                <w:sz w:val="16"/>
              </w:rPr>
              <w:t>Low (minimal)</w:t>
            </w:r>
          </w:p>
        </w:tc>
        <w:tc>
          <w:tcPr>
            <w:tcW w:type="dxa" w:w="950"/>
            <w:vAlign w:val="top"/>
          </w:tcPr>
          <w:p>
            <w:pPr>
              <w:spacing w:after="40" w:before="0" w:line="259" w:lineRule="auto"/>
            </w:pPr>
            <w:r>
              <w:rPr>
                <w:rFonts w:ascii="Calibri" w:hAnsi="Calibri"/>
                <w:b w:val="0"/>
                <w:i w:val="0"/>
                <w:color w:val="212121"/>
                <w:sz w:val="16"/>
              </w:rPr>
              <w:t>High (e.g., PHQ-15 ≥ 10)</w:t>
            </w:r>
          </w:p>
        </w:tc>
        <w:tc>
          <w:tcPr>
            <w:tcW w:type="dxa" w:w="1036"/>
            <w:vAlign w:val="top"/>
          </w:tcPr>
          <w:p>
            <w:pPr>
              <w:spacing w:after="40" w:before="0" w:line="259" w:lineRule="auto"/>
            </w:pPr>
            <w:r>
              <w:rPr>
                <w:rFonts w:ascii="Calibri" w:hAnsi="Calibri"/>
                <w:b w:val="0"/>
                <w:i w:val="0"/>
                <w:color w:val="212121"/>
                <w:sz w:val="16"/>
              </w:rPr>
              <w:t>Quantifies somatic burden and tracks treatment response</w:t>
            </w:r>
          </w:p>
        </w:tc>
        <w:tc>
          <w:tcPr>
            <w:tcW w:type="dxa" w:w="1036"/>
            <w:vAlign w:val="top"/>
          </w:tcPr>
          <w:p>
            <w:pPr>
              <w:spacing w:after="40" w:before="0" w:line="259" w:lineRule="auto"/>
            </w:pPr>
            <w:r>
              <w:rPr>
                <w:rFonts w:ascii="Calibri" w:hAnsi="Calibri"/>
                <w:b w:val="0"/>
                <w:i w:val="0"/>
                <w:color w:val="212121"/>
                <w:sz w:val="16"/>
              </w:rPr>
              <w:t>Primary-care and clinic screening</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Complements, does not replace, clinical assessment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&amp; trauma history</w:t>
            </w:r>
          </w:p>
        </w:tc>
        <w:tc>
          <w:tcPr>
            <w:tcW w:type="dxa" w:w="979"/>
            <w:vAlign w:val="top"/>
          </w:tcPr>
          <w:p>
            <w:pPr>
              <w:spacing w:after="40" w:before="0" w:line="259" w:lineRule="auto"/>
            </w:pPr>
            <w:r>
              <w:rPr>
                <w:rFonts w:ascii="Calibri" w:hAnsi="Calibri"/>
                <w:b w:val="0"/>
                <w:i w:val="0"/>
                <w:color w:val="212121"/>
                <w:sz w:val="16"/>
              </w:rPr>
              <w:t>Childhood adversity, abuse, stressors, family illness models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Childhood neglect/abuse, chronic stress, learned illness behaviour</w:t>
            </w:r>
          </w:p>
        </w:tc>
        <w:tc>
          <w:tcPr>
            <w:tcW w:type="dxa" w:w="1036"/>
            <w:vAlign w:val="top"/>
          </w:tcPr>
          <w:p>
            <w:pPr>
              <w:spacing w:after="40" w:before="0" w:line="259" w:lineRule="auto"/>
            </w:pPr>
            <w:r>
              <w:rPr>
                <w:rFonts w:ascii="Calibri" w:hAnsi="Calibri"/>
                <w:b w:val="0"/>
                <w:i w:val="0"/>
                <w:color w:val="212121"/>
                <w:sz w:val="16"/>
              </w:rPr>
              <w:t>Establishes predisposing and perpetuating factors</w:t>
            </w:r>
          </w:p>
        </w:tc>
        <w:tc>
          <w:tcPr>
            <w:tcW w:type="dxa" w:w="1036"/>
            <w:vAlign w:val="top"/>
          </w:tcPr>
          <w:p>
            <w:pPr>
              <w:spacing w:after="40" w:before="0" w:line="259" w:lineRule="auto"/>
            </w:pPr>
            <w:r>
              <w:rPr>
                <w:rFonts w:ascii="Calibri" w:hAnsi="Calibri"/>
                <w:b w:val="0"/>
                <w:i w:val="0"/>
                <w:color w:val="212121"/>
                <w:sz w:val="16"/>
              </w:rPr>
              <w:t>Early-onset or chronic SSD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Explore sensitively; avoids re-traumatisation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Illness behaviour &amp; utilisation</w:t>
            </w:r>
          </w:p>
        </w:tc>
        <w:tc>
          <w:tcPr>
            <w:tcW w:type="dxa" w:w="979"/>
            <w:vAlign w:val="top"/>
          </w:tcPr>
          <w:p>
            <w:pPr>
              <w:spacing w:after="40" w:before="0" w:line="259" w:lineRule="auto"/>
            </w:pPr>
            <w:r>
              <w:rPr>
                <w:rFonts w:ascii="Calibri" w:hAnsi="Calibri"/>
                <w:b w:val="0"/>
                <w:i w:val="0"/>
                <w:color w:val="212121"/>
                <w:sz w:val="16"/>
              </w:rPr>
              <w:t>Repeated consultations, investigations, doctor-shopping, procedures</w:t>
            </w:r>
          </w:p>
        </w:tc>
        <w:tc>
          <w:tcPr>
            <w:tcW w:type="dxa" w:w="950"/>
            <w:vAlign w:val="top"/>
          </w:tcPr>
          <w:p>
            <w:pPr>
              <w:spacing w:after="40" w:before="0" w:line="259" w:lineRule="auto"/>
            </w:pPr>
            <w:r>
              <w:rPr>
                <w:rFonts w:ascii="Calibri" w:hAnsi="Calibri"/>
                <w:b w:val="0"/>
                <w:i w:val="0"/>
                <w:color w:val="212121"/>
                <w:sz w:val="16"/>
              </w:rPr>
              <w:t>Appropriate use</w:t>
            </w:r>
          </w:p>
        </w:tc>
        <w:tc>
          <w:tcPr>
            <w:tcW w:type="dxa" w:w="950"/>
            <w:vAlign w:val="top"/>
          </w:tcPr>
          <w:p>
            <w:pPr>
              <w:spacing w:after="40" w:before="0" w:line="259" w:lineRule="auto"/>
            </w:pPr>
            <w:r>
              <w:rPr>
                <w:rFonts w:ascii="Calibri" w:hAnsi="Calibri"/>
                <w:b w:val="0"/>
                <w:i w:val="0"/>
                <w:color w:val="212121"/>
                <w:sz w:val="16"/>
              </w:rPr>
              <w:t>Excessive investigations, specialist-shopping, unnecessary procedures</w:t>
            </w:r>
          </w:p>
        </w:tc>
        <w:tc>
          <w:tcPr>
            <w:tcW w:type="dxa" w:w="1036"/>
            <w:vAlign w:val="top"/>
          </w:tcPr>
          <w:p>
            <w:pPr>
              <w:spacing w:after="40" w:before="0" w:line="259" w:lineRule="auto"/>
            </w:pPr>
            <w:r>
              <w:rPr>
                <w:rFonts w:ascii="Calibri" w:hAnsi="Calibri"/>
                <w:b w:val="0"/>
                <w:i w:val="0"/>
                <w:color w:val="212121"/>
                <w:sz w:val="16"/>
              </w:rPr>
              <w:t>Marks maladaptive illness behaviour and iatrogenic risk</w:t>
            </w:r>
          </w:p>
        </w:tc>
        <w:tc>
          <w:tcPr>
            <w:tcW w:type="dxa" w:w="1036"/>
            <w:vAlign w:val="top"/>
          </w:tcPr>
          <w:p>
            <w:pPr>
              <w:spacing w:after="40" w:before="0" w:line="259" w:lineRule="auto"/>
            </w:pPr>
            <w:r>
              <w:rPr>
                <w:rFonts w:ascii="Calibri" w:hAnsi="Calibri"/>
                <w:b w:val="0"/>
                <w:i w:val="0"/>
                <w:color w:val="212121"/>
                <w:sz w:val="16"/>
              </w:rPr>
              <w:t>Frequent attenders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Review old records before ordering new tests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Risk assessment</w:t>
            </w:r>
          </w:p>
        </w:tc>
        <w:tc>
          <w:tcPr>
            <w:tcW w:type="dxa" w:w="950"/>
            <w:vAlign w:val="top"/>
          </w:tcPr>
          <w:p>
            <w:pPr>
              <w:spacing w:after="40" w:before="0" w:line="259" w:lineRule="auto"/>
            </w:pPr>
            <w:r>
              <w:rPr>
                <w:rFonts w:ascii="Calibri" w:hAnsi="Calibri"/>
                <w:b w:val="0"/>
                <w:i w:val="0"/>
                <w:color w:val="212121"/>
                <w:sz w:val="16"/>
              </w:rPr>
              <w:t>Comorbidity &amp; suicide screen</w:t>
            </w:r>
          </w:p>
        </w:tc>
        <w:tc>
          <w:tcPr>
            <w:tcW w:type="dxa" w:w="979"/>
            <w:vAlign w:val="top"/>
          </w:tcPr>
          <w:p>
            <w:pPr>
              <w:spacing w:after="40" w:before="0" w:line="259" w:lineRule="auto"/>
            </w:pPr>
            <w:r>
              <w:rPr>
                <w:rFonts w:ascii="Calibri" w:hAnsi="Calibri"/>
                <w:b w:val="0"/>
                <w:i w:val="0"/>
                <w:color w:val="212121"/>
                <w:sz w:val="16"/>
              </w:rPr>
              <w:t>Depression (PHQ-9), anxiety (GAD-7), suicidality, substance use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Comorbid depression/anxiety, suicidal ideation, misuse</w:t>
            </w:r>
          </w:p>
        </w:tc>
        <w:tc>
          <w:tcPr>
            <w:tcW w:type="dxa" w:w="1036"/>
            <w:vAlign w:val="top"/>
          </w:tcPr>
          <w:p>
            <w:pPr>
              <w:spacing w:after="40" w:before="0" w:line="259" w:lineRule="auto"/>
            </w:pPr>
            <w:r>
              <w:rPr>
                <w:rFonts w:ascii="Calibri" w:hAnsi="Calibri"/>
                <w:b w:val="0"/>
                <w:i w:val="0"/>
                <w:color w:val="212121"/>
                <w:sz w:val="16"/>
              </w:rPr>
              <w:t>Comorbidity worsens prognosis and alters management</w:t>
            </w:r>
          </w:p>
        </w:tc>
        <w:tc>
          <w:tcPr>
            <w:tcW w:type="dxa" w:w="1036"/>
            <w:vAlign w:val="top"/>
          </w:tcPr>
          <w:p>
            <w:pPr>
              <w:spacing w:after="40" w:before="0" w:line="259" w:lineRule="auto"/>
            </w:pPr>
            <w:r>
              <w:rPr>
                <w:rFonts w:ascii="Calibri" w:hAnsi="Calibri"/>
                <w:b w:val="0"/>
                <w:i w:val="0"/>
                <w:color w:val="212121"/>
                <w:sz w:val="16"/>
              </w:rPr>
              <w:t>All SSD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Safety-critical</w:t>
            </w:r>
          </w:p>
        </w:tc>
        <w:tc>
          <w:tcPr>
            <w:tcW w:type="dxa" w:w="720"/>
            <w:vAlign w:val="top"/>
          </w:tcPr>
          <w:p>
            <w:pPr>
              <w:spacing w:after="40" w:before="0" w:line="259" w:lineRule="auto"/>
            </w:pPr>
            <w:r>
              <w:rPr>
                <w:rFonts w:ascii="Calibri" w:hAnsi="Calibri"/>
                <w:b w:val="0"/>
                <w:i w:val="0"/>
                <w:color w:val="212121"/>
                <w:sz w:val="16"/>
              </w:rPr>
              <w:t>Escalate care if suicide risk present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General &amp; focused exam</w:t>
            </w:r>
          </w:p>
        </w:tc>
        <w:tc>
          <w:tcPr>
            <w:tcW w:type="dxa" w:w="979"/>
            <w:vAlign w:val="top"/>
          </w:tcPr>
          <w:p>
            <w:pPr>
              <w:spacing w:after="40" w:before="0" w:line="259" w:lineRule="auto"/>
            </w:pPr>
            <w:r>
              <w:rPr>
                <w:rFonts w:ascii="Calibri" w:hAnsi="Calibri"/>
                <w:b w:val="0"/>
                <w:i w:val="0"/>
                <w:color w:val="212121"/>
                <w:sz w:val="16"/>
              </w:rPr>
              <w:t>Vital signs and systemic examination</w:t>
            </w:r>
          </w:p>
        </w:tc>
        <w:tc>
          <w:tcPr>
            <w:tcW w:type="dxa" w:w="950"/>
            <w:vAlign w:val="top"/>
          </w:tcPr>
          <w:p>
            <w:pPr>
              <w:spacing w:after="40" w:before="0" w:line="259" w:lineRule="auto"/>
            </w:pPr>
            <w:r>
              <w:rPr>
                <w:rFonts w:ascii="Calibri" w:hAnsi="Calibri"/>
                <w:b w:val="0"/>
                <w:i w:val="0"/>
                <w:color w:val="212121"/>
                <w:sz w:val="16"/>
              </w:rPr>
              <w:t>Often normal or non-specific</w:t>
            </w:r>
          </w:p>
        </w:tc>
        <w:tc>
          <w:tcPr>
            <w:tcW w:type="dxa" w:w="950"/>
            <w:vAlign w:val="top"/>
          </w:tcPr>
          <w:p>
            <w:pPr>
              <w:spacing w:after="40" w:before="0" w:line="259" w:lineRule="auto"/>
            </w:pPr>
            <w:r>
              <w:rPr>
                <w:rFonts w:ascii="Calibri" w:hAnsi="Calibri"/>
                <w:b w:val="0"/>
                <w:i w:val="0"/>
                <w:color w:val="212121"/>
                <w:sz w:val="16"/>
              </w:rPr>
              <w:t>Any objective organic sign</w:t>
            </w:r>
          </w:p>
        </w:tc>
        <w:tc>
          <w:tcPr>
            <w:tcW w:type="dxa" w:w="1036"/>
            <w:vAlign w:val="top"/>
          </w:tcPr>
          <w:p>
            <w:pPr>
              <w:spacing w:after="40" w:before="0" w:line="259" w:lineRule="auto"/>
            </w:pPr>
            <w:r>
              <w:rPr>
                <w:rFonts w:ascii="Calibri" w:hAnsi="Calibri"/>
                <w:b w:val="0"/>
                <w:i w:val="0"/>
                <w:color w:val="212121"/>
                <w:sz w:val="16"/>
              </w:rPr>
              <w:t>Identifies genuine disease and reassures; findings usually disproportionate to complaints</w:t>
            </w:r>
          </w:p>
        </w:tc>
        <w:tc>
          <w:tcPr>
            <w:tcW w:type="dxa" w:w="1036"/>
            <w:vAlign w:val="top"/>
          </w:tcPr>
          <w:p>
            <w:pPr>
              <w:spacing w:after="40" w:before="0" w:line="259" w:lineRule="auto"/>
            </w:pPr>
            <w:r>
              <w:rPr>
                <w:rFonts w:ascii="Calibri" w:hAnsi="Calibri"/>
                <w:b w:val="0"/>
                <w:i w:val="0"/>
                <w:color w:val="212121"/>
                <w:sz w:val="16"/>
              </w:rPr>
              <w:t>Somatic-symptom presentations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 careful, respectful exam builds the therapeutic alliance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Multiple, changing physical complaints across body systems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Symptoms shift over time and involve several organ systems, driving repeated consultations.</w:t>
            </w:r>
          </w:p>
        </w:tc>
      </w:tr>
      <w:tr>
        <w:trPr>
          <w:cantSplit/>
        </w:trPr>
        <w:tc>
          <w:tcPr>
            <w:tcW w:type="dxa" w:w="2304"/>
            <w:vAlign w:val="top"/>
          </w:tcPr>
          <w:p>
            <w:pPr>
              <w:spacing w:after="40" w:before="0" w:line="259" w:lineRule="auto"/>
            </w:pPr>
            <w:r>
              <w:rPr>
                <w:rFonts w:ascii="Calibri" w:hAnsi="Calibri"/>
                <w:b/>
                <w:i w:val="0"/>
                <w:color w:val="212121"/>
                <w:sz w:val="19"/>
              </w:rPr>
              <w:t>Chronic pain (headache, back, abdominal, pelvic, musculoskeletal)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is often the dominant complaint (“with predominant pain” specifier).</w:t>
            </w:r>
          </w:p>
        </w:tc>
      </w:tr>
      <w:tr>
        <w:trPr>
          <w:cantSplit/>
        </w:trPr>
        <w:tc>
          <w:tcPr>
            <w:tcW w:type="dxa" w:w="2304"/>
            <w:vAlign w:val="top"/>
          </w:tcPr>
          <w:p>
            <w:pPr>
              <w:spacing w:after="40" w:before="0" w:line="259" w:lineRule="auto"/>
            </w:pPr>
            <w:r>
              <w:rPr>
                <w:rFonts w:ascii="Calibri" w:hAnsi="Calibri"/>
                <w:b/>
                <w:i w:val="0"/>
                <w:color w:val="212121"/>
                <w:sz w:val="19"/>
              </w:rPr>
              <w:t>Fatigue and low energy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tiredness disproportionate to activity or findings.</w:t>
            </w:r>
          </w:p>
        </w:tc>
      </w:tr>
      <w:tr>
        <w:trPr>
          <w:cantSplit/>
        </w:trPr>
        <w:tc>
          <w:tcPr>
            <w:tcW w:type="dxa" w:w="2304"/>
            <w:vAlign w:val="top"/>
          </w:tcPr>
          <w:p>
            <w:pPr>
              <w:spacing w:after="40" w:before="0" w:line="259" w:lineRule="auto"/>
            </w:pPr>
            <w:r>
              <w:rPr>
                <w:rFonts w:ascii="Calibri" w:hAnsi="Calibri"/>
                <w:b/>
                <w:i w:val="0"/>
                <w:color w:val="212121"/>
                <w:sz w:val="19"/>
              </w:rPr>
              <w:t>Gastrointestinal symptoms (bloating, “gas,” nausea, IBS-type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Especially prominent as an idiom of distress in Indian patients.</w:t>
            </w:r>
          </w:p>
        </w:tc>
      </w:tr>
      <w:tr>
        <w:trPr>
          <w:cantSplit/>
        </w:trPr>
        <w:tc>
          <w:tcPr>
            <w:tcW w:type="dxa" w:w="2304"/>
            <w:vAlign w:val="top"/>
          </w:tcPr>
          <w:p>
            <w:pPr>
              <w:spacing w:after="40" w:before="0" w:line="259" w:lineRule="auto"/>
            </w:pPr>
            <w:r>
              <w:rPr>
                <w:rFonts w:ascii="Calibri" w:hAnsi="Calibri"/>
                <w:b/>
                <w:i w:val="0"/>
                <w:color w:val="212121"/>
                <w:sz w:val="19"/>
              </w:rPr>
              <w:t>Palpitations, chest discomfort, breathlessness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Autonomic/anxious symptoms frequently mistaken for cardiac disease.</w:t>
            </w:r>
          </w:p>
        </w:tc>
      </w:tr>
      <w:tr>
        <w:trPr>
          <w:cantSplit/>
        </w:trPr>
        <w:tc>
          <w:tcPr>
            <w:tcW w:type="dxa" w:w="2304"/>
            <w:vAlign w:val="top"/>
          </w:tcPr>
          <w:p>
            <w:pPr>
              <w:spacing w:after="40" w:before="0" w:line="259" w:lineRule="auto"/>
            </w:pPr>
            <w:r>
              <w:rPr>
                <w:rFonts w:ascii="Calibri" w:hAnsi="Calibri"/>
                <w:b/>
                <w:i w:val="0"/>
                <w:color w:val="212121"/>
                <w:sz w:val="19"/>
              </w:rPr>
              <w:t>Dizziness, light-headedness or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Common non-specific complaints that prompt repeated evaluation.</w:t>
            </w:r>
          </w:p>
        </w:tc>
      </w:tr>
      <w:tr>
        <w:trPr>
          <w:cantSplit/>
        </w:trPr>
        <w:tc>
          <w:tcPr>
            <w:tcW w:type="dxa" w:w="2304"/>
            <w:vAlign w:val="top"/>
          </w:tcPr>
          <w:p>
            <w:pPr>
              <w:spacing w:after="40" w:before="0" w:line="259" w:lineRule="auto"/>
            </w:pPr>
            <w:r>
              <w:rPr>
                <w:rFonts w:ascii="Calibri" w:hAnsi="Calibri"/>
                <w:b/>
                <w:i w:val="0"/>
                <w:color w:val="212121"/>
                <w:sz w:val="19"/>
              </w:rPr>
              <w:t>Disproportionate, persistent thoughts about symptom seriousness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Cognitive Criterion B — catastrophic interpretation of bodily sensations.</w:t>
            </w:r>
          </w:p>
        </w:tc>
      </w:tr>
      <w:tr>
        <w:trPr>
          <w:cantSplit/>
        </w:trPr>
        <w:tc>
          <w:tcPr>
            <w:tcW w:type="dxa" w:w="2304"/>
            <w:vAlign w:val="top"/>
          </w:tcPr>
          <w:p>
            <w:pPr>
              <w:spacing w:after="40" w:before="0" w:line="259" w:lineRule="auto"/>
            </w:pPr>
            <w:r>
              <w:rPr>
                <w:rFonts w:ascii="Calibri" w:hAnsi="Calibri"/>
                <w:b/>
                <w:i w:val="0"/>
                <w:color w:val="212121"/>
                <w:sz w:val="19"/>
              </w:rPr>
              <w:t>Persistent high anxiety about health / fear of serious disease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Health anxiety that is hard to reassure and drives care-seeking.</w:t>
            </w:r>
          </w:p>
        </w:tc>
      </w:tr>
      <w:tr>
        <w:trPr>
          <w:cantSplit/>
        </w:trPr>
        <w:tc>
          <w:tcPr>
            <w:tcW w:type="dxa" w:w="2304"/>
            <w:vAlign w:val="top"/>
          </w:tcPr>
          <w:p>
            <w:pPr>
              <w:spacing w:after="40" w:before="0" w:line="259" w:lineRule="auto"/>
            </w:pPr>
            <w:r>
              <w:rPr>
                <w:rFonts w:ascii="Calibri" w:hAnsi="Calibri"/>
                <w:b/>
                <w:i w:val="0"/>
                <w:color w:val="212121"/>
                <w:sz w:val="19"/>
              </w:rPr>
              <w:t>Excessive time and energy devoted to symptoms and health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Behavioural Criterion B — symptom-checking, researching, appointments.</w:t>
            </w:r>
          </w:p>
        </w:tc>
      </w:tr>
      <w:tr>
        <w:trPr>
          <w:cantSplit/>
        </w:trPr>
        <w:tc>
          <w:tcPr>
            <w:tcW w:type="dxa" w:w="2304"/>
            <w:vAlign w:val="top"/>
          </w:tcPr>
          <w:p>
            <w:pPr>
              <w:spacing w:after="40" w:before="0" w:line="259" w:lineRule="auto"/>
            </w:pPr>
            <w:r>
              <w:rPr>
                <w:rFonts w:ascii="Calibri" w:hAnsi="Calibri"/>
                <w:b/>
                <w:i w:val="0"/>
                <w:color w:val="212121"/>
                <w:sz w:val="19"/>
              </w:rPr>
              <w:t>Repeated reassurance- and care-seeking; doctor-shopping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Reassurance gives only transient relief, sustaining the cycle.</w:t>
            </w:r>
          </w:p>
        </w:tc>
      </w:tr>
      <w:tr>
        <w:trPr>
          <w:cantSplit/>
        </w:trPr>
        <w:tc>
          <w:tcPr>
            <w:tcW w:type="dxa" w:w="2304"/>
            <w:vAlign w:val="top"/>
          </w:tcPr>
          <w:p>
            <w:pPr>
              <w:spacing w:after="40" w:before="0" w:line="259" w:lineRule="auto"/>
            </w:pPr>
            <w:r>
              <w:rPr>
                <w:rFonts w:ascii="Calibri" w:hAnsi="Calibri"/>
                <w:b/>
                <w:i w:val="0"/>
                <w:color w:val="212121"/>
                <w:sz w:val="19"/>
              </w:rPr>
              <w:t>Sleep disturbance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Difficulty falling or staying asleep; worsens pain and fatigue.</w:t>
            </w:r>
          </w:p>
        </w:tc>
      </w:tr>
      <w:tr>
        <w:trPr>
          <w:cantSplit/>
        </w:trPr>
        <w:tc>
          <w:tcPr>
            <w:tcW w:type="dxa" w:w="2304"/>
            <w:vAlign w:val="top"/>
          </w:tcPr>
          <w:p>
            <w:pPr>
              <w:spacing w:after="40" w:before="0" w:line="259" w:lineRule="auto"/>
            </w:pPr>
            <w:r>
              <w:rPr>
                <w:rFonts w:ascii="Calibri" w:hAnsi="Calibri"/>
                <w:b/>
                <w:i w:val="0"/>
                <w:color w:val="212121"/>
                <w:sz w:val="19"/>
              </w:rPr>
              <w:t>Numbness, tingling or other pseudo-neurological sensations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Sensory complaints without a consistent neurological basis.</w:t>
            </w:r>
          </w:p>
        </w:tc>
      </w:tr>
      <w:tr>
        <w:trPr>
          <w:cantSplit/>
        </w:trPr>
        <w:tc>
          <w:tcPr>
            <w:tcW w:type="dxa" w:w="2304"/>
            <w:vAlign w:val="top"/>
          </w:tcPr>
          <w:p>
            <w:pPr>
              <w:spacing w:after="40" w:before="0" w:line="259" w:lineRule="auto"/>
            </w:pPr>
            <w:r>
              <w:rPr>
                <w:rFonts w:ascii="Calibri" w:hAnsi="Calibri"/>
                <w:b/>
                <w:i w:val="0"/>
                <w:color w:val="212121"/>
                <w:sz w:val="19"/>
              </w:rPr>
              <w:t>Sexual and menstrual complaints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Dyspareunia, menstrual pain or other symptoms adding to the picture.</w:t>
            </w:r>
          </w:p>
        </w:tc>
      </w:tr>
      <w:tr>
        <w:trPr>
          <w:cantSplit/>
        </w:trPr>
        <w:tc>
          <w:tcPr>
            <w:tcW w:type="dxa" w:w="2304"/>
            <w:vAlign w:val="top"/>
          </w:tcPr>
          <w:p>
            <w:pPr>
              <w:spacing w:after="40" w:before="0" w:line="259" w:lineRule="auto"/>
            </w:pPr>
            <w:r>
              <w:rPr>
                <w:rFonts w:ascii="Calibri" w:hAnsi="Calibri"/>
                <w:b/>
                <w:i w:val="0"/>
                <w:color w:val="212121"/>
                <w:sz w:val="19"/>
              </w:rPr>
              <w:t>Conversion / functional neurological symptoms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Non-epileptic seizures or functional weakness in the related-disorder spectrum.</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Examination and investigations repeatedly normal or non-specific</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findings are disproportionately mild relative to reported symptoms.</w:t>
            </w:r>
          </w:p>
        </w:tc>
      </w:tr>
      <w:tr>
        <w:trPr>
          <w:cantSplit/>
        </w:trPr>
        <w:tc>
          <w:tcPr>
            <w:tcW w:type="dxa" w:w="3456"/>
            <w:vAlign w:val="top"/>
          </w:tcPr>
          <w:p>
            <w:pPr>
              <w:spacing w:after="40" w:before="0" w:line="259" w:lineRule="auto"/>
            </w:pPr>
            <w:r>
              <w:rPr>
                <w:rFonts w:ascii="Calibri" w:hAnsi="Calibri"/>
                <w:b/>
                <w:i w:val="0"/>
                <w:color w:val="212121"/>
                <w:sz w:val="19"/>
              </w:rPr>
              <w:t>Thick medical file; multiple prior specialists and investigations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Marker of high healthcare utilisation and repeated work-ups.</w:t>
            </w:r>
          </w:p>
        </w:tc>
      </w:tr>
      <w:tr>
        <w:trPr>
          <w:cantSplit/>
        </w:trPr>
        <w:tc>
          <w:tcPr>
            <w:tcW w:type="dxa" w:w="3456"/>
            <w:vAlign w:val="top"/>
          </w:tcPr>
          <w:p>
            <w:pPr>
              <w:spacing w:after="40" w:before="0" w:line="259" w:lineRule="auto"/>
            </w:pPr>
            <w:r>
              <w:rPr>
                <w:rFonts w:ascii="Calibri" w:hAnsi="Calibri"/>
                <w:b/>
                <w:i w:val="0"/>
                <w:color w:val="212121"/>
                <w:sz w:val="19"/>
              </w:rPr>
              <w:t>Anxious, health-preoccupied affect; detailed symptom lists or diaries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preoccupation with symptoms and their meaning.</w:t>
            </w:r>
          </w:p>
        </w:tc>
      </w:tr>
      <w:tr>
        <w:trPr>
          <w:cantSplit/>
        </w:trPr>
        <w:tc>
          <w:tcPr>
            <w:tcW w:type="dxa" w:w="3456"/>
            <w:vAlign w:val="top"/>
          </w:tcPr>
          <w:p>
            <w:pPr>
              <w:spacing w:after="40" w:before="0" w:line="259" w:lineRule="auto"/>
            </w:pPr>
            <w:r>
              <w:rPr>
                <w:rFonts w:ascii="Calibri" w:hAnsi="Calibri"/>
                <w:b/>
                <w:i w:val="0"/>
                <w:color w:val="212121"/>
                <w:sz w:val="19"/>
              </w:rPr>
              <w:t>Diffuse tenderness without objective pathology (fibromyalgia-type)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Widespread tender areas with normal structural examination.</w:t>
            </w:r>
          </w:p>
        </w:tc>
      </w:tr>
      <w:tr>
        <w:trPr>
          <w:cantSplit/>
        </w:trPr>
        <w:tc>
          <w:tcPr>
            <w:tcW w:type="dxa" w:w="3456"/>
            <w:vAlign w:val="top"/>
          </w:tcPr>
          <w:p>
            <w:pPr>
              <w:spacing w:after="40" w:before="0" w:line="259" w:lineRule="auto"/>
            </w:pPr>
            <w:r>
              <w:rPr>
                <w:rFonts w:ascii="Calibri" w:hAnsi="Calibri"/>
                <w:b/>
                <w:i w:val="0"/>
                <w:color w:val="212121"/>
                <w:sz w:val="19"/>
              </w:rPr>
              <w:t>Signs of comorbid depression or anxiety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Low mood, psychomotor change, tremor or tachycardia on examination.</w:t>
            </w:r>
          </w:p>
        </w:tc>
      </w:tr>
      <w:tr>
        <w:trPr>
          <w:cantSplit/>
        </w:trPr>
        <w:tc>
          <w:tcPr>
            <w:tcW w:type="dxa" w:w="3456"/>
            <w:vAlign w:val="top"/>
          </w:tcPr>
          <w:p>
            <w:pPr>
              <w:spacing w:after="40" w:before="0" w:line="259" w:lineRule="auto"/>
            </w:pPr>
            <w:r>
              <w:rPr>
                <w:rFonts w:ascii="Calibri" w:hAnsi="Calibri"/>
                <w:b/>
                <w:i w:val="0"/>
                <w:color w:val="212121"/>
                <w:sz w:val="19"/>
              </w:rPr>
              <w:t>Disability and distress disproportionate to objective findings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Functional impairment exceeds what the physical findings would explain.</w:t>
            </w:r>
          </w:p>
        </w:tc>
      </w:tr>
      <w:tr>
        <w:trPr>
          <w:cantSplit/>
        </w:trPr>
        <w:tc>
          <w:tcPr>
            <w:tcW w:type="dxa" w:w="3456"/>
            <w:vAlign w:val="top"/>
          </w:tcPr>
          <w:p>
            <w:pPr>
              <w:spacing w:after="40" w:before="0" w:line="259" w:lineRule="auto"/>
            </w:pPr>
            <w:r>
              <w:rPr>
                <w:rFonts w:ascii="Calibri" w:hAnsi="Calibri"/>
                <w:b/>
                <w:i w:val="0"/>
                <w:color w:val="212121"/>
                <w:sz w:val="19"/>
              </w:rPr>
              <w:t>Autonomic arousal (tachycardia, sweating) when discussing symptoms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Physiological arousal evident during symptom-focused conversation.</w:t>
            </w:r>
          </w:p>
        </w:tc>
      </w:tr>
      <w:tr>
        <w:trPr>
          <w:cantSplit/>
        </w:trPr>
        <w:tc>
          <w:tcPr>
            <w:tcW w:type="dxa" w:w="3456"/>
            <w:vAlign w:val="top"/>
          </w:tcPr>
          <w:p>
            <w:pPr>
              <w:spacing w:after="40" w:before="0" w:line="259" w:lineRule="auto"/>
            </w:pPr>
            <w:r>
              <w:rPr>
                <w:rFonts w:ascii="Calibri" w:hAnsi="Calibri"/>
                <w:b/>
                <w:i w:val="0"/>
                <w:color w:val="212121"/>
                <w:sz w:val="19"/>
              </w:rPr>
              <w:t>Analgesic/sedative overuse or iatrogenic scars from unnecessary procedures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Evidence of over-medicalisation and its harms.</w:t>
            </w:r>
          </w:p>
        </w:tc>
      </w:tr>
      <w:tr>
        <w:trPr>
          <w:cantSplit/>
        </w:trPr>
        <w:tc>
          <w:tcPr>
            <w:tcW w:type="dxa" w:w="3456"/>
            <w:vAlign w:val="top"/>
          </w:tcPr>
          <w:p>
            <w:pPr>
              <w:spacing w:after="40" w:before="0" w:line="259" w:lineRule="auto"/>
            </w:pPr>
            <w:r>
              <w:rPr>
                <w:rFonts w:ascii="Calibri" w:hAnsi="Calibri"/>
                <w:b/>
                <w:i w:val="0"/>
                <w:color w:val="212121"/>
                <w:sz w:val="19"/>
              </w:rPr>
              <w:t>Inconsistent or non-anatomical neurological signs (e.g., positive Hoover's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where conversion/functional neurological features overlap.</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distressing somatic symptoms with impairment disproportionate to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health anxiety and preoccupation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and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Functional disability in work, study and daily life</w:t>
            </w:r>
          </w:p>
        </w:tc>
        <w:tc>
          <w:tcPr>
            <w:tcW w:type="dxa" w:w="2980"/>
            <w:vAlign w:val="top"/>
          </w:tcPr>
          <w:p>
            <w:pPr>
              <w:spacing w:after="40" w:before="0" w:line="259" w:lineRule="auto"/>
            </w:pPr>
            <w:r>
              <w:rPr>
                <w:rFonts w:ascii="Calibri" w:hAnsi="Calibri"/>
                <w:b w:val="0"/>
                <w:i w:val="0"/>
                <w:color w:val="212121"/>
                <w:sz w:val="19"/>
              </w:rPr>
              <w:t>Direct manifestations of persistent somatic distress and maladaptive health cognitions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 and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Iatrogenic harm from repeated/unnecessary investigations, procedures and polypharmacy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Analgesic, opioid, sedative or benzodiazepine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healthcare costs, absenteeism and occupational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Strained doctor–patient and family relationships</w:t>
            </w:r>
          </w:p>
        </w:tc>
        <w:tc>
          <w:tcPr>
            <w:tcW w:type="dxa" w:w="2980"/>
            <w:vAlign w:val="top"/>
          </w:tcPr>
          <w:p>
            <w:pPr>
              <w:spacing w:after="40" w:before="0" w:line="259" w:lineRule="auto"/>
            </w:pPr>
            <w:r>
              <w:rPr>
                <w:rFonts w:ascii="Calibri" w:hAnsi="Calibri"/>
                <w:b w:val="0"/>
                <w:i w:val="0"/>
                <w:color w:val="212121"/>
                <w:sz w:val="19"/>
              </w:rPr>
              <w:t>Arise from chronic illness behaviour, comorbidity and over-medicalisation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treatment-resistant SSD with long-term disability (up to ~90% of cases persist beyond 5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 behaviour, especially with comorbid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Iatrogenic surgical or procedural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unemployment, financial hardship and social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Markedly reduced quality of life</w:t>
            </w:r>
          </w:p>
        </w:tc>
        <w:tc>
          <w:tcPr>
            <w:tcW w:type="dxa" w:w="2980"/>
            <w:vAlign w:val="top"/>
          </w:tcPr>
          <w:p>
            <w:pPr>
              <w:spacing w:after="40" w:before="0" w:line="259" w:lineRule="auto"/>
            </w:pPr>
            <w:r>
              <w:rPr>
                <w:rFonts w:ascii="Calibri" w:hAnsi="Calibri"/>
                <w:b w:val="0"/>
                <w:i w:val="0"/>
                <w:color w:val="212121"/>
                <w:sz w:val="19"/>
              </w:rPr>
              <w:t>Severe, sometimes irreversible outcomes of longstanding, complicated or over-investigated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Major depressive disorder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Depression frequently presents somatically in India and coexists with SSD, each worsening the other and shaping treatment choice.</w:t>
            </w:r>
          </w:p>
        </w:tc>
      </w:tr>
      <w:tr>
        <w:trPr>
          <w:cantSplit/>
        </w:trPr>
        <w:tc>
          <w:tcPr>
            <w:tcW w:type="dxa" w:w="2232"/>
            <w:vAlign w:val="top"/>
          </w:tcPr>
          <w:p>
            <w:pPr>
              <w:spacing w:after="40" w:before="0" w:line="259" w:lineRule="auto"/>
            </w:pPr>
            <w:r>
              <w:rPr>
                <w:rFonts w:ascii="Calibri" w:hAnsi="Calibri"/>
                <w:b/>
                <w:i w:val="0"/>
                <w:color w:val="212121"/>
                <w:sz w:val="19"/>
              </w:rPr>
              <w:t>Anxiety disorders (GAD, panic, health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Anxiety and health anxiety amplify bodily sensations into feared symptoms; the most frequent comorbidities of SSD.</w:t>
            </w:r>
          </w:p>
        </w:tc>
      </w:tr>
      <w:tr>
        <w:trPr>
          <w:cantSplit/>
        </w:trPr>
        <w:tc>
          <w:tcPr>
            <w:tcW w:type="dxa" w:w="2232"/>
            <w:vAlign w:val="top"/>
          </w:tcPr>
          <w:p>
            <w:pPr>
              <w:spacing w:after="40" w:before="0" w:line="259" w:lineRule="auto"/>
            </w:pPr>
            <w:r>
              <w:rPr>
                <w:rFonts w:ascii="Calibri" w:hAnsi="Calibri"/>
                <w:b/>
                <w:i w:val="0"/>
                <w:color w:val="212121"/>
                <w:sz w:val="19"/>
              </w:rPr>
              <w:t>Illness Anxiety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health-anxiety-predominant relative of SSD within the somatic-symptom group; shares mechanisms and management.</w:t>
            </w:r>
          </w:p>
        </w:tc>
      </w:tr>
      <w:tr>
        <w:trPr>
          <w:cantSplit/>
        </w:trPr>
        <w:tc>
          <w:tcPr>
            <w:tcW w:type="dxa" w:w="2232"/>
            <w:vAlign w:val="top"/>
          </w:tcPr>
          <w:p>
            <w:pPr>
              <w:spacing w:after="40" w:before="0" w:line="259" w:lineRule="auto"/>
            </w:pPr>
            <w:r>
              <w:rPr>
                <w:rFonts w:ascii="Calibri" w:hAnsi="Calibri"/>
                <w:b/>
                <w:i w:val="0"/>
                <w:color w:val="212121"/>
                <w:sz w:val="19"/>
              </w:rPr>
              <w:t>Fibromyalgia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Central sensitisation links fibromyalgia and SSD; pain is often the predominant somatic complaint.</w:t>
            </w:r>
          </w:p>
          <w:p>
            <w:pPr>
              <w:spacing w:after="40" w:before="0" w:line="259" w:lineRule="auto"/>
            </w:pPr>
            <w:r>
              <w:rPr>
                <w:rFonts w:ascii="Calibri" w:hAnsi="Calibri"/>
                <w:b/>
                <w:i w:val="0"/>
                <w:color w:val="212121"/>
                <w:sz w:val="19"/>
              </w:rPr>
              <w:t>25–60% across functional syndromes</w:t>
            </w:r>
          </w:p>
        </w:tc>
      </w:tr>
      <w:tr>
        <w:trPr>
          <w:cantSplit/>
        </w:trPr>
        <w:tc>
          <w:tcPr>
            <w:tcW w:type="dxa" w:w="2232"/>
            <w:vAlign w:val="top"/>
          </w:tcPr>
          <w:p>
            <w:pPr>
              <w:spacing w:after="40" w:before="0" w:line="259" w:lineRule="auto"/>
            </w:pPr>
            <w:r>
              <w:rPr>
                <w:rFonts w:ascii="Calibri" w:hAnsi="Calibri"/>
                <w:b/>
                <w:i w:val="0"/>
                <w:color w:val="212121"/>
                <w:sz w:val="19"/>
              </w:rPr>
              <w:t>Irritable bowel syndrome / functional dyspepsia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Gut-brain axis dysregulation drives high overlap with SSD; both are very common in Indian clinics.</w:t>
            </w:r>
          </w:p>
        </w:tc>
      </w:tr>
      <w:tr>
        <w:trPr>
          <w:cantSplit/>
        </w:trPr>
        <w:tc>
          <w:tcPr>
            <w:tcW w:type="dxa" w:w="2232"/>
            <w:vAlign w:val="top"/>
          </w:tcPr>
          <w:p>
            <w:pPr>
              <w:spacing w:after="40" w:before="0" w:line="259" w:lineRule="auto"/>
            </w:pPr>
            <w:r>
              <w:rPr>
                <w:rFonts w:ascii="Calibri" w:hAnsi="Calibri"/>
                <w:b/>
                <w:i w:val="0"/>
                <w:color w:val="212121"/>
                <w:sz w:val="19"/>
              </w:rPr>
              <w:t>Chronic primary pain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Persistent pain becomes the focus of disproportionate concern (“with predominant pain” specifier).</w:t>
            </w:r>
          </w:p>
        </w:tc>
      </w:tr>
      <w:tr>
        <w:trPr>
          <w:cantSplit/>
        </w:trPr>
        <w:tc>
          <w:tcPr>
            <w:tcW w:type="dxa" w:w="2232"/>
            <w:vAlign w:val="top"/>
          </w:tcPr>
          <w:p>
            <w:pPr>
              <w:spacing w:after="40" w:before="0" w:line="259" w:lineRule="auto"/>
            </w:pPr>
            <w:r>
              <w:rPr>
                <w:rFonts w:ascii="Calibri" w:hAnsi="Calibri"/>
                <w:b/>
                <w:i w:val="0"/>
                <w:color w:val="212121"/>
                <w:sz w:val="19"/>
              </w:rPr>
              <w:t>Chronic fatigue syndrome / other functional somatic syndromes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Overlapping central and psychological mechanisms; high co-occurrence with SSD.</w:t>
            </w:r>
          </w:p>
        </w:tc>
      </w:tr>
      <w:tr>
        <w:trPr>
          <w:cantSplit/>
        </w:trPr>
        <w:tc>
          <w:tcPr>
            <w:tcW w:type="dxa" w:w="2232"/>
            <w:vAlign w:val="top"/>
          </w:tcPr>
          <w:p>
            <w:pPr>
              <w:spacing w:after="40" w:before="0" w:line="259" w:lineRule="auto"/>
            </w:pPr>
            <w:r>
              <w:rPr>
                <w:rFonts w:ascii="Calibri" w:hAnsi="Calibri"/>
                <w:b/>
                <w:i w:val="0"/>
                <w:color w:val="212121"/>
                <w:sz w:val="19"/>
              </w:rPr>
              <w:t>Personality disorders (Cluster C, borderline)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Predispose to and complicate SSD, affecting engagement, adherence and prognosis.</w:t>
            </w:r>
          </w:p>
        </w:tc>
      </w:tr>
      <w:tr>
        <w:trPr>
          <w:cantSplit/>
        </w:trPr>
        <w:tc>
          <w:tcPr>
            <w:tcW w:type="dxa" w:w="2232"/>
            <w:vAlign w:val="top"/>
          </w:tcPr>
          <w:p>
            <w:pPr>
              <w:spacing w:after="40" w:before="0" w:line="259" w:lineRule="auto"/>
            </w:pPr>
            <w:r>
              <w:rPr>
                <w:rFonts w:ascii="Calibri" w:hAnsi="Calibri"/>
                <w:b/>
                <w:i w:val="0"/>
                <w:color w:val="212121"/>
                <w:sz w:val="19"/>
              </w:rPr>
              <w:t>Substance / analgesic / opioid / benzodiazepine dependence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Often develops from treating persistent symptoms; misuse worsens the course and interacts with therapy.</w:t>
            </w:r>
          </w:p>
        </w:tc>
      </w:tr>
      <w:tr>
        <w:trPr>
          <w:cantSplit/>
        </w:trPr>
        <w:tc>
          <w:tcPr>
            <w:tcW w:type="dxa" w:w="2232"/>
            <w:vAlign w:val="top"/>
          </w:tcPr>
          <w:p>
            <w:pPr>
              <w:spacing w:after="40" w:before="0" w:line="259" w:lineRule="auto"/>
            </w:pPr>
            <w:r>
              <w:rPr>
                <w:rFonts w:ascii="Calibri" w:hAnsi="Calibri"/>
                <w:b/>
                <w:i w:val="0"/>
                <w:color w:val="212121"/>
                <w:sz w:val="19"/>
              </w:rPr>
              <w:t>Chronic medical illness (asthma, cardiovascular disease, diabetes)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SSD can coexist with genuine disease, amplifying symptoms and complicating its diagnosis and management.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real, distressing physical symptoms can arise from stress and emotion — mind and body are connected, and this is not “imagining”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unhelpful cycles of worry, symptom-checking and repeated tests, and stay with a single trusted doctor rather than seeking many opinions.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simple stress-management — paced breathing, relaxation, mindfulness, yoga — and keep a regular daily routine.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mental-health stigma so distress can be named and treated rather than only investigated physically.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early warning signs of comorbid depression and anxiety and seek timely help.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attenders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graded, paced physical activity to reverse deconditioning and reduce fatigue and pain, increasing slowly to avoid boom-bust cycles.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 150 minutes/week of moderate activity (brisk walking, cycling, swimming) as tolerated.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yoga and pranayama, widely available in India, to lower arousal and body-focused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function-based goals (daily activities, work, relationships) rather than symptom-elimination goals.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Chronic-pain / fatigue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regular, balanced meals to steady energy and reduce reactive symptoms that get catastrophised.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functional gut symptoms with adequate fibre, hydration and identifying personal triggers rather than restrictive fad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excess caffeine and stimulant drinks that cause palpitations and tremor mistaken for serious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unproven supplements and “detox” remedies marketed for vague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GI-predominant SSD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High-caffeine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attenders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sleep–wake schedule and target 7–9 hours; poor sleep amplifies pain and symptom preoccupation.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dark, quiet room; no screens, caffeine or heavy meals near bedtime.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 behavioural therapy for insomnia (CBT-I) when sleep problems persist.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night-time symptom-focused worry with wind-down routines and relaxation.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SSD with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Chronic-pain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and nicotine, which add cough, chest and palpitation symptoms that can be catastrophised and co-occur with SSD.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users, pursue structured cessation with counselling and nicotine-replacement or pharmacotherapy.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Anticipate a transient rise in tension and symptoms during withdrawal and plan coping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national tobacco-cessation resources (e.g., quitline) for sustained support.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 areca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SSD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alcohol or sedatives to cope with symptoms and distress; they give short relief but worsen the 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intake minimal or abstain, especially with comorbid depression or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hazardous drinking and analgesic/sedative misuse and seek help for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substance misuse and SSD together for better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Hazardous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self-medicating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Analgesic/sedative misusers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SSD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 care with a single named physician offering regular, brief, scheduled appointments (not symptom-driven visits) to build trust and reduce over-investigation.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and validate the reality of symptoms while gently introducing a biopsychosocial explanation and reattribution.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cognitive behavioural therapy — the best-evidenced treatment for SSD — plus mindfulness and relaxation.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antidepressants (SSRIs/SNRIs) where indicated, especially with comorbid depression or anxiety, allowing several weeks for effect.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benzodiazepines, opioids and unnecessary investigations, procedures and specialist referrals.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collaborative, function-focused goals and screen for and treat comorbid depression, anxiety and suicide risk at every review.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SSD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Moderate–severe / persistent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High-utilising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32253/" TargetMode="External"/><Relationship Id="rId10" Type="http://schemas.openxmlformats.org/officeDocument/2006/relationships/hyperlink" Target="https://pubmed.ncbi.nlm.nih.gov/30992616/" TargetMode="External"/><Relationship Id="rId11" Type="http://schemas.openxmlformats.org/officeDocument/2006/relationships/hyperlink" Target="https://www.who.int/india/health-topics/mental-health" TargetMode="External"/><Relationship Id="rId12" Type="http://schemas.openxmlformats.org/officeDocument/2006/relationships/hyperlink" Target="https://pubmed.ncbi.nlm.nih.gov/38655225/" TargetMode="External"/><Relationship Id="rId13" Type="http://schemas.openxmlformats.org/officeDocument/2006/relationships/hyperlink" Target="https://pubmed.ncbi.nlm.nih.gov/37113348/" TargetMode="External"/><Relationship Id="rId14" Type="http://schemas.openxmlformats.org/officeDocument/2006/relationships/hyperlink" Target="https://pubmed.ncbi.nlm.nih.gov/127663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