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Autism Spectrum Disorder</w:t>
      </w:r>
    </w:p>
    <w:p>
      <w:pPr>
        <w:spacing w:before="0" w:after="160"/>
      </w:pPr>
      <w:r>
        <w:rPr>
          <w:rFonts w:ascii="Calibri" w:hAnsi="Calibri"/>
          <w:b/>
          <w:i w:val="0"/>
          <w:color w:val="212121"/>
          <w:sz w:val="22"/>
        </w:rPr>
        <w:t xml:space="preserve">AKA </w:t>
      </w:r>
      <w:r>
        <w:rPr>
          <w:rFonts w:ascii="Calibri" w:hAnsi="Calibri"/>
          <w:b w:val="0"/>
          <w:i w:val="0"/>
          <w:color w:val="212121"/>
          <w:sz w:val="22"/>
        </w:rPr>
        <w:t>i.e., Autism, ASD, Autistic disorder, Asperger's syndrome (former subtype), Pervasive Developmental Disorder (older term)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Autism spectrum disorder (ASD) is a lifelong neurodevelopmental condition arising from differences in early brain development. It is defined by persistent deficits in social communication and social interaction, together with restricted, repetitive patterns of behaviour, interests or activities. Features are usually present from the first two to three years of life and vary widely in severity and in accompanying intellectual and language ability — from profound impairment to superior functioning — which is why it is described as a “spectrum.”</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Globally, about 1 in 100 children has autism spectrum disorder, and the WHO’s 2021 Global Burden of Disease estimate placed it at roughly 1 in 127 persons. In India, the large multi-site INCLEN study across five regions found neurodevelopmental disorders in 9.2% of children aged 2–&lt;6 years and 13.6% of those aged 6–9 years, and identified autism at rates comparable to global literature. ASD is diagnosed about 3–4 times more often in boys than in girls.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ASD is a clinical diagnosis based on DSM-5-TR criteria, requiring features across two core domains present from the early developmental period and causing significant functional impairment: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Persistent deficits in social communication and social interaction across multiple contexts — all three of: deficits in social-emotional reciprocity; deficits in non-verbal communicative behaviours (eye contact, gestures, facial expression); and deficits in developing, maintaining and understanding relationships;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Restricted, repetitive patterns of behaviour, interests or activities — at least two of: stereotyped/repetitive movements or speech (e.g., hand-flapping, echolalia); insistence on sameness and rigid routines; highly restricted, fixated interests; and hyper- or hypo-reactivity to sensory input;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Symptoms present in the early developmental period (though they may not fully manifest until social demands exceed capacity, or may be masked by learned strategies later in life);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Symptoms cause clinically significant impairment in social, academic, occupational or other important areas of current functioning;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Disturbances not better explained by intellectual disability or global developmental delay, although these frequently co-occur (specify with/without intellectual and language impairment);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Diagnosis is supported by structured tools — screeners such as the M-CHAT-R/F in toddlers, SCQ and SRS, and diagnostic instruments such as the ADOS-2 and CARS-2; in India the Indian Scale for Assessment of Autism (ISAA) is used for disability certification.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Autism spectrum disorder is characterised and classified along several axes:</w:t>
      </w:r>
    </w:p>
    <w:p>
      <w:pPr>
        <w:spacing w:before="0" w:after="80"/>
      </w:pPr>
      <w:r>
        <w:rPr>
          <w:rFonts w:ascii="Calibri" w:hAnsi="Calibri"/>
          <w:b w:val="0"/>
          <w:i w:val="0"/>
          <w:color w:val="212121"/>
          <w:sz w:val="21"/>
        </w:rPr>
        <w:t>(1) By DSM-5-TR severity level, graded separately for the two core domains: Level 1 “requiring support”; Level 2 “requiring substantial support”; and Level 3 “requiring very substantial support,” reflecting the amount of help a person needs for everyday functioning;</w:t>
      </w:r>
    </w:p>
    <w:p>
      <w:pPr>
        <w:spacing w:before="0" w:after="80"/>
      </w:pPr>
      <w:r>
        <w:rPr>
          <w:rFonts w:ascii="Calibri" w:hAnsi="Calibri"/>
          <w:b w:val="0"/>
          <w:i w:val="0"/>
          <w:color w:val="212121"/>
          <w:sz w:val="21"/>
        </w:rPr>
        <w:t>(2) By accompanying specifiers: with or without accompanying intellectual impairment; with or without accompanying language impairment; associated with a known medical, genetic or environmental factor (e.g., fragile X syndrome, tuberous sclerosis complex, Rett syndrome, in-utero valproate exposure); associated with another neurodevelopmental, mental or behavioural disorder; and with catatonia;</w:t>
      </w:r>
    </w:p>
    <w:p>
      <w:pPr>
        <w:spacing w:before="0" w:after="80"/>
      </w:pPr>
      <w:r>
        <w:rPr>
          <w:rFonts w:ascii="Calibri" w:hAnsi="Calibri"/>
          <w:b w:val="0"/>
          <w:i w:val="0"/>
          <w:color w:val="212121"/>
          <w:sz w:val="21"/>
        </w:rPr>
        <w:t>(3) Historical subtypes now merged into a single spectrum diagnosis: autistic disorder (Kanner’s autism), Asperger’s syndrome (no significant language or cognitive delay), childhood disintegrative disorder, and pervasive developmental disorder-not otherwise specified (PDD-NOS) — consolidated by DSM-5 in 2013;</w:t>
      </w:r>
    </w:p>
    <w:p>
      <w:pPr>
        <w:spacing w:before="0" w:after="80"/>
      </w:pPr>
      <w:r>
        <w:rPr>
          <w:rFonts w:ascii="Calibri" w:hAnsi="Calibri"/>
          <w:b w:val="0"/>
          <w:i w:val="0"/>
          <w:color w:val="212121"/>
          <w:sz w:val="21"/>
        </w:rPr>
        <w:t>(4) By developmental course and support needs across the lifespan: early-onset (features from infancy) versus regressive autism (loss of previously acquired language or social skills, typically between 15 and 30 months); and high-support versus low-support (formerly “high-functioning”) presentations.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ASD is strongly heritable, involving many common and rare variants, de novo mutations and copy-number variants (which account for roughly 10% of cases); monozygotic twin concordance is high and heritability is estimated at around 50% or more.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Syndromic and single-gene conditions: fragile X syndrome, tuberous sclerosis complex and Rett syndrome substantially raise the risk of autistic features.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Advanced parental age: older maternal age (over 35) and older paternal age increase risk, partly through accumulation of de novo mutations.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Adverse pregnancy and perinatal factors: extreme prematurity (especially before 26 weeks), low birth weight, intrauterine growth restriction, fetal hypoxia, gestational diabetes, prenatal bleeding and short inter-pregnancy interval.</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Prenatal exposures: valproate (and historically thalidomide) taken during pregnancy; possible contributions from maternal immune activation/infection and air pollution are under study.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Neurobiological mechanisms: atypical early brain overgrowth and altered synaptic connectivity and pruning affecting social-communication and sensory circuitry.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Male sex: ASD is diagnosed 3–4 times more often in boys, reflecting a probable female protective effect and under-recognition of the female presentation.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Toddlers &amp; young children (18 months–5 years)</w:t>
            </w:r>
          </w:p>
        </w:tc>
        <w:tc>
          <w:tcPr>
            <w:tcW w:type="dxa" w:w="4276"/>
            <w:vAlign w:val="top"/>
          </w:tcPr>
          <w:p>
            <w:pPr>
              <w:spacing w:after="60" w:line="259" w:lineRule="auto"/>
            </w:pPr>
            <w:r>
              <w:rPr>
                <w:rFonts w:ascii="Calibri" w:hAnsi="Calibri"/>
                <w:b w:val="0"/>
                <w:i w:val="0"/>
                <w:color w:val="212121"/>
                <w:sz w:val="19"/>
              </w:rPr>
              <w:t>The core social-communication and repetitive-behaviour features emerge as social demands increase in the toddler and preschool years; this is when most diagnoses are made and when early intervention is most effective.</w:t>
            </w:r>
          </w:p>
          <w:p>
            <w:pPr>
              <w:spacing w:after="40" w:before="60" w:line="259" w:lineRule="auto"/>
            </w:pPr>
            <w:r>
              <w:rPr>
                <w:rFonts w:ascii="Calibri" w:hAnsi="Calibri"/>
                <w:b w:val="0"/>
                <w:i w:val="0"/>
                <w:color w:val="212121"/>
                <w:sz w:val="19"/>
              </w:rPr>
              <w:t>ASD begins before the age of 3 years; it can sometimes be detected at 18 months, and by age 2 a diagnosis by an experienced professional can be considered reliable.</w:t>
            </w:r>
          </w:p>
          <w:p>
            <w:pPr>
              <w:spacing w:after="40" w:line="252" w:lineRule="auto"/>
            </w:pPr>
            <w:hyperlink r:id="rId9">
              <w:r>
                <w:rPr>
                  <w:rFonts w:ascii="Calibri" w:hAnsi="Calibri" w:cs="Calibri"/>
                  <w:sz w:val="18"/>
                  <w:color w:val="1155CC"/>
                  <w:u w:val="single"/>
                </w:rPr>
                <w:t xml:space="preserve">cdc.gov — about autism (onset &amp; detection age)</w:t>
              </w:r>
            </w:hyperlink>
          </w:p>
          <w:p>
            <w:pPr>
              <w:spacing w:before="60" w:after="40"/>
            </w:pPr>
            <w:r>
              <w:rPr>
                <w:rFonts w:ascii="Calibri" w:hAnsi="Calibri"/>
                <w:b w:val="0"/>
                <w:i w:val="0"/>
                <w:color w:val="5A5A5A"/>
                <w:sz w:val="18"/>
              </w:rPr>
              <w:t>#earlychildhood  #redflags  #earlyintervention  #developmentalmonitoring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(undiagnosed / late-diagnosed)</w:t>
            </w:r>
          </w:p>
        </w:tc>
        <w:tc>
          <w:tcPr>
            <w:tcW w:type="dxa" w:w="4276"/>
            <w:vAlign w:val="top"/>
          </w:tcPr>
          <w:p>
            <w:pPr>
              <w:spacing w:after="60" w:line="259" w:lineRule="auto"/>
            </w:pPr>
            <w:r>
              <w:rPr>
                <w:rFonts w:ascii="Calibri" w:hAnsi="Calibri"/>
                <w:b w:val="0"/>
                <w:i w:val="0"/>
                <w:color w:val="212121"/>
                <w:sz w:val="19"/>
              </w:rPr>
              <w:t>ASD is lifelong; many adults — especially those with milder presentations, average or high intelligence, and women who camouflage — were never identified in childhood and present later with anxiety, depression or occupational difficulty.</w:t>
            </w:r>
          </w:p>
          <w:p>
            <w:pPr>
              <w:spacing w:after="40" w:before="60" w:line="259" w:lineRule="auto"/>
            </w:pPr>
            <w:r>
              <w:rPr>
                <w:rFonts w:ascii="Calibri" w:hAnsi="Calibri"/>
                <w:b w:val="0"/>
                <w:i w:val="0"/>
                <w:color w:val="212121"/>
                <w:sz w:val="19"/>
              </w:rPr>
              <w:t>Characteristics of autism may be detected in early childhood, but autism is often not diagnosed until much later (WHO).</w:t>
            </w:r>
          </w:p>
          <w:p>
            <w:pPr>
              <w:spacing w:after="40" w:line="252" w:lineRule="auto"/>
            </w:pPr>
            <w:hyperlink r:id="rId10">
              <w:r>
                <w:rPr>
                  <w:rFonts w:ascii="Calibri" w:hAnsi="Calibri" w:cs="Calibri"/>
                  <w:sz w:val="18"/>
                  <w:color w:val="1155CC"/>
                  <w:u w:val="single"/>
                </w:rPr>
                <w:t xml:space="preserve">who.int — autism fact sheet</w:t>
              </w:r>
            </w:hyperlink>
          </w:p>
          <w:p>
            <w:pPr>
              <w:spacing w:before="60" w:after="40"/>
            </w:pPr>
            <w:r>
              <w:rPr>
                <w:rFonts w:ascii="Calibri" w:hAnsi="Calibri"/>
                <w:b w:val="0"/>
                <w:i w:val="0"/>
                <w:color w:val="5A5A5A"/>
                <w:sz w:val="18"/>
              </w:rPr>
              <w:t>#lifelong  #latediagnosis  #camouflaging  #adultautism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 ageing autistic adults</w:t>
            </w:r>
          </w:p>
        </w:tc>
        <w:tc>
          <w:tcPr>
            <w:tcW w:type="dxa" w:w="4276"/>
            <w:vAlign w:val="top"/>
          </w:tcPr>
          <w:p>
            <w:pPr>
              <w:spacing w:after="60" w:line="259" w:lineRule="auto"/>
            </w:pPr>
            <w:r>
              <w:rPr>
                <w:rFonts w:ascii="Calibri" w:hAnsi="Calibri"/>
                <w:b w:val="0"/>
                <w:i w:val="0"/>
                <w:color w:val="212121"/>
                <w:sz w:val="19"/>
              </w:rPr>
              <w:t>Autistic adults age with accumulated co-occurring physical and mental-health conditions and often limited services; historically under-diagnosed, this cohort is largely invisible in older-age health data.</w:t>
            </w:r>
          </w:p>
          <w:p>
            <w:pPr>
              <w:spacing w:after="40" w:before="60" w:line="259" w:lineRule="auto"/>
            </w:pPr>
            <w:r>
              <w:rPr>
                <w:rFonts w:ascii="Calibri" w:hAnsi="Calibri"/>
                <w:b w:val="0"/>
                <w:i w:val="0"/>
                <w:color w:val="212121"/>
                <w:sz w:val="19"/>
              </w:rPr>
              <w:t>The level of intellectual functioning among autistic people varies widely, from profound impairment to superior levels, shaping lifelong support needs (WHO).</w:t>
            </w:r>
          </w:p>
          <w:p>
            <w:pPr>
              <w:spacing w:after="40" w:line="252" w:lineRule="auto"/>
            </w:pPr>
            <w:hyperlink r:id="rId10">
              <w:r>
                <w:rPr>
                  <w:rFonts w:ascii="Calibri" w:hAnsi="Calibri" w:cs="Calibri"/>
                  <w:sz w:val="18"/>
                  <w:color w:val="1155CC"/>
                  <w:u w:val="single"/>
                </w:rPr>
                <w:t xml:space="preserve">who.int — autism fact sheet</w:t>
              </w:r>
            </w:hyperlink>
          </w:p>
          <w:p>
            <w:pPr>
              <w:spacing w:before="60" w:after="40"/>
            </w:pPr>
            <w:r>
              <w:rPr>
                <w:rFonts w:ascii="Calibri" w:hAnsi="Calibri"/>
                <w:b w:val="0"/>
                <w:i w:val="0"/>
                <w:color w:val="5A5A5A"/>
                <w:sz w:val="18"/>
              </w:rPr>
              <w:t>#ageingautism  #lifelongsupport  #comorbidity  #underdiagnosed</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Boys are diagnosed far more often than girls, attributed to a probable female protective effect and sex differences in presentation and genetic vulnerability.</w:t>
            </w:r>
          </w:p>
          <w:p>
            <w:pPr>
              <w:spacing w:after="40" w:before="60" w:line="259" w:lineRule="auto"/>
            </w:pPr>
            <w:r>
              <w:rPr>
                <w:rFonts w:ascii="Calibri" w:hAnsi="Calibri"/>
                <w:b w:val="0"/>
                <w:i w:val="0"/>
                <w:color w:val="212121"/>
                <w:sz w:val="19"/>
              </w:rPr>
              <w:t>In the 2022 ADDM surveillance, ASD was 3.4 times as prevalent among boys (49.2 per 1,000) as among girls (14.3 per 1,000).</w:t>
            </w:r>
          </w:p>
          <w:p>
            <w:pPr>
              <w:spacing w:after="40" w:line="252" w:lineRule="auto"/>
            </w:pPr>
            <w:hyperlink r:id="rId11">
              <w:r>
                <w:rPr>
                  <w:rFonts w:ascii="Calibri" w:hAnsi="Calibri" w:cs="Calibri"/>
                  <w:sz w:val="18"/>
                  <w:color w:val="1155CC"/>
                  <w:u w:val="single"/>
                </w:rPr>
                <w:t xml:space="preserve">cdc.gov MMWR — ADDM 2022 surveillance</w:t>
              </w:r>
            </w:hyperlink>
          </w:p>
          <w:p>
            <w:pPr>
              <w:spacing w:before="60" w:after="40"/>
            </w:pPr>
            <w:r>
              <w:rPr>
                <w:rFonts w:ascii="Calibri" w:hAnsi="Calibri"/>
                <w:b w:val="0"/>
                <w:i w:val="0"/>
                <w:color w:val="5A5A5A"/>
                <w:sz w:val="18"/>
              </w:rPr>
              <w:t>#malepredominance  #sexratio  #addm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(under-recognised)</w:t>
            </w:r>
          </w:p>
        </w:tc>
        <w:tc>
          <w:tcPr>
            <w:tcW w:type="dxa" w:w="4276"/>
            <w:vAlign w:val="top"/>
          </w:tcPr>
          <w:p>
            <w:pPr>
              <w:spacing w:after="60" w:line="259" w:lineRule="auto"/>
            </w:pPr>
            <w:r>
              <w:rPr>
                <w:rFonts w:ascii="Calibri" w:hAnsi="Calibri"/>
                <w:b w:val="0"/>
                <w:i w:val="0"/>
                <w:color w:val="212121"/>
                <w:sz w:val="19"/>
              </w:rPr>
              <w:t>Girls are diagnosed later and missed more often because they camouflage social difficulties and show fewer overt repetitive behaviours; when identified they more frequently have accompanying intellectual disability.</w:t>
            </w:r>
          </w:p>
          <w:p>
            <w:pPr>
              <w:spacing w:after="40" w:before="60" w:line="259" w:lineRule="auto"/>
            </w:pPr>
            <w:r>
              <w:rPr>
                <w:rFonts w:ascii="Calibri" w:hAnsi="Calibri"/>
                <w:b w:val="0"/>
                <w:i w:val="0"/>
                <w:color w:val="212121"/>
                <w:sz w:val="19"/>
              </w:rPr>
              <w:t>Boys are about four times more likely to be diagnosed with autism than girls, a gap partly reflecting under-recognition of the female presentation.</w:t>
            </w:r>
          </w:p>
          <w:p>
            <w:pPr>
              <w:spacing w:after="40" w:line="252" w:lineRule="auto"/>
            </w:pPr>
            <w:hyperlink r:id="rId12">
              <w:r>
                <w:rPr>
                  <w:rFonts w:ascii="Calibri" w:hAnsi="Calibri" w:cs="Calibri"/>
                  <w:sz w:val="18"/>
                  <w:color w:val="1155CC"/>
                  <w:u w:val="single"/>
                </w:rPr>
                <w:t xml:space="preserve">mayoclinic.org — autism risk factors</w:t>
              </w:r>
            </w:hyperlink>
          </w:p>
          <w:p>
            <w:pPr>
              <w:spacing w:before="60" w:after="40"/>
            </w:pPr>
            <w:r>
              <w:rPr>
                <w:rFonts w:ascii="Calibri" w:hAnsi="Calibri"/>
                <w:b w:val="0"/>
                <w:i w:val="0"/>
                <w:color w:val="5A5A5A"/>
                <w:sz w:val="18"/>
              </w:rPr>
              <w:t>#femaleautism  #camouflaging  #misseddiagnosis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low-awareness families (India)</w:t>
            </w:r>
          </w:p>
        </w:tc>
        <w:tc>
          <w:tcPr>
            <w:tcW w:type="dxa" w:w="4276"/>
            <w:vAlign w:val="top"/>
          </w:tcPr>
          <w:p>
            <w:pPr>
              <w:spacing w:after="60" w:line="259" w:lineRule="auto"/>
            </w:pPr>
            <w:r>
              <w:rPr>
                <w:rFonts w:ascii="Calibri" w:hAnsi="Calibri"/>
                <w:b w:val="0"/>
                <w:i w:val="0"/>
                <w:color w:val="212121"/>
                <w:sz w:val="19"/>
              </w:rPr>
              <w:t>In India, limited awareness, stigma, shortage of trained developmental specialists and out-of-pocket costs delay recognition and access to therapy, worsening outcomes despite similar underlying prevalence across social strata.</w:t>
            </w:r>
          </w:p>
          <w:p>
            <w:pPr>
              <w:spacing w:after="40" w:before="60" w:line="259" w:lineRule="auto"/>
            </w:pPr>
            <w:r>
              <w:rPr>
                <w:rFonts w:ascii="Calibri" w:hAnsi="Calibri"/>
                <w:b w:val="0"/>
                <w:i w:val="0"/>
                <w:color w:val="212121"/>
                <w:sz w:val="19"/>
              </w:rPr>
              <w:t>The INCLEN study found neurodevelopmental disorders without significant difference by gender, rural/urban residence or religion, underscoring that under-diagnosis — not lower true prevalence — drives gaps in poorer communities.</w:t>
            </w:r>
          </w:p>
          <w:p>
            <w:pPr>
              <w:spacing w:after="40" w:line="252" w:lineRule="auto"/>
            </w:pPr>
            <w:hyperlink r:id="rId13">
              <w:r>
                <w:rPr>
                  <w:rFonts w:ascii="Calibri" w:hAnsi="Calibri" w:cs="Calibri"/>
                  <w:sz w:val="18"/>
                  <w:color w:val="1155CC"/>
                  <w:u w:val="single"/>
                </w:rPr>
                <w:t xml:space="preserve">plosmedicine — INCLEN NDD India (Arora 2018)</w:t>
              </w:r>
            </w:hyperlink>
          </w:p>
          <w:p>
            <w:pPr>
              <w:spacing w:before="60" w:after="40"/>
            </w:pPr>
            <w:r>
              <w:rPr>
                <w:rFonts w:ascii="Calibri" w:hAnsi="Calibri"/>
                <w:b w:val="0"/>
                <w:i w:val="0"/>
                <w:color w:val="5A5A5A"/>
                <w:sz w:val="18"/>
              </w:rPr>
              <w:t>#accessgap  #stigma  #earlyintervention  #indiahealth</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Indian children (multi-region)</w:t>
            </w:r>
          </w:p>
        </w:tc>
        <w:tc>
          <w:tcPr>
            <w:tcW w:type="dxa" w:w="4276"/>
            <w:vAlign w:val="top"/>
          </w:tcPr>
          <w:p>
            <w:pPr>
              <w:spacing w:after="60" w:line="259" w:lineRule="auto"/>
            </w:pPr>
            <w:r>
              <w:rPr>
                <w:rFonts w:ascii="Calibri" w:hAnsi="Calibri"/>
                <w:b w:val="0"/>
                <w:i w:val="0"/>
                <w:color w:val="212121"/>
                <w:sz w:val="19"/>
              </w:rPr>
              <w:t>Community-based Indian data confirm a substantial neurodevelopmental burden across diverse regions, with autism identified at rates in line with global estimates rather than the much lower figures suggested by older hospital-based reports.</w:t>
            </w:r>
          </w:p>
          <w:p>
            <w:pPr>
              <w:spacing w:after="40" w:before="60" w:line="259" w:lineRule="auto"/>
            </w:pPr>
            <w:r>
              <w:rPr>
                <w:rFonts w:ascii="Calibri" w:hAnsi="Calibri"/>
                <w:b w:val="0"/>
                <w:i w:val="0"/>
                <w:color w:val="212121"/>
                <w:sz w:val="19"/>
              </w:rPr>
              <w:t>Across five Indian sites (Palwal, Kangra, Dhenkanal, Hyderabad, North Goa) NDD prevalence was 9.2% (ages 2–&lt;6) and 13.6% (ages 6–9); 44 of 3,964 children screened had ASD.</w:t>
            </w:r>
          </w:p>
          <w:p>
            <w:pPr>
              <w:spacing w:after="40" w:line="252" w:lineRule="auto"/>
            </w:pPr>
            <w:hyperlink r:id="rId13">
              <w:r>
                <w:rPr>
                  <w:rFonts w:ascii="Calibri" w:hAnsi="Calibri" w:cs="Calibri"/>
                  <w:sz w:val="18"/>
                  <w:color w:val="1155CC"/>
                  <w:u w:val="single"/>
                </w:rPr>
                <w:t xml:space="preserve">plosmedicine — INCLEN 5-region India study</w:t>
              </w:r>
            </w:hyperlink>
          </w:p>
          <w:p>
            <w:pPr>
              <w:spacing w:before="60" w:after="40"/>
            </w:pPr>
            <w:r>
              <w:rPr>
                <w:rFonts w:ascii="Calibri" w:hAnsi="Calibri"/>
                <w:b w:val="0"/>
                <w:i w:val="0"/>
                <w:color w:val="5A5A5A"/>
                <w:sz w:val="18"/>
              </w:rPr>
              <w:t>#indiafirst  #inclen  #neurodevelopmental  #multisite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Urban / metro India (detection-driven)</w:t>
            </w:r>
          </w:p>
        </w:tc>
        <w:tc>
          <w:tcPr>
            <w:tcW w:type="dxa" w:w="4276"/>
            <w:vAlign w:val="top"/>
          </w:tcPr>
          <w:p>
            <w:pPr>
              <w:spacing w:after="60" w:line="259" w:lineRule="auto"/>
            </w:pPr>
            <w:r>
              <w:rPr>
                <w:rFonts w:ascii="Calibri" w:hAnsi="Calibri"/>
                <w:b w:val="0"/>
                <w:i w:val="0"/>
                <w:color w:val="212121"/>
                <w:sz w:val="19"/>
              </w:rPr>
              <w:t>Recorded prevalence is higher where paediatric neurology, child-development centres and awareness are concentrated; urban families access ADOS-based assessment and therapy far earlier than rural families, even though true prevalence differs little.</w:t>
            </w:r>
          </w:p>
          <w:p>
            <w:pPr>
              <w:spacing w:after="40" w:before="60" w:line="259" w:lineRule="auto"/>
            </w:pPr>
            <w:r>
              <w:rPr>
                <w:rFonts w:ascii="Calibri" w:hAnsi="Calibri"/>
                <w:b w:val="0"/>
                <w:i w:val="0"/>
                <w:color w:val="212121"/>
                <w:sz w:val="19"/>
              </w:rPr>
              <w:t>Global pooled prevalence is lower in Asia (0.41%) than North America (1.01%), a gap driven largely by differences in ascertainment and services rather than true biology.</w:t>
            </w:r>
          </w:p>
          <w:p>
            <w:pPr>
              <w:spacing w:after="40" w:line="252" w:lineRule="auto"/>
            </w:pPr>
            <w:hyperlink r:id="rId14">
              <w:r>
                <w:rPr>
                  <w:rFonts w:ascii="Calibri" w:hAnsi="Calibri" w:cs="Calibri"/>
                  <w:sz w:val="18"/>
                  <w:color w:val="1155CC"/>
                  <w:u w:val="single"/>
                </w:rPr>
                <w:t xml:space="preserve">ncbi StatPearls — ASD epidemiology</w:t>
              </w:r>
            </w:hyperlink>
          </w:p>
          <w:p>
            <w:pPr>
              <w:spacing w:before="60" w:after="40"/>
            </w:pPr>
            <w:r>
              <w:rPr>
                <w:rFonts w:ascii="Calibri" w:hAnsi="Calibri"/>
                <w:b w:val="0"/>
                <w:i w:val="0"/>
                <w:color w:val="5A5A5A"/>
                <w:sz w:val="18"/>
              </w:rPr>
              <w:t>#urbanrural  #ascertainment  #servicegap</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Prenatal drug exposure</w:t>
            </w:r>
          </w:p>
        </w:tc>
        <w:tc>
          <w:tcPr>
            <w:tcW w:type="dxa" w:w="2160"/>
            <w:vAlign w:val="top"/>
          </w:tcPr>
          <w:p>
            <w:pPr>
              <w:spacing w:after="40" w:before="0" w:line="259" w:lineRule="auto"/>
            </w:pPr>
            <w:r>
              <w:rPr>
                <w:rFonts w:ascii="Calibri" w:hAnsi="Calibri"/>
                <w:b w:val="0"/>
                <w:i w:val="0"/>
                <w:color w:val="212121"/>
                <w:sz w:val="19"/>
              </w:rPr>
              <w:t>Children exposed in-utero to valproate/anti-epileptics</w:t>
            </w:r>
          </w:p>
        </w:tc>
        <w:tc>
          <w:tcPr>
            <w:tcW w:type="dxa" w:w="4276"/>
            <w:vAlign w:val="top"/>
          </w:tcPr>
          <w:p>
            <w:pPr>
              <w:spacing w:after="60" w:line="259" w:lineRule="auto"/>
            </w:pPr>
            <w:r>
              <w:rPr>
                <w:rFonts w:ascii="Calibri" w:hAnsi="Calibri"/>
                <w:b w:val="0"/>
                <w:i w:val="0"/>
                <w:color w:val="212121"/>
                <w:sz w:val="19"/>
              </w:rPr>
              <w:t>Maternal use of sodium valproate during pregnancy is an established, modifiable risk factor; the drug disrupts fetal neurodevelopment and markedly raises ASD and broader neurodevelopmental risk.</w:t>
            </w:r>
          </w:p>
          <w:p>
            <w:pPr>
              <w:spacing w:after="40" w:before="60" w:line="259" w:lineRule="auto"/>
            </w:pPr>
            <w:r>
              <w:rPr>
                <w:rFonts w:ascii="Calibri" w:hAnsi="Calibri"/>
                <w:b w:val="0"/>
                <w:i w:val="0"/>
                <w:color w:val="212121"/>
                <w:sz w:val="19"/>
              </w:rPr>
              <w:t>Use of certain medications such as valproate in pregnancy is a recognised risk factor for autism.</w:t>
            </w:r>
          </w:p>
          <w:p>
            <w:pPr>
              <w:spacing w:after="40" w:line="252" w:lineRule="auto"/>
            </w:pPr>
            <w:hyperlink r:id="rId15">
              <w:r>
                <w:rPr>
                  <w:rFonts w:ascii="Calibri" w:hAnsi="Calibri" w:cs="Calibri"/>
                  <w:sz w:val="18"/>
                  <w:color w:val="1155CC"/>
                  <w:u w:val="single"/>
                </w:rPr>
                <w:t xml:space="preserve">clevelandclinic.org — autism causes &amp; risk factors</w:t>
              </w:r>
            </w:hyperlink>
          </w:p>
          <w:p>
            <w:pPr>
              <w:spacing w:before="60" w:after="40"/>
            </w:pPr>
            <w:r>
              <w:rPr>
                <w:rFonts w:ascii="Calibri" w:hAnsi="Calibri"/>
                <w:b w:val="0"/>
                <w:i w:val="0"/>
                <w:color w:val="5A5A5A"/>
                <w:sz w:val="18"/>
              </w:rPr>
              <w:t>#valproate  #prenatalexposure  #modifiable  #antiepileptic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Physical inactivity / screen exposure</w:t>
            </w:r>
          </w:p>
        </w:tc>
        <w:tc>
          <w:tcPr>
            <w:tcW w:type="dxa" w:w="2160"/>
            <w:vAlign w:val="top"/>
          </w:tcPr>
          <w:p>
            <w:pPr>
              <w:spacing w:after="40" w:before="0" w:line="259" w:lineRule="auto"/>
            </w:pPr>
            <w:r>
              <w:rPr>
                <w:rFonts w:ascii="Calibri" w:hAnsi="Calibri"/>
                <w:b w:val="0"/>
                <w:i w:val="0"/>
                <w:color w:val="212121"/>
                <w:sz w:val="19"/>
              </w:rPr>
              <w:t>Autistic children with sedentary routines &amp; high screen time</w:t>
            </w:r>
          </w:p>
        </w:tc>
        <w:tc>
          <w:tcPr>
            <w:tcW w:type="dxa" w:w="4276"/>
            <w:vAlign w:val="top"/>
          </w:tcPr>
          <w:p>
            <w:pPr>
              <w:spacing w:after="60" w:line="259" w:lineRule="auto"/>
            </w:pPr>
            <w:r>
              <w:rPr>
                <w:rFonts w:ascii="Calibri" w:hAnsi="Calibri"/>
                <w:b w:val="0"/>
                <w:i w:val="0"/>
                <w:color w:val="212121"/>
                <w:sz w:val="19"/>
              </w:rPr>
              <w:t>Autistic children are, on average, less physically active and spend more time on screens; inactivity compounds obesity, poor sleep and behavioural dysregulation, while structured activity reduces stereotypy and anxiety. This influences management, not causation.</w:t>
            </w:r>
          </w:p>
          <w:p>
            <w:pPr>
              <w:spacing w:after="40" w:before="60" w:line="259" w:lineRule="auto"/>
            </w:pPr>
            <w:r>
              <w:rPr>
                <w:rFonts w:ascii="Calibri" w:hAnsi="Calibri"/>
                <w:b w:val="0"/>
                <w:i w:val="0"/>
                <w:color w:val="212121"/>
                <w:sz w:val="19"/>
              </w:rPr>
              <w:t>Motor abnormalities affect up to ~79% of autistic individuals, adding to activity barriers and the need for occupational and physical therapy.</w:t>
            </w:r>
          </w:p>
          <w:p>
            <w:pPr>
              <w:spacing w:after="40" w:line="252" w:lineRule="auto"/>
            </w:pPr>
            <w:hyperlink r:id="rId14">
              <w:r>
                <w:rPr>
                  <w:rFonts w:ascii="Calibri" w:hAnsi="Calibri" w:cs="Calibri"/>
                  <w:sz w:val="18"/>
                  <w:color w:val="1155CC"/>
                  <w:u w:val="single"/>
                </w:rPr>
                <w:t xml:space="preserve">ncbi StatPearls — ASD motor comorbidity</w:t>
              </w:r>
            </w:hyperlink>
          </w:p>
          <w:p>
            <w:pPr>
              <w:spacing w:before="60" w:after="40"/>
            </w:pPr>
            <w:r>
              <w:rPr>
                <w:rFonts w:ascii="Calibri" w:hAnsi="Calibri"/>
                <w:b w:val="0"/>
                <w:i w:val="0"/>
                <w:color w:val="5A5A5A"/>
                <w:sz w:val="18"/>
              </w:rPr>
              <w:t>#sedentary  #screentime  #stereotypy  #obesityrisk</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Feeding / food selectivity</w:t>
            </w:r>
          </w:p>
        </w:tc>
        <w:tc>
          <w:tcPr>
            <w:tcW w:type="dxa" w:w="2160"/>
            <w:vAlign w:val="top"/>
          </w:tcPr>
          <w:p>
            <w:pPr>
              <w:spacing w:after="40" w:before="0" w:line="259" w:lineRule="auto"/>
            </w:pPr>
            <w:r>
              <w:rPr>
                <w:rFonts w:ascii="Calibri" w:hAnsi="Calibri"/>
                <w:b w:val="0"/>
                <w:i w:val="0"/>
                <w:color w:val="212121"/>
                <w:sz w:val="19"/>
              </w:rPr>
              <w:t>Children with restricted/selective eating</w:t>
            </w:r>
          </w:p>
        </w:tc>
        <w:tc>
          <w:tcPr>
            <w:tcW w:type="dxa" w:w="4276"/>
            <w:vAlign w:val="top"/>
          </w:tcPr>
          <w:p>
            <w:pPr>
              <w:spacing w:after="60" w:line="259" w:lineRule="auto"/>
            </w:pPr>
            <w:r>
              <w:rPr>
                <w:rFonts w:ascii="Calibri" w:hAnsi="Calibri"/>
                <w:b w:val="0"/>
                <w:i w:val="0"/>
                <w:color w:val="212121"/>
                <w:sz w:val="19"/>
              </w:rPr>
              <w:t>Sensory sensitivities and insistence on sameness drive extreme food selectivity, narrowing intake to a few textures or brands and risking iron, vitamin D and calcium deficiency and constipation.</w:t>
            </w:r>
          </w:p>
          <w:p>
            <w:pPr>
              <w:spacing w:after="40" w:before="60" w:line="259" w:lineRule="auto"/>
            </w:pPr>
            <w:r>
              <w:rPr>
                <w:rFonts w:ascii="Calibri" w:hAnsi="Calibri"/>
                <w:b w:val="0"/>
                <w:i w:val="0"/>
                <w:color w:val="212121"/>
                <w:sz w:val="19"/>
              </w:rPr>
              <w:t>Gastrointestinal problems affect up to ~70% of autistic individuals, frequently linked to restrictive eating and constipation.</w:t>
            </w:r>
          </w:p>
          <w:p>
            <w:pPr>
              <w:spacing w:after="40" w:line="252" w:lineRule="auto"/>
            </w:pPr>
            <w:hyperlink r:id="rId14">
              <w:r>
                <w:rPr>
                  <w:rFonts w:ascii="Calibri" w:hAnsi="Calibri" w:cs="Calibri"/>
                  <w:sz w:val="18"/>
                  <w:color w:val="1155CC"/>
                  <w:u w:val="single"/>
                </w:rPr>
                <w:t xml:space="preserve">ncbi StatPearls — ASD GI/feeding</w:t>
              </w:r>
            </w:hyperlink>
          </w:p>
          <w:p>
            <w:pPr>
              <w:spacing w:before="60" w:after="40"/>
            </w:pPr>
            <w:r>
              <w:rPr>
                <w:rFonts w:ascii="Calibri" w:hAnsi="Calibri"/>
                <w:b w:val="0"/>
                <w:i w:val="0"/>
                <w:color w:val="5A5A5A"/>
                <w:sz w:val="18"/>
              </w:rPr>
              <w:t>#foodselectivity  #sensoryeating  #nutrientdeficiency  #constipation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periconceptional nutrition</w:t>
            </w:r>
          </w:p>
        </w:tc>
        <w:tc>
          <w:tcPr>
            <w:tcW w:type="dxa" w:w="2160"/>
            <w:vAlign w:val="top"/>
          </w:tcPr>
          <w:p>
            <w:pPr>
              <w:spacing w:after="40" w:before="0" w:line="259" w:lineRule="auto"/>
            </w:pPr>
            <w:r>
              <w:rPr>
                <w:rFonts w:ascii="Calibri" w:hAnsi="Calibri"/>
                <w:b w:val="0"/>
                <w:i w:val="0"/>
                <w:color w:val="212121"/>
                <w:sz w:val="19"/>
              </w:rPr>
              <w:t>Infants of mothers with low folate/periconceptional deficiency</w:t>
            </w:r>
          </w:p>
        </w:tc>
        <w:tc>
          <w:tcPr>
            <w:tcW w:type="dxa" w:w="4276"/>
            <w:vAlign w:val="top"/>
          </w:tcPr>
          <w:p>
            <w:pPr>
              <w:spacing w:after="60" w:line="259" w:lineRule="auto"/>
            </w:pPr>
            <w:r>
              <w:rPr>
                <w:rFonts w:ascii="Calibri" w:hAnsi="Calibri"/>
                <w:b w:val="0"/>
                <w:i w:val="0"/>
                <w:color w:val="212121"/>
                <w:sz w:val="19"/>
              </w:rPr>
              <w:t>Adequate periconceptional folate and good antenatal nutrition are associated with lower neurodevelopmental risk; deficiency during neural-tube and early brain formation is one of several modifiable prenatal influences under study.</w:t>
            </w:r>
          </w:p>
          <w:p>
            <w:pPr>
              <w:spacing w:after="40" w:before="60" w:line="259" w:lineRule="auto"/>
            </w:pPr>
            <w:r>
              <w:rPr>
                <w:rFonts w:ascii="Calibri" w:hAnsi="Calibri"/>
                <w:b w:val="0"/>
                <w:i w:val="0"/>
                <w:color w:val="212121"/>
                <w:sz w:val="19"/>
              </w:rPr>
              <w:t>Both genes and the prenatal environment play important roles in autism; optimising antenatal care and nutrition is a key preventive lever.</w:t>
            </w:r>
          </w:p>
          <w:p>
            <w:pPr>
              <w:spacing w:after="40" w:line="252" w:lineRule="auto"/>
            </w:pPr>
            <w:hyperlink r:id="rId16">
              <w:r>
                <w:rPr>
                  <w:rFonts w:ascii="Calibri" w:hAnsi="Calibri" w:cs="Calibri"/>
                  <w:sz w:val="18"/>
                  <w:color w:val="1155CC"/>
                  <w:u w:val="single"/>
                </w:rPr>
                <w:t xml:space="preserve">medlineplus.gov — autism causes</w:t>
              </w:r>
            </w:hyperlink>
          </w:p>
          <w:p>
            <w:pPr>
              <w:spacing w:before="60" w:after="40"/>
            </w:pPr>
            <w:r>
              <w:rPr>
                <w:rFonts w:ascii="Calibri" w:hAnsi="Calibri"/>
                <w:b w:val="0"/>
                <w:i w:val="0"/>
                <w:color w:val="5A5A5A"/>
                <w:sz w:val="18"/>
              </w:rPr>
              <w:t>#folate  #antenatalnutrition  #prevention  #prenatal</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Siblings of an autistic child</w:t>
            </w:r>
          </w:p>
        </w:tc>
        <w:tc>
          <w:tcPr>
            <w:tcW w:type="dxa" w:w="4276"/>
            <w:vAlign w:val="top"/>
          </w:tcPr>
          <w:p>
            <w:pPr>
              <w:spacing w:after="60" w:line="259" w:lineRule="auto"/>
            </w:pPr>
            <w:r>
              <w:rPr>
                <w:rFonts w:ascii="Calibri" w:hAnsi="Calibri"/>
                <w:b w:val="0"/>
                <w:i w:val="0"/>
                <w:color w:val="212121"/>
                <w:sz w:val="19"/>
              </w:rPr>
              <w:t>Having one autistic child substantially raises the likelihood that a subsequent child is also autistic, reflecting shared inherited susceptibility; siblings warrant close developmental surveillance.</w:t>
            </w:r>
          </w:p>
          <w:p>
            <w:pPr>
              <w:spacing w:after="40" w:before="60" w:line="259" w:lineRule="auto"/>
            </w:pPr>
            <w:r>
              <w:rPr>
                <w:rFonts w:ascii="Calibri" w:hAnsi="Calibri"/>
                <w:b w:val="0"/>
                <w:i w:val="0"/>
                <w:color w:val="212121"/>
                <w:sz w:val="19"/>
              </w:rPr>
              <w:t>Families who have one child with autism spectrum disorder have a higher risk of having another child with the condition.</w:t>
            </w:r>
          </w:p>
          <w:p>
            <w:pPr>
              <w:spacing w:after="40" w:line="252" w:lineRule="auto"/>
            </w:pPr>
            <w:hyperlink r:id="rId16">
              <w:r>
                <w:rPr>
                  <w:rFonts w:ascii="Calibri" w:hAnsi="Calibri" w:cs="Calibri"/>
                  <w:sz w:val="18"/>
                  <w:color w:val="1155CC"/>
                  <w:u w:val="single"/>
                </w:rPr>
                <w:t xml:space="preserve">medlineplus.gov — autism risk factors</w:t>
              </w:r>
            </w:hyperlink>
          </w:p>
          <w:p>
            <w:pPr>
              <w:spacing w:before="60" w:after="40"/>
            </w:pPr>
            <w:r>
              <w:rPr>
                <w:rFonts w:ascii="Calibri" w:hAnsi="Calibri"/>
                <w:b w:val="0"/>
                <w:i w:val="0"/>
                <w:color w:val="5A5A5A"/>
                <w:sz w:val="18"/>
              </w:rPr>
              <w:t>#familyhistory  #recurrencerisk  #siblings  #geneticcounselling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 novo / copy-number variants</w:t>
            </w:r>
          </w:p>
        </w:tc>
        <w:tc>
          <w:tcPr>
            <w:tcW w:type="dxa" w:w="2160"/>
            <w:vAlign w:val="top"/>
          </w:tcPr>
          <w:p>
            <w:pPr>
              <w:spacing w:after="40" w:before="0" w:line="259" w:lineRule="auto"/>
            </w:pPr>
            <w:r>
              <w:rPr>
                <w:rFonts w:ascii="Calibri" w:hAnsi="Calibri"/>
                <w:b w:val="0"/>
                <w:i w:val="0"/>
                <w:color w:val="212121"/>
                <w:sz w:val="19"/>
              </w:rPr>
              <w:t>Children with spontaneous CNVs or twins of an affected child</w:t>
            </w:r>
          </w:p>
        </w:tc>
        <w:tc>
          <w:tcPr>
            <w:tcW w:type="dxa" w:w="4276"/>
            <w:vAlign w:val="top"/>
          </w:tcPr>
          <w:p>
            <w:pPr>
              <w:spacing w:after="60" w:line="259" w:lineRule="auto"/>
            </w:pPr>
            <w:r>
              <w:rPr>
                <w:rFonts w:ascii="Calibri" w:hAnsi="Calibri"/>
                <w:b w:val="0"/>
                <w:i w:val="0"/>
                <w:color w:val="212121"/>
                <w:sz w:val="19"/>
              </w:rPr>
              <w:t>Rare de novo mutations and copy-number variants disrupt genes governing synapse formation; monozygotic twin concordance is high, confirming a strong genetic contribution.</w:t>
            </w:r>
          </w:p>
          <w:p>
            <w:pPr>
              <w:spacing w:after="40" w:before="60" w:line="259" w:lineRule="auto"/>
            </w:pPr>
            <w:r>
              <w:rPr>
                <w:rFonts w:ascii="Calibri" w:hAnsi="Calibri"/>
                <w:b w:val="0"/>
                <w:i w:val="0"/>
                <w:color w:val="212121"/>
                <w:sz w:val="19"/>
              </w:rPr>
              <w:t>Heritability is estimated at about 50%, and copy-number variants account for roughly 10% of ASD cases.</w:t>
            </w:r>
          </w:p>
          <w:p>
            <w:pPr>
              <w:spacing w:after="40" w:line="252" w:lineRule="auto"/>
            </w:pPr>
            <w:hyperlink r:id="rId14">
              <w:r>
                <w:rPr>
                  <w:rFonts w:ascii="Calibri" w:hAnsi="Calibri" w:cs="Calibri"/>
                  <w:sz w:val="18"/>
                  <w:color w:val="1155CC"/>
                  <w:u w:val="single"/>
                </w:rPr>
                <w:t xml:space="preserve">ncbi StatPearls — ASD genetics</w:t>
              </w:r>
            </w:hyperlink>
          </w:p>
          <w:p>
            <w:pPr>
              <w:spacing w:before="60" w:after="40"/>
            </w:pPr>
            <w:r>
              <w:rPr>
                <w:rFonts w:ascii="Calibri" w:hAnsi="Calibri"/>
                <w:b w:val="0"/>
                <w:i w:val="0"/>
                <w:color w:val="5A5A5A"/>
                <w:sz w:val="18"/>
              </w:rPr>
              <w:t>#denovo  #CNV  #twinconcordance  #heritability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Syndromic conditions</w:t>
            </w:r>
          </w:p>
        </w:tc>
        <w:tc>
          <w:tcPr>
            <w:tcW w:type="dxa" w:w="2160"/>
            <w:vAlign w:val="top"/>
          </w:tcPr>
          <w:p>
            <w:pPr>
              <w:spacing w:after="40" w:before="0" w:line="259" w:lineRule="auto"/>
            </w:pPr>
            <w:r>
              <w:rPr>
                <w:rFonts w:ascii="Calibri" w:hAnsi="Calibri"/>
                <w:b w:val="0"/>
                <w:i w:val="0"/>
                <w:color w:val="212121"/>
                <w:sz w:val="19"/>
              </w:rPr>
              <w:t>Children with fragile X, tuberous sclerosis or Rett syndrome</w:t>
            </w:r>
          </w:p>
        </w:tc>
        <w:tc>
          <w:tcPr>
            <w:tcW w:type="dxa" w:w="4276"/>
            <w:vAlign w:val="top"/>
          </w:tcPr>
          <w:p>
            <w:pPr>
              <w:spacing w:after="60" w:line="259" w:lineRule="auto"/>
            </w:pPr>
            <w:r>
              <w:rPr>
                <w:rFonts w:ascii="Calibri" w:hAnsi="Calibri"/>
                <w:b w:val="0"/>
                <w:i w:val="0"/>
                <w:color w:val="212121"/>
                <w:sz w:val="19"/>
              </w:rPr>
              <w:t>These single-gene/neurocutaneous syndromes carry a high rate of co-occurring autism and mandate targeted genetic and clinical work-up when autistic features are present.</w:t>
            </w:r>
          </w:p>
          <w:p>
            <w:pPr>
              <w:spacing w:after="40" w:before="60" w:line="259" w:lineRule="auto"/>
            </w:pPr>
            <w:r>
              <w:rPr>
                <w:rFonts w:ascii="Calibri" w:hAnsi="Calibri"/>
                <w:b w:val="0"/>
                <w:i w:val="0"/>
                <w:color w:val="212121"/>
                <w:sz w:val="19"/>
              </w:rPr>
              <w:t>Fragile X syndrome, tuberous sclerosis and Rett syndrome are recognised conditions that elevate the risk of autism spectrum disorder.</w:t>
            </w:r>
          </w:p>
          <w:p>
            <w:pPr>
              <w:spacing w:after="40" w:line="252" w:lineRule="auto"/>
            </w:pPr>
            <w:hyperlink r:id="rId12">
              <w:r>
                <w:rPr>
                  <w:rFonts w:ascii="Calibri" w:hAnsi="Calibri" w:cs="Calibri"/>
                  <w:sz w:val="18"/>
                  <w:color w:val="1155CC"/>
                  <w:u w:val="single"/>
                </w:rPr>
                <w:t xml:space="preserve">mayoclinic.org — associated conditions</w:t>
              </w:r>
            </w:hyperlink>
          </w:p>
          <w:p>
            <w:pPr>
              <w:spacing w:before="60" w:after="40"/>
            </w:pPr>
            <w:r>
              <w:rPr>
                <w:rFonts w:ascii="Calibri" w:hAnsi="Calibri"/>
                <w:b w:val="0"/>
                <w:i w:val="0"/>
                <w:color w:val="5A5A5A"/>
                <w:sz w:val="18"/>
              </w:rPr>
              <w:t>#fragileX  #tuberoussclerosis  #rett  #syndromicautism</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Intellectual disability</w:t>
            </w:r>
          </w:p>
        </w:tc>
        <w:tc>
          <w:tcPr>
            <w:tcW w:type="dxa" w:w="2160"/>
            <w:vAlign w:val="top"/>
          </w:tcPr>
          <w:p>
            <w:pPr>
              <w:spacing w:after="40" w:before="0" w:line="259" w:lineRule="auto"/>
            </w:pPr>
            <w:r>
              <w:rPr>
                <w:rFonts w:ascii="Calibri" w:hAnsi="Calibri"/>
                <w:b w:val="0"/>
                <w:i w:val="0"/>
                <w:color w:val="212121"/>
                <w:sz w:val="19"/>
              </w:rPr>
              <w:t>Autistic children with cognitive impairment</w:t>
            </w:r>
          </w:p>
        </w:tc>
        <w:tc>
          <w:tcPr>
            <w:tcW w:type="dxa" w:w="4276"/>
            <w:vAlign w:val="top"/>
          </w:tcPr>
          <w:p>
            <w:pPr>
              <w:spacing w:after="60" w:line="259" w:lineRule="auto"/>
            </w:pPr>
            <w:r>
              <w:rPr>
                <w:rFonts w:ascii="Calibri" w:hAnsi="Calibri"/>
                <w:b w:val="0"/>
                <w:i w:val="0"/>
                <w:color w:val="212121"/>
                <w:sz w:val="19"/>
              </w:rPr>
              <w:t>A large minority of autistic children have co-occurring intellectual disability, which compounds communication and adaptive difficulties and increases lifelong support needs.</w:t>
            </w:r>
          </w:p>
          <w:p>
            <w:pPr>
              <w:spacing w:after="40" w:before="60" w:line="259" w:lineRule="auto"/>
            </w:pPr>
            <w:r>
              <w:rPr>
                <w:rFonts w:ascii="Calibri" w:hAnsi="Calibri"/>
                <w:b w:val="0"/>
                <w:i w:val="0"/>
                <w:color w:val="212121"/>
                <w:sz w:val="19"/>
              </w:rPr>
              <w:t>In the 2022 ADDM data, 39.6% of 8-year-olds with ASD were classified as having intellectual disability (IQ ≤ 70).</w:t>
            </w:r>
          </w:p>
          <w:p>
            <w:pPr>
              <w:spacing w:after="40" w:line="252" w:lineRule="auto"/>
            </w:pPr>
            <w:hyperlink r:id="rId11">
              <w:r>
                <w:rPr>
                  <w:rFonts w:ascii="Calibri" w:hAnsi="Calibri" w:cs="Calibri"/>
                  <w:sz w:val="18"/>
                  <w:color w:val="1155CC"/>
                  <w:u w:val="single"/>
                </w:rPr>
                <w:t xml:space="preserve">cdc.gov MMWR — co-occurring intellectual disability</w:t>
              </w:r>
            </w:hyperlink>
          </w:p>
          <w:p>
            <w:pPr>
              <w:spacing w:before="60" w:after="40"/>
            </w:pPr>
            <w:r>
              <w:rPr>
                <w:rFonts w:ascii="Calibri" w:hAnsi="Calibri"/>
                <w:b w:val="0"/>
                <w:i w:val="0"/>
                <w:color w:val="5A5A5A"/>
                <w:sz w:val="18"/>
              </w:rPr>
              <w:t>#intellectualdisability  #IQ  #adaptivefunction  #supportneeds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Epilepsy</w:t>
            </w:r>
          </w:p>
        </w:tc>
        <w:tc>
          <w:tcPr>
            <w:tcW w:type="dxa" w:w="2160"/>
            <w:vAlign w:val="top"/>
          </w:tcPr>
          <w:p>
            <w:pPr>
              <w:spacing w:after="40" w:before="0" w:line="259" w:lineRule="auto"/>
            </w:pPr>
            <w:r>
              <w:rPr>
                <w:rFonts w:ascii="Calibri" w:hAnsi="Calibri"/>
                <w:b w:val="0"/>
                <w:i w:val="0"/>
                <w:color w:val="212121"/>
                <w:sz w:val="19"/>
              </w:rPr>
              <w:t>Autistic individuals with seizures</w:t>
            </w:r>
          </w:p>
        </w:tc>
        <w:tc>
          <w:tcPr>
            <w:tcW w:type="dxa" w:w="4276"/>
            <w:vAlign w:val="top"/>
          </w:tcPr>
          <w:p>
            <w:pPr>
              <w:spacing w:after="60" w:line="259" w:lineRule="auto"/>
            </w:pPr>
            <w:r>
              <w:rPr>
                <w:rFonts w:ascii="Calibri" w:hAnsi="Calibri"/>
                <w:b w:val="0"/>
                <w:i w:val="0"/>
                <w:color w:val="212121"/>
                <w:sz w:val="19"/>
              </w:rPr>
              <w:t>Epilepsy shares neurodevelopmental pathways with autism and is far more common than in the general population, often emerging in early childhood or adolescence and worsening cognition and behaviour.</w:t>
            </w:r>
          </w:p>
          <w:p>
            <w:pPr>
              <w:spacing w:after="40" w:before="60" w:line="259" w:lineRule="auto"/>
            </w:pPr>
            <w:r>
              <w:rPr>
                <w:rFonts w:ascii="Calibri" w:hAnsi="Calibri"/>
                <w:b w:val="0"/>
                <w:i w:val="0"/>
                <w:color w:val="212121"/>
                <w:sz w:val="19"/>
              </w:rPr>
              <w:t>Epilepsy affects up to ~30% of autistic individuals and is among the most common co-occurring neurological conditions.</w:t>
            </w:r>
          </w:p>
          <w:p>
            <w:pPr>
              <w:spacing w:after="40" w:line="252" w:lineRule="auto"/>
            </w:pPr>
            <w:hyperlink r:id="rId14">
              <w:r>
                <w:rPr>
                  <w:rFonts w:ascii="Calibri" w:hAnsi="Calibri" w:cs="Calibri"/>
                  <w:sz w:val="18"/>
                  <w:color w:val="1155CC"/>
                  <w:u w:val="single"/>
                </w:rPr>
                <w:t xml:space="preserve">ncbi StatPearls — epilepsy in ASD</w:t>
              </w:r>
            </w:hyperlink>
          </w:p>
          <w:p>
            <w:pPr>
              <w:spacing w:before="60" w:after="40"/>
            </w:pPr>
            <w:r>
              <w:rPr>
                <w:rFonts w:ascii="Calibri" w:hAnsi="Calibri"/>
                <w:b w:val="0"/>
                <w:i w:val="0"/>
                <w:color w:val="5A5A5A"/>
                <w:sz w:val="18"/>
              </w:rPr>
              <w:t>#epilepsy  #seizures  #EEG  #neurodevelopmental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 &amp; psychiatric comorbidity</w:t>
            </w:r>
          </w:p>
        </w:tc>
        <w:tc>
          <w:tcPr>
            <w:tcW w:type="dxa" w:w="2160"/>
            <w:vAlign w:val="top"/>
          </w:tcPr>
          <w:p>
            <w:pPr>
              <w:spacing w:after="40" w:before="0" w:line="259" w:lineRule="auto"/>
            </w:pPr>
            <w:r>
              <w:rPr>
                <w:rFonts w:ascii="Calibri" w:hAnsi="Calibri"/>
                <w:b w:val="0"/>
                <w:i w:val="0"/>
                <w:color w:val="212121"/>
                <w:sz w:val="19"/>
              </w:rPr>
              <w:t>Autistic children with insomnia, anxiety or ADHD</w:t>
            </w:r>
          </w:p>
        </w:tc>
        <w:tc>
          <w:tcPr>
            <w:tcW w:type="dxa" w:w="4276"/>
            <w:vAlign w:val="top"/>
          </w:tcPr>
          <w:p>
            <w:pPr>
              <w:spacing w:after="60" w:line="259" w:lineRule="auto"/>
            </w:pPr>
            <w:r>
              <w:rPr>
                <w:rFonts w:ascii="Calibri" w:hAnsi="Calibri"/>
                <w:b w:val="0"/>
                <w:i w:val="0"/>
                <w:color w:val="212121"/>
                <w:sz w:val="19"/>
              </w:rPr>
              <w:t>Sleep disorders and psychiatric conditions (anxiety, depression, ADHD, OCD) co-occur at very high rates, are bidirectionally linked with core symptoms, and are frequently the presenting complaint that brings a family to care.</w:t>
            </w:r>
          </w:p>
          <w:p>
            <w:pPr>
              <w:spacing w:after="40" w:before="60" w:line="259" w:lineRule="auto"/>
            </w:pPr>
            <w:r>
              <w:rPr>
                <w:rFonts w:ascii="Calibri" w:hAnsi="Calibri"/>
                <w:b w:val="0"/>
                <w:i w:val="0"/>
                <w:color w:val="212121"/>
                <w:sz w:val="19"/>
              </w:rPr>
              <w:t>Sleep disorders affect 50–80% of autistic children, and 70–90% of children and adolescents with ASD have at least one co-occurring psychiatric condition.</w:t>
            </w:r>
          </w:p>
          <w:p>
            <w:pPr>
              <w:spacing w:after="40" w:line="252" w:lineRule="auto"/>
            </w:pPr>
            <w:hyperlink r:id="rId14">
              <w:r>
                <w:rPr>
                  <w:rFonts w:ascii="Calibri" w:hAnsi="Calibri" w:cs="Calibri"/>
                  <w:sz w:val="18"/>
                  <w:color w:val="1155CC"/>
                  <w:u w:val="single"/>
                </w:rPr>
                <w:t xml:space="preserve">ncbi StatPearls — sleep &amp; psychiatric comorbidity</w:t>
              </w:r>
            </w:hyperlink>
          </w:p>
          <w:p>
            <w:pPr>
              <w:spacing w:before="60" w:after="40"/>
            </w:pPr>
            <w:r>
              <w:rPr>
                <w:rFonts w:ascii="Calibri" w:hAnsi="Calibri"/>
                <w:b w:val="0"/>
                <w:i w:val="0"/>
                <w:color w:val="5A5A5A"/>
                <w:sz w:val="18"/>
              </w:rPr>
              <w:t>#sleepdisorder  #anxiety  #ADHD  #comorbidity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Autistic children are, on average, less active and more often overweight; structured exercise reduces stereotypy, aggression and anxiety and improves sleep, though activity neither causes nor prevents ASD. Motor abnormalities affect up to ~79%.</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Food selectivity is very common and risks iron, vitamin D and calcium deficiency and constipation; adequate periconceptional maternal nutrition is associated with lower neurodevelopmental risk. Unproven elimination diets are discouraged without indication.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Sleep problems affect 50–80% of autistic children and are bidirectionally linked to daytime irritability, inattention and worsening of core symptoms; treating sleep improves function.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Child smoking is not relevant; maternal prenatal tobacco exposure shows a weak, inconsistent association with autism risk and is best avoided as general antenatal advice.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Prenatal alcohol causes fetal alcohol spectrum disorder, which overlaps with some autistic features; a direct causal link to ASD itself is weak, but complete avoidance in pregnancy is advised.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Anxiety, depression, ADHD and OCD co-occur in 70–90% of children and adolescents with ASD, strongly affecting quality of life; identifying and treating them is central to management.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established role in aetiology, but adequate fluid and fibre intake help manage the constipation that is common with restrictive eating and reduced activity.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role in causation; excessive intake can worsen sleep-onset problems and anxiety, both already prevalent in autistic individuals.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Sensory aversions (to toothbrushing, water, textures) and executive/motor difficulties can impair oral and personal self-care; teaching hygiene routines is a practical management target.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Sensory overload, unexpected changes in routine, transitions and environmental stressors commonly precipitate meltdowns and behavioural escalation; predictable, low-arousal environments reduce these.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Moderate-to-vigorous activity (min/day)</w:t>
            </w:r>
          </w:p>
        </w:tc>
        <w:tc>
          <w:tcPr>
            <w:tcW w:type="dxa" w:w="1655"/>
            <w:vAlign w:val="top"/>
          </w:tcPr>
          <w:p>
            <w:pPr>
              <w:spacing w:after="40" w:before="0" w:line="259" w:lineRule="auto"/>
            </w:pPr>
            <w:r>
              <w:rPr>
                <w:rFonts w:ascii="Calibri" w:hAnsi="Calibri"/>
                <w:b w:val="0"/>
                <w:i w:val="0"/>
                <w:color w:val="212121"/>
                <w:sz w:val="19"/>
              </w:rPr>
              <w:t>Autistic children &amp; adolescents</w:t>
            </w:r>
          </w:p>
        </w:tc>
        <w:tc>
          <w:tcPr>
            <w:tcW w:type="dxa" w:w="1512"/>
            <w:vAlign w:val="top"/>
          </w:tcPr>
          <w:p>
            <w:pPr>
              <w:spacing w:after="40" w:before="0" w:line="259" w:lineRule="auto"/>
            </w:pPr>
            <w:r>
              <w:rPr>
                <w:rFonts w:ascii="Calibri" w:hAnsi="Calibri"/>
                <w:b w:val="0"/>
                <w:i w:val="0"/>
                <w:color w:val="212121"/>
                <w:sz w:val="19"/>
              </w:rPr>
              <w:t>≥ 60 min/day</w:t>
            </w:r>
          </w:p>
        </w:tc>
        <w:tc>
          <w:tcPr>
            <w:tcW w:type="dxa" w:w="1512"/>
            <w:vAlign w:val="top"/>
          </w:tcPr>
          <w:p>
            <w:pPr>
              <w:spacing w:after="40" w:before="0" w:line="259" w:lineRule="auto"/>
            </w:pPr>
            <w:r>
              <w:rPr>
                <w:rFonts w:ascii="Calibri" w:hAnsi="Calibri"/>
                <w:b w:val="0"/>
                <w:i w:val="0"/>
                <w:color w:val="212121"/>
                <w:sz w:val="19"/>
              </w:rPr>
              <w:t>&lt; 30 min/day</w:t>
            </w:r>
          </w:p>
        </w:tc>
        <w:tc>
          <w:tcPr>
            <w:tcW w:type="dxa" w:w="1468"/>
            <w:vAlign w:val="top"/>
          </w:tcPr>
          <w:p>
            <w:pPr>
              <w:spacing w:after="60" w:line="259" w:lineRule="auto"/>
            </w:pPr>
            <w:r>
              <w:rPr>
                <w:rFonts w:ascii="Calibri" w:hAnsi="Calibri"/>
                <w:b w:val="0"/>
                <w:i w:val="0"/>
                <w:color w:val="212121"/>
                <w:sz w:val="19"/>
              </w:rPr>
              <w:t>Regular activity reduces stereotypy and anxiety and improves sleep</w:t>
            </w:r>
          </w:p>
          <w:p>
            <w:pPr>
              <w:spacing w:after="40" w:line="252" w:lineRule="auto"/>
            </w:pPr>
            <w:hyperlink r:id="rId14">
              <w:r>
                <w:rPr>
                  <w:rFonts w:ascii="Calibri" w:hAnsi="Calibri" w:cs="Calibri"/>
                  <w:sz w:val="18"/>
                  <w:color w:val="1155CC"/>
                  <w:u w:val="single"/>
                </w:rPr>
                <w:t xml:space="preserve">https://www.ncbi.nlm.nih.gov/books/NBK525976/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BMI-for-age percentile</w:t>
            </w:r>
          </w:p>
        </w:tc>
        <w:tc>
          <w:tcPr>
            <w:tcW w:type="dxa" w:w="1655"/>
            <w:vAlign w:val="top"/>
          </w:tcPr>
          <w:p>
            <w:pPr>
              <w:spacing w:after="40" w:before="0" w:line="259" w:lineRule="auto"/>
            </w:pPr>
            <w:r>
              <w:rPr>
                <w:rFonts w:ascii="Calibri" w:hAnsi="Calibri"/>
                <w:b w:val="0"/>
                <w:i w:val="0"/>
                <w:color w:val="212121"/>
                <w:sz w:val="19"/>
              </w:rPr>
              <w:t>Autistic children</w:t>
            </w:r>
          </w:p>
        </w:tc>
        <w:tc>
          <w:tcPr>
            <w:tcW w:type="dxa" w:w="1512"/>
            <w:vAlign w:val="top"/>
          </w:tcPr>
          <w:p>
            <w:pPr>
              <w:spacing w:after="40" w:before="0" w:line="259" w:lineRule="auto"/>
            </w:pPr>
            <w:r>
              <w:rPr>
                <w:rFonts w:ascii="Calibri" w:hAnsi="Calibri"/>
                <w:b w:val="0"/>
                <w:i w:val="0"/>
                <w:color w:val="212121"/>
                <w:sz w:val="19"/>
              </w:rPr>
              <w:t>5th–85th percentile</w:t>
            </w:r>
          </w:p>
        </w:tc>
        <w:tc>
          <w:tcPr>
            <w:tcW w:type="dxa" w:w="1512"/>
            <w:vAlign w:val="top"/>
          </w:tcPr>
          <w:p>
            <w:pPr>
              <w:spacing w:after="40" w:before="0" w:line="259" w:lineRule="auto"/>
            </w:pPr>
            <w:r>
              <w:rPr>
                <w:rFonts w:ascii="Calibri" w:hAnsi="Calibri"/>
                <w:b w:val="0"/>
                <w:i w:val="0"/>
                <w:color w:val="212121"/>
                <w:sz w:val="19"/>
              </w:rPr>
              <w:t>≥ 95th percentile (obesity)</w:t>
            </w:r>
          </w:p>
        </w:tc>
        <w:tc>
          <w:tcPr>
            <w:tcW w:type="dxa" w:w="1468"/>
            <w:vAlign w:val="top"/>
          </w:tcPr>
          <w:p>
            <w:pPr>
              <w:spacing w:after="40" w:before="0" w:line="259" w:lineRule="auto"/>
            </w:pPr>
            <w:r>
              <w:rPr>
                <w:rFonts w:ascii="Calibri" w:hAnsi="Calibri"/>
                <w:b w:val="0"/>
                <w:i w:val="0"/>
                <w:color w:val="212121"/>
                <w:sz w:val="19"/>
              </w:rPr>
              <w:t>Obesity is more common in ASD due to inactivity, food selectivity and some medications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Recreational screen time (hours/day)</w:t>
            </w:r>
          </w:p>
        </w:tc>
        <w:tc>
          <w:tcPr>
            <w:tcW w:type="dxa" w:w="1655"/>
            <w:vAlign w:val="top"/>
          </w:tcPr>
          <w:p>
            <w:pPr>
              <w:spacing w:after="40" w:before="0" w:line="259" w:lineRule="auto"/>
            </w:pPr>
            <w:r>
              <w:rPr>
                <w:rFonts w:ascii="Calibri" w:hAnsi="Calibri"/>
                <w:b w:val="0"/>
                <w:i w:val="0"/>
                <w:color w:val="212121"/>
                <w:sz w:val="19"/>
              </w:rPr>
              <w:t>Autistic children</w:t>
            </w:r>
          </w:p>
        </w:tc>
        <w:tc>
          <w:tcPr>
            <w:tcW w:type="dxa" w:w="1512"/>
            <w:vAlign w:val="top"/>
          </w:tcPr>
          <w:p>
            <w:pPr>
              <w:spacing w:after="40" w:before="0" w:line="259" w:lineRule="auto"/>
            </w:pPr>
            <w:r>
              <w:rPr>
                <w:rFonts w:ascii="Calibri" w:hAnsi="Calibri"/>
                <w:b w:val="0"/>
                <w:i w:val="0"/>
                <w:color w:val="212121"/>
                <w:sz w:val="19"/>
              </w:rPr>
              <w:t>≤ 1–2 h/day</w:t>
            </w:r>
          </w:p>
        </w:tc>
        <w:tc>
          <w:tcPr>
            <w:tcW w:type="dxa" w:w="1512"/>
            <w:vAlign w:val="top"/>
          </w:tcPr>
          <w:p>
            <w:pPr>
              <w:spacing w:after="40" w:before="0" w:line="259" w:lineRule="auto"/>
            </w:pPr>
            <w:r>
              <w:rPr>
                <w:rFonts w:ascii="Calibri" w:hAnsi="Calibri"/>
                <w:b w:val="0"/>
                <w:i w:val="0"/>
                <w:color w:val="212121"/>
                <w:sz w:val="19"/>
              </w:rPr>
              <w:t>&gt; 3–4 h/day</w:t>
            </w:r>
          </w:p>
        </w:tc>
        <w:tc>
          <w:tcPr>
            <w:tcW w:type="dxa" w:w="1468"/>
            <w:vAlign w:val="top"/>
          </w:tcPr>
          <w:p>
            <w:pPr>
              <w:spacing w:after="40" w:before="0" w:line="259" w:lineRule="auto"/>
            </w:pPr>
            <w:r>
              <w:rPr>
                <w:rFonts w:ascii="Calibri" w:hAnsi="Calibri"/>
                <w:b w:val="0"/>
                <w:i w:val="0"/>
                <w:color w:val="212121"/>
                <w:sz w:val="19"/>
              </w:rPr>
              <w:t>Excess screen time is associated with poorer sleep and behaviour (association, not cause)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variety (accepted foods)</w:t>
            </w:r>
          </w:p>
        </w:tc>
        <w:tc>
          <w:tcPr>
            <w:tcW w:type="dxa" w:w="1655"/>
            <w:vAlign w:val="top"/>
          </w:tcPr>
          <w:p>
            <w:pPr>
              <w:spacing w:after="40" w:before="0" w:line="259" w:lineRule="auto"/>
            </w:pPr>
            <w:r>
              <w:rPr>
                <w:rFonts w:ascii="Calibri" w:hAnsi="Calibri"/>
                <w:b w:val="0"/>
                <w:i w:val="0"/>
                <w:color w:val="212121"/>
                <w:sz w:val="19"/>
              </w:rPr>
              <w:t>Children with food selectivity</w:t>
            </w:r>
          </w:p>
        </w:tc>
        <w:tc>
          <w:tcPr>
            <w:tcW w:type="dxa" w:w="1512"/>
            <w:vAlign w:val="top"/>
          </w:tcPr>
          <w:p>
            <w:pPr>
              <w:spacing w:after="40" w:before="0" w:line="259" w:lineRule="auto"/>
            </w:pPr>
            <w:r>
              <w:rPr>
                <w:rFonts w:ascii="Calibri" w:hAnsi="Calibri"/>
                <w:b w:val="0"/>
                <w:i w:val="0"/>
                <w:color w:val="212121"/>
                <w:sz w:val="19"/>
              </w:rPr>
              <w:t>Varied diet across food groups</w:t>
            </w:r>
          </w:p>
        </w:tc>
        <w:tc>
          <w:tcPr>
            <w:tcW w:type="dxa" w:w="1512"/>
            <w:vAlign w:val="top"/>
          </w:tcPr>
          <w:p>
            <w:pPr>
              <w:spacing w:after="40" w:before="0" w:line="259" w:lineRule="auto"/>
            </w:pPr>
            <w:r>
              <w:rPr>
                <w:rFonts w:ascii="Calibri" w:hAnsi="Calibri"/>
                <w:b w:val="0"/>
                <w:i w:val="0"/>
                <w:color w:val="212121"/>
                <w:sz w:val="19"/>
              </w:rPr>
              <w:t>Very restricted range / single food group</w:t>
            </w:r>
          </w:p>
        </w:tc>
        <w:tc>
          <w:tcPr>
            <w:tcW w:type="dxa" w:w="1468"/>
            <w:vAlign w:val="top"/>
          </w:tcPr>
          <w:p>
            <w:pPr>
              <w:spacing w:after="60" w:line="259" w:lineRule="auto"/>
            </w:pPr>
            <w:r>
              <w:rPr>
                <w:rFonts w:ascii="Calibri" w:hAnsi="Calibri"/>
                <w:b w:val="0"/>
                <w:i w:val="0"/>
                <w:color w:val="212121"/>
                <w:sz w:val="19"/>
              </w:rPr>
              <w:t>Severe selectivity risks nutrient deficiency and constipation</w:t>
            </w:r>
          </w:p>
          <w:p>
            <w:pPr>
              <w:spacing w:after="40" w:line="252" w:lineRule="auto"/>
            </w:pPr>
            <w:hyperlink r:id="rId14">
              <w:r>
                <w:rPr>
                  <w:rFonts w:ascii="Calibri" w:hAnsi="Calibri" w:cs="Calibri"/>
                  <w:sz w:val="18"/>
                  <w:color w:val="1155CC"/>
                  <w:u w:val="single"/>
                </w:rPr>
                <w:t xml:space="preserve">https://www.ncbi.nlm.nih.gov/books/NBK525976/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 / 25-OH vitamin D</w:t>
            </w:r>
          </w:p>
        </w:tc>
        <w:tc>
          <w:tcPr>
            <w:tcW w:type="dxa" w:w="1655"/>
            <w:vAlign w:val="top"/>
          </w:tcPr>
          <w:p>
            <w:pPr>
              <w:spacing w:after="40" w:before="0" w:line="259" w:lineRule="auto"/>
            </w:pPr>
            <w:r>
              <w:rPr>
                <w:rFonts w:ascii="Calibri" w:hAnsi="Calibri"/>
                <w:b w:val="0"/>
                <w:i w:val="0"/>
                <w:color w:val="212121"/>
                <w:sz w:val="19"/>
              </w:rPr>
              <w:t>Selective eaters</w:t>
            </w:r>
          </w:p>
        </w:tc>
        <w:tc>
          <w:tcPr>
            <w:tcW w:type="dxa" w:w="1512"/>
            <w:vAlign w:val="top"/>
          </w:tcPr>
          <w:p>
            <w:pPr>
              <w:spacing w:after="40" w:before="0" w:line="259" w:lineRule="auto"/>
            </w:pPr>
            <w:r>
              <w:rPr>
                <w:rFonts w:ascii="Calibri" w:hAnsi="Calibri"/>
                <w:b w:val="0"/>
                <w:i w:val="0"/>
                <w:color w:val="212121"/>
                <w:sz w:val="19"/>
              </w:rPr>
              <w:t>Age-appropriate normal range</w:t>
            </w:r>
          </w:p>
        </w:tc>
        <w:tc>
          <w:tcPr>
            <w:tcW w:type="dxa" w:w="1512"/>
            <w:vAlign w:val="top"/>
          </w:tcPr>
          <w:p>
            <w:pPr>
              <w:spacing w:after="40" w:before="0" w:line="259" w:lineRule="auto"/>
            </w:pPr>
            <w:r>
              <w:rPr>
                <w:rFonts w:ascii="Calibri" w:hAnsi="Calibri"/>
                <w:b w:val="0"/>
                <w:i w:val="0"/>
                <w:color w:val="212121"/>
                <w:sz w:val="19"/>
              </w:rPr>
              <w:t>Low ferritin or vitamin D deficiency</w:t>
            </w:r>
          </w:p>
        </w:tc>
        <w:tc>
          <w:tcPr>
            <w:tcW w:type="dxa" w:w="1468"/>
            <w:vAlign w:val="top"/>
          </w:tcPr>
          <w:p>
            <w:pPr>
              <w:spacing w:after="40" w:before="0" w:line="259" w:lineRule="auto"/>
            </w:pPr>
            <w:r>
              <w:rPr>
                <w:rFonts w:ascii="Calibri" w:hAnsi="Calibri"/>
                <w:b w:val="0"/>
                <w:i w:val="0"/>
                <w:color w:val="212121"/>
                <w:sz w:val="19"/>
              </w:rPr>
              <w:t>Low iron is linked to poor sleep and restless legs; screen restrictive eaters</w:t>
            </w:r>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Autistic children (6–12 y)</w:t>
            </w:r>
          </w:p>
        </w:tc>
        <w:tc>
          <w:tcPr>
            <w:tcW w:type="dxa" w:w="1512"/>
            <w:vAlign w:val="top"/>
          </w:tcPr>
          <w:p>
            <w:pPr>
              <w:spacing w:after="40" w:before="0" w:line="259" w:lineRule="auto"/>
            </w:pPr>
            <w:r>
              <w:rPr>
                <w:rFonts w:ascii="Calibri" w:hAnsi="Calibri"/>
                <w:b w:val="0"/>
                <w:i w:val="0"/>
                <w:color w:val="212121"/>
                <w:sz w:val="19"/>
              </w:rPr>
              <w:t>9–12 h/night</w:t>
            </w:r>
          </w:p>
        </w:tc>
        <w:tc>
          <w:tcPr>
            <w:tcW w:type="dxa" w:w="1512"/>
            <w:vAlign w:val="top"/>
          </w:tcPr>
          <w:p>
            <w:pPr>
              <w:spacing w:after="40" w:before="0" w:line="259" w:lineRule="auto"/>
            </w:pPr>
            <w:r>
              <w:rPr>
                <w:rFonts w:ascii="Calibri" w:hAnsi="Calibri"/>
                <w:b w:val="0"/>
                <w:i w:val="0"/>
                <w:color w:val="212121"/>
                <w:sz w:val="19"/>
              </w:rPr>
              <w:t>&lt; 8 h or frequent night waking</w:t>
            </w:r>
          </w:p>
        </w:tc>
        <w:tc>
          <w:tcPr>
            <w:tcW w:type="dxa" w:w="1468"/>
            <w:vAlign w:val="top"/>
          </w:tcPr>
          <w:p>
            <w:pPr>
              <w:spacing w:after="60" w:line="259" w:lineRule="auto"/>
            </w:pPr>
            <w:r>
              <w:rPr>
                <w:rFonts w:ascii="Calibri" w:hAnsi="Calibri"/>
                <w:b w:val="0"/>
                <w:i w:val="0"/>
                <w:color w:val="212121"/>
                <w:sz w:val="19"/>
              </w:rPr>
              <w:t>50–80% have sleep problems; poor sleep worsens core symptoms</w:t>
            </w:r>
          </w:p>
          <w:p>
            <w:pPr>
              <w:spacing w:after="40" w:line="252" w:lineRule="auto"/>
            </w:pPr>
            <w:hyperlink r:id="rId14">
              <w:r>
                <w:rPr>
                  <w:rFonts w:ascii="Calibri" w:hAnsi="Calibri" w:cs="Calibri"/>
                  <w:sz w:val="18"/>
                  <w:color w:val="1155CC"/>
                  <w:u w:val="single"/>
                </w:rPr>
                <w:t xml:space="preserve">https://www.ncbi.nlm.nih.gov/books/NBK525976/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Sleep-onset latency</w:t>
            </w:r>
          </w:p>
        </w:tc>
        <w:tc>
          <w:tcPr>
            <w:tcW w:type="dxa" w:w="1655"/>
            <w:vAlign w:val="top"/>
          </w:tcPr>
          <w:p>
            <w:pPr>
              <w:spacing w:after="40" w:before="0" w:line="259" w:lineRule="auto"/>
            </w:pPr>
            <w:r>
              <w:rPr>
                <w:rFonts w:ascii="Calibri" w:hAnsi="Calibri"/>
                <w:b w:val="0"/>
                <w:i w:val="0"/>
                <w:color w:val="212121"/>
                <w:sz w:val="19"/>
              </w:rPr>
              <w:t>Autistic children with insomnia</w:t>
            </w:r>
          </w:p>
        </w:tc>
        <w:tc>
          <w:tcPr>
            <w:tcW w:type="dxa" w:w="1512"/>
            <w:vAlign w:val="top"/>
          </w:tcPr>
          <w:p>
            <w:pPr>
              <w:spacing w:after="40" w:before="0" w:line="259" w:lineRule="auto"/>
            </w:pPr>
            <w:r>
              <w:rPr>
                <w:rFonts w:ascii="Calibri" w:hAnsi="Calibri"/>
                <w:b w:val="0"/>
                <w:i w:val="0"/>
                <w:color w:val="212121"/>
                <w:sz w:val="19"/>
              </w:rPr>
              <w:t>&lt; 30 min</w:t>
            </w:r>
          </w:p>
        </w:tc>
        <w:tc>
          <w:tcPr>
            <w:tcW w:type="dxa" w:w="1512"/>
            <w:vAlign w:val="top"/>
          </w:tcPr>
          <w:p>
            <w:pPr>
              <w:spacing w:after="40" w:before="0" w:line="259" w:lineRule="auto"/>
            </w:pPr>
            <w:r>
              <w:rPr>
                <w:rFonts w:ascii="Calibri" w:hAnsi="Calibri"/>
                <w:b w:val="0"/>
                <w:i w:val="0"/>
                <w:color w:val="212121"/>
                <w:sz w:val="19"/>
              </w:rPr>
              <w:t>&gt; 30–60 min repeatedly</w:t>
            </w:r>
          </w:p>
        </w:tc>
        <w:tc>
          <w:tcPr>
            <w:tcW w:type="dxa" w:w="1468"/>
            <w:vAlign w:val="top"/>
          </w:tcPr>
          <w:p>
            <w:pPr>
              <w:spacing w:after="40" w:before="0" w:line="259" w:lineRule="auto"/>
            </w:pPr>
            <w:r>
              <w:rPr>
                <w:rFonts w:ascii="Calibri" w:hAnsi="Calibri"/>
                <w:b w:val="0"/>
                <w:i w:val="0"/>
                <w:color w:val="212121"/>
                <w:sz w:val="19"/>
              </w:rPr>
              <w:t>Behavioural sleep measures first-line; melatonin under medical guidance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Screen for anxiety / ADHD / irritability</w:t>
            </w:r>
          </w:p>
        </w:tc>
        <w:tc>
          <w:tcPr>
            <w:tcW w:type="dxa" w:w="1655"/>
            <w:vAlign w:val="top"/>
          </w:tcPr>
          <w:p>
            <w:pPr>
              <w:spacing w:after="40" w:before="0" w:line="259" w:lineRule="auto"/>
            </w:pPr>
            <w:r>
              <w:rPr>
                <w:rFonts w:ascii="Calibri" w:hAnsi="Calibri"/>
                <w:b w:val="0"/>
                <w:i w:val="0"/>
                <w:color w:val="212121"/>
                <w:sz w:val="19"/>
              </w:rPr>
              <w:t>All autistic children &amp; adults</w:t>
            </w:r>
          </w:p>
        </w:tc>
        <w:tc>
          <w:tcPr>
            <w:tcW w:type="dxa" w:w="1512"/>
            <w:vAlign w:val="top"/>
          </w:tcPr>
          <w:p>
            <w:pPr>
              <w:spacing w:after="40" w:before="0" w:line="259" w:lineRule="auto"/>
            </w:pPr>
            <w:r>
              <w:rPr>
                <w:rFonts w:ascii="Calibri" w:hAnsi="Calibri"/>
                <w:b w:val="0"/>
                <w:i w:val="0"/>
                <w:color w:val="212121"/>
                <w:sz w:val="19"/>
              </w:rPr>
              <w:t>No clinically significant symptoms</w:t>
            </w:r>
          </w:p>
        </w:tc>
        <w:tc>
          <w:tcPr>
            <w:tcW w:type="dxa" w:w="1512"/>
            <w:vAlign w:val="top"/>
          </w:tcPr>
          <w:p>
            <w:pPr>
              <w:spacing w:after="40" w:before="0" w:line="259" w:lineRule="auto"/>
            </w:pPr>
            <w:r>
              <w:rPr>
                <w:rFonts w:ascii="Calibri" w:hAnsi="Calibri"/>
                <w:b w:val="0"/>
                <w:i w:val="0"/>
                <w:color w:val="212121"/>
                <w:sz w:val="19"/>
              </w:rPr>
              <w:t>Positive screen on validated tool</w:t>
            </w:r>
          </w:p>
        </w:tc>
        <w:tc>
          <w:tcPr>
            <w:tcW w:type="dxa" w:w="1468"/>
            <w:vAlign w:val="top"/>
          </w:tcPr>
          <w:p>
            <w:pPr>
              <w:spacing w:after="60" w:line="259" w:lineRule="auto"/>
            </w:pPr>
            <w:r>
              <w:rPr>
                <w:rFonts w:ascii="Calibri" w:hAnsi="Calibri"/>
                <w:b w:val="0"/>
                <w:i w:val="0"/>
                <w:color w:val="212121"/>
                <w:sz w:val="19"/>
              </w:rPr>
              <w:t>70–90% have ≥ 1 co-occurring psychiatric condition</w:t>
            </w:r>
          </w:p>
          <w:p>
            <w:pPr>
              <w:spacing w:after="40" w:line="252" w:lineRule="auto"/>
            </w:pPr>
            <w:hyperlink r:id="rId14">
              <w:r>
                <w:rPr>
                  <w:rFonts w:ascii="Calibri" w:hAnsi="Calibri" w:cs="Calibri"/>
                  <w:sz w:val="18"/>
                  <w:color w:val="1155CC"/>
                  <w:u w:val="single"/>
                </w:rPr>
                <w:t xml:space="preserve">https://www.ncbi.nlm.nih.gov/books/NBK525976/</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Sensory load / routine change</w:t>
            </w:r>
          </w:p>
        </w:tc>
        <w:tc>
          <w:tcPr>
            <w:tcW w:type="dxa" w:w="1655"/>
            <w:vAlign w:val="top"/>
          </w:tcPr>
          <w:p>
            <w:pPr>
              <w:spacing w:after="40" w:before="0" w:line="259" w:lineRule="auto"/>
            </w:pPr>
            <w:r>
              <w:rPr>
                <w:rFonts w:ascii="Calibri" w:hAnsi="Calibri"/>
                <w:b w:val="0"/>
                <w:i w:val="0"/>
                <w:color w:val="212121"/>
                <w:sz w:val="19"/>
              </w:rPr>
              <w:t>Autistic individuals</w:t>
            </w:r>
          </w:p>
        </w:tc>
        <w:tc>
          <w:tcPr>
            <w:tcW w:type="dxa" w:w="1512"/>
            <w:vAlign w:val="top"/>
          </w:tcPr>
          <w:p>
            <w:pPr>
              <w:spacing w:after="40" w:before="0" w:line="259" w:lineRule="auto"/>
            </w:pPr>
            <w:r>
              <w:rPr>
                <w:rFonts w:ascii="Calibri" w:hAnsi="Calibri"/>
                <w:b w:val="0"/>
                <w:i w:val="0"/>
                <w:color w:val="212121"/>
                <w:sz w:val="19"/>
              </w:rPr>
              <w:t>Predictable, low-arousal environment</w:t>
            </w:r>
          </w:p>
        </w:tc>
        <w:tc>
          <w:tcPr>
            <w:tcW w:type="dxa" w:w="1512"/>
            <w:vAlign w:val="top"/>
          </w:tcPr>
          <w:p>
            <w:pPr>
              <w:spacing w:after="40" w:before="0" w:line="259" w:lineRule="auto"/>
            </w:pPr>
            <w:r>
              <w:rPr>
                <w:rFonts w:ascii="Calibri" w:hAnsi="Calibri"/>
                <w:b w:val="0"/>
                <w:i w:val="0"/>
                <w:color w:val="212121"/>
                <w:sz w:val="19"/>
              </w:rPr>
              <w:t>Unexpected change or sensory overload</w:t>
            </w:r>
          </w:p>
        </w:tc>
        <w:tc>
          <w:tcPr>
            <w:tcW w:type="dxa" w:w="1468"/>
            <w:vAlign w:val="top"/>
          </w:tcPr>
          <w:p>
            <w:pPr>
              <w:spacing w:after="40" w:before="0" w:line="259" w:lineRule="auto"/>
            </w:pPr>
            <w:r>
              <w:rPr>
                <w:rFonts w:ascii="Calibri" w:hAnsi="Calibri"/>
                <w:b w:val="0"/>
                <w:i w:val="0"/>
                <w:color w:val="212121"/>
                <w:sz w:val="19"/>
              </w:rPr>
              <w:t>Triggers meltdowns; visual schedules and preparation reduce escalation</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Independent self-care / oral care</w:t>
            </w:r>
          </w:p>
        </w:tc>
        <w:tc>
          <w:tcPr>
            <w:tcW w:type="dxa" w:w="1655"/>
            <w:vAlign w:val="top"/>
          </w:tcPr>
          <w:p>
            <w:pPr>
              <w:spacing w:after="40" w:before="0" w:line="259" w:lineRule="auto"/>
            </w:pPr>
            <w:r>
              <w:rPr>
                <w:rFonts w:ascii="Calibri" w:hAnsi="Calibri"/>
                <w:b w:val="0"/>
                <w:i w:val="0"/>
                <w:color w:val="212121"/>
                <w:sz w:val="19"/>
              </w:rPr>
              <w:t>Autistic children &amp; adults</w:t>
            </w:r>
          </w:p>
        </w:tc>
        <w:tc>
          <w:tcPr>
            <w:tcW w:type="dxa" w:w="1512"/>
            <w:vAlign w:val="top"/>
          </w:tcPr>
          <w:p>
            <w:pPr>
              <w:spacing w:after="40" w:before="0" w:line="259" w:lineRule="auto"/>
            </w:pPr>
            <w:r>
              <w:rPr>
                <w:rFonts w:ascii="Calibri" w:hAnsi="Calibri"/>
                <w:b w:val="0"/>
                <w:i w:val="0"/>
                <w:color w:val="212121"/>
                <w:sz w:val="19"/>
              </w:rPr>
              <w:t>Age-appropriate independence</w:t>
            </w:r>
          </w:p>
        </w:tc>
        <w:tc>
          <w:tcPr>
            <w:tcW w:type="dxa" w:w="1512"/>
            <w:vAlign w:val="top"/>
          </w:tcPr>
          <w:p>
            <w:pPr>
              <w:spacing w:after="40" w:before="0" w:line="259" w:lineRule="auto"/>
            </w:pPr>
            <w:r>
              <w:rPr>
                <w:rFonts w:ascii="Calibri" w:hAnsi="Calibri"/>
                <w:b w:val="0"/>
                <w:i w:val="0"/>
                <w:color w:val="212121"/>
                <w:sz w:val="19"/>
              </w:rPr>
              <w:t>Persistent avoidance / needs full assistance</w:t>
            </w:r>
          </w:p>
        </w:tc>
        <w:tc>
          <w:tcPr>
            <w:tcW w:type="dxa" w:w="1468"/>
            <w:vAlign w:val="top"/>
          </w:tcPr>
          <w:p>
            <w:pPr>
              <w:spacing w:after="40" w:before="0" w:line="259" w:lineRule="auto"/>
            </w:pPr>
            <w:r>
              <w:rPr>
                <w:rFonts w:ascii="Calibri" w:hAnsi="Calibri"/>
                <w:b w:val="0"/>
                <w:i w:val="0"/>
                <w:color w:val="212121"/>
                <w:sz w:val="19"/>
              </w:rPr>
              <w:t>Sensory-adapted tools and social stories aid tooth-brushing and washing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Chromosomal microarray (CMA)</w:t>
            </w:r>
          </w:p>
        </w:tc>
        <w:tc>
          <w:tcPr>
            <w:tcW w:type="dxa" w:w="892"/>
            <w:vAlign w:val="top"/>
          </w:tcPr>
          <w:p>
            <w:pPr>
              <w:spacing w:after="40" w:before="0" w:line="259" w:lineRule="auto"/>
            </w:pPr>
            <w:r>
              <w:rPr>
                <w:rFonts w:ascii="Calibri" w:hAnsi="Calibri"/>
                <w:b w:val="0"/>
                <w:i w:val="0"/>
                <w:color w:val="212121"/>
                <w:sz w:val="16"/>
              </w:rPr>
              <w:t>Genetic testing</w:t>
            </w:r>
          </w:p>
        </w:tc>
        <w:tc>
          <w:tcPr>
            <w:tcW w:type="dxa" w:w="950"/>
            <w:vAlign w:val="top"/>
          </w:tcPr>
          <w:p>
            <w:pPr>
              <w:spacing w:after="40" w:before="0" w:line="259" w:lineRule="auto"/>
            </w:pPr>
            <w:r>
              <w:rPr>
                <w:rFonts w:ascii="Calibri" w:hAnsi="Calibri"/>
                <w:b w:val="0"/>
                <w:i w:val="0"/>
                <w:color w:val="212121"/>
                <w:sz w:val="16"/>
              </w:rPr>
              <w:t>No pathogenic copy-number variant</w:t>
            </w:r>
          </w:p>
        </w:tc>
        <w:tc>
          <w:tcPr>
            <w:tcW w:type="dxa" w:w="950"/>
            <w:vAlign w:val="top"/>
          </w:tcPr>
          <w:p>
            <w:pPr>
              <w:spacing w:after="40" w:before="0" w:line="259" w:lineRule="auto"/>
            </w:pPr>
            <w:r>
              <w:rPr>
                <w:rFonts w:ascii="Calibri" w:hAnsi="Calibri"/>
                <w:b w:val="0"/>
                <w:i w:val="0"/>
                <w:color w:val="212121"/>
                <w:sz w:val="16"/>
              </w:rPr>
              <w:t>Pathogenic deletion/duplication (CNV)</w:t>
            </w:r>
          </w:p>
        </w:tc>
        <w:tc>
          <w:tcPr>
            <w:tcW w:type="dxa" w:w="1036"/>
            <w:vAlign w:val="top"/>
          </w:tcPr>
          <w:p>
            <w:pPr>
              <w:spacing w:after="40" w:before="0" w:line="259" w:lineRule="auto"/>
            </w:pPr>
            <w:r>
              <w:rPr>
                <w:rFonts w:ascii="Calibri" w:hAnsi="Calibri"/>
                <w:b w:val="0"/>
                <w:i w:val="0"/>
                <w:color w:val="212121"/>
                <w:sz w:val="16"/>
              </w:rPr>
              <w:t>First-tier genetic test; identifies a causal CNV in roughly 10% of cases, higher with dysmorphism or intellectual disability</w:t>
            </w:r>
          </w:p>
        </w:tc>
        <w:tc>
          <w:tcPr>
            <w:tcW w:type="dxa" w:w="1036"/>
            <w:vAlign w:val="top"/>
          </w:tcPr>
          <w:p>
            <w:pPr>
              <w:spacing w:after="40" w:before="0" w:line="259" w:lineRule="auto"/>
            </w:pPr>
            <w:r>
              <w:rPr>
                <w:rFonts w:ascii="Calibri" w:hAnsi="Calibri"/>
                <w:b w:val="0"/>
                <w:i w:val="0"/>
                <w:color w:val="212121"/>
                <w:sz w:val="16"/>
              </w:rPr>
              <w:t>All children with ASD, especially with ID or dysmorphic features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First-tier / diagnostic</w:t>
            </w:r>
          </w:p>
        </w:tc>
        <w:tc>
          <w:tcPr>
            <w:tcW w:type="dxa" w:w="720"/>
            <w:vAlign w:val="top"/>
          </w:tcPr>
          <w:p>
            <w:pPr>
              <w:spacing w:after="40" w:before="0" w:line="259" w:lineRule="auto"/>
            </w:pPr>
            <w:r>
              <w:rPr>
                <w:rFonts w:ascii="Calibri" w:hAnsi="Calibri"/>
                <w:b w:val="0"/>
                <w:i w:val="0"/>
                <w:color w:val="212121"/>
                <w:sz w:val="16"/>
              </w:rPr>
              <w:t>Guides recurrence-risk counselling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Fragile X (FMR1) DNA testing</w:t>
            </w:r>
          </w:p>
        </w:tc>
        <w:tc>
          <w:tcPr>
            <w:tcW w:type="dxa" w:w="892"/>
            <w:vAlign w:val="top"/>
          </w:tcPr>
          <w:p>
            <w:pPr>
              <w:spacing w:after="40" w:before="0" w:line="259" w:lineRule="auto"/>
            </w:pPr>
            <w:r>
              <w:rPr>
                <w:rFonts w:ascii="Calibri" w:hAnsi="Calibri"/>
                <w:b w:val="0"/>
                <w:i w:val="0"/>
                <w:color w:val="212121"/>
                <w:sz w:val="16"/>
              </w:rPr>
              <w:t>Genetic testing</w:t>
            </w:r>
          </w:p>
        </w:tc>
        <w:tc>
          <w:tcPr>
            <w:tcW w:type="dxa" w:w="950"/>
            <w:vAlign w:val="top"/>
          </w:tcPr>
          <w:p>
            <w:pPr>
              <w:spacing w:after="40" w:before="0" w:line="259" w:lineRule="auto"/>
            </w:pPr>
            <w:r>
              <w:rPr>
                <w:rFonts w:ascii="Calibri" w:hAnsi="Calibri"/>
                <w:b w:val="0"/>
                <w:i w:val="0"/>
                <w:color w:val="212121"/>
                <w:sz w:val="16"/>
              </w:rPr>
              <w:t>&lt; 45 CGG repeats</w:t>
            </w:r>
          </w:p>
        </w:tc>
        <w:tc>
          <w:tcPr>
            <w:tcW w:type="dxa" w:w="950"/>
            <w:vAlign w:val="top"/>
          </w:tcPr>
          <w:p>
            <w:pPr>
              <w:spacing w:after="40" w:before="0" w:line="259" w:lineRule="auto"/>
            </w:pPr>
            <w:r>
              <w:rPr>
                <w:rFonts w:ascii="Calibri" w:hAnsi="Calibri"/>
                <w:b w:val="0"/>
                <w:i w:val="0"/>
                <w:color w:val="212121"/>
                <w:sz w:val="16"/>
              </w:rPr>
              <w:t>≥ 200 CGG repeats (full mutation)</w:t>
            </w:r>
          </w:p>
        </w:tc>
        <w:tc>
          <w:tcPr>
            <w:tcW w:type="dxa" w:w="1036"/>
            <w:vAlign w:val="top"/>
          </w:tcPr>
          <w:p>
            <w:pPr>
              <w:spacing w:after="40" w:before="0" w:line="259" w:lineRule="auto"/>
            </w:pPr>
            <w:r>
              <w:rPr>
                <w:rFonts w:ascii="Calibri" w:hAnsi="Calibri"/>
                <w:b w:val="0"/>
                <w:i w:val="0"/>
                <w:color w:val="212121"/>
                <w:sz w:val="16"/>
              </w:rPr>
              <w:t>Detects the most common inherited single-gene cause of autism</w:t>
            </w:r>
          </w:p>
        </w:tc>
        <w:tc>
          <w:tcPr>
            <w:tcW w:type="dxa" w:w="1036"/>
            <w:vAlign w:val="top"/>
          </w:tcPr>
          <w:p>
            <w:pPr>
              <w:spacing w:after="40" w:before="0" w:line="259" w:lineRule="auto"/>
            </w:pPr>
            <w:r>
              <w:rPr>
                <w:rFonts w:ascii="Calibri" w:hAnsi="Calibri"/>
                <w:b w:val="0"/>
                <w:i w:val="0"/>
                <w:color w:val="212121"/>
                <w:sz w:val="16"/>
              </w:rPr>
              <w:t>ASD with ID, family history, or characteristic features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Recommended</w:t>
            </w:r>
          </w:p>
        </w:tc>
        <w:tc>
          <w:tcPr>
            <w:tcW w:type="dxa" w:w="720"/>
            <w:vAlign w:val="top"/>
          </w:tcPr>
          <w:p>
            <w:pPr>
              <w:spacing w:after="40" w:before="0" w:line="259" w:lineRule="auto"/>
            </w:pPr>
            <w:r>
              <w:rPr>
                <w:rFonts w:ascii="Calibri" w:hAnsi="Calibri"/>
                <w:b w:val="0"/>
                <w:i w:val="0"/>
                <w:color w:val="212121"/>
                <w:sz w:val="16"/>
              </w:rPr>
              <w:t>Positive result mandates cascade family testing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Electroencephalogram (EEG)</w:t>
            </w:r>
          </w:p>
        </w:tc>
        <w:tc>
          <w:tcPr>
            <w:tcW w:type="dxa" w:w="892"/>
            <w:vAlign w:val="top"/>
          </w:tcPr>
          <w:p>
            <w:pPr>
              <w:spacing w:after="40" w:before="0" w:line="259" w:lineRule="auto"/>
            </w:pPr>
            <w:r>
              <w:rPr>
                <w:rFonts w:ascii="Calibri" w:hAnsi="Calibri"/>
                <w:b w:val="0"/>
                <w:i w:val="0"/>
                <w:color w:val="212121"/>
                <w:sz w:val="16"/>
              </w:rPr>
              <w:t>EEG</w:t>
            </w:r>
          </w:p>
        </w:tc>
        <w:tc>
          <w:tcPr>
            <w:tcW w:type="dxa" w:w="950"/>
            <w:vAlign w:val="top"/>
          </w:tcPr>
          <w:p>
            <w:pPr>
              <w:spacing w:after="40" w:before="0" w:line="259" w:lineRule="auto"/>
            </w:pPr>
            <w:r>
              <w:rPr>
                <w:rFonts w:ascii="Calibri" w:hAnsi="Calibri"/>
                <w:b w:val="0"/>
                <w:i w:val="0"/>
                <w:color w:val="212121"/>
                <w:sz w:val="16"/>
              </w:rPr>
              <w:t>No epileptiform activity</w:t>
            </w:r>
          </w:p>
        </w:tc>
        <w:tc>
          <w:tcPr>
            <w:tcW w:type="dxa" w:w="950"/>
            <w:vAlign w:val="top"/>
          </w:tcPr>
          <w:p>
            <w:pPr>
              <w:spacing w:after="40" w:before="0" w:line="259" w:lineRule="auto"/>
            </w:pPr>
            <w:r>
              <w:rPr>
                <w:rFonts w:ascii="Calibri" w:hAnsi="Calibri"/>
                <w:b w:val="0"/>
                <w:i w:val="0"/>
                <w:color w:val="212121"/>
                <w:sz w:val="16"/>
              </w:rPr>
              <w:t>Epileptiform discharges / seizure activity</w:t>
            </w:r>
          </w:p>
        </w:tc>
        <w:tc>
          <w:tcPr>
            <w:tcW w:type="dxa" w:w="1036"/>
            <w:vAlign w:val="top"/>
          </w:tcPr>
          <w:p>
            <w:pPr>
              <w:spacing w:after="40" w:before="0" w:line="259" w:lineRule="auto"/>
            </w:pPr>
            <w:r>
              <w:rPr>
                <w:rFonts w:ascii="Calibri" w:hAnsi="Calibri"/>
                <w:b w:val="0"/>
                <w:i w:val="0"/>
                <w:color w:val="212121"/>
                <w:sz w:val="16"/>
              </w:rPr>
              <w:t>Evaluates suspected seizures or developmental regression; epilepsy co-occurs in up to ~30%</w:t>
            </w:r>
          </w:p>
        </w:tc>
        <w:tc>
          <w:tcPr>
            <w:tcW w:type="dxa" w:w="1036"/>
            <w:vAlign w:val="top"/>
          </w:tcPr>
          <w:p>
            <w:pPr>
              <w:spacing w:after="40" w:before="0" w:line="259" w:lineRule="auto"/>
            </w:pPr>
            <w:r>
              <w:rPr>
                <w:rFonts w:ascii="Calibri" w:hAnsi="Calibri"/>
                <w:b w:val="0"/>
                <w:i w:val="0"/>
                <w:color w:val="212121"/>
                <w:sz w:val="16"/>
              </w:rPr>
              <w:t>Autistic children with seizures, staring spells or regression</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routine without clinical seizure suspicion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Audiology</w:t>
            </w:r>
          </w:p>
        </w:tc>
        <w:tc>
          <w:tcPr>
            <w:tcW w:type="dxa" w:w="1036"/>
            <w:vAlign w:val="top"/>
          </w:tcPr>
          <w:p>
            <w:pPr>
              <w:spacing w:after="40" w:before="0" w:line="259" w:lineRule="auto"/>
            </w:pPr>
            <w:r>
              <w:rPr>
                <w:rFonts w:ascii="Calibri" w:hAnsi="Calibri"/>
                <w:b w:val="0"/>
                <w:i w:val="0"/>
                <w:color w:val="212121"/>
                <w:sz w:val="16"/>
              </w:rPr>
              <w:t>Hearing assessment (BERA / audiometry)</w:t>
            </w:r>
          </w:p>
        </w:tc>
        <w:tc>
          <w:tcPr>
            <w:tcW w:type="dxa" w:w="892"/>
            <w:vAlign w:val="top"/>
          </w:tcPr>
          <w:p>
            <w:pPr>
              <w:spacing w:after="40" w:before="0" w:line="259" w:lineRule="auto"/>
            </w:pPr>
            <w:r>
              <w:rPr>
                <w:rFonts w:ascii="Calibri" w:hAnsi="Calibri"/>
                <w:b w:val="0"/>
                <w:i w:val="0"/>
                <w:color w:val="212121"/>
                <w:sz w:val="16"/>
              </w:rPr>
              <w:t>Hearing test</w:t>
            </w:r>
          </w:p>
        </w:tc>
        <w:tc>
          <w:tcPr>
            <w:tcW w:type="dxa" w:w="950"/>
            <w:vAlign w:val="top"/>
          </w:tcPr>
          <w:p>
            <w:pPr>
              <w:spacing w:after="40" w:before="0" w:line="259" w:lineRule="auto"/>
            </w:pPr>
            <w:r>
              <w:rPr>
                <w:rFonts w:ascii="Calibri" w:hAnsi="Calibri"/>
                <w:b w:val="0"/>
                <w:i w:val="0"/>
                <w:color w:val="212121"/>
                <w:sz w:val="16"/>
              </w:rPr>
              <w:t>Normal hearing thresholds</w:t>
            </w:r>
          </w:p>
        </w:tc>
        <w:tc>
          <w:tcPr>
            <w:tcW w:type="dxa" w:w="950"/>
            <w:vAlign w:val="top"/>
          </w:tcPr>
          <w:p>
            <w:pPr>
              <w:spacing w:after="40" w:before="0" w:line="259" w:lineRule="auto"/>
            </w:pPr>
            <w:r>
              <w:rPr>
                <w:rFonts w:ascii="Calibri" w:hAnsi="Calibri"/>
                <w:b w:val="0"/>
                <w:i w:val="0"/>
                <w:color w:val="212121"/>
                <w:sz w:val="16"/>
              </w:rPr>
              <w:t>Hearing loss detected</w:t>
            </w:r>
          </w:p>
        </w:tc>
        <w:tc>
          <w:tcPr>
            <w:tcW w:type="dxa" w:w="1036"/>
            <w:vAlign w:val="top"/>
          </w:tcPr>
          <w:p>
            <w:pPr>
              <w:spacing w:after="40" w:before="0" w:line="259" w:lineRule="auto"/>
            </w:pPr>
            <w:r>
              <w:rPr>
                <w:rFonts w:ascii="Calibri" w:hAnsi="Calibri"/>
                <w:b w:val="0"/>
                <w:i w:val="0"/>
                <w:color w:val="212121"/>
                <w:sz w:val="16"/>
              </w:rPr>
              <w:t>Excludes deafness that can mimic or worsen language delay</w:t>
            </w:r>
          </w:p>
        </w:tc>
        <w:tc>
          <w:tcPr>
            <w:tcW w:type="dxa" w:w="1036"/>
            <w:vAlign w:val="top"/>
          </w:tcPr>
          <w:p>
            <w:pPr>
              <w:spacing w:after="40" w:before="0" w:line="259" w:lineRule="auto"/>
            </w:pPr>
            <w:r>
              <w:rPr>
                <w:rFonts w:ascii="Calibri" w:hAnsi="Calibri"/>
                <w:b w:val="0"/>
                <w:i w:val="0"/>
                <w:color w:val="212121"/>
                <w:sz w:val="16"/>
              </w:rPr>
              <w:t>Every child presenting with delayed or absent speech</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 / exclusionary</w:t>
            </w:r>
          </w:p>
        </w:tc>
        <w:tc>
          <w:tcPr>
            <w:tcW w:type="dxa" w:w="720"/>
            <w:vAlign w:val="top"/>
          </w:tcPr>
          <w:p>
            <w:pPr>
              <w:spacing w:after="40" w:before="0" w:line="259" w:lineRule="auto"/>
            </w:pPr>
            <w:r>
              <w:rPr>
                <w:rFonts w:ascii="Calibri" w:hAnsi="Calibri"/>
                <w:b w:val="0"/>
                <w:i w:val="0"/>
                <w:color w:val="212121"/>
                <w:sz w:val="16"/>
              </w:rPr>
              <w:t>Should precede attributing language delay to ASD alone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w:t>
            </w:r>
          </w:p>
        </w:tc>
        <w:tc>
          <w:tcPr>
            <w:tcW w:type="dxa" w:w="1036"/>
            <w:vAlign w:val="top"/>
          </w:tcPr>
          <w:p>
            <w:pPr>
              <w:spacing w:after="40" w:before="0" w:line="259" w:lineRule="auto"/>
            </w:pPr>
            <w:r>
              <w:rPr>
                <w:rFonts w:ascii="Calibri" w:hAnsi="Calibri"/>
                <w:b w:val="0"/>
                <w:i w:val="0"/>
                <w:color w:val="212121"/>
                <w:sz w:val="16"/>
              </w:rPr>
              <w:t>Plasma amino acids, urine organic acids, acylcarnitine</w:t>
            </w:r>
          </w:p>
        </w:tc>
        <w:tc>
          <w:tcPr>
            <w:tcW w:type="dxa" w:w="892"/>
            <w:vAlign w:val="top"/>
          </w:tcPr>
          <w:p>
            <w:pPr>
              <w:spacing w:after="40" w:before="0" w:line="259" w:lineRule="auto"/>
            </w:pPr>
            <w:r>
              <w:rPr>
                <w:rFonts w:ascii="Calibri" w:hAnsi="Calibri"/>
                <w:b w:val="0"/>
                <w:i w:val="0"/>
                <w:color w:val="212121"/>
                <w:sz w:val="16"/>
              </w:rPr>
              <w:t>Metabolic screen</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Pattern of an inborn error of metabolism</w:t>
            </w:r>
          </w:p>
        </w:tc>
        <w:tc>
          <w:tcPr>
            <w:tcW w:type="dxa" w:w="1036"/>
            <w:vAlign w:val="top"/>
          </w:tcPr>
          <w:p>
            <w:pPr>
              <w:spacing w:after="40" w:before="0" w:line="259" w:lineRule="auto"/>
            </w:pPr>
            <w:r>
              <w:rPr>
                <w:rFonts w:ascii="Calibri" w:hAnsi="Calibri"/>
                <w:b w:val="0"/>
                <w:i w:val="0"/>
                <w:color w:val="212121"/>
                <w:sz w:val="16"/>
              </w:rPr>
              <w:t>Reserved for regression, consanguinity, or atypical features suggesting a treatable metabolic disorder</w:t>
            </w:r>
          </w:p>
        </w:tc>
        <w:tc>
          <w:tcPr>
            <w:tcW w:type="dxa" w:w="1036"/>
            <w:vAlign w:val="top"/>
          </w:tcPr>
          <w:p>
            <w:pPr>
              <w:spacing w:after="40" w:before="0" w:line="259" w:lineRule="auto"/>
            </w:pPr>
            <w:r>
              <w:rPr>
                <w:rFonts w:ascii="Calibri" w:hAnsi="Calibri"/>
                <w:b w:val="0"/>
                <w:i w:val="0"/>
                <w:color w:val="212121"/>
                <w:sz w:val="16"/>
              </w:rPr>
              <w:t>ASD with regression, seizures or dysmorphism</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indicated in typical, non-regressive ASD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w:t>
            </w:r>
          </w:p>
        </w:tc>
        <w:tc>
          <w:tcPr>
            <w:tcW w:type="dxa" w:w="1036"/>
            <w:vAlign w:val="top"/>
          </w:tcPr>
          <w:p>
            <w:pPr>
              <w:spacing w:after="40" w:before="0" w:line="259" w:lineRule="auto"/>
            </w:pPr>
            <w:r>
              <w:rPr>
                <w:rFonts w:ascii="Calibri" w:hAnsi="Calibri"/>
                <w:b w:val="0"/>
                <w:i w:val="0"/>
                <w:color w:val="212121"/>
                <w:sz w:val="16"/>
              </w:rPr>
              <w:t>Blood lead level</w:t>
            </w:r>
          </w:p>
        </w:tc>
        <w:tc>
          <w:tcPr>
            <w:tcW w:type="dxa" w:w="892"/>
            <w:vAlign w:val="top"/>
          </w:tcPr>
          <w:p>
            <w:pPr>
              <w:spacing w:after="40" w:before="0" w:line="259" w:lineRule="auto"/>
            </w:pPr>
            <w:r>
              <w:rPr>
                <w:rFonts w:ascii="Calibri" w:hAnsi="Calibri"/>
                <w:b w:val="0"/>
                <w:i w:val="0"/>
                <w:color w:val="212121"/>
                <w:sz w:val="16"/>
              </w:rPr>
              <w:t>Lead level</w:t>
            </w:r>
          </w:p>
        </w:tc>
        <w:tc>
          <w:tcPr>
            <w:tcW w:type="dxa" w:w="950"/>
            <w:vAlign w:val="top"/>
          </w:tcPr>
          <w:p>
            <w:pPr>
              <w:spacing w:after="40" w:before="0" w:line="259" w:lineRule="auto"/>
            </w:pPr>
            <w:r>
              <w:rPr>
                <w:rFonts w:ascii="Calibri" w:hAnsi="Calibri"/>
                <w:b w:val="0"/>
                <w:i w:val="0"/>
                <w:color w:val="212121"/>
                <w:sz w:val="16"/>
              </w:rPr>
              <w:t>&lt; 3.5 µg/dL</w:t>
            </w:r>
          </w:p>
        </w:tc>
        <w:tc>
          <w:tcPr>
            <w:tcW w:type="dxa" w:w="950"/>
            <w:vAlign w:val="top"/>
          </w:tcPr>
          <w:p>
            <w:pPr>
              <w:spacing w:after="40" w:before="0" w:line="259" w:lineRule="auto"/>
            </w:pPr>
            <w:r>
              <w:rPr>
                <w:rFonts w:ascii="Calibri" w:hAnsi="Calibri"/>
                <w:b w:val="0"/>
                <w:i w:val="0"/>
                <w:color w:val="212121"/>
                <w:sz w:val="16"/>
              </w:rPr>
              <w:t>≥ 3.5 µg/dL (elevated)</w:t>
            </w:r>
          </w:p>
        </w:tc>
        <w:tc>
          <w:tcPr>
            <w:tcW w:type="dxa" w:w="1036"/>
            <w:vAlign w:val="top"/>
          </w:tcPr>
          <w:p>
            <w:pPr>
              <w:spacing w:after="40" w:before="0" w:line="259" w:lineRule="auto"/>
            </w:pPr>
            <w:r>
              <w:rPr>
                <w:rFonts w:ascii="Calibri" w:hAnsi="Calibri"/>
                <w:b w:val="0"/>
                <w:i w:val="0"/>
                <w:color w:val="212121"/>
                <w:sz w:val="16"/>
              </w:rPr>
              <w:t>Pica and mouthing are common in ASD and raise lead-exposure risk, particularly in Indian urban/industrial settings</w:t>
            </w:r>
          </w:p>
        </w:tc>
        <w:tc>
          <w:tcPr>
            <w:tcW w:type="dxa" w:w="1036"/>
            <w:vAlign w:val="top"/>
          </w:tcPr>
          <w:p>
            <w:pPr>
              <w:spacing w:after="40" w:before="0" w:line="259" w:lineRule="auto"/>
            </w:pPr>
            <w:r>
              <w:rPr>
                <w:rFonts w:ascii="Calibri" w:hAnsi="Calibri"/>
                <w:b w:val="0"/>
                <w:i w:val="0"/>
                <w:color w:val="212121"/>
                <w:sz w:val="16"/>
              </w:rPr>
              <w:t>Autistic children with pica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Treatable, preventable contributor to developmental harm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ferritin &amp; vitamin D</w:t>
            </w:r>
          </w:p>
        </w:tc>
        <w:tc>
          <w:tcPr>
            <w:tcW w:type="dxa" w:w="892"/>
            <w:vAlign w:val="top"/>
          </w:tcPr>
          <w:p>
            <w:pPr>
              <w:spacing w:after="40" w:before="0" w:line="259" w:lineRule="auto"/>
            </w:pPr>
            <w:r>
              <w:rPr>
                <w:rFonts w:ascii="Calibri" w:hAnsi="Calibri"/>
                <w:b w:val="0"/>
                <w:i w:val="0"/>
                <w:color w:val="212121"/>
                <w:sz w:val="16"/>
              </w:rPr>
              <w:t>Blood tests</w:t>
            </w:r>
          </w:p>
        </w:tc>
        <w:tc>
          <w:tcPr>
            <w:tcW w:type="dxa" w:w="950"/>
            <w:vAlign w:val="top"/>
          </w:tcPr>
          <w:p>
            <w:pPr>
              <w:spacing w:after="40" w:before="0" w:line="259" w:lineRule="auto"/>
            </w:pPr>
            <w:r>
              <w:rPr>
                <w:rFonts w:ascii="Calibri" w:hAnsi="Calibri"/>
                <w:b w:val="0"/>
                <w:i w:val="0"/>
                <w:color w:val="212121"/>
                <w:sz w:val="16"/>
              </w:rPr>
              <w:t>Age-appropriate normal ranges</w:t>
            </w:r>
          </w:p>
        </w:tc>
        <w:tc>
          <w:tcPr>
            <w:tcW w:type="dxa" w:w="950"/>
            <w:vAlign w:val="top"/>
          </w:tcPr>
          <w:p>
            <w:pPr>
              <w:spacing w:after="40" w:before="0" w:line="259" w:lineRule="auto"/>
            </w:pPr>
            <w:r>
              <w:rPr>
                <w:rFonts w:ascii="Calibri" w:hAnsi="Calibri"/>
                <w:b w:val="0"/>
                <w:i w:val="0"/>
                <w:color w:val="212121"/>
                <w:sz w:val="16"/>
              </w:rPr>
              <w:t>Hypothyroidism, low ferritin or vitamin D deficiency</w:t>
            </w:r>
          </w:p>
        </w:tc>
        <w:tc>
          <w:tcPr>
            <w:tcW w:type="dxa" w:w="1036"/>
            <w:vAlign w:val="top"/>
          </w:tcPr>
          <w:p>
            <w:pPr>
              <w:spacing w:after="40" w:before="0" w:line="259" w:lineRule="auto"/>
            </w:pPr>
            <w:r>
              <w:rPr>
                <w:rFonts w:ascii="Calibri" w:hAnsi="Calibri"/>
                <w:b w:val="0"/>
                <w:i w:val="0"/>
                <w:color w:val="212121"/>
                <w:sz w:val="16"/>
              </w:rPr>
              <w:t>Excludes thyroid disease affecting development and detects deficiencies from restrictive eating</w:t>
            </w:r>
          </w:p>
        </w:tc>
        <w:tc>
          <w:tcPr>
            <w:tcW w:type="dxa" w:w="1036"/>
            <w:vAlign w:val="top"/>
          </w:tcPr>
          <w:p>
            <w:pPr>
              <w:spacing w:after="40" w:before="0" w:line="259" w:lineRule="auto"/>
            </w:pPr>
            <w:r>
              <w:rPr>
                <w:rFonts w:ascii="Calibri" w:hAnsi="Calibri"/>
                <w:b w:val="0"/>
                <w:i w:val="0"/>
                <w:color w:val="212121"/>
                <w:sz w:val="16"/>
              </w:rPr>
              <w:t>ASD with selective eating or fatigue/poor sleep</w:t>
            </w:r>
          </w:p>
        </w:tc>
        <w:tc>
          <w:tcPr>
            <w:tcW w:type="dxa" w:w="720"/>
            <w:vAlign w:val="top"/>
          </w:tcPr>
          <w:p>
            <w:pPr>
              <w:spacing w:after="40" w:before="0" w:line="259" w:lineRule="auto"/>
            </w:pPr>
            <w:r>
              <w:rPr>
                <w:rFonts w:ascii="Calibri" w:hAnsi="Calibri"/>
                <w:b w:val="0"/>
                <w:i w:val="0"/>
                <w:color w:val="212121"/>
                <w:sz w:val="16"/>
              </w:rPr>
              <w:t>Food; Sleep</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Low iron correlates with sleep disturbance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Developmental &amp; milestone history</w:t>
            </w:r>
          </w:p>
        </w:tc>
        <w:tc>
          <w:tcPr>
            <w:tcW w:type="dxa" w:w="979"/>
            <w:vAlign w:val="top"/>
          </w:tcPr>
          <w:p>
            <w:pPr>
              <w:spacing w:after="40" w:before="0" w:line="259" w:lineRule="auto"/>
            </w:pPr>
            <w:r>
              <w:rPr>
                <w:rFonts w:ascii="Calibri" w:hAnsi="Calibri"/>
                <w:b w:val="0"/>
                <w:i w:val="0"/>
                <w:color w:val="212121"/>
                <w:sz w:val="16"/>
              </w:rPr>
              <w:t>Language, social, play milestones; any regression</w:t>
            </w:r>
          </w:p>
        </w:tc>
        <w:tc>
          <w:tcPr>
            <w:tcW w:type="dxa" w:w="950"/>
            <w:vAlign w:val="top"/>
          </w:tcPr>
          <w:p>
            <w:pPr>
              <w:spacing w:after="40" w:before="0" w:line="259" w:lineRule="auto"/>
            </w:pPr>
            <w:r>
              <w:rPr>
                <w:rFonts w:ascii="Calibri" w:hAnsi="Calibri"/>
                <w:b w:val="0"/>
                <w:i w:val="0"/>
                <w:color w:val="212121"/>
                <w:sz w:val="16"/>
              </w:rPr>
              <w:t>Milestones on track</w:t>
            </w:r>
          </w:p>
        </w:tc>
        <w:tc>
          <w:tcPr>
            <w:tcW w:type="dxa" w:w="950"/>
            <w:vAlign w:val="top"/>
          </w:tcPr>
          <w:p>
            <w:pPr>
              <w:spacing w:after="40" w:before="0" w:line="259" w:lineRule="auto"/>
            </w:pPr>
            <w:r>
              <w:rPr>
                <w:rFonts w:ascii="Calibri" w:hAnsi="Calibri"/>
                <w:b w:val="0"/>
                <w:i w:val="0"/>
                <w:color w:val="212121"/>
                <w:sz w:val="16"/>
              </w:rPr>
              <w:t>Delay or loss of skills (e.g., no babble/point by 12 mo, no words by 16 mo, no 2-word phrases by 24 mo)</w:t>
            </w:r>
          </w:p>
        </w:tc>
        <w:tc>
          <w:tcPr>
            <w:tcW w:type="dxa" w:w="1036"/>
            <w:vAlign w:val="top"/>
          </w:tcPr>
          <w:p>
            <w:pPr>
              <w:spacing w:after="40" w:before="0" w:line="259" w:lineRule="auto"/>
            </w:pPr>
            <w:r>
              <w:rPr>
                <w:rFonts w:ascii="Calibri" w:hAnsi="Calibri"/>
                <w:b w:val="0"/>
                <w:i w:val="0"/>
                <w:color w:val="212121"/>
                <w:sz w:val="16"/>
              </w:rPr>
              <w:t>Detects early red flags of ASD</w:t>
            </w:r>
          </w:p>
        </w:tc>
        <w:tc>
          <w:tcPr>
            <w:tcW w:type="dxa" w:w="1036"/>
            <w:vAlign w:val="top"/>
          </w:tcPr>
          <w:p>
            <w:pPr>
              <w:spacing w:after="40" w:before="0" w:line="259" w:lineRule="auto"/>
            </w:pPr>
            <w:r>
              <w:rPr>
                <w:rFonts w:ascii="Calibri" w:hAnsi="Calibri"/>
                <w:b w:val="0"/>
                <w:i w:val="0"/>
                <w:color w:val="212121"/>
                <w:sz w:val="16"/>
              </w:rPr>
              <w:t>Toddlers and preschoolers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Any loss of language or social skills warrants urgent evaluation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Pregnancy &amp; perinatal history</w:t>
            </w:r>
          </w:p>
        </w:tc>
        <w:tc>
          <w:tcPr>
            <w:tcW w:type="dxa" w:w="979"/>
            <w:vAlign w:val="top"/>
          </w:tcPr>
          <w:p>
            <w:pPr>
              <w:spacing w:after="40" w:before="0" w:line="259" w:lineRule="auto"/>
            </w:pPr>
            <w:r>
              <w:rPr>
                <w:rFonts w:ascii="Calibri" w:hAnsi="Calibri"/>
                <w:b w:val="0"/>
                <w:i w:val="0"/>
                <w:color w:val="212121"/>
                <w:sz w:val="16"/>
              </w:rPr>
              <w:t>Prematurity, valproate, birth complications, parental age</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 1 risk factor present</w:t>
            </w:r>
          </w:p>
        </w:tc>
        <w:tc>
          <w:tcPr>
            <w:tcW w:type="dxa" w:w="1036"/>
            <w:vAlign w:val="top"/>
          </w:tcPr>
          <w:p>
            <w:pPr>
              <w:spacing w:after="40" w:before="0" w:line="259" w:lineRule="auto"/>
            </w:pPr>
            <w:r>
              <w:rPr>
                <w:rFonts w:ascii="Calibri" w:hAnsi="Calibri"/>
                <w:b w:val="0"/>
                <w:i w:val="0"/>
                <w:color w:val="212121"/>
                <w:sz w:val="16"/>
              </w:rPr>
              <w:t>Risk stratification and identification of modifiable prenatal exposures</w:t>
            </w:r>
          </w:p>
        </w:tc>
        <w:tc>
          <w:tcPr>
            <w:tcW w:type="dxa" w:w="1036"/>
            <w:vAlign w:val="top"/>
          </w:tcPr>
          <w:p>
            <w:pPr>
              <w:spacing w:after="40" w:before="0" w:line="259" w:lineRule="auto"/>
            </w:pPr>
            <w:r>
              <w:rPr>
                <w:rFonts w:ascii="Calibri" w:hAnsi="Calibri"/>
                <w:b w:val="0"/>
                <w:i w:val="0"/>
                <w:color w:val="212121"/>
                <w:sz w:val="16"/>
              </w:rPr>
              <w:t>All new evaluations</w:t>
            </w:r>
          </w:p>
        </w:tc>
        <w:tc>
          <w:tcPr>
            <w:tcW w:type="dxa" w:w="720"/>
            <w:vAlign w:val="top"/>
          </w:tcPr>
          <w:p>
            <w:pPr>
              <w:spacing w:after="40" w:before="0" w:line="259" w:lineRule="auto"/>
            </w:pPr>
            <w:r>
              <w:rPr>
                <w:rFonts w:ascii="Calibri" w:hAnsi="Calibri"/>
                <w:b w:val="0"/>
                <w:i w:val="0"/>
                <w:color w:val="212121"/>
                <w:sz w:val="16"/>
              </w:rPr>
              <w:t>Smoking; Alcohol</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Note in-utero anti-epileptic exposure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 with ASD or neurodevelopmental disorder</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affected relative</w:t>
            </w:r>
          </w:p>
        </w:tc>
        <w:tc>
          <w:tcPr>
            <w:tcW w:type="dxa" w:w="1036"/>
            <w:vAlign w:val="top"/>
          </w:tcPr>
          <w:p>
            <w:pPr>
              <w:spacing w:after="40" w:before="0" w:line="259" w:lineRule="auto"/>
            </w:pPr>
            <w:r>
              <w:rPr>
                <w:rFonts w:ascii="Calibri" w:hAnsi="Calibri"/>
                <w:b w:val="0"/>
                <w:i w:val="0"/>
                <w:color w:val="212121"/>
                <w:sz w:val="16"/>
              </w:rPr>
              <w:t>Reflects heritable susceptibility and recurrence risk</w:t>
            </w:r>
          </w:p>
        </w:tc>
        <w:tc>
          <w:tcPr>
            <w:tcW w:type="dxa" w:w="1036"/>
            <w:vAlign w:val="top"/>
          </w:tcPr>
          <w:p>
            <w:pPr>
              <w:spacing w:after="40" w:before="0" w:line="259" w:lineRule="auto"/>
            </w:pPr>
            <w:r>
              <w:rPr>
                <w:rFonts w:ascii="Calibri" w:hAnsi="Calibri"/>
                <w:b w:val="0"/>
                <w:i w:val="0"/>
                <w:color w:val="212121"/>
                <w:sz w:val="16"/>
              </w:rPr>
              <w:t>Siblings and children of affected individuals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Prompts sibling surveillance and genetic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w:t>
            </w:r>
          </w:p>
        </w:tc>
        <w:tc>
          <w:tcPr>
            <w:tcW w:type="dxa" w:w="950"/>
            <w:vAlign w:val="top"/>
          </w:tcPr>
          <w:p>
            <w:pPr>
              <w:spacing w:after="40" w:before="0" w:line="259" w:lineRule="auto"/>
            </w:pPr>
            <w:r>
              <w:rPr>
                <w:rFonts w:ascii="Calibri" w:hAnsi="Calibri"/>
                <w:b w:val="0"/>
                <w:i w:val="0"/>
                <w:color w:val="212121"/>
                <w:sz w:val="16"/>
              </w:rPr>
              <w:t>M-CHAT-R/F</w:t>
            </w:r>
          </w:p>
        </w:tc>
        <w:tc>
          <w:tcPr>
            <w:tcW w:type="dxa" w:w="979"/>
            <w:vAlign w:val="top"/>
          </w:tcPr>
          <w:p>
            <w:pPr>
              <w:spacing w:after="40" w:before="0" w:line="259" w:lineRule="auto"/>
            </w:pPr>
            <w:r>
              <w:rPr>
                <w:rFonts w:ascii="Calibri" w:hAnsi="Calibri"/>
                <w:b w:val="0"/>
                <w:i w:val="0"/>
                <w:color w:val="212121"/>
                <w:sz w:val="16"/>
              </w:rPr>
              <w:t>Parent-report toddler screen (16–30 months)</w:t>
            </w:r>
          </w:p>
        </w:tc>
        <w:tc>
          <w:tcPr>
            <w:tcW w:type="dxa" w:w="950"/>
            <w:vAlign w:val="top"/>
          </w:tcPr>
          <w:p>
            <w:pPr>
              <w:spacing w:after="40" w:before="0" w:line="259" w:lineRule="auto"/>
            </w:pPr>
            <w:r>
              <w:rPr>
                <w:rFonts w:ascii="Calibri" w:hAnsi="Calibri"/>
                <w:b w:val="0"/>
                <w:i w:val="0"/>
                <w:color w:val="212121"/>
                <w:sz w:val="16"/>
              </w:rPr>
              <w:t>Low-risk score</w:t>
            </w:r>
          </w:p>
        </w:tc>
        <w:tc>
          <w:tcPr>
            <w:tcW w:type="dxa" w:w="950"/>
            <w:vAlign w:val="top"/>
          </w:tcPr>
          <w:p>
            <w:pPr>
              <w:spacing w:after="40" w:before="0" w:line="259" w:lineRule="auto"/>
            </w:pPr>
            <w:r>
              <w:rPr>
                <w:rFonts w:ascii="Calibri" w:hAnsi="Calibri"/>
                <w:b w:val="0"/>
                <w:i w:val="0"/>
                <w:color w:val="212121"/>
                <w:sz w:val="16"/>
              </w:rPr>
              <w:t>Medium/high-risk score on follow-up</w:t>
            </w:r>
          </w:p>
        </w:tc>
        <w:tc>
          <w:tcPr>
            <w:tcW w:type="dxa" w:w="1036"/>
            <w:vAlign w:val="top"/>
          </w:tcPr>
          <w:p>
            <w:pPr>
              <w:spacing w:after="40" w:before="0" w:line="259" w:lineRule="auto"/>
            </w:pPr>
            <w:r>
              <w:rPr>
                <w:rFonts w:ascii="Calibri" w:hAnsi="Calibri"/>
                <w:b w:val="0"/>
                <w:i w:val="0"/>
                <w:color w:val="212121"/>
                <w:sz w:val="16"/>
              </w:rPr>
              <w:t>Standard toddler screener; positive result triggers formal diagnostic referral</w:t>
            </w:r>
          </w:p>
        </w:tc>
        <w:tc>
          <w:tcPr>
            <w:tcW w:type="dxa" w:w="1036"/>
            <w:vAlign w:val="top"/>
          </w:tcPr>
          <w:p>
            <w:pPr>
              <w:spacing w:after="40" w:before="0" w:line="259" w:lineRule="auto"/>
            </w:pPr>
            <w:r>
              <w:rPr>
                <w:rFonts w:ascii="Calibri" w:hAnsi="Calibri"/>
                <w:b w:val="0"/>
                <w:i w:val="0"/>
                <w:color w:val="212121"/>
                <w:sz w:val="16"/>
              </w:rPr>
              <w:t>All toddlers at 18- and 24-month visits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Developmental monitoring at every well-child visit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Diagnostic assessment</w:t>
            </w:r>
          </w:p>
        </w:tc>
        <w:tc>
          <w:tcPr>
            <w:tcW w:type="dxa" w:w="950"/>
            <w:vAlign w:val="top"/>
          </w:tcPr>
          <w:p>
            <w:pPr>
              <w:spacing w:after="40" w:before="0" w:line="259" w:lineRule="auto"/>
            </w:pPr>
            <w:r>
              <w:rPr>
                <w:rFonts w:ascii="Calibri" w:hAnsi="Calibri"/>
                <w:b w:val="0"/>
                <w:i w:val="0"/>
                <w:color w:val="212121"/>
                <w:sz w:val="16"/>
              </w:rPr>
              <w:t>ADOS-2 / CARS-2</w:t>
            </w:r>
          </w:p>
        </w:tc>
        <w:tc>
          <w:tcPr>
            <w:tcW w:type="dxa" w:w="979"/>
            <w:vAlign w:val="top"/>
          </w:tcPr>
          <w:p>
            <w:pPr>
              <w:spacing w:after="40" w:before="0" w:line="259" w:lineRule="auto"/>
            </w:pPr>
            <w:r>
              <w:rPr>
                <w:rFonts w:ascii="Calibri" w:hAnsi="Calibri"/>
                <w:b w:val="0"/>
                <w:i w:val="0"/>
                <w:color w:val="212121"/>
                <w:sz w:val="16"/>
              </w:rPr>
              <w:t>Standardised observation of social communication &amp; behaviour</w:t>
            </w:r>
          </w:p>
        </w:tc>
        <w:tc>
          <w:tcPr>
            <w:tcW w:type="dxa" w:w="950"/>
            <w:vAlign w:val="top"/>
          </w:tcPr>
          <w:p>
            <w:pPr>
              <w:spacing w:after="40" w:before="0" w:line="259" w:lineRule="auto"/>
            </w:pPr>
            <w:r>
              <w:rPr>
                <w:rFonts w:ascii="Calibri" w:hAnsi="Calibri"/>
                <w:b w:val="0"/>
                <w:i w:val="0"/>
                <w:color w:val="212121"/>
                <w:sz w:val="16"/>
              </w:rPr>
              <w:t>Below cut-off</w:t>
            </w:r>
          </w:p>
        </w:tc>
        <w:tc>
          <w:tcPr>
            <w:tcW w:type="dxa" w:w="950"/>
            <w:vAlign w:val="top"/>
          </w:tcPr>
          <w:p>
            <w:pPr>
              <w:spacing w:after="40" w:before="0" w:line="259" w:lineRule="auto"/>
            </w:pPr>
            <w:r>
              <w:rPr>
                <w:rFonts w:ascii="Calibri" w:hAnsi="Calibri"/>
                <w:b w:val="0"/>
                <w:i w:val="0"/>
                <w:color w:val="212121"/>
                <w:sz w:val="16"/>
              </w:rPr>
              <w:t>Meets autism cut-off</w:t>
            </w:r>
          </w:p>
        </w:tc>
        <w:tc>
          <w:tcPr>
            <w:tcW w:type="dxa" w:w="1036"/>
            <w:vAlign w:val="top"/>
          </w:tcPr>
          <w:p>
            <w:pPr>
              <w:spacing w:after="40" w:before="0" w:line="259" w:lineRule="auto"/>
            </w:pPr>
            <w:r>
              <w:rPr>
                <w:rFonts w:ascii="Calibri" w:hAnsi="Calibri"/>
                <w:b w:val="0"/>
                <w:i w:val="0"/>
                <w:color w:val="212121"/>
                <w:sz w:val="16"/>
              </w:rPr>
              <w:t>Structured, semi-standardised confirmation supporting DSM-5-TR diagnosis</w:t>
            </w:r>
          </w:p>
        </w:tc>
        <w:tc>
          <w:tcPr>
            <w:tcW w:type="dxa" w:w="1036"/>
            <w:vAlign w:val="top"/>
          </w:tcPr>
          <w:p>
            <w:pPr>
              <w:spacing w:after="40" w:before="0" w:line="259" w:lineRule="auto"/>
            </w:pPr>
            <w:r>
              <w:rPr>
                <w:rFonts w:ascii="Calibri" w:hAnsi="Calibri"/>
                <w:b w:val="0"/>
                <w:i w:val="0"/>
                <w:color w:val="212121"/>
                <w:sz w:val="16"/>
              </w:rPr>
              <w:t>Children/adults with positive screen or clinical concern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Gold-standard supportive</w:t>
            </w:r>
          </w:p>
        </w:tc>
        <w:tc>
          <w:tcPr>
            <w:tcW w:type="dxa" w:w="720"/>
            <w:vAlign w:val="top"/>
          </w:tcPr>
          <w:p>
            <w:pPr>
              <w:spacing w:after="40" w:before="0" w:line="259" w:lineRule="auto"/>
            </w:pPr>
            <w:r>
              <w:rPr>
                <w:rFonts w:ascii="Calibri" w:hAnsi="Calibri"/>
                <w:b w:val="0"/>
                <w:i w:val="0"/>
                <w:color w:val="212121"/>
                <w:sz w:val="16"/>
              </w:rPr>
              <w:t>Requires trained assessor; ISAA used in India for certification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Dysmorphology &amp; neurocutaneous exam</w:t>
            </w:r>
          </w:p>
        </w:tc>
        <w:tc>
          <w:tcPr>
            <w:tcW w:type="dxa" w:w="979"/>
            <w:vAlign w:val="top"/>
          </w:tcPr>
          <w:p>
            <w:pPr>
              <w:spacing w:after="40" w:before="0" w:line="259" w:lineRule="auto"/>
            </w:pPr>
            <w:r>
              <w:rPr>
                <w:rFonts w:ascii="Calibri" w:hAnsi="Calibri"/>
                <w:b w:val="0"/>
                <w:i w:val="0"/>
                <w:color w:val="212121"/>
                <w:sz w:val="16"/>
              </w:rPr>
              <w:t>Head circumference, skin (Wood’s lamp), dysmorphic features</w:t>
            </w:r>
          </w:p>
        </w:tc>
        <w:tc>
          <w:tcPr>
            <w:tcW w:type="dxa" w:w="950"/>
            <w:vAlign w:val="top"/>
          </w:tcPr>
          <w:p>
            <w:pPr>
              <w:spacing w:after="40" w:before="0" w:line="259" w:lineRule="auto"/>
            </w:pPr>
            <w:r>
              <w:rPr>
                <w:rFonts w:ascii="Calibri" w:hAnsi="Calibri"/>
                <w:b w:val="0"/>
                <w:i w:val="0"/>
                <w:color w:val="212121"/>
                <w:sz w:val="16"/>
              </w:rPr>
              <w:t>No stigmata</w:t>
            </w:r>
          </w:p>
        </w:tc>
        <w:tc>
          <w:tcPr>
            <w:tcW w:type="dxa" w:w="950"/>
            <w:vAlign w:val="top"/>
          </w:tcPr>
          <w:p>
            <w:pPr>
              <w:spacing w:after="40" w:before="0" w:line="259" w:lineRule="auto"/>
            </w:pPr>
            <w:r>
              <w:rPr>
                <w:rFonts w:ascii="Calibri" w:hAnsi="Calibri"/>
                <w:b w:val="0"/>
                <w:i w:val="0"/>
                <w:color w:val="212121"/>
                <w:sz w:val="16"/>
              </w:rPr>
              <w:t>Macrocephaly, hypopigmented macules, macroorchidism</w:t>
            </w:r>
          </w:p>
        </w:tc>
        <w:tc>
          <w:tcPr>
            <w:tcW w:type="dxa" w:w="1036"/>
            <w:vAlign w:val="top"/>
          </w:tcPr>
          <w:p>
            <w:pPr>
              <w:spacing w:after="40" w:before="0" w:line="259" w:lineRule="auto"/>
            </w:pPr>
            <w:r>
              <w:rPr>
                <w:rFonts w:ascii="Calibri" w:hAnsi="Calibri"/>
                <w:b w:val="0"/>
                <w:i w:val="0"/>
                <w:color w:val="212121"/>
                <w:sz w:val="16"/>
              </w:rPr>
              <w:t>Screens for tuberous sclerosis, fragile X and other syndromic causes</w:t>
            </w:r>
          </w:p>
        </w:tc>
        <w:tc>
          <w:tcPr>
            <w:tcW w:type="dxa" w:w="1036"/>
            <w:vAlign w:val="top"/>
          </w:tcPr>
          <w:p>
            <w:pPr>
              <w:spacing w:after="40" w:before="0" w:line="259" w:lineRule="auto"/>
            </w:pPr>
            <w:r>
              <w:rPr>
                <w:rFonts w:ascii="Calibri" w:hAnsi="Calibri"/>
                <w:b w:val="0"/>
                <w:i w:val="0"/>
                <w:color w:val="212121"/>
                <w:sz w:val="16"/>
              </w:rPr>
              <w:t>All children with ASD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Etiologic</w:t>
            </w:r>
          </w:p>
        </w:tc>
        <w:tc>
          <w:tcPr>
            <w:tcW w:type="dxa" w:w="720"/>
            <w:vAlign w:val="top"/>
          </w:tcPr>
          <w:p>
            <w:pPr>
              <w:spacing w:after="40" w:before="0" w:line="259" w:lineRule="auto"/>
            </w:pPr>
            <w:r>
              <w:rPr>
                <w:rFonts w:ascii="Calibri" w:hAnsi="Calibri"/>
                <w:b w:val="0"/>
                <w:i w:val="0"/>
                <w:color w:val="212121"/>
                <w:sz w:val="16"/>
              </w:rPr>
              <w:t>Directs targeted genetic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 assessment</w:t>
            </w:r>
          </w:p>
        </w:tc>
        <w:tc>
          <w:tcPr>
            <w:tcW w:type="dxa" w:w="950"/>
            <w:vAlign w:val="top"/>
          </w:tcPr>
          <w:p>
            <w:pPr>
              <w:spacing w:after="40" w:before="0" w:line="259" w:lineRule="auto"/>
            </w:pPr>
            <w:r>
              <w:rPr>
                <w:rFonts w:ascii="Calibri" w:hAnsi="Calibri"/>
                <w:b w:val="0"/>
                <w:i w:val="0"/>
                <w:color w:val="212121"/>
                <w:sz w:val="16"/>
              </w:rPr>
              <w:t>Cognitive &amp; adaptive assessment</w:t>
            </w:r>
          </w:p>
        </w:tc>
        <w:tc>
          <w:tcPr>
            <w:tcW w:type="dxa" w:w="979"/>
            <w:vAlign w:val="top"/>
          </w:tcPr>
          <w:p>
            <w:pPr>
              <w:spacing w:after="40" w:before="0" w:line="259" w:lineRule="auto"/>
            </w:pPr>
            <w:r>
              <w:rPr>
                <w:rFonts w:ascii="Calibri" w:hAnsi="Calibri"/>
                <w:b w:val="0"/>
                <w:i w:val="0"/>
                <w:color w:val="212121"/>
                <w:sz w:val="16"/>
              </w:rPr>
              <w:t>IQ testing and Vineland adaptive behaviour scales</w:t>
            </w:r>
          </w:p>
        </w:tc>
        <w:tc>
          <w:tcPr>
            <w:tcW w:type="dxa" w:w="950"/>
            <w:vAlign w:val="top"/>
          </w:tcPr>
          <w:p>
            <w:pPr>
              <w:spacing w:after="40" w:before="0" w:line="259" w:lineRule="auto"/>
            </w:pPr>
            <w:r>
              <w:rPr>
                <w:rFonts w:ascii="Calibri" w:hAnsi="Calibri"/>
                <w:b w:val="0"/>
                <w:i w:val="0"/>
                <w:color w:val="212121"/>
                <w:sz w:val="16"/>
              </w:rPr>
              <w:t>Average range</w:t>
            </w:r>
          </w:p>
        </w:tc>
        <w:tc>
          <w:tcPr>
            <w:tcW w:type="dxa" w:w="950"/>
            <w:vAlign w:val="top"/>
          </w:tcPr>
          <w:p>
            <w:pPr>
              <w:spacing w:after="40" w:before="0" w:line="259" w:lineRule="auto"/>
            </w:pPr>
            <w:r>
              <w:rPr>
                <w:rFonts w:ascii="Calibri" w:hAnsi="Calibri"/>
                <w:b w:val="0"/>
                <w:i w:val="0"/>
                <w:color w:val="212121"/>
                <w:sz w:val="16"/>
              </w:rPr>
              <w:t>IQ ≤ 70 / significant adaptive deficits</w:t>
            </w:r>
          </w:p>
        </w:tc>
        <w:tc>
          <w:tcPr>
            <w:tcW w:type="dxa" w:w="1036"/>
            <w:vAlign w:val="top"/>
          </w:tcPr>
          <w:p>
            <w:pPr>
              <w:spacing w:after="40" w:before="0" w:line="259" w:lineRule="auto"/>
            </w:pPr>
            <w:r>
              <w:rPr>
                <w:rFonts w:ascii="Calibri" w:hAnsi="Calibri"/>
                <w:b w:val="0"/>
                <w:i w:val="0"/>
                <w:color w:val="212121"/>
                <w:sz w:val="16"/>
              </w:rPr>
              <w:t>Quantifies intellectual disability (present in ~30–40%) and support needs</w:t>
            </w:r>
          </w:p>
        </w:tc>
        <w:tc>
          <w:tcPr>
            <w:tcW w:type="dxa" w:w="1036"/>
            <w:vAlign w:val="top"/>
          </w:tcPr>
          <w:p>
            <w:pPr>
              <w:spacing w:after="40" w:before="0" w:line="259" w:lineRule="auto"/>
            </w:pPr>
            <w:r>
              <w:rPr>
                <w:rFonts w:ascii="Calibri" w:hAnsi="Calibri"/>
                <w:b w:val="0"/>
                <w:i w:val="0"/>
                <w:color w:val="212121"/>
                <w:sz w:val="16"/>
              </w:rPr>
              <w:t>All children with ASD</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Functional / prognostic</w:t>
            </w:r>
          </w:p>
        </w:tc>
        <w:tc>
          <w:tcPr>
            <w:tcW w:type="dxa" w:w="720"/>
            <w:vAlign w:val="top"/>
          </w:tcPr>
          <w:p>
            <w:pPr>
              <w:spacing w:after="40" w:before="0" w:line="259" w:lineRule="auto"/>
            </w:pPr>
            <w:r>
              <w:rPr>
                <w:rFonts w:ascii="Calibri" w:hAnsi="Calibri"/>
                <w:b w:val="0"/>
                <w:i w:val="0"/>
                <w:color w:val="212121"/>
                <w:sz w:val="16"/>
              </w:rPr>
              <w:t>Guides educational placement and support level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Reduced eye contact &amp; not responding to name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social red flag; child may not respond to name by 9–12 months and avoids or does not keep eye contact.</w:t>
            </w:r>
          </w:p>
        </w:tc>
      </w:tr>
      <w:tr>
        <w:trPr>
          <w:cantSplit/>
        </w:trPr>
        <w:tc>
          <w:tcPr>
            <w:tcW w:type="dxa" w:w="2304"/>
            <w:vAlign w:val="top"/>
          </w:tcPr>
          <w:p>
            <w:pPr>
              <w:spacing w:after="40" w:before="0" w:line="259" w:lineRule="auto"/>
            </w:pPr>
            <w:r>
              <w:rPr>
                <w:rFonts w:ascii="Calibri" w:hAnsi="Calibri"/>
                <w:b/>
                <w:i w:val="0"/>
                <w:color w:val="212121"/>
                <w:sz w:val="19"/>
              </w:rPr>
              <w:t>Delayed, absent or regressed speech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 single words by 16 months or loss of previously acquired words; may speak with unusual singsong or monotone prosody.</w:t>
            </w:r>
          </w:p>
        </w:tc>
      </w:tr>
      <w:tr>
        <w:trPr>
          <w:cantSplit/>
        </w:trPr>
        <w:tc>
          <w:tcPr>
            <w:tcW w:type="dxa" w:w="2304"/>
            <w:vAlign w:val="top"/>
          </w:tcPr>
          <w:p>
            <w:pPr>
              <w:spacing w:after="40" w:before="0" w:line="259" w:lineRule="auto"/>
            </w:pPr>
            <w:r>
              <w:rPr>
                <w:rFonts w:ascii="Calibri" w:hAnsi="Calibri"/>
                <w:b/>
                <w:i w:val="0"/>
                <w:color w:val="212121"/>
                <w:sz w:val="19"/>
              </w:rPr>
              <w:t>Impaired social-emotional reciprocity &amp; joint attention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Little pointing, showing or sharing of interest; does not seem aware of others’ feelings.</w:t>
            </w:r>
          </w:p>
        </w:tc>
      </w:tr>
      <w:tr>
        <w:trPr>
          <w:cantSplit/>
        </w:trPr>
        <w:tc>
          <w:tcPr>
            <w:tcW w:type="dxa" w:w="2304"/>
            <w:vAlign w:val="top"/>
          </w:tcPr>
          <w:p>
            <w:pPr>
              <w:spacing w:after="40" w:before="0" w:line="259" w:lineRule="auto"/>
            </w:pPr>
            <w:r>
              <w:rPr>
                <w:rFonts w:ascii="Calibri" w:hAnsi="Calibri"/>
                <w:b/>
                <w:i w:val="0"/>
                <w:color w:val="212121"/>
                <w:sz w:val="19"/>
              </w:rPr>
              <w:t>Repetitive motor mannerisms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Hand-flapping, rocking, spinning or lining up objects, becoming upset when the order is changed.</w:t>
            </w:r>
          </w:p>
        </w:tc>
      </w:tr>
      <w:tr>
        <w:trPr>
          <w:cantSplit/>
        </w:trPr>
        <w:tc>
          <w:tcPr>
            <w:tcW w:type="dxa" w:w="2304"/>
            <w:vAlign w:val="top"/>
          </w:tcPr>
          <w:p>
            <w:pPr>
              <w:spacing w:after="40" w:before="0" w:line="259" w:lineRule="auto"/>
            </w:pPr>
            <w:r>
              <w:rPr>
                <w:rFonts w:ascii="Calibri" w:hAnsi="Calibri"/>
                <w:b/>
                <w:i w:val="0"/>
                <w:color w:val="212121"/>
                <w:sz w:val="19"/>
              </w:rPr>
              <w:t>Insistence on sameness &amp; rigid routines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Distress at small changes; strong need for predictable rituals and transitions.</w:t>
            </w:r>
          </w:p>
        </w:tc>
      </w:tr>
      <w:tr>
        <w:trPr>
          <w:cantSplit/>
        </w:trPr>
        <w:tc>
          <w:tcPr>
            <w:tcW w:type="dxa" w:w="2304"/>
            <w:vAlign w:val="top"/>
          </w:tcPr>
          <w:p>
            <w:pPr>
              <w:spacing w:after="40" w:before="0" w:line="259" w:lineRule="auto"/>
            </w:pPr>
            <w:r>
              <w:rPr>
                <w:rFonts w:ascii="Calibri" w:hAnsi="Calibri"/>
                <w:b/>
                <w:i w:val="0"/>
                <w:color w:val="212121"/>
                <w:sz w:val="19"/>
              </w:rPr>
              <w:t>Restricted, intense special interests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Unusually deep, narrow focus on a topic or object (e.g., wheels, timetables).</w:t>
            </w:r>
          </w:p>
        </w:tc>
      </w:tr>
      <w:tr>
        <w:trPr>
          <w:cantSplit/>
        </w:trPr>
        <w:tc>
          <w:tcPr>
            <w:tcW w:type="dxa" w:w="2304"/>
            <w:vAlign w:val="top"/>
          </w:tcPr>
          <w:p>
            <w:pPr>
              <w:spacing w:after="40" w:before="0" w:line="259" w:lineRule="auto"/>
            </w:pPr>
            <w:r>
              <w:rPr>
                <w:rFonts w:ascii="Calibri" w:hAnsi="Calibri"/>
                <w:b/>
                <w:i w:val="0"/>
                <w:color w:val="212121"/>
                <w:sz w:val="19"/>
              </w:rPr>
              <w:t>Sensory hyper- or hypo-reactivity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Covering ears, distress at textures/sounds/light, or reduced reaction to pain and temperature.</w:t>
            </w:r>
          </w:p>
        </w:tc>
      </w:tr>
      <w:tr>
        <w:trPr>
          <w:cantSplit/>
        </w:trPr>
        <w:tc>
          <w:tcPr>
            <w:tcW w:type="dxa" w:w="2304"/>
            <w:vAlign w:val="top"/>
          </w:tcPr>
          <w:p>
            <w:pPr>
              <w:spacing w:after="40" w:before="0" w:line="259" w:lineRule="auto"/>
            </w:pPr>
            <w:r>
              <w:rPr>
                <w:rFonts w:ascii="Calibri" w:hAnsi="Calibri"/>
                <w:b/>
                <w:i w:val="0"/>
                <w:color w:val="212121"/>
                <w:sz w:val="19"/>
              </w:rPr>
              <w:t>Echolalia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Repeating words or phrases over and over, immediately or delayed.</w:t>
            </w:r>
          </w:p>
        </w:tc>
      </w:tr>
      <w:tr>
        <w:trPr>
          <w:cantSplit/>
        </w:trPr>
        <w:tc>
          <w:tcPr>
            <w:tcW w:type="dxa" w:w="2304"/>
            <w:vAlign w:val="top"/>
          </w:tcPr>
          <w:p>
            <w:pPr>
              <w:spacing w:after="40" w:before="0" w:line="259" w:lineRule="auto"/>
            </w:pPr>
            <w:r>
              <w:rPr>
                <w:rFonts w:ascii="Calibri" w:hAnsi="Calibri"/>
                <w:b/>
                <w:i w:val="0"/>
                <w:color w:val="212121"/>
                <w:sz w:val="19"/>
              </w:rPr>
              <w:t>Difficulty with pretend play &amp; peer friendships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Limited imaginative play and trouble making or keeping friends of the same age.</w:t>
            </w:r>
          </w:p>
        </w:tc>
      </w:tr>
      <w:tr>
        <w:trPr>
          <w:cantSplit/>
        </w:trPr>
        <w:tc>
          <w:tcPr>
            <w:tcW w:type="dxa" w:w="2304"/>
            <w:vAlign w:val="top"/>
          </w:tcPr>
          <w:p>
            <w:pPr>
              <w:spacing w:after="40" w:before="0" w:line="259" w:lineRule="auto"/>
            </w:pPr>
            <w:r>
              <w:rPr>
                <w:rFonts w:ascii="Calibri" w:hAnsi="Calibri"/>
                <w:b/>
                <w:i w:val="0"/>
                <w:color w:val="212121"/>
                <w:sz w:val="19"/>
              </w:rPr>
              <w:t>Food selectivity / restricted eating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Eating only a few foods or refusing certain textures, risking nutritional deficiency.</w:t>
            </w:r>
          </w:p>
        </w:tc>
      </w:tr>
      <w:tr>
        <w:trPr>
          <w:cantSplit/>
        </w:trPr>
        <w:tc>
          <w:tcPr>
            <w:tcW w:type="dxa" w:w="2304"/>
            <w:vAlign w:val="top"/>
          </w:tcPr>
          <w:p>
            <w:pPr>
              <w:spacing w:after="40" w:before="0" w:line="259" w:lineRule="auto"/>
            </w:pPr>
            <w:r>
              <w:rPr>
                <w:rFonts w:ascii="Calibri" w:hAnsi="Calibri"/>
                <w:b/>
                <w:i w:val="0"/>
                <w:color w:val="212121"/>
                <w:sz w:val="19"/>
              </w:rPr>
              <w:t>Sleep disturbance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settling, prolonged sleep-onset and frequent night waking affect 50–80% of children.</w:t>
            </w:r>
          </w:p>
        </w:tc>
      </w:tr>
      <w:tr>
        <w:trPr>
          <w:cantSplit/>
        </w:trPr>
        <w:tc>
          <w:tcPr>
            <w:tcW w:type="dxa" w:w="2304"/>
            <w:vAlign w:val="top"/>
          </w:tcPr>
          <w:p>
            <w:pPr>
              <w:spacing w:after="40" w:before="0" w:line="259" w:lineRule="auto"/>
            </w:pPr>
            <w:r>
              <w:rPr>
                <w:rFonts w:ascii="Calibri" w:hAnsi="Calibri"/>
                <w:b/>
                <w:i w:val="0"/>
                <w:color w:val="212121"/>
                <w:sz w:val="19"/>
              </w:rPr>
              <w:t>Meltdowns, aggression or self-injury when overwhelmed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Behavioural escalation triggered by sensory overload, frustration or change in routine.</w:t>
            </w:r>
          </w:p>
        </w:tc>
      </w:tr>
      <w:tr>
        <w:trPr>
          <w:cantSplit/>
        </w:trPr>
        <w:tc>
          <w:tcPr>
            <w:tcW w:type="dxa" w:w="2304"/>
            <w:vAlign w:val="top"/>
          </w:tcPr>
          <w:p>
            <w:pPr>
              <w:spacing w:after="40" w:before="0" w:line="259" w:lineRule="auto"/>
            </w:pPr>
            <w:r>
              <w:rPr>
                <w:rFonts w:ascii="Calibri" w:hAnsi="Calibri"/>
                <w:b/>
                <w:i w:val="0"/>
                <w:color w:val="212121"/>
                <w:sz w:val="19"/>
              </w:rPr>
              <w:t>Toe-walking / atypical gait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Motor differences including persistent toe-walking and clumsiness.</w:t>
            </w:r>
          </w:p>
        </w:tc>
      </w:tr>
      <w:tr>
        <w:trPr>
          <w:cantSplit/>
        </w:trPr>
        <w:tc>
          <w:tcPr>
            <w:tcW w:type="dxa" w:w="2304"/>
            <w:vAlign w:val="top"/>
          </w:tcPr>
          <w:p>
            <w:pPr>
              <w:spacing w:after="40" w:before="0" w:line="259" w:lineRule="auto"/>
            </w:pPr>
            <w:r>
              <w:rPr>
                <w:rFonts w:ascii="Calibri" w:hAnsi="Calibri"/>
                <w:b/>
                <w:i w:val="0"/>
                <w:color w:val="212121"/>
                <w:sz w:val="19"/>
              </w:rPr>
              <w:t>Exceptional isolated (savant) skills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Occasional outstanding ability in memory, calculation, music or drawing amid broader difficulties.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Absent response to name &amp; poor eye contact on exam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Observable during consultation; key early social-communication sign.</w:t>
            </w:r>
          </w:p>
        </w:tc>
      </w:tr>
      <w:tr>
        <w:trPr>
          <w:cantSplit/>
        </w:trPr>
        <w:tc>
          <w:tcPr>
            <w:tcW w:type="dxa" w:w="3456"/>
            <w:vAlign w:val="top"/>
          </w:tcPr>
          <w:p>
            <w:pPr>
              <w:spacing w:after="40" w:before="0" w:line="259" w:lineRule="auto"/>
            </w:pPr>
            <w:r>
              <w:rPr>
                <w:rFonts w:ascii="Calibri" w:hAnsi="Calibri"/>
                <w:b/>
                <w:i w:val="0"/>
                <w:color w:val="212121"/>
                <w:sz w:val="19"/>
              </w:rPr>
              <w:t>Lack of joint attention (no pointing / gaze-following)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Does not point to show interest or follow the examiner’s point or gaze.</w:t>
            </w:r>
          </w:p>
        </w:tc>
      </w:tr>
      <w:tr>
        <w:trPr>
          <w:cantSplit/>
        </w:trPr>
        <w:tc>
          <w:tcPr>
            <w:tcW w:type="dxa" w:w="3456"/>
            <w:vAlign w:val="top"/>
          </w:tcPr>
          <w:p>
            <w:pPr>
              <w:spacing w:after="40" w:before="0" w:line="259" w:lineRule="auto"/>
            </w:pPr>
            <w:r>
              <w:rPr>
                <w:rFonts w:ascii="Calibri" w:hAnsi="Calibri"/>
                <w:b/>
                <w:i w:val="0"/>
                <w:color w:val="212121"/>
                <w:sz w:val="19"/>
              </w:rPr>
              <w:t>Stereotyped motor mannerisms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Hand-flapping, rocking or finger movements seen during observation.</w:t>
            </w:r>
          </w:p>
        </w:tc>
      </w:tr>
      <w:tr>
        <w:trPr>
          <w:cantSplit/>
        </w:trPr>
        <w:tc>
          <w:tcPr>
            <w:tcW w:type="dxa" w:w="3456"/>
            <w:vAlign w:val="top"/>
          </w:tcPr>
          <w:p>
            <w:pPr>
              <w:spacing w:after="40" w:before="0" w:line="259" w:lineRule="auto"/>
            </w:pPr>
            <w:r>
              <w:rPr>
                <w:rFonts w:ascii="Calibri" w:hAnsi="Calibri"/>
                <w:b/>
                <w:i w:val="0"/>
                <w:color w:val="212121"/>
                <w:sz w:val="19"/>
              </w:rPr>
              <w:t>Echolalia &amp; atypical prosody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Repetition of examiner’s words; monotone or singsong speech rhythm.</w:t>
            </w:r>
          </w:p>
        </w:tc>
      </w:tr>
      <w:tr>
        <w:trPr>
          <w:cantSplit/>
        </w:trPr>
        <w:tc>
          <w:tcPr>
            <w:tcW w:type="dxa" w:w="3456"/>
            <w:vAlign w:val="top"/>
          </w:tcPr>
          <w:p>
            <w:pPr>
              <w:spacing w:after="40" w:before="0" w:line="259" w:lineRule="auto"/>
            </w:pPr>
            <w:r>
              <w:rPr>
                <w:rFonts w:ascii="Calibri" w:hAnsi="Calibri"/>
                <w:b/>
                <w:i w:val="0"/>
                <w:color w:val="212121"/>
                <w:sz w:val="19"/>
              </w:rPr>
              <w:t>Reduced facial expression &amp; social smile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Limited range of shared facial affect and reduced social referencing.</w:t>
            </w:r>
          </w:p>
        </w:tc>
      </w:tr>
      <w:tr>
        <w:trPr>
          <w:cantSplit/>
        </w:trPr>
        <w:tc>
          <w:tcPr>
            <w:tcW w:type="dxa" w:w="3456"/>
            <w:vAlign w:val="top"/>
          </w:tcPr>
          <w:p>
            <w:pPr>
              <w:spacing w:after="40" w:before="0" w:line="259" w:lineRule="auto"/>
            </w:pPr>
            <w:r>
              <w:rPr>
                <w:rFonts w:ascii="Calibri" w:hAnsi="Calibri"/>
                <w:b/>
                <w:i w:val="0"/>
                <w:color w:val="212121"/>
                <w:sz w:val="19"/>
              </w:rPr>
              <w:t>Toe-walking &amp; motor incoordination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Persistent toe-walking and clumsiness on gait/motor examination.</w:t>
            </w:r>
          </w:p>
        </w:tc>
      </w:tr>
      <w:tr>
        <w:trPr>
          <w:cantSplit/>
        </w:trPr>
        <w:tc>
          <w:tcPr>
            <w:tcW w:type="dxa" w:w="3456"/>
            <w:vAlign w:val="top"/>
          </w:tcPr>
          <w:p>
            <w:pPr>
              <w:spacing w:after="40" w:before="0" w:line="259" w:lineRule="auto"/>
            </w:pPr>
            <w:r>
              <w:rPr>
                <w:rFonts w:ascii="Calibri" w:hAnsi="Calibri"/>
                <w:b/>
                <w:i w:val="0"/>
                <w:color w:val="212121"/>
                <w:sz w:val="19"/>
              </w:rPr>
              <w:t>Macrocephaly / accelerated early head growth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Larger head circumference in a subset, reflecting early brain overgrowth.</w:t>
            </w:r>
          </w:p>
        </w:tc>
      </w:tr>
      <w:tr>
        <w:trPr>
          <w:cantSplit/>
        </w:trPr>
        <w:tc>
          <w:tcPr>
            <w:tcW w:type="dxa" w:w="3456"/>
            <w:vAlign w:val="top"/>
          </w:tcPr>
          <w:p>
            <w:pPr>
              <w:spacing w:after="40" w:before="0" w:line="259" w:lineRule="auto"/>
            </w:pPr>
            <w:r>
              <w:rPr>
                <w:rFonts w:ascii="Calibri" w:hAnsi="Calibri"/>
                <w:b/>
                <w:i w:val="0"/>
                <w:color w:val="212121"/>
                <w:sz w:val="19"/>
              </w:rPr>
              <w:t>Neurocutaneous stigmata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Hypopigmented (ash-leaf) macules of tuberous sclerosis or café-au-lait spots on skin exam.</w:t>
            </w:r>
          </w:p>
        </w:tc>
      </w:tr>
      <w:tr>
        <w:trPr>
          <w:cantSplit/>
        </w:trPr>
        <w:tc>
          <w:tcPr>
            <w:tcW w:type="dxa" w:w="3456"/>
            <w:vAlign w:val="top"/>
          </w:tcPr>
          <w:p>
            <w:pPr>
              <w:spacing w:after="40" w:before="0" w:line="259" w:lineRule="auto"/>
            </w:pPr>
            <w:r>
              <w:rPr>
                <w:rFonts w:ascii="Calibri" w:hAnsi="Calibri"/>
                <w:b/>
                <w:i w:val="0"/>
                <w:color w:val="212121"/>
                <w:sz w:val="19"/>
              </w:rPr>
              <w:t>Fragile X features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Long face, large protruding ears and post-pubertal macroorchidism suggest fragile X syndrome.</w:t>
            </w:r>
          </w:p>
        </w:tc>
      </w:tr>
      <w:tr>
        <w:trPr>
          <w:cantSplit/>
        </w:trPr>
        <w:tc>
          <w:tcPr>
            <w:tcW w:type="dxa" w:w="3456"/>
            <w:vAlign w:val="top"/>
          </w:tcPr>
          <w:p>
            <w:pPr>
              <w:spacing w:after="40" w:before="0" w:line="259" w:lineRule="auto"/>
            </w:pPr>
            <w:r>
              <w:rPr>
                <w:rFonts w:ascii="Calibri" w:hAnsi="Calibri"/>
                <w:b/>
                <w:i w:val="0"/>
                <w:color w:val="212121"/>
                <w:sz w:val="19"/>
              </w:rPr>
              <w:t>Self-injurious behaviour marks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Skin or scalp lesions from head-banging, biting or scratching during distress.</w:t>
            </w:r>
          </w:p>
        </w:tc>
      </w:tr>
      <w:tr>
        <w:trPr>
          <w:cantSplit/>
        </w:trPr>
        <w:tc>
          <w:tcPr>
            <w:tcW w:type="dxa" w:w="3456"/>
            <w:vAlign w:val="top"/>
          </w:tcPr>
          <w:p>
            <w:pPr>
              <w:spacing w:after="40" w:before="0" w:line="259" w:lineRule="auto"/>
            </w:pPr>
            <w:r>
              <w:rPr>
                <w:rFonts w:ascii="Calibri" w:hAnsi="Calibri"/>
                <w:b/>
                <w:i w:val="0"/>
                <w:color w:val="212121"/>
                <w:sz w:val="19"/>
              </w:rPr>
              <w:t>Documented developmental regression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Loss of language or social skills demonstrated on serial developmental assessment.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Communication impairment, including remaining minimally verbal (about 30%)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isolation and difficulty forming relationships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Behavioural meltdowns, aggression and self-injurious behaviour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Wandering/elopement with risk of injury or drowning</w:t>
            </w:r>
          </w:p>
        </w:tc>
        <w:tc>
          <w:tcPr>
            <w:tcW w:type="dxa" w:w="2980"/>
            <w:vAlign w:val="top"/>
          </w:tcPr>
          <w:p>
            <w:pPr>
              <w:spacing w:after="40" w:before="0" w:line="259" w:lineRule="auto"/>
            </w:pPr>
            <w:r>
              <w:rPr>
                <w:rFonts w:ascii="Calibri" w:hAnsi="Calibri"/>
                <w:b w:val="0"/>
                <w:i w:val="0"/>
                <w:color w:val="212121"/>
                <w:sz w:val="19"/>
              </w:rPr>
              <w:t>Direct consequences of the core social-communication and behavioural features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Intellectual disability and language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Epilepsy / seizure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ADHD, anxiety, depression and obsessive-compulsive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Gastrointestinal problems (chronic constipation) and feeding/nutritional deficiencies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Motor coordination difficulties and obesity</w:t>
            </w:r>
          </w:p>
        </w:tc>
        <w:tc>
          <w:tcPr>
            <w:tcW w:type="dxa" w:w="2980"/>
            <w:vAlign w:val="top"/>
          </w:tcPr>
          <w:p>
            <w:pPr>
              <w:spacing w:after="40" w:before="0" w:line="259" w:lineRule="auto"/>
            </w:pPr>
            <w:r>
              <w:rPr>
                <w:rFonts w:ascii="Calibri" w:hAnsi="Calibri"/>
                <w:b w:val="0"/>
                <w:i w:val="0"/>
                <w:color w:val="212121"/>
                <w:sz w:val="19"/>
              </w:rPr>
              <w:t>Co-occurring medical and psychiatric conditions that share biology with ASD or arise alongside it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Lifelong dependence and need for supported living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educational attainment and low employment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Substantial caregiver burden and family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vulnerability to bullying, abuse and exploitation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Mental-health crises and, in some, premature mortality (from epilepsy, accidents and drowning)</w:t>
            </w:r>
          </w:p>
        </w:tc>
        <w:tc>
          <w:tcPr>
            <w:tcW w:type="dxa" w:w="2980"/>
            <w:vAlign w:val="top"/>
          </w:tcPr>
          <w:p>
            <w:pPr>
              <w:spacing w:after="40" w:before="0" w:line="259" w:lineRule="auto"/>
            </w:pPr>
            <w:r>
              <w:rPr>
                <w:rFonts w:ascii="Calibri" w:hAnsi="Calibri"/>
                <w:b w:val="0"/>
                <w:i w:val="0"/>
                <w:color w:val="212121"/>
                <w:sz w:val="19"/>
              </w:rPr>
              <w:t>Long-term functional, social and mortality outcomes of longstanding ASD and its comorbidities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Intellectual disability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Co-occurs through shared neurodevelopmental pathways; markedly increases adaptive impairment, support needs and complexity of assessment.</w:t>
            </w:r>
          </w:p>
          <w:p>
            <w:pPr>
              <w:spacing w:after="40" w:before="0" w:line="259" w:lineRule="auto"/>
            </w:pPr>
            <w:r>
              <w:rPr>
                <w:rFonts w:ascii="Calibri" w:hAnsi="Calibri"/>
                <w:b/>
                <w:i w:val="0"/>
                <w:color w:val="212121"/>
                <w:sz w:val="19"/>
              </w:rPr>
              <w:t>~40% (US); ~30% overall</w:t>
            </w:r>
          </w:p>
        </w:tc>
      </w:tr>
      <w:tr>
        <w:trPr>
          <w:cantSplit/>
        </w:trPr>
        <w:tc>
          <w:tcPr>
            <w:tcW w:type="dxa" w:w="2232"/>
            <w:vAlign w:val="top"/>
          </w:tcPr>
          <w:p>
            <w:pPr>
              <w:spacing w:after="40" w:before="0" w:line="259" w:lineRule="auto"/>
            </w:pPr>
            <w:r>
              <w:rPr>
                <w:rFonts w:ascii="Calibri" w:hAnsi="Calibri"/>
                <w:b/>
                <w:i w:val="0"/>
                <w:color w:val="212121"/>
                <w:sz w:val="19"/>
              </w:rPr>
              <w:t>Epilepsy / seizure disorders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neurodevelopmental mechanisms and is far more frequent than in the general population; seizures further impair cognition and behaviour and complicate drug choice.</w:t>
            </w:r>
          </w:p>
          <w:p>
            <w:pPr>
              <w:spacing w:after="40" w:before="0" w:line="259" w:lineRule="auto"/>
            </w:pPr>
            <w:r>
              <w:rPr>
                <w:rFonts w:ascii="Calibri" w:hAnsi="Calibri"/>
                <w:b/>
                <w:i w:val="0"/>
                <w:color w:val="212121"/>
                <w:sz w:val="19"/>
              </w:rPr>
              <w:t>Up to 30%</w:t>
            </w:r>
          </w:p>
        </w:tc>
      </w:tr>
      <w:tr>
        <w:trPr>
          <w:cantSplit/>
        </w:trPr>
        <w:tc>
          <w:tcPr>
            <w:tcW w:type="dxa" w:w="2232"/>
            <w:vAlign w:val="top"/>
          </w:tcPr>
          <w:p>
            <w:pPr>
              <w:spacing w:after="40" w:before="0" w:line="259" w:lineRule="auto"/>
            </w:pPr>
            <w:r>
              <w:rPr>
                <w:rFonts w:ascii="Calibri" w:hAnsi="Calibri"/>
                <w:b/>
                <w:i w:val="0"/>
                <w:color w:val="212121"/>
                <w:sz w:val="19"/>
              </w:rPr>
              <w:t>Attention-deficit/hyperactivity disorder (ADHD)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Very commonly co-occurs; overlapping genetics and executive-function deficits; stimulant response and tolerability differ in ASD.</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Among the most frequent co-occurring conditions; often the presenting complaint and a major driver of distress and school refusal.</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Rises with age, especially in able and late-diagnosed individuals; contributes to suicide risk and needs adapted screening.</w:t>
            </w:r>
          </w:p>
        </w:tc>
      </w:tr>
      <w:tr>
        <w:trPr>
          <w:cantSplit/>
        </w:trPr>
        <w:tc>
          <w:tcPr>
            <w:tcW w:type="dxa" w:w="2232"/>
            <w:vAlign w:val="top"/>
          </w:tcPr>
          <w:p>
            <w:pPr>
              <w:spacing w:after="40" w:before="0" w:line="259" w:lineRule="auto"/>
            </w:pPr>
            <w:r>
              <w:rPr>
                <w:rFonts w:ascii="Calibri" w:hAnsi="Calibri"/>
                <w:b/>
                <w:i w:val="0"/>
                <w:color w:val="212121"/>
                <w:sz w:val="19"/>
              </w:rPr>
              <w:t>Obsessive-compulsive disorder (OCD)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Repetitive, ritualistic features overlap with core restricted/repetitive behaviours, complicating differentiation and treatment.</w:t>
            </w:r>
          </w:p>
        </w:tc>
      </w:tr>
      <w:tr>
        <w:trPr>
          <w:cantSplit/>
        </w:trPr>
        <w:tc>
          <w:tcPr>
            <w:tcW w:type="dxa" w:w="2232"/>
            <w:vAlign w:val="top"/>
          </w:tcPr>
          <w:p>
            <w:pPr>
              <w:spacing w:after="40" w:before="0" w:line="259" w:lineRule="auto"/>
            </w:pPr>
            <w:r>
              <w:rPr>
                <w:rFonts w:ascii="Calibri" w:hAnsi="Calibri"/>
                <w:b/>
                <w:i w:val="0"/>
                <w:color w:val="212121"/>
                <w:sz w:val="19"/>
              </w:rPr>
              <w:t>Sleep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Insomnia and fragmented sleep worsen daytime irritability and core symptoms; treating sleep improves overall function.</w:t>
            </w:r>
          </w:p>
          <w:p>
            <w:pPr>
              <w:spacing w:after="40" w:before="0" w:line="259" w:lineRule="auto"/>
            </w:pPr>
            <w:r>
              <w:rPr>
                <w:rFonts w:ascii="Calibri" w:hAnsi="Calibri"/>
                <w:b/>
                <w:i w:val="0"/>
                <w:color w:val="212121"/>
                <w:sz w:val="19"/>
              </w:rPr>
              <w:t>50–80%</w:t>
            </w:r>
          </w:p>
        </w:tc>
      </w:tr>
      <w:tr>
        <w:trPr>
          <w:cantSplit/>
        </w:trPr>
        <w:tc>
          <w:tcPr>
            <w:tcW w:type="dxa" w:w="2232"/>
            <w:vAlign w:val="top"/>
          </w:tcPr>
          <w:p>
            <w:pPr>
              <w:spacing w:after="40" w:before="0" w:line="259" w:lineRule="auto"/>
            </w:pPr>
            <w:r>
              <w:rPr>
                <w:rFonts w:ascii="Calibri" w:hAnsi="Calibri"/>
                <w:b/>
                <w:i w:val="0"/>
                <w:color w:val="212121"/>
                <w:sz w:val="19"/>
              </w:rPr>
              <w:t>Gastrointestinal disorders (constipation)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linked to food selectivity and low activity; untreated GI pain can present as behavioural worsening.</w:t>
            </w:r>
          </w:p>
          <w:p>
            <w:pPr>
              <w:spacing w:after="40" w:before="0" w:line="259" w:lineRule="auto"/>
            </w:pPr>
            <w:r>
              <w:rPr>
                <w:rFonts w:ascii="Calibri" w:hAnsi="Calibri"/>
                <w:b/>
                <w:i w:val="0"/>
                <w:color w:val="212121"/>
                <w:sz w:val="19"/>
              </w:rPr>
              <w:t>Up to 70%</w:t>
            </w:r>
          </w:p>
        </w:tc>
      </w:tr>
      <w:tr>
        <w:trPr>
          <w:cantSplit/>
        </w:trPr>
        <w:tc>
          <w:tcPr>
            <w:tcW w:type="dxa" w:w="2232"/>
            <w:vAlign w:val="top"/>
          </w:tcPr>
          <w:p>
            <w:pPr>
              <w:spacing w:after="40" w:before="0" w:line="259" w:lineRule="auto"/>
            </w:pPr>
            <w:r>
              <w:rPr>
                <w:rFonts w:ascii="Calibri" w:hAnsi="Calibri"/>
                <w:b/>
                <w:i w:val="0"/>
                <w:color w:val="212121"/>
                <w:sz w:val="19"/>
              </w:rPr>
              <w:t>Fragile X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most common inherited single-gene condition associated with autism; its presence explains the phenotype and mandates cascade family testing.</w:t>
            </w:r>
          </w:p>
        </w:tc>
      </w:tr>
      <w:tr>
        <w:trPr>
          <w:cantSplit/>
        </w:trPr>
        <w:tc>
          <w:tcPr>
            <w:tcW w:type="dxa" w:w="2232"/>
            <w:vAlign w:val="top"/>
          </w:tcPr>
          <w:p>
            <w:pPr>
              <w:spacing w:after="40" w:before="0" w:line="259" w:lineRule="auto"/>
            </w:pPr>
            <w:r>
              <w:rPr>
                <w:rFonts w:ascii="Calibri" w:hAnsi="Calibri"/>
                <w:b/>
                <w:i w:val="0"/>
                <w:color w:val="212121"/>
                <w:sz w:val="19"/>
              </w:rPr>
              <w:t>Tuberous sclerosis complex</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Neurocutaneous disorder with a high rate of co-occurring autism and epilepsy; alters surveillance, imaging and treatment.</w:t>
            </w:r>
          </w:p>
        </w:tc>
      </w:tr>
      <w:tr>
        <w:trPr>
          <w:cantSplit/>
        </w:trPr>
        <w:tc>
          <w:tcPr>
            <w:tcW w:type="dxa" w:w="2232"/>
            <w:vAlign w:val="top"/>
          </w:tcPr>
          <w:p>
            <w:pPr>
              <w:spacing w:after="40" w:before="0" w:line="259" w:lineRule="auto"/>
            </w:pPr>
            <w:r>
              <w:rPr>
                <w:rFonts w:ascii="Calibri" w:hAnsi="Calibri"/>
                <w:b/>
                <w:i w:val="0"/>
                <w:color w:val="212121"/>
                <w:sz w:val="19"/>
              </w:rPr>
              <w:t>Feeding problems &amp; nutritional deficiency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Extreme food selectivity leads to iron, vitamin D and calcium deficiency and constipation, requiring feeding therapy and monitoring.</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Driven by inactivity, restricted diets and some psychotropic medications; adds cardiometabolic risk across the lifespan.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developmental monitoring at every well-child visit and standardised autism screening (M-CHAT-R/F) at 18 and 24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early red flags: no babbling or pointing by 12 months, no single words by 16 months, no two-word phrases by 24 months, and any loss of language or social skills at any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promptly for formal assessment on any positive screen or parental concern — do not “wait and watch.”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antenatal care and periconceptional nutrition (including folic acid) and avoid valproate in pregnancy where safer alternatives exist.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genetic counselling and close developmental surveillance to families who already have an autistic child.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Counter stigma and myths (autism is not caused by vaccines or parenting) and connect families to early-intervention services.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expectant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Siblings of autistic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Primary-care &amp; paediatric teams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at least 60 minutes/day of enjoyable activity (swimming, cycling, trampoline, structured play) to reduce stereotypy, anxiety and irritability.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occupational and sensory-motor therapy to build coordination and address motor difficulties.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recreational screen time to support better sleep and behaviour.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Incorporate movement breaks and predictable routines into the school day.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Autistic children &amp;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obesity or low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motor difficulties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food selectivity with graded exposure and feeding therapy rather than force.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and correct iron, vitamin D and calcium status in restrictive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constipation with adequate fluid, fibre and, where needed, medical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unproven elimination diets (e.g., routine gluten-free/casein-free) unless there is a specific medical indication, and involve a dietitian.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food selectivity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Autistic children with GI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using restrictive diets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 a consistent bedtime routine and calming, low-arousal sleep environment.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Remove screens well before bedtime and manage evening stimulation.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treat contributors such as pain, constipation, anxiety and iron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melatonin only under medical guidance when behavioural measures are insufficient.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Autistic children with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reporting night waking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daytime irritability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active and passive tobacco exposure during pregnancy and in the home.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maternal smoking cessation as part of routine antenatal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overall prenatal toxicant exposure to protect fetal neurodevelopment.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Expectant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planning pregnancy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complete avoidance of alcohol throughout pregnancy to prevent fetal alcohol spectrum disorder and overlapping neurodevelopmental harm.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and counsel for alcohol use in antenatal visits.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and treat co-occurring anxiety, depression, ADHD and OCD, using tools adapted for ASD.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evidence-based interventions: early intensive behavioural / naturalistic developmental behavioural interventions, speech-language therapy, occupational therapy and social-skills 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parent-mediated intervention and caregiver support to reduce family stress and build daily-living skills.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CBT adapted for verbally able individuals for anxiety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Reserve pharmacotherapy (e.g., risperidone or aripiprazole for severe irritability/aggression; stimulants for ADHD) for specific targets, monitoring metabolic effects — no medication treats the core social-communication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structured transitions to adolescent and adult services, including vocational and independent-living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Autistic children, adolescents &amp;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Individuals with psychiatric comorbidity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&amp; families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autism/about/index.html" TargetMode="External"/><Relationship Id="rId10" Type="http://schemas.openxmlformats.org/officeDocument/2006/relationships/hyperlink" Target="https://www.who.int/news-room/fact-sheets/detail/autism-spectrum-disorders" TargetMode="External"/><Relationship Id="rId11" Type="http://schemas.openxmlformats.org/officeDocument/2006/relationships/hyperlink" Target="https://www.cdc.gov/mmwr/volumes/74/ss/ss7402a1.htm" TargetMode="External"/><Relationship Id="rId12" Type="http://schemas.openxmlformats.org/officeDocument/2006/relationships/hyperlink" Target="https://www.mayoclinic.org/diseases-conditions/autism-spectrum-disorder/symptoms-causes/syc-20352928" TargetMode="External"/><Relationship Id="rId13" Type="http://schemas.openxmlformats.org/officeDocument/2006/relationships/hyperlink" Target="https://journals.plos.org/plosmedicine/article?id=10.1371/journal.pmed.1002615" TargetMode="External"/><Relationship Id="rId14" Type="http://schemas.openxmlformats.org/officeDocument/2006/relationships/hyperlink" Target="https://www.ncbi.nlm.nih.gov/books/NBK525976/" TargetMode="External"/><Relationship Id="rId15" Type="http://schemas.openxmlformats.org/officeDocument/2006/relationships/hyperlink" Target="https://my.clevelandclinic.org/health/diseases/8855-autism" TargetMode="External"/><Relationship Id="rId16" Type="http://schemas.openxmlformats.org/officeDocument/2006/relationships/hyperlink" Target="https://medlineplus.gov/autismspectrumdisord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