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Adjustment Disorder</w:t>
      </w:r>
    </w:p>
    <w:p>
      <w:pPr>
        <w:spacing w:before="0" w:after="160"/>
      </w:pPr>
      <w:r>
        <w:rPr>
          <w:rFonts w:ascii="Calibri" w:hAnsi="Calibri"/>
          <w:b/>
          <w:i w:val="0"/>
          <w:color w:val="212121"/>
          <w:sz w:val="22"/>
        </w:rPr>
        <w:t xml:space="preserve">AKA </w:t>
      </w:r>
      <w:r>
        <w:rPr>
          <w:rFonts w:ascii="Calibri" w:hAnsi="Calibri"/>
          <w:b w:val="0"/>
          <w:i w:val="0"/>
          <w:color w:val="212121"/>
          <w:sz w:val="22"/>
        </w:rPr>
        <w:t>i.e., Situational depression, Stress response syndrome, Reactive adjustment reaction to stress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Adjustment disorder is a maladaptive emotional and/or behavioural response to one or more identifiable psychosocial stressors (for example relationship breakdown, bereavement, job or financial difficulty, illness diagnosis, academic or occupational pressure, or migration). Symptoms most often low mood, anxiety, preoccupation with the stressor and difficulty coping emerge within 1 to 3 months of the stressor, are out of proportion to the event or impair social, occupational or academic functioning, and typically resolve within 6 months once the stressor and its consequences have ended. It is distinguished from a normal stress reaction by the degree of distress or functional impairment, and from major depressive or anxiety disorders and PTSD by not meeting their full criteria.</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Adjustment disorder is one of the most frequently diagnosed conditions in psychiatric and consultation-liaison practice, yet it is under-recognised in the community. General-population prevalence is estimated at around 2 percent, rising steeply in stressed groups. A 2023 nationwide Indian survey of first-year MBBS students found adjustment disorder in about 67 percent of respondents (77 percent of women versus 57 percent of men), reflecting the intense academic transition and competitive pressures faced by young Indians. In hospital settings it can be the single most common psychiatric diagnosis (up to roughly 50 percent of consultation-liaison referrals), and about 5 to 20 percent of people in outpatient mental-health care receive it as a principal diagnosis.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Adjustment disorder is a clinical diagnosis based on the temporal link between an identifiable stressor and disproportionate or impairing symptoms, after excluding other mental disorders. Common criteria (DSM-5-TR and ICD-11) include: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development of emotional or behavioural symptoms in response to an identifiable stressor, with onset within 3 months of the stressor (DSM-5-TR) or within 1 month (ICD-11);</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marked distress that is out of proportion to the severity or intensity of the stressor, and/or significant impairment in social, occupational, academic or other important areas of functioning;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 ICD-11, preoccupation with the stressor or its consequences (persistent rumination, excessive worry or recurrent distressing thoughts) together with failure to adapt is the core feature;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disturbance does not meet the criteria for another mental disorder (e.g., major depressive disorder, an anxiety disorder or PTSD) and is not merely an exacerbation of a pre-existing disorder;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symptoms do not represent normal bereavement and are not better explained by another condition;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once the stressor or its consequences have ended, the symptoms do not persist for more than an additional 6 months.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DSM-5-TR specifies adjustment disorder with a subtype qualifier according to the predominant symptom picture, whereas ICD-11 treats it as a single (unidimensional) category defined by preoccupation and failure to adapt:</w:t>
      </w:r>
    </w:p>
    <w:p>
      <w:pPr>
        <w:spacing w:before="0" w:after="80"/>
      </w:pPr>
      <w:r>
        <w:rPr>
          <w:rFonts w:ascii="Calibri" w:hAnsi="Calibri"/>
          <w:b w:val="0"/>
          <w:i w:val="0"/>
          <w:color w:val="212121"/>
          <w:sz w:val="21"/>
        </w:rPr>
        <w:t>(1) With depressed mood, in which low mood, tearfulness and feelings of hopelessness predominate;</w:t>
      </w:r>
    </w:p>
    <w:p>
      <w:pPr>
        <w:spacing w:before="0" w:after="80"/>
      </w:pPr>
      <w:r>
        <w:rPr>
          <w:rFonts w:ascii="Calibri" w:hAnsi="Calibri"/>
          <w:b w:val="0"/>
          <w:i w:val="0"/>
          <w:color w:val="212121"/>
          <w:sz w:val="21"/>
        </w:rPr>
        <w:t>(2) With anxiety, in which nervousness, worry, restlessness or (in children) separation anxiety predominate;</w:t>
      </w:r>
    </w:p>
    <w:p>
      <w:pPr>
        <w:spacing w:before="0" w:after="80"/>
      </w:pPr>
      <w:r>
        <w:rPr>
          <w:rFonts w:ascii="Calibri" w:hAnsi="Calibri"/>
          <w:b w:val="0"/>
          <w:i w:val="0"/>
          <w:color w:val="212121"/>
          <w:sz w:val="21"/>
        </w:rPr>
        <w:t>(3) With mixed anxiety and depressed mood, combining depressive and anxious features;</w:t>
      </w:r>
    </w:p>
    <w:p>
      <w:pPr>
        <w:spacing w:before="0" w:after="80"/>
      </w:pPr>
      <w:r>
        <w:rPr>
          <w:rFonts w:ascii="Calibri" w:hAnsi="Calibri"/>
          <w:b w:val="0"/>
          <w:i w:val="0"/>
          <w:color w:val="212121"/>
          <w:sz w:val="21"/>
        </w:rPr>
        <w:t>(4) With disturbance of conduct, featuring behavioural problems such as reckless, aggressive or rule-violating behaviour, more typical of adolescents;</w:t>
      </w:r>
    </w:p>
    <w:p>
      <w:pPr>
        <w:spacing w:before="0" w:after="80"/>
      </w:pPr>
      <w:r>
        <w:rPr>
          <w:rFonts w:ascii="Calibri" w:hAnsi="Calibri"/>
          <w:b w:val="0"/>
          <w:i w:val="0"/>
          <w:color w:val="212121"/>
          <w:sz w:val="21"/>
        </w:rPr>
        <w:t>(5) With mixed disturbance of emotions and conduct, in which both emotional (depressive/anxious) symptoms and conduct disturbance are present; and</w:t>
      </w:r>
    </w:p>
    <w:p>
      <w:pPr>
        <w:spacing w:before="0" w:after="80"/>
      </w:pPr>
      <w:r>
        <w:rPr>
          <w:rFonts w:ascii="Calibri" w:hAnsi="Calibri"/>
          <w:b w:val="0"/>
          <w:i w:val="0"/>
          <w:color w:val="212121"/>
          <w:sz w:val="21"/>
        </w:rPr>
        <w:t>(6) Unspecified, comprising maladaptive reactions (e.g., somatic complaints, social withdrawal, academic or work inhibition) not classifiable above. Course specifiers distinguish acute (symptoms lasting under 6 months) from persistent or chronic (6 months or more, usually with an ongoing stressor). ICD-11 abandons the subtypes because the symptom clusters overlap heavily (inter-correlations of roughly 0.75 to 0.96) and instead defines a single disorder centred on preoccupation with the stressor and failure to adapt, with symptoms usually resolving within 6 months of stressor resolution.</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Identifiable psychosocial stressor: The defining cause is one or more stressors (loss, conflict, illness, financial or academic/occupational strain, migration) whose nature, number and chronicity shape severity.</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Individual vulnerability and temperament: Traits such as neuroticism, low resilience and immature or avoidant coping styles lower the threshold at which a stressor produces a maladaptive response.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Prior mental illness and genetic predisposition: A personal or family history of mood, anxiety or substance disorders increases susceptibility.</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Deficient coping resources and social support: Weak support networks, isolation and limited problem-solving skills impair adaptation to the stressor.</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Developmental and life-stage factors: Adolescents and young adults (identity, exams, separation) and the elderly (retirement, bereavement, declining health) face stage-specific stressor clusters.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Cumulative and chronic stress: Ongoing or repeated stressors, and stressors affecting core life domains, raise the likelihood and persistence of the disorder.</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Working-age adults (25-45 yrs)</w:t>
            </w:r>
          </w:p>
        </w:tc>
        <w:tc>
          <w:tcPr>
            <w:tcW w:type="dxa" w:w="4276"/>
            <w:vAlign w:val="top"/>
          </w:tcPr>
          <w:p>
            <w:pPr>
              <w:spacing w:after="60" w:line="259" w:lineRule="auto"/>
            </w:pPr>
            <w:r>
              <w:rPr>
                <w:rFonts w:ascii="Calibri" w:hAnsi="Calibri"/>
                <w:b w:val="0"/>
                <w:i w:val="0"/>
                <w:color w:val="212121"/>
                <w:sz w:val="19"/>
              </w:rPr>
              <w:t>Working-age adults face the highest density of potential stressors, including job strain, financial pressure, marital and parenting demands, and caregiving, any of which can outstrip coping capacity and precipitate a maladaptive reaction.</w:t>
            </w:r>
          </w:p>
          <w:p>
            <w:pPr>
              <w:spacing w:after="40" w:before="60" w:line="259" w:lineRule="auto"/>
            </w:pPr>
            <w:r>
              <w:rPr>
                <w:rFonts w:ascii="Calibri" w:hAnsi="Calibri"/>
                <w:b w:val="0"/>
                <w:i w:val="0"/>
                <w:color w:val="212121"/>
                <w:sz w:val="19"/>
              </w:rPr>
              <w:t>Adjustment disorder is the principal diagnosis in roughly 5 to 20 percent of adults in outpatient mental-health care.</w:t>
            </w:r>
          </w:p>
          <w:p>
            <w:pPr>
              <w:spacing w:after="40" w:line="252" w:lineRule="auto"/>
            </w:pPr>
            <w:hyperlink r:id="rId9">
              <w:r>
                <w:rPr>
                  <w:rFonts w:ascii="Calibri" w:hAnsi="Calibri" w:cs="Calibri"/>
                  <w:sz w:val="18"/>
                  <w:color w:val="1155CC"/>
                  <w:u w:val="single"/>
                </w:rPr>
                <w:t xml:space="preserve">emedicine.medscape.com - adjustment disorder epidemiology</w:t>
              </w:r>
            </w:hyperlink>
          </w:p>
          <w:p>
            <w:pPr>
              <w:spacing w:before="60" w:after="40"/>
            </w:pPr>
            <w:r>
              <w:rPr>
                <w:rFonts w:ascii="Calibri" w:hAnsi="Calibri"/>
                <w:b w:val="0"/>
                <w:i w:val="0"/>
                <w:color w:val="5A5A5A"/>
                <w:sz w:val="18"/>
              </w:rPr>
              <w:t>#lifestress  #worklife  #financialstress  #copingcapacity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Older adults contend with clustered late-life stressors, such as retirement, bereavement, declining health, loss of independence and social isolation, while physiological reserve and support networks shrink, raising vulnerability to a maladaptive adjustment.</w:t>
            </w:r>
          </w:p>
          <w:p>
            <w:pPr>
              <w:spacing w:after="40" w:before="60" w:line="259" w:lineRule="auto"/>
            </w:pPr>
            <w:r>
              <w:rPr>
                <w:rFonts w:ascii="Calibri" w:hAnsi="Calibri"/>
                <w:b w:val="0"/>
                <w:i w:val="0"/>
                <w:color w:val="212121"/>
                <w:sz w:val="19"/>
              </w:rPr>
              <w:t>Adjustment disorder is diagnosed in about 18 percent of bereaved individuals, a stressor concentrated in later life.</w:t>
            </w:r>
          </w:p>
          <w:p>
            <w:pPr>
              <w:spacing w:after="40" w:line="252" w:lineRule="auto"/>
            </w:pPr>
            <w:hyperlink r:id="rId10">
              <w:r>
                <w:rPr>
                  <w:rFonts w:ascii="Calibri" w:hAnsi="Calibri" w:cs="Calibri"/>
                  <w:sz w:val="18"/>
                  <w:color w:val="1155CC"/>
                  <w:u w:val="single"/>
                </w:rPr>
                <w:t xml:space="preserve">mdpi.com - adjustment disorder review</w:t>
              </w:r>
            </w:hyperlink>
          </w:p>
          <w:p>
            <w:pPr>
              <w:spacing w:before="60" w:after="40"/>
            </w:pPr>
            <w:r>
              <w:rPr>
                <w:rFonts w:ascii="Calibri" w:hAnsi="Calibri"/>
                <w:b w:val="0"/>
                <w:i w:val="0"/>
                <w:color w:val="5A5A5A"/>
                <w:sz w:val="18"/>
              </w:rPr>
              <w:t>#ageing  #bereavement  #retirement  #socialisolation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Adolescents &amp; young adults (students)</w:t>
            </w:r>
          </w:p>
        </w:tc>
        <w:tc>
          <w:tcPr>
            <w:tcW w:type="dxa" w:w="4276"/>
            <w:vAlign w:val="top"/>
          </w:tcPr>
          <w:p>
            <w:pPr>
              <w:spacing w:after="60" w:line="259" w:lineRule="auto"/>
            </w:pPr>
            <w:r>
              <w:rPr>
                <w:rFonts w:ascii="Calibri" w:hAnsi="Calibri"/>
                <w:b w:val="0"/>
                <w:i w:val="0"/>
                <w:color w:val="212121"/>
                <w:sz w:val="19"/>
              </w:rPr>
              <w:t>Adolescence and early adulthood combine identity formation, academic and competitive-exam pressure and separation from family; Indian professional-course entrants are especially exposed. Adjustment disorder in this group also carries a higher risk of progressing to a major psychiatric disorder.</w:t>
            </w:r>
          </w:p>
          <w:p>
            <w:pPr>
              <w:spacing w:after="40" w:before="60" w:line="259" w:lineRule="auto"/>
            </w:pPr>
            <w:r>
              <w:rPr>
                <w:rFonts w:ascii="Calibri" w:hAnsi="Calibri"/>
                <w:b w:val="0"/>
                <w:i w:val="0"/>
                <w:color w:val="212121"/>
                <w:sz w:val="19"/>
              </w:rPr>
              <w:t>A 2023 nationwide Indian survey found adjustment disorder in about 67 percent of first-year MBBS students, with the 21 to 25-year subgroup at higher risk (74 percent versus 63 percent).</w:t>
            </w:r>
          </w:p>
          <w:p>
            <w:pPr>
              <w:spacing w:after="40" w:line="252" w:lineRule="auto"/>
            </w:pPr>
            <w:hyperlink r:id="rId11">
              <w:r>
                <w:rPr>
                  <w:rFonts w:ascii="Calibri" w:hAnsi="Calibri" w:cs="Calibri"/>
                  <w:sz w:val="18"/>
                  <w:color w:val="1155CC"/>
                  <w:u w:val="single"/>
                </w:rPr>
                <w:t xml:space="preserve">pmc.ncbi.nlm.nih.gov/PMC10941775 - MBBS students, India</w:t>
              </w:r>
            </w:hyperlink>
          </w:p>
          <w:p>
            <w:pPr>
              <w:spacing w:before="60" w:after="40"/>
            </w:pPr>
            <w:r>
              <w:rPr>
                <w:rFonts w:ascii="Calibri" w:hAnsi="Calibri"/>
                <w:b w:val="0"/>
                <w:i w:val="0"/>
                <w:color w:val="5A5A5A"/>
                <w:sz w:val="18"/>
              </w:rPr>
              <w:t>#students  #academicpressure  #youngadults  #examstress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show higher rates of the emotional (depressive and anxious) subtypes, reflecting greater exposure to certain stressors, hormonal influences and differing help-seeking patterns.</w:t>
            </w:r>
          </w:p>
          <w:p>
            <w:pPr>
              <w:spacing w:after="40" w:before="60" w:line="259" w:lineRule="auto"/>
            </w:pPr>
            <w:r>
              <w:rPr>
                <w:rFonts w:ascii="Calibri" w:hAnsi="Calibri"/>
                <w:b w:val="0"/>
                <w:i w:val="0"/>
                <w:color w:val="212121"/>
                <w:sz w:val="19"/>
              </w:rPr>
              <w:t>Among Indian first-year MBBS students, 77 percent of women versus 57 percent of men had adjustment disorder (adjusted OR 2.8, 95% CI 1.7 to 4.7).</w:t>
            </w:r>
          </w:p>
          <w:p>
            <w:pPr>
              <w:spacing w:after="40" w:line="252" w:lineRule="auto"/>
            </w:pPr>
            <w:hyperlink r:id="rId11">
              <w:r>
                <w:rPr>
                  <w:rFonts w:ascii="Calibri" w:hAnsi="Calibri" w:cs="Calibri"/>
                  <w:sz w:val="18"/>
                  <w:color w:val="1155CC"/>
                  <w:u w:val="single"/>
                </w:rPr>
                <w:t xml:space="preserve">pmc.ncbi.nlm.nih.gov/PMC10941775 - MBBS students, India</w:t>
              </w:r>
            </w:hyperlink>
          </w:p>
          <w:p>
            <w:pPr>
              <w:spacing w:before="60" w:after="40"/>
            </w:pPr>
            <w:r>
              <w:rPr>
                <w:rFonts w:ascii="Calibri" w:hAnsi="Calibri"/>
                <w:b w:val="0"/>
                <w:i w:val="0"/>
                <w:color w:val="5A5A5A"/>
                <w:sz w:val="18"/>
              </w:rPr>
              <w:t>#women  #genderrisk  #emotionalsubtype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 income / financial strain</w:t>
            </w:r>
          </w:p>
        </w:tc>
        <w:tc>
          <w:tcPr>
            <w:tcW w:type="dxa" w:w="4276"/>
            <w:vAlign w:val="top"/>
          </w:tcPr>
          <w:p>
            <w:pPr>
              <w:spacing w:after="60" w:line="259" w:lineRule="auto"/>
            </w:pPr>
            <w:r>
              <w:rPr>
                <w:rFonts w:ascii="Calibri" w:hAnsi="Calibri"/>
                <w:b w:val="0"/>
                <w:i w:val="0"/>
                <w:color w:val="212121"/>
                <w:sz w:val="19"/>
              </w:rPr>
              <w:t>Financial insecurity is both a chronic stressor and a barrier to coping resources and care, markedly raising the odds of a maladaptive stress response.</w:t>
            </w:r>
          </w:p>
          <w:p>
            <w:pPr>
              <w:spacing w:after="40" w:before="60" w:line="259" w:lineRule="auto"/>
            </w:pPr>
            <w:r>
              <w:rPr>
                <w:rFonts w:ascii="Calibri" w:hAnsi="Calibri"/>
                <w:b w:val="0"/>
                <w:i w:val="0"/>
                <w:color w:val="212121"/>
                <w:sz w:val="19"/>
              </w:rPr>
              <w:t>Financial problems were among the strongest predictors of adjustment disorder in Indian students (adjusted OR 8.2, 95% CI 3.5 to 19.4).</w:t>
            </w:r>
          </w:p>
          <w:p>
            <w:pPr>
              <w:spacing w:after="40" w:line="252" w:lineRule="auto"/>
            </w:pPr>
            <w:hyperlink r:id="rId11">
              <w:r>
                <w:rPr>
                  <w:rFonts w:ascii="Calibri" w:hAnsi="Calibri" w:cs="Calibri"/>
                  <w:sz w:val="18"/>
                  <w:color w:val="1155CC"/>
                  <w:u w:val="single"/>
                </w:rPr>
                <w:t xml:space="preserve">pmc.ncbi.nlm.nih.gov/PMC10941775</w:t>
              </w:r>
            </w:hyperlink>
          </w:p>
          <w:p>
            <w:pPr>
              <w:spacing w:before="60" w:after="40"/>
            </w:pPr>
            <w:r>
              <w:rPr>
                <w:rFonts w:ascii="Calibri" w:hAnsi="Calibri"/>
                <w:b w:val="0"/>
                <w:i w:val="0"/>
                <w:color w:val="5A5A5A"/>
                <w:sz w:val="18"/>
              </w:rPr>
              <w:t>#financialstress  #poverty  #socialdeterminants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Urban Indian students &amp; migrants</w:t>
            </w:r>
          </w:p>
        </w:tc>
        <w:tc>
          <w:tcPr>
            <w:tcW w:type="dxa" w:w="4276"/>
            <w:vAlign w:val="top"/>
          </w:tcPr>
          <w:p>
            <w:pPr>
              <w:spacing w:after="60" w:line="259" w:lineRule="auto"/>
            </w:pPr>
            <w:r>
              <w:rPr>
                <w:rFonts w:ascii="Calibri" w:hAnsi="Calibri"/>
                <w:b w:val="0"/>
                <w:i w:val="0"/>
                <w:color w:val="212121"/>
                <w:sz w:val="19"/>
              </w:rPr>
              <w:t>Rapid urbanisation, migration for education or work, nuclear-family isolation and intense competition create dense stressor environments in Indian cities, while stigma delays help-seeking.</w:t>
            </w:r>
          </w:p>
          <w:p>
            <w:pPr>
              <w:spacing w:after="40" w:before="60" w:line="259" w:lineRule="auto"/>
            </w:pPr>
            <w:r>
              <w:rPr>
                <w:rFonts w:ascii="Calibri" w:hAnsi="Calibri"/>
                <w:b w:val="0"/>
                <w:i w:val="0"/>
                <w:color w:val="212121"/>
                <w:sz w:val="19"/>
              </w:rPr>
              <w:t>Time pressure and deadlines (24 percent) and excessive workload (23 percent) were the leading stressors reported by Indian medical students.</w:t>
            </w:r>
          </w:p>
          <w:p>
            <w:pPr>
              <w:spacing w:after="40" w:line="252" w:lineRule="auto"/>
            </w:pPr>
            <w:hyperlink r:id="rId11">
              <w:r>
                <w:rPr>
                  <w:rFonts w:ascii="Calibri" w:hAnsi="Calibri" w:cs="Calibri"/>
                  <w:sz w:val="18"/>
                  <w:color w:val="1155CC"/>
                  <w:u w:val="single"/>
                </w:rPr>
                <w:t xml:space="preserve">pmc.ncbi.nlm.nih.gov/PMC10941775</w:t>
              </w:r>
            </w:hyperlink>
          </w:p>
          <w:p>
            <w:pPr>
              <w:spacing w:before="60" w:after="40"/>
            </w:pPr>
            <w:r>
              <w:rPr>
                <w:rFonts w:ascii="Calibri" w:hAnsi="Calibri"/>
                <w:b w:val="0"/>
                <w:i w:val="0"/>
                <w:color w:val="5A5A5A"/>
                <w:sz w:val="18"/>
              </w:rPr>
              <w:t>#urbanindia  #migration  #competition  #stigma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Disaster / conflict-affected &amp; displaced populations</w:t>
            </w:r>
          </w:p>
        </w:tc>
        <w:tc>
          <w:tcPr>
            <w:tcW w:type="dxa" w:w="4276"/>
            <w:vAlign w:val="top"/>
          </w:tcPr>
          <w:p>
            <w:pPr>
              <w:spacing w:after="60" w:line="259" w:lineRule="auto"/>
            </w:pPr>
            <w:r>
              <w:rPr>
                <w:rFonts w:ascii="Calibri" w:hAnsi="Calibri"/>
                <w:b w:val="0"/>
                <w:i w:val="0"/>
                <w:color w:val="212121"/>
                <w:sz w:val="19"/>
              </w:rPr>
              <w:t>Populations exposed to natural disasters, displacement or communal conflict experience acute and ongoing stressors that commonly precipitate adjustment disorder, sometimes before or instead of full PTSD.</w:t>
            </w:r>
          </w:p>
          <w:p>
            <w:pPr>
              <w:spacing w:after="40" w:before="60" w:line="259" w:lineRule="auto"/>
            </w:pPr>
            <w:r>
              <w:rPr>
                <w:rFonts w:ascii="Calibri" w:hAnsi="Calibri"/>
                <w:b w:val="0"/>
                <w:i w:val="0"/>
                <w:color w:val="212121"/>
                <w:sz w:val="19"/>
              </w:rPr>
              <w:t>In emergency-department self-harm presentations, adjustment disorder accounts for up to roughly 32 percent of cases.</w:t>
            </w:r>
          </w:p>
          <w:p>
            <w:pPr>
              <w:spacing w:after="40" w:line="252" w:lineRule="auto"/>
            </w:pPr>
            <w:hyperlink r:id="rId10">
              <w:r>
                <w:rPr>
                  <w:rFonts w:ascii="Calibri" w:hAnsi="Calibri" w:cs="Calibri"/>
                  <w:sz w:val="18"/>
                  <w:color w:val="1155CC"/>
                  <w:u w:val="single"/>
                </w:rPr>
                <w:t xml:space="preserve">mdpi.com - adjustment disorder review</w:t>
              </w:r>
            </w:hyperlink>
          </w:p>
          <w:p>
            <w:pPr>
              <w:spacing w:before="60" w:after="40"/>
            </w:pPr>
            <w:r>
              <w:rPr>
                <w:rFonts w:ascii="Calibri" w:hAnsi="Calibri"/>
                <w:b w:val="0"/>
                <w:i w:val="0"/>
                <w:color w:val="5A5A5A"/>
                <w:sz w:val="18"/>
              </w:rPr>
              <w:t>#disaster  #displacement  #acutestress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Physically inactive adults, desk-bound workers, students</w:t>
            </w:r>
          </w:p>
        </w:tc>
        <w:tc>
          <w:tcPr>
            <w:tcW w:type="dxa" w:w="4276"/>
            <w:vAlign w:val="top"/>
          </w:tcPr>
          <w:p>
            <w:pPr>
              <w:spacing w:after="60" w:line="259" w:lineRule="auto"/>
            </w:pPr>
            <w:r>
              <w:rPr>
                <w:rFonts w:ascii="Calibri" w:hAnsi="Calibri"/>
                <w:b w:val="0"/>
                <w:i w:val="0"/>
                <w:color w:val="212121"/>
                <w:sz w:val="19"/>
              </w:rPr>
              <w:t>Physical inactivity blunts the stress-buffering effects of exercise on the HPA axis and mood, lowering resilience to stressors and worsening the emotional subtypes.</w:t>
            </w:r>
          </w:p>
          <w:p>
            <w:pPr>
              <w:spacing w:after="40" w:before="60" w:line="259" w:lineRule="auto"/>
            </w:pPr>
            <w:r>
              <w:rPr>
                <w:rFonts w:ascii="Calibri" w:hAnsi="Calibri"/>
                <w:b w:val="0"/>
                <w:i w:val="0"/>
                <w:color w:val="212121"/>
                <w:sz w:val="19"/>
              </w:rPr>
              <w:t>WHO recommends at least 150 minutes/week of moderate activity, which reduces symptoms of depression and anxiety and supports stress resilience.</w:t>
            </w:r>
          </w:p>
          <w:p>
            <w:pPr>
              <w:spacing w:after="40" w:line="252" w:lineRule="auto"/>
            </w:pPr>
            <w:hyperlink r:id="rId12">
              <w:r>
                <w:rPr>
                  <w:rFonts w:ascii="Calibri" w:hAnsi="Calibri" w:cs="Calibri"/>
                  <w:sz w:val="18"/>
                  <w:color w:val="1155CC"/>
                  <w:u w:val="single"/>
                </w:rPr>
                <w:t xml:space="preserve">who.int - physical activity</w:t>
              </w:r>
            </w:hyperlink>
          </w:p>
          <w:p>
            <w:pPr>
              <w:spacing w:before="60" w:after="40"/>
            </w:pPr>
            <w:r>
              <w:rPr>
                <w:rFonts w:ascii="Calibri" w:hAnsi="Calibri"/>
                <w:b w:val="0"/>
                <w:i w:val="0"/>
                <w:color w:val="5A5A5A"/>
                <w:sz w:val="18"/>
              </w:rPr>
              <w:t>#sedentary  #lowactivity  #stressresilience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 using tobacco to cope</w:t>
            </w:r>
          </w:p>
        </w:tc>
        <w:tc>
          <w:tcPr>
            <w:tcW w:type="dxa" w:w="4276"/>
            <w:vAlign w:val="top"/>
          </w:tcPr>
          <w:p>
            <w:pPr>
              <w:spacing w:after="60" w:line="259" w:lineRule="auto"/>
            </w:pPr>
            <w:r>
              <w:rPr>
                <w:rFonts w:ascii="Calibri" w:hAnsi="Calibri"/>
                <w:b w:val="0"/>
                <w:i w:val="0"/>
                <w:color w:val="212121"/>
                <w:sz w:val="19"/>
              </w:rPr>
              <w:t>Smoking is frequently used as maladaptive coping; nicotine withdrawal between cigarettes heightens tension and anxiety, and smokers show greater stress reactivity, so smoking tends to reinforce rather than relieve distress.</w:t>
            </w:r>
          </w:p>
          <w:p>
            <w:pPr>
              <w:spacing w:after="40" w:before="60" w:line="259" w:lineRule="auto"/>
            </w:pPr>
            <w:r>
              <w:rPr>
                <w:rFonts w:ascii="Calibri" w:hAnsi="Calibri"/>
                <w:b w:val="0"/>
                <w:i w:val="0"/>
                <w:color w:val="212121"/>
                <w:sz w:val="19"/>
              </w:rPr>
              <w:t>Adjustment disorder frequently coexists with, and can progress to, substance-related problems, of which smoking is often the first.</w:t>
            </w:r>
          </w:p>
          <w:p>
            <w:pPr>
              <w:spacing w:before="60" w:after="40"/>
            </w:pPr>
            <w:r>
              <w:rPr>
                <w:rFonts w:ascii="Calibri" w:hAnsi="Calibri"/>
                <w:b w:val="0"/>
                <w:i w:val="0"/>
                <w:color w:val="5A5A5A"/>
                <w:sz w:val="18"/>
              </w:rPr>
              <w:t>#smoking  #nicotine  #maladaptivecoping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People self-medicating distress with alcohol</w:t>
            </w:r>
          </w:p>
        </w:tc>
        <w:tc>
          <w:tcPr>
            <w:tcW w:type="dxa" w:w="4276"/>
            <w:vAlign w:val="top"/>
          </w:tcPr>
          <w:p>
            <w:pPr>
              <w:spacing w:after="60" w:line="259" w:lineRule="auto"/>
            </w:pPr>
            <w:r>
              <w:rPr>
                <w:rFonts w:ascii="Calibri" w:hAnsi="Calibri"/>
                <w:b w:val="0"/>
                <w:i w:val="0"/>
                <w:color w:val="212121"/>
                <w:sz w:val="19"/>
              </w:rPr>
              <w:t>Alcohol is a common form of self-medication for distress; stress potentiates craving and relapse, and heavy use worsens mood, sleep and functional outcomes.</w:t>
            </w:r>
          </w:p>
          <w:p>
            <w:pPr>
              <w:spacing w:after="40" w:before="60" w:line="259" w:lineRule="auto"/>
            </w:pPr>
            <w:r>
              <w:rPr>
                <w:rFonts w:ascii="Calibri" w:hAnsi="Calibri"/>
                <w:b w:val="0"/>
                <w:i w:val="0"/>
                <w:color w:val="212121"/>
                <w:sz w:val="19"/>
              </w:rPr>
              <w:t>In one hospital cohort, 59 percent of patients initially diagnosed with adjustment disorder were relabelled with a primary substance-use diagnosis at discharge.</w:t>
            </w:r>
          </w:p>
          <w:p>
            <w:pPr>
              <w:spacing w:after="40" w:line="252" w:lineRule="auto"/>
            </w:pPr>
            <w:hyperlink r:id="rId9">
              <w:r>
                <w:rPr>
                  <w:rFonts w:ascii="Calibri" w:hAnsi="Calibri" w:cs="Calibri"/>
                  <w:sz w:val="18"/>
                  <w:color w:val="1155CC"/>
                  <w:u w:val="single"/>
                </w:rPr>
                <w:t xml:space="preserve">emedicine.medscape.com - adjustment disorder</w:t>
              </w:r>
            </w:hyperlink>
          </w:p>
          <w:p>
            <w:pPr>
              <w:spacing w:before="60" w:after="40"/>
            </w:pPr>
            <w:r>
              <w:rPr>
                <w:rFonts w:ascii="Calibri" w:hAnsi="Calibri"/>
                <w:b w:val="0"/>
                <w:i w:val="0"/>
                <w:color w:val="5A5A5A"/>
                <w:sz w:val="18"/>
              </w:rPr>
              <w:t>#alcohol  #selfmedication  #substanceuse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Individuals with obesity or body-image distress</w:t>
            </w:r>
          </w:p>
        </w:tc>
        <w:tc>
          <w:tcPr>
            <w:tcW w:type="dxa" w:w="4276"/>
            <w:vAlign w:val="top"/>
          </w:tcPr>
          <w:p>
            <w:pPr>
              <w:spacing w:after="60" w:line="259" w:lineRule="auto"/>
            </w:pPr>
            <w:r>
              <w:rPr>
                <w:rFonts w:ascii="Calibri" w:hAnsi="Calibri"/>
                <w:b w:val="0"/>
                <w:i w:val="0"/>
                <w:color w:val="212121"/>
                <w:sz w:val="19"/>
              </w:rPr>
              <w:t>Obesity and body-image concerns act as chronic psychosocial stressors and interact bidirectionally with mood; a new diagnosis of an obesity-related illness can itself precipitate adjustment disorder.</w:t>
            </w:r>
          </w:p>
          <w:p>
            <w:pPr>
              <w:spacing w:after="40" w:before="60" w:line="259" w:lineRule="auto"/>
            </w:pPr>
            <w:r>
              <w:rPr>
                <w:rFonts w:ascii="Calibri" w:hAnsi="Calibri"/>
                <w:b w:val="0"/>
                <w:i w:val="0"/>
                <w:color w:val="212121"/>
                <w:sz w:val="19"/>
              </w:rPr>
              <w:t>Weight-related stigma and new metabolic diagnoses are recognised precipitants of maladaptive stress reactions, though direct prevalence data are limited.</w:t>
            </w:r>
          </w:p>
          <w:p>
            <w:pPr>
              <w:spacing w:before="60" w:after="40"/>
            </w:pPr>
            <w:r>
              <w:rPr>
                <w:rFonts w:ascii="Calibri" w:hAnsi="Calibri"/>
                <w:b w:val="0"/>
                <w:i w:val="0"/>
                <w:color w:val="5A5A5A"/>
                <w:sz w:val="18"/>
              </w:rPr>
              <w:t>#obesity  #bodyimage  #chronicstress</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Meal-skippers, high caffeine &amp; ultra-processed diets</w:t>
            </w:r>
          </w:p>
        </w:tc>
        <w:tc>
          <w:tcPr>
            <w:tcW w:type="dxa" w:w="4276"/>
            <w:vAlign w:val="top"/>
          </w:tcPr>
          <w:p>
            <w:pPr>
              <w:spacing w:after="60" w:line="259" w:lineRule="auto"/>
            </w:pPr>
            <w:r>
              <w:rPr>
                <w:rFonts w:ascii="Calibri" w:hAnsi="Calibri"/>
                <w:b w:val="0"/>
                <w:i w:val="0"/>
                <w:color w:val="212121"/>
                <w:sz w:val="19"/>
              </w:rPr>
              <w:t>Skipping meals and reliance on caffeine and ultra-processed foods, common under stress and among students, worsen sleep, anxiety and mood stability, feeding the stress cycle.</w:t>
            </w:r>
          </w:p>
          <w:p>
            <w:pPr>
              <w:spacing w:after="40" w:before="60" w:line="259" w:lineRule="auto"/>
            </w:pPr>
            <w:r>
              <w:rPr>
                <w:rFonts w:ascii="Calibri" w:hAnsi="Calibri"/>
                <w:b w:val="0"/>
                <w:i w:val="0"/>
                <w:color w:val="212121"/>
                <w:sz w:val="19"/>
              </w:rPr>
              <w:t>High caffeine intake can mimic or aggravate the anxiety subtype and disrupt sleep, a core symptom of adjustment disorder.</w:t>
            </w:r>
          </w:p>
          <w:p>
            <w:pPr>
              <w:spacing w:before="60" w:after="40"/>
            </w:pPr>
            <w:r>
              <w:rPr>
                <w:rFonts w:ascii="Calibri" w:hAnsi="Calibri"/>
                <w:b w:val="0"/>
                <w:i w:val="0"/>
                <w:color w:val="5A5A5A"/>
                <w:sz w:val="18"/>
              </w:rPr>
              <w:t>#caffeine  #skippedmeals  #dietquality</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Family/personal history of mental illness; neurotic temperament</w:t>
            </w:r>
          </w:p>
        </w:tc>
        <w:tc>
          <w:tcPr>
            <w:tcW w:type="dxa" w:w="4276"/>
            <w:vAlign w:val="top"/>
          </w:tcPr>
          <w:p>
            <w:pPr>
              <w:spacing w:after="60" w:line="259" w:lineRule="auto"/>
            </w:pPr>
            <w:r>
              <w:rPr>
                <w:rFonts w:ascii="Calibri" w:hAnsi="Calibri"/>
                <w:b w:val="0"/>
                <w:i w:val="0"/>
                <w:color w:val="212121"/>
                <w:sz w:val="19"/>
              </w:rPr>
              <w:t>A personal or family history of mood, anxiety or substance disorders, and temperamental traits such as neuroticism and low resilience, lower the threshold at which a stressor produces a maladaptive response.</w:t>
            </w:r>
          </w:p>
          <w:p>
            <w:pPr>
              <w:spacing w:after="40" w:before="60" w:line="259" w:lineRule="auto"/>
            </w:pPr>
            <w:r>
              <w:rPr>
                <w:rFonts w:ascii="Calibri" w:hAnsi="Calibri"/>
                <w:b w:val="0"/>
                <w:i w:val="0"/>
                <w:color w:val="212121"/>
                <w:sz w:val="19"/>
              </w:rPr>
              <w:t>Pre-existing mental-health conditions and a vulnerable temperament are established risk factors for adjustment disorder.</w:t>
            </w:r>
          </w:p>
          <w:p>
            <w:pPr>
              <w:spacing w:after="40" w:line="252" w:lineRule="auto"/>
            </w:pPr>
            <w:hyperlink r:id="rId13">
              <w:r>
                <w:rPr>
                  <w:rFonts w:ascii="Calibri" w:hAnsi="Calibri" w:cs="Calibri"/>
                  <w:sz w:val="18"/>
                  <w:color w:val="1155CC"/>
                  <w:u w:val="single"/>
                </w:rPr>
                <w:t xml:space="preserve">my.clevelandclinic.org - adjustment disorder</w:t>
              </w:r>
            </w:hyperlink>
          </w:p>
          <w:p>
            <w:pPr>
              <w:spacing w:before="60" w:after="40"/>
            </w:pPr>
            <w:r>
              <w:rPr>
                <w:rFonts w:ascii="Calibri" w:hAnsi="Calibri"/>
                <w:b w:val="0"/>
                <w:i w:val="0"/>
                <w:color w:val="5A5A5A"/>
                <w:sz w:val="18"/>
              </w:rPr>
              <w:t>#temperament  #neuroticism  #familyhistory  #resilience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Depression</w:t>
            </w:r>
          </w:p>
        </w:tc>
        <w:tc>
          <w:tcPr>
            <w:tcW w:type="dxa" w:w="2160"/>
            <w:vAlign w:val="top"/>
          </w:tcPr>
          <w:p>
            <w:pPr>
              <w:spacing w:after="40" w:before="0" w:line="259" w:lineRule="auto"/>
            </w:pPr>
            <w:r>
              <w:rPr>
                <w:rFonts w:ascii="Calibri" w:hAnsi="Calibri"/>
                <w:b w:val="0"/>
                <w:i w:val="0"/>
                <w:color w:val="212121"/>
                <w:sz w:val="19"/>
              </w:rPr>
              <w:t>Patients with depressive symptoms</w:t>
            </w:r>
          </w:p>
        </w:tc>
        <w:tc>
          <w:tcPr>
            <w:tcW w:type="dxa" w:w="4276"/>
            <w:vAlign w:val="top"/>
          </w:tcPr>
          <w:p>
            <w:pPr>
              <w:spacing w:after="60" w:line="259" w:lineRule="auto"/>
            </w:pPr>
            <w:r>
              <w:rPr>
                <w:rFonts w:ascii="Calibri" w:hAnsi="Calibri"/>
                <w:b w:val="0"/>
                <w:i w:val="0"/>
                <w:color w:val="212121"/>
                <w:sz w:val="19"/>
              </w:rPr>
              <w:t>Depressive symptoms overlap with the depressed-mood subtype; unresolved adjustment disorder can evolve into major depressive disorder, and the two frequently coexist.</w:t>
            </w:r>
          </w:p>
          <w:p>
            <w:pPr>
              <w:spacing w:after="40" w:before="60" w:line="259" w:lineRule="auto"/>
            </w:pPr>
            <w:r>
              <w:rPr>
                <w:rFonts w:ascii="Calibri" w:hAnsi="Calibri"/>
                <w:b w:val="0"/>
                <w:i w:val="0"/>
                <w:color w:val="212121"/>
                <w:sz w:val="19"/>
              </w:rPr>
              <w:t>About 35 percent of people with adjustment disorder at 3 months still meet diagnostic criteria at 12 months, with many progressing to more severe disorders.</w:t>
            </w:r>
          </w:p>
          <w:p>
            <w:pPr>
              <w:spacing w:after="40" w:line="252" w:lineRule="auto"/>
            </w:pPr>
            <w:hyperlink r:id="rId10">
              <w:r>
                <w:rPr>
                  <w:rFonts w:ascii="Calibri" w:hAnsi="Calibri" w:cs="Calibri"/>
                  <w:sz w:val="18"/>
                  <w:color w:val="1155CC"/>
                  <w:u w:val="single"/>
                </w:rPr>
                <w:t xml:space="preserve">mdpi.com - adjustment disorder review</w:t>
              </w:r>
            </w:hyperlink>
          </w:p>
          <w:p>
            <w:pPr>
              <w:spacing w:before="60" w:after="40"/>
            </w:pPr>
            <w:r>
              <w:rPr>
                <w:rFonts w:ascii="Calibri" w:hAnsi="Calibri"/>
                <w:b w:val="0"/>
                <w:i w:val="0"/>
                <w:color w:val="5A5A5A"/>
                <w:sz w:val="18"/>
              </w:rPr>
              <w:t>#depression  #comorbidity  #progression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Anxiety disorders</w:t>
            </w:r>
          </w:p>
        </w:tc>
        <w:tc>
          <w:tcPr>
            <w:tcW w:type="dxa" w:w="2160"/>
            <w:vAlign w:val="top"/>
          </w:tcPr>
          <w:p>
            <w:pPr>
              <w:spacing w:after="40" w:before="0" w:line="259" w:lineRule="auto"/>
            </w:pPr>
            <w:r>
              <w:rPr>
                <w:rFonts w:ascii="Calibri" w:hAnsi="Calibri"/>
                <w:b w:val="0"/>
                <w:i w:val="0"/>
                <w:color w:val="212121"/>
                <w:sz w:val="19"/>
              </w:rPr>
              <w:t>Patients with prominent anxiety</w:t>
            </w:r>
          </w:p>
        </w:tc>
        <w:tc>
          <w:tcPr>
            <w:tcW w:type="dxa" w:w="4276"/>
            <w:vAlign w:val="top"/>
          </w:tcPr>
          <w:p>
            <w:pPr>
              <w:spacing w:after="60" w:line="259" w:lineRule="auto"/>
            </w:pPr>
            <w:r>
              <w:rPr>
                <w:rFonts w:ascii="Calibri" w:hAnsi="Calibri"/>
                <w:b w:val="0"/>
                <w:i w:val="0"/>
                <w:color w:val="212121"/>
                <w:sz w:val="19"/>
              </w:rPr>
              <w:t>The anxiety subtype shares worry and autonomic-arousal features with generalised anxiety and panic disorder; persistent worry can crystallise into a formal anxiety disorder.</w:t>
            </w:r>
          </w:p>
          <w:p>
            <w:pPr>
              <w:spacing w:after="40" w:before="60" w:line="259" w:lineRule="auto"/>
            </w:pPr>
            <w:r>
              <w:rPr>
                <w:rFonts w:ascii="Calibri" w:hAnsi="Calibri"/>
                <w:b w:val="0"/>
                <w:i w:val="0"/>
                <w:color w:val="212121"/>
                <w:sz w:val="19"/>
              </w:rPr>
              <w:t>Anxiety and depressive symptom clusters overlap heavily in adjustment disorder (inter-correlations of roughly 0.75 to 0.96).</w:t>
            </w:r>
          </w:p>
          <w:p>
            <w:pPr>
              <w:spacing w:after="40" w:line="252" w:lineRule="auto"/>
            </w:pPr>
            <w:hyperlink r:id="rId10">
              <w:r>
                <w:rPr>
                  <w:rFonts w:ascii="Calibri" w:hAnsi="Calibri" w:cs="Calibri"/>
                  <w:sz w:val="18"/>
                  <w:color w:val="1155CC"/>
                  <w:u w:val="single"/>
                </w:rPr>
                <w:t xml:space="preserve">mdpi.com - adjustment disorder review</w:t>
              </w:r>
            </w:hyperlink>
          </w:p>
          <w:p>
            <w:pPr>
              <w:spacing w:before="60" w:after="40"/>
            </w:pPr>
            <w:r>
              <w:rPr>
                <w:rFonts w:ascii="Calibri" w:hAnsi="Calibri"/>
                <w:b w:val="0"/>
                <w:i w:val="0"/>
                <w:color w:val="5A5A5A"/>
                <w:sz w:val="18"/>
              </w:rPr>
              <w:t>#anxiety  #worry  #comorbid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illness / cancer</w:t>
            </w:r>
          </w:p>
        </w:tc>
        <w:tc>
          <w:tcPr>
            <w:tcW w:type="dxa" w:w="2160"/>
            <w:vAlign w:val="top"/>
          </w:tcPr>
          <w:p>
            <w:pPr>
              <w:spacing w:after="40" w:before="0" w:line="259" w:lineRule="auto"/>
            </w:pPr>
            <w:r>
              <w:rPr>
                <w:rFonts w:ascii="Calibri" w:hAnsi="Calibri"/>
                <w:b w:val="0"/>
                <w:i w:val="0"/>
                <w:color w:val="212121"/>
                <w:sz w:val="19"/>
              </w:rPr>
              <w:t>Patients with serious or chronic physical illness</w:t>
            </w:r>
          </w:p>
        </w:tc>
        <w:tc>
          <w:tcPr>
            <w:tcW w:type="dxa" w:w="4276"/>
            <w:vAlign w:val="top"/>
          </w:tcPr>
          <w:p>
            <w:pPr>
              <w:spacing w:after="60" w:line="259" w:lineRule="auto"/>
            </w:pPr>
            <w:r>
              <w:rPr>
                <w:rFonts w:ascii="Calibri" w:hAnsi="Calibri"/>
                <w:b w:val="0"/>
                <w:i w:val="0"/>
                <w:color w:val="212121"/>
                <w:sz w:val="19"/>
              </w:rPr>
              <w:t>Diagnosis of and adjustment to serious or chronic illness (cancer, cardiac disease, diabetes) is a potent stressor; adjustment disorder is among the commonest psychiatric diagnoses in these patients and worsens adherence and outcomes.</w:t>
            </w:r>
          </w:p>
          <w:p>
            <w:pPr>
              <w:spacing w:after="40" w:before="60" w:line="259" w:lineRule="auto"/>
            </w:pPr>
            <w:r>
              <w:rPr>
                <w:rFonts w:ascii="Calibri" w:hAnsi="Calibri"/>
                <w:b w:val="0"/>
                <w:i w:val="0"/>
                <w:color w:val="212121"/>
                <w:sz w:val="19"/>
              </w:rPr>
              <w:t>Adjustment disorder is reported in roughly 15 to 19 percent of oncology patients and about 14 percent of acutely ill medical inpatients.</w:t>
            </w:r>
          </w:p>
          <w:p>
            <w:pPr>
              <w:spacing w:after="40" w:line="252" w:lineRule="auto"/>
            </w:pPr>
            <w:hyperlink r:id="rId10">
              <w:r>
                <w:rPr>
                  <w:rFonts w:ascii="Calibri" w:hAnsi="Calibri" w:cs="Calibri"/>
                  <w:sz w:val="18"/>
                  <w:color w:val="1155CC"/>
                  <w:u w:val="single"/>
                </w:rPr>
                <w:t xml:space="preserve">mdpi.com - adjustment disorder review</w:t>
              </w:r>
            </w:hyperlink>
          </w:p>
          <w:p>
            <w:pPr>
              <w:spacing w:before="60" w:after="40"/>
            </w:pPr>
            <w:r>
              <w:rPr>
                <w:rFonts w:ascii="Calibri" w:hAnsi="Calibri"/>
                <w:b w:val="0"/>
                <w:i w:val="0"/>
                <w:color w:val="5A5A5A"/>
                <w:sz w:val="18"/>
              </w:rPr>
              <w:t>#chronicillness  #cancer  #liaisonpsychiatry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Substance use disorder</w:t>
            </w:r>
          </w:p>
        </w:tc>
        <w:tc>
          <w:tcPr>
            <w:tcW w:type="dxa" w:w="2160"/>
            <w:vAlign w:val="top"/>
          </w:tcPr>
          <w:p>
            <w:pPr>
              <w:spacing w:after="40" w:before="0" w:line="259" w:lineRule="auto"/>
            </w:pPr>
            <w:r>
              <w:rPr>
                <w:rFonts w:ascii="Calibri" w:hAnsi="Calibri"/>
                <w:b w:val="0"/>
                <w:i w:val="0"/>
                <w:color w:val="212121"/>
                <w:sz w:val="19"/>
              </w:rPr>
              <w:t>Patients with alcohol/drug use</w:t>
            </w:r>
          </w:p>
        </w:tc>
        <w:tc>
          <w:tcPr>
            <w:tcW w:type="dxa" w:w="4276"/>
            <w:vAlign w:val="top"/>
          </w:tcPr>
          <w:p>
            <w:pPr>
              <w:spacing w:after="60" w:line="259" w:lineRule="auto"/>
            </w:pPr>
            <w:r>
              <w:rPr>
                <w:rFonts w:ascii="Calibri" w:hAnsi="Calibri"/>
                <w:b w:val="0"/>
                <w:i w:val="0"/>
                <w:color w:val="212121"/>
                <w:sz w:val="19"/>
              </w:rPr>
              <w:t>Stress drives craving and relapse, and substance use is both a coping response to and a consequence of adjustment disorder, complicating diagnosis and treatment.</w:t>
            </w:r>
          </w:p>
          <w:p>
            <w:pPr>
              <w:spacing w:after="40" w:before="60" w:line="259" w:lineRule="auto"/>
            </w:pPr>
            <w:r>
              <w:rPr>
                <w:rFonts w:ascii="Calibri" w:hAnsi="Calibri"/>
                <w:b w:val="0"/>
                <w:i w:val="0"/>
                <w:color w:val="212121"/>
                <w:sz w:val="19"/>
              </w:rPr>
              <w:t>Stress exposure is strongly linked to drug and alcohol craving, relapse and greater intake in people with substance-use disorder.</w:t>
            </w:r>
          </w:p>
          <w:p>
            <w:pPr>
              <w:spacing w:after="40" w:line="252" w:lineRule="auto"/>
            </w:pPr>
            <w:hyperlink r:id="rId14">
              <w:r>
                <w:rPr>
                  <w:rFonts w:ascii="Calibri" w:hAnsi="Calibri" w:cs="Calibri"/>
                  <w:sz w:val="18"/>
                  <w:color w:val="1155CC"/>
                  <w:u w:val="single"/>
                </w:rPr>
                <w:t xml:space="preserve">jci.org - stress and substance use disorders</w:t>
              </w:r>
            </w:hyperlink>
          </w:p>
          <w:p>
            <w:pPr>
              <w:spacing w:before="60" w:after="40"/>
            </w:pPr>
            <w:r>
              <w:rPr>
                <w:rFonts w:ascii="Calibri" w:hAnsi="Calibri"/>
                <w:b w:val="0"/>
                <w:i w:val="0"/>
                <w:color w:val="5A5A5A"/>
                <w:sz w:val="18"/>
              </w:rPr>
              <w:t>#substanceuse  #relapse  #stress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Regular moderate activity buffers the HPA-axis stress response and reduces depressive and anxiety symptoms; WHO advises at least 150 min/week. Inactivity lowers resilience and worsens the emotional subtypes of adjustment disorder.</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Erratic eating, meal-skipping and high intake of ultra-processed foods (common under acute stress) destabilise mood and energy; regular balanced meals support emotional regulation, though the evidence is largely indirect.</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Stress-related insomnia is a core feature; short or fragmented sleep impairs emotion regulation and amplifies negative affect and cortisol responses to further stressors, sustaining a vicious cycle.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is used as maladaptive coping; inter-cigarette nicotine withdrawal raises tension and anxiety, and smokers show heightened stress reactivity, so smoking tends to worsen rather than relieve distress.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is a frequent form of self-medication for distress; stress potentiates craving and relapse, and heavy use worsens mood, sleep and functioning and can convert adjustment disorder into a substance-use disorder.</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Prior mood, anxiety or substance disorders, personality traits such as neuroticism, and low coping or social support strongly determine whether a stressor produces adjustment disorder; the condition also markedly raises suicide risk.</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concentration and mood and dehydration can mildly worsen tension and fatigue, but there is no direct evidence linking water intake to adjustment disorder.</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High caffeine intake, common among stressed students and shift workers, worsens anxiety, palpitations and insomnia and can mimic or aggravate the anxiety subtype.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Self-care and personal hygiene may decline with low mood and withdrawal, serving as a marker of severity rather than a cause; good daily routines support recovery.</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By definition adjustment disorder is triggered by one or more identifiable psychosocial stressors (relationship breakdown, bereavement, job loss, illness diagnosis, financial or academic pressure, migration); the nature, number and chronicity of stressors shape severity and course.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greater than or equal to 150 min/week</w:t>
            </w:r>
          </w:p>
        </w:tc>
        <w:tc>
          <w:tcPr>
            <w:tcW w:type="dxa" w:w="1512"/>
            <w:vAlign w:val="top"/>
          </w:tcPr>
          <w:p>
            <w:pPr>
              <w:spacing w:after="40" w:before="0" w:line="259" w:lineRule="auto"/>
            </w:pPr>
            <w:r>
              <w:rPr>
                <w:rFonts w:ascii="Calibri" w:hAnsi="Calibri"/>
                <w:b w:val="0"/>
                <w:i w:val="0"/>
                <w:color w:val="212121"/>
                <w:sz w:val="19"/>
              </w:rPr>
              <w:t>less than 150 min/week; mostly sedentary</w:t>
            </w:r>
          </w:p>
        </w:tc>
        <w:tc>
          <w:tcPr>
            <w:tcW w:type="dxa" w:w="1468"/>
            <w:vAlign w:val="top"/>
          </w:tcPr>
          <w:p>
            <w:pPr>
              <w:spacing w:after="60" w:line="259" w:lineRule="auto"/>
            </w:pPr>
            <w:r>
              <w:rPr>
                <w:rFonts w:ascii="Calibri" w:hAnsi="Calibri"/>
                <w:b w:val="0"/>
                <w:i w:val="0"/>
                <w:color w:val="212121"/>
                <w:sz w:val="19"/>
              </w:rPr>
              <w:t>Activity buffers HPA-axis stress reactivity and lowers depression and anxiety</w:t>
            </w:r>
          </w:p>
          <w:p>
            <w:pPr>
              <w:spacing w:after="40" w:line="252" w:lineRule="auto"/>
            </w:pPr>
            <w:hyperlink r:id="rId12">
              <w:r>
                <w:rPr>
                  <w:rFonts w:ascii="Calibri" w:hAnsi="Calibri" w:cs="Calibri"/>
                  <w:sz w:val="18"/>
                  <w:color w:val="1155CC"/>
                  <w:u w:val="single"/>
                </w:rPr>
                <w:t xml:space="preserve">https://www.who.int/news-room/fact-sheets/detail/physical-activity</w:t>
              </w:r>
            </w:hyperlink>
          </w:p>
        </w:tc>
      </w:tr>
      <w:tr>
        <w:trPr>
          <w:cantSplit/>
        </w:trPr>
        <w:tc>
          <w:tcPr>
            <w:tcW w:type="dxa" w:w="1512"/>
            <w:vMerge w:val="restart"/>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less than 6 h or fragmented; early-morning waking</w:t>
            </w:r>
          </w:p>
        </w:tc>
        <w:tc>
          <w:tcPr>
            <w:tcW w:type="dxa" w:w="1468"/>
            <w:vAlign w:val="top"/>
          </w:tcPr>
          <w:p>
            <w:pPr>
              <w:spacing w:after="40" w:before="0" w:line="259" w:lineRule="auto"/>
            </w:pPr>
            <w:r>
              <w:rPr>
                <w:rFonts w:ascii="Calibri" w:hAnsi="Calibri"/>
                <w:b w:val="0"/>
                <w:i w:val="0"/>
                <w:color w:val="212121"/>
                <w:sz w:val="19"/>
              </w:rPr>
              <w:t>Sleep loss impairs emotion regulation and heightens stress reactivity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Insomnia / sleep-onset latency</w:t>
            </w:r>
          </w:p>
        </w:tc>
        <w:tc>
          <w:tcPr>
            <w:tcW w:type="dxa" w:w="1655"/>
            <w:vAlign w:val="top"/>
          </w:tcPr>
          <w:p>
            <w:pPr>
              <w:spacing w:after="40" w:before="0" w:line="259" w:lineRule="auto"/>
            </w:pPr>
            <w:r>
              <w:rPr>
                <w:rFonts w:ascii="Calibri" w:hAnsi="Calibri"/>
                <w:b w:val="0"/>
                <w:i w:val="0"/>
                <w:color w:val="212121"/>
                <w:sz w:val="19"/>
              </w:rPr>
              <w:t>Adults under stress</w:t>
            </w:r>
          </w:p>
        </w:tc>
        <w:tc>
          <w:tcPr>
            <w:tcW w:type="dxa" w:w="1512"/>
            <w:vAlign w:val="top"/>
          </w:tcPr>
          <w:p>
            <w:pPr>
              <w:spacing w:after="40" w:before="0" w:line="259" w:lineRule="auto"/>
            </w:pPr>
            <w:r>
              <w:rPr>
                <w:rFonts w:ascii="Calibri" w:hAnsi="Calibri"/>
                <w:b w:val="0"/>
                <w:i w:val="0"/>
                <w:color w:val="212121"/>
                <w:sz w:val="19"/>
              </w:rPr>
              <w:t>Falls asleep in under 30 min, wakes refreshed</w:t>
            </w:r>
          </w:p>
        </w:tc>
        <w:tc>
          <w:tcPr>
            <w:tcW w:type="dxa" w:w="1512"/>
            <w:vAlign w:val="top"/>
          </w:tcPr>
          <w:p>
            <w:pPr>
              <w:spacing w:after="40" w:before="0" w:line="259" w:lineRule="auto"/>
            </w:pPr>
            <w:r>
              <w:rPr>
                <w:rFonts w:ascii="Calibri" w:hAnsi="Calibri"/>
                <w:b w:val="0"/>
                <w:i w:val="0"/>
                <w:color w:val="212121"/>
                <w:sz w:val="19"/>
              </w:rPr>
              <w:t>Persistent difficulty initiating or maintaining sleep</w:t>
            </w:r>
          </w:p>
        </w:tc>
        <w:tc>
          <w:tcPr>
            <w:tcW w:type="dxa" w:w="1468"/>
            <w:vAlign w:val="top"/>
          </w:tcPr>
          <w:p>
            <w:pPr>
              <w:spacing w:after="40" w:before="0" w:line="259" w:lineRule="auto"/>
            </w:pPr>
            <w:r>
              <w:rPr>
                <w:rFonts w:ascii="Calibri" w:hAnsi="Calibri"/>
                <w:b w:val="0"/>
                <w:i w:val="0"/>
                <w:color w:val="212121"/>
                <w:sz w:val="19"/>
              </w:rPr>
              <w:t>Insomnia is both a core AD symptom and an aggravator</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(standard drinks/week)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0; within low-risk limits</w:t>
            </w:r>
          </w:p>
        </w:tc>
        <w:tc>
          <w:tcPr>
            <w:tcW w:type="dxa" w:w="1512"/>
            <w:vAlign w:val="top"/>
          </w:tcPr>
          <w:p>
            <w:pPr>
              <w:spacing w:after="40" w:before="0" w:line="259" w:lineRule="auto"/>
            </w:pPr>
            <w:r>
              <w:rPr>
                <w:rFonts w:ascii="Calibri" w:hAnsi="Calibri"/>
                <w:b w:val="0"/>
                <w:i w:val="0"/>
                <w:color w:val="212121"/>
                <w:sz w:val="19"/>
              </w:rPr>
              <w:t>Drinking to cope; binge or daily use</w:t>
            </w:r>
          </w:p>
        </w:tc>
        <w:tc>
          <w:tcPr>
            <w:tcW w:type="dxa" w:w="1468"/>
            <w:vAlign w:val="top"/>
          </w:tcPr>
          <w:p>
            <w:pPr>
              <w:spacing w:after="40" w:before="0" w:line="259" w:lineRule="auto"/>
            </w:pPr>
            <w:r>
              <w:rPr>
                <w:rFonts w:ascii="Calibri" w:hAnsi="Calibri"/>
                <w:b w:val="0"/>
                <w:i w:val="0"/>
                <w:color w:val="212121"/>
                <w:sz w:val="19"/>
              </w:rPr>
              <w:t>Self-medication predicts progression to substance-use disorder</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 students</w:t>
            </w:r>
          </w:p>
        </w:tc>
        <w:tc>
          <w:tcPr>
            <w:tcW w:type="dxa" w:w="1512"/>
            <w:vAlign w:val="top"/>
          </w:tcPr>
          <w:p>
            <w:pPr>
              <w:spacing w:after="40" w:before="0" w:line="259" w:lineRule="auto"/>
            </w:pPr>
            <w:r>
              <w:rPr>
                <w:rFonts w:ascii="Calibri" w:hAnsi="Calibri"/>
                <w:b w:val="0"/>
                <w:i w:val="0"/>
                <w:color w:val="212121"/>
                <w:sz w:val="19"/>
              </w:rPr>
              <w:t>0/day</w:t>
            </w:r>
          </w:p>
        </w:tc>
        <w:tc>
          <w:tcPr>
            <w:tcW w:type="dxa" w:w="1512"/>
            <w:vAlign w:val="top"/>
          </w:tcPr>
          <w:p>
            <w:pPr>
              <w:spacing w:after="40" w:before="0" w:line="259" w:lineRule="auto"/>
            </w:pPr>
            <w:r>
              <w:rPr>
                <w:rFonts w:ascii="Calibri" w:hAnsi="Calibri"/>
                <w:b w:val="0"/>
                <w:i w:val="0"/>
                <w:color w:val="212121"/>
                <w:sz w:val="19"/>
              </w:rPr>
              <w:t>Any use, especially to relieve tension</w:t>
            </w:r>
          </w:p>
        </w:tc>
        <w:tc>
          <w:tcPr>
            <w:tcW w:type="dxa" w:w="1468"/>
            <w:vAlign w:val="top"/>
          </w:tcPr>
          <w:p>
            <w:pPr>
              <w:spacing w:after="40" w:before="0" w:line="259" w:lineRule="auto"/>
            </w:pPr>
            <w:r>
              <w:rPr>
                <w:rFonts w:ascii="Calibri" w:hAnsi="Calibri"/>
                <w:b w:val="0"/>
                <w:i w:val="0"/>
                <w:color w:val="212121"/>
                <w:sz w:val="19"/>
              </w:rPr>
              <w:t>Smoking-as-coping worsens anxiety over time</w:t>
            </w:r>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intake (mg/day)</w:t>
            </w:r>
          </w:p>
        </w:tc>
        <w:tc>
          <w:tcPr>
            <w:tcW w:type="dxa" w:w="1655"/>
            <w:vAlign w:val="top"/>
          </w:tcPr>
          <w:p>
            <w:pPr>
              <w:spacing w:after="40" w:before="0" w:line="259" w:lineRule="auto"/>
            </w:pPr>
            <w:r>
              <w:rPr>
                <w:rFonts w:ascii="Calibri" w:hAnsi="Calibri"/>
                <w:b w:val="0"/>
                <w:i w:val="0"/>
                <w:color w:val="212121"/>
                <w:sz w:val="19"/>
              </w:rPr>
              <w:t>Adults, students</w:t>
            </w:r>
          </w:p>
        </w:tc>
        <w:tc>
          <w:tcPr>
            <w:tcW w:type="dxa" w:w="1512"/>
            <w:vAlign w:val="top"/>
          </w:tcPr>
          <w:p>
            <w:pPr>
              <w:spacing w:after="40" w:before="0" w:line="259" w:lineRule="auto"/>
            </w:pPr>
            <w:r>
              <w:rPr>
                <w:rFonts w:ascii="Calibri" w:hAnsi="Calibri"/>
                <w:b w:val="0"/>
                <w:i w:val="0"/>
                <w:color w:val="212121"/>
                <w:sz w:val="19"/>
              </w:rPr>
              <w:t>under 400 mg/day (under 200 if anxious)</w:t>
            </w:r>
          </w:p>
        </w:tc>
        <w:tc>
          <w:tcPr>
            <w:tcW w:type="dxa" w:w="1512"/>
            <w:vAlign w:val="top"/>
          </w:tcPr>
          <w:p>
            <w:pPr>
              <w:spacing w:after="40" w:before="0" w:line="259" w:lineRule="auto"/>
            </w:pPr>
            <w:r>
              <w:rPr>
                <w:rFonts w:ascii="Calibri" w:hAnsi="Calibri"/>
                <w:b w:val="0"/>
                <w:i w:val="0"/>
                <w:color w:val="212121"/>
                <w:sz w:val="19"/>
              </w:rPr>
              <w:t>over 400 mg/day; late-day intake</w:t>
            </w:r>
          </w:p>
        </w:tc>
        <w:tc>
          <w:tcPr>
            <w:tcW w:type="dxa" w:w="1468"/>
            <w:vAlign w:val="top"/>
          </w:tcPr>
          <w:p>
            <w:pPr>
              <w:spacing w:after="40" w:before="0" w:line="259" w:lineRule="auto"/>
            </w:pPr>
            <w:r>
              <w:rPr>
                <w:rFonts w:ascii="Calibri" w:hAnsi="Calibri"/>
                <w:b w:val="0"/>
                <w:i w:val="0"/>
                <w:color w:val="212121"/>
                <w:sz w:val="19"/>
              </w:rPr>
              <w:t>Excess caffeine mimics or aggravates the anxiety subtype and disrupts sleep</w:t>
            </w:r>
          </w:p>
        </w:tc>
      </w:tr>
      <w:tr>
        <w:trPr>
          <w:cantSplit/>
        </w:trPr>
        <w:tc>
          <w:tcPr>
            <w:tcW w:type="dxa" w:w="1512"/>
            <w:vMerge w:val="restart"/>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Perceived Stress Scale (PSS-10)</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Low (0-13)</w:t>
            </w:r>
          </w:p>
        </w:tc>
        <w:tc>
          <w:tcPr>
            <w:tcW w:type="dxa" w:w="1512"/>
            <w:vAlign w:val="top"/>
          </w:tcPr>
          <w:p>
            <w:pPr>
              <w:spacing w:after="40" w:before="0" w:line="259" w:lineRule="auto"/>
            </w:pPr>
            <w:r>
              <w:rPr>
                <w:rFonts w:ascii="Calibri" w:hAnsi="Calibri"/>
                <w:b w:val="0"/>
                <w:i w:val="0"/>
                <w:color w:val="212121"/>
                <w:sz w:val="19"/>
              </w:rPr>
              <w:t>Moderate-high (14 or more; 27 or more = high)</w:t>
            </w:r>
          </w:p>
        </w:tc>
        <w:tc>
          <w:tcPr>
            <w:tcW w:type="dxa" w:w="1468"/>
            <w:vAlign w:val="top"/>
          </w:tcPr>
          <w:p>
            <w:pPr>
              <w:spacing w:after="40" w:before="0" w:line="259" w:lineRule="auto"/>
            </w:pPr>
            <w:r>
              <w:rPr>
                <w:rFonts w:ascii="Calibri" w:hAnsi="Calibri"/>
                <w:b w:val="0"/>
                <w:i w:val="0"/>
                <w:color w:val="212121"/>
                <w:sz w:val="19"/>
              </w:rPr>
              <w:t>Quantifies subjective stress load driving the response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ADNM-20 (Adjustment Disorder New Module)</w:t>
            </w:r>
          </w:p>
        </w:tc>
        <w:tc>
          <w:tcPr>
            <w:tcW w:type="dxa" w:w="1655"/>
            <w:vAlign w:val="top"/>
          </w:tcPr>
          <w:p>
            <w:pPr>
              <w:spacing w:after="40" w:before="0" w:line="259" w:lineRule="auto"/>
            </w:pPr>
            <w:r>
              <w:rPr>
                <w:rFonts w:ascii="Calibri" w:hAnsi="Calibri"/>
                <w:b w:val="0"/>
                <w:i w:val="0"/>
                <w:color w:val="212121"/>
                <w:sz w:val="19"/>
              </w:rPr>
              <w:t>Adults with an identifiable stressor</w:t>
            </w:r>
          </w:p>
        </w:tc>
        <w:tc>
          <w:tcPr>
            <w:tcW w:type="dxa" w:w="1512"/>
            <w:vAlign w:val="top"/>
          </w:tcPr>
          <w:p>
            <w:pPr>
              <w:spacing w:after="40" w:before="0" w:line="259" w:lineRule="auto"/>
            </w:pPr>
            <w:r>
              <w:rPr>
                <w:rFonts w:ascii="Calibri" w:hAnsi="Calibri"/>
                <w:b w:val="0"/>
                <w:i w:val="0"/>
                <w:color w:val="212121"/>
                <w:sz w:val="19"/>
              </w:rPr>
              <w:t>Below validated cut-off</w:t>
            </w:r>
          </w:p>
        </w:tc>
        <w:tc>
          <w:tcPr>
            <w:tcW w:type="dxa" w:w="1512"/>
            <w:vAlign w:val="top"/>
          </w:tcPr>
          <w:p>
            <w:pPr>
              <w:spacing w:after="40" w:before="0" w:line="259" w:lineRule="auto"/>
            </w:pPr>
            <w:r>
              <w:rPr>
                <w:rFonts w:ascii="Calibri" w:hAnsi="Calibri"/>
                <w:b w:val="0"/>
                <w:i w:val="0"/>
                <w:color w:val="212121"/>
                <w:sz w:val="19"/>
              </w:rPr>
              <w:t>At or above validated cut-off (around 47.5 on the sum score)</w:t>
            </w:r>
          </w:p>
        </w:tc>
        <w:tc>
          <w:tcPr>
            <w:tcW w:type="dxa" w:w="1468"/>
            <w:vAlign w:val="top"/>
          </w:tcPr>
          <w:p>
            <w:pPr>
              <w:spacing w:after="40" w:before="0" w:line="259" w:lineRule="auto"/>
            </w:pPr>
            <w:r>
              <w:rPr>
                <w:rFonts w:ascii="Calibri" w:hAnsi="Calibri"/>
                <w:b w:val="0"/>
                <w:i w:val="0"/>
                <w:color w:val="212121"/>
                <w:sz w:val="19"/>
              </w:rPr>
              <w:t>Validated self-report screen specific to adjustment disorder</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Symptom onset relative to stressor</w:t>
            </w:r>
          </w:p>
        </w:tc>
        <w:tc>
          <w:tcPr>
            <w:tcW w:type="dxa" w:w="1655"/>
            <w:vAlign w:val="top"/>
          </w:tcPr>
          <w:p>
            <w:pPr>
              <w:spacing w:after="40" w:before="0" w:line="259" w:lineRule="auto"/>
            </w:pPr>
            <w:r>
              <w:rPr>
                <w:rFonts w:ascii="Calibri" w:hAnsi="Calibri"/>
                <w:b w:val="0"/>
                <w:i w:val="0"/>
                <w:color w:val="212121"/>
                <w:sz w:val="19"/>
              </w:rPr>
              <w:t>All suspected AD</w:t>
            </w:r>
          </w:p>
        </w:tc>
        <w:tc>
          <w:tcPr>
            <w:tcW w:type="dxa" w:w="1512"/>
            <w:vAlign w:val="top"/>
          </w:tcPr>
          <w:p>
            <w:pPr>
              <w:spacing w:after="40" w:before="0" w:line="259" w:lineRule="auto"/>
            </w:pPr>
            <w:r>
              <w:rPr>
                <w:rFonts w:ascii="Calibri" w:hAnsi="Calibri"/>
                <w:b w:val="0"/>
                <w:i w:val="0"/>
                <w:color w:val="212121"/>
                <w:sz w:val="19"/>
              </w:rPr>
              <w:t>No disproportionate symptoms</w:t>
            </w:r>
          </w:p>
        </w:tc>
        <w:tc>
          <w:tcPr>
            <w:tcW w:type="dxa" w:w="1512"/>
            <w:vAlign w:val="top"/>
          </w:tcPr>
          <w:p>
            <w:pPr>
              <w:spacing w:after="40" w:before="0" w:line="259" w:lineRule="auto"/>
            </w:pPr>
            <w:r>
              <w:rPr>
                <w:rFonts w:ascii="Calibri" w:hAnsi="Calibri"/>
                <w:b w:val="0"/>
                <w:i w:val="0"/>
                <w:color w:val="212121"/>
                <w:sz w:val="19"/>
              </w:rPr>
              <w:t>Symptoms within 1-3 months of an identifiable stressor with impairment</w:t>
            </w:r>
          </w:p>
        </w:tc>
        <w:tc>
          <w:tcPr>
            <w:tcW w:type="dxa" w:w="1468"/>
            <w:vAlign w:val="top"/>
          </w:tcPr>
          <w:p>
            <w:pPr>
              <w:spacing w:after="40" w:before="0" w:line="259" w:lineRule="auto"/>
            </w:pPr>
            <w:r>
              <w:rPr>
                <w:rFonts w:ascii="Calibri" w:hAnsi="Calibri"/>
                <w:b w:val="0"/>
                <w:i w:val="0"/>
                <w:color w:val="212121"/>
                <w:sz w:val="19"/>
              </w:rPr>
              <w:t>Temporal link is central to diagnosis (ICD-11 within 1 mo; DSM-5 within 3 mo)</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Suicide risk (C-SSRS / clinical)</w:t>
            </w:r>
          </w:p>
        </w:tc>
        <w:tc>
          <w:tcPr>
            <w:tcW w:type="dxa" w:w="1655"/>
            <w:vAlign w:val="top"/>
          </w:tcPr>
          <w:p>
            <w:pPr>
              <w:spacing w:after="40" w:before="0" w:line="259" w:lineRule="auto"/>
            </w:pPr>
            <w:r>
              <w:rPr>
                <w:rFonts w:ascii="Calibri" w:hAnsi="Calibri"/>
                <w:b w:val="0"/>
                <w:i w:val="0"/>
                <w:color w:val="212121"/>
                <w:sz w:val="19"/>
              </w:rPr>
              <w:t>Adults and adolescents</w:t>
            </w:r>
          </w:p>
        </w:tc>
        <w:tc>
          <w:tcPr>
            <w:tcW w:type="dxa" w:w="1512"/>
            <w:vAlign w:val="top"/>
          </w:tcPr>
          <w:p>
            <w:pPr>
              <w:spacing w:after="40" w:before="0" w:line="259" w:lineRule="auto"/>
            </w:pPr>
            <w:r>
              <w:rPr>
                <w:rFonts w:ascii="Calibri" w:hAnsi="Calibri"/>
                <w:b w:val="0"/>
                <w:i w:val="0"/>
                <w:color w:val="212121"/>
                <w:sz w:val="19"/>
              </w:rPr>
              <w:t>No ideation or intent</w:t>
            </w:r>
          </w:p>
        </w:tc>
        <w:tc>
          <w:tcPr>
            <w:tcW w:type="dxa" w:w="1512"/>
            <w:vAlign w:val="top"/>
          </w:tcPr>
          <w:p>
            <w:pPr>
              <w:spacing w:after="40" w:before="0" w:line="259" w:lineRule="auto"/>
            </w:pPr>
            <w:r>
              <w:rPr>
                <w:rFonts w:ascii="Calibri" w:hAnsi="Calibri"/>
                <w:b w:val="0"/>
                <w:i w:val="0"/>
                <w:color w:val="212121"/>
                <w:sz w:val="19"/>
              </w:rPr>
              <w:t>Any active ideation, plan or self-harm</w:t>
            </w:r>
          </w:p>
        </w:tc>
        <w:tc>
          <w:tcPr>
            <w:tcW w:type="dxa" w:w="1468"/>
            <w:vAlign w:val="top"/>
          </w:tcPr>
          <w:p>
            <w:pPr>
              <w:spacing w:after="40" w:before="0" w:line="259" w:lineRule="auto"/>
            </w:pPr>
            <w:r>
              <w:rPr>
                <w:rFonts w:ascii="Calibri" w:hAnsi="Calibri"/>
                <w:b w:val="0"/>
                <w:i w:val="0"/>
                <w:color w:val="212121"/>
                <w:sz w:val="19"/>
              </w:rPr>
              <w:t>AD carries a markedly elevated and often rapid suicide risk</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Thyroid-Stimulating Hormone (TSH)</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0.4-4.0 mIU/L</w:t>
            </w:r>
          </w:p>
        </w:tc>
        <w:tc>
          <w:tcPr>
            <w:tcW w:type="dxa" w:w="950"/>
            <w:vAlign w:val="top"/>
          </w:tcPr>
          <w:p>
            <w:pPr>
              <w:spacing w:after="40" w:before="0" w:line="259" w:lineRule="auto"/>
            </w:pPr>
            <w:r>
              <w:rPr>
                <w:rFonts w:ascii="Calibri" w:hAnsi="Calibri"/>
                <w:b w:val="0"/>
                <w:i w:val="0"/>
                <w:color w:val="212121"/>
                <w:sz w:val="16"/>
              </w:rPr>
              <w:t>less than 0.4 or greater than 4.0 mIU/L</w:t>
            </w:r>
          </w:p>
        </w:tc>
        <w:tc>
          <w:tcPr>
            <w:tcW w:type="dxa" w:w="1036"/>
            <w:vAlign w:val="top"/>
          </w:tcPr>
          <w:p>
            <w:pPr>
              <w:spacing w:after="40" w:before="0" w:line="259" w:lineRule="auto"/>
            </w:pPr>
            <w:r>
              <w:rPr>
                <w:rFonts w:ascii="Calibri" w:hAnsi="Calibri"/>
                <w:b w:val="0"/>
                <w:i w:val="0"/>
                <w:color w:val="212121"/>
                <w:sz w:val="16"/>
              </w:rPr>
              <w:t>Excludes thyroid dysfunction mimicking anxiety or depressed mood</w:t>
            </w:r>
          </w:p>
        </w:tc>
        <w:tc>
          <w:tcPr>
            <w:tcW w:type="dxa" w:w="1036"/>
            <w:vAlign w:val="top"/>
          </w:tcPr>
          <w:p>
            <w:pPr>
              <w:spacing w:after="40" w:before="0" w:line="259" w:lineRule="auto"/>
            </w:pPr>
            <w:r>
              <w:rPr>
                <w:rFonts w:ascii="Calibri" w:hAnsi="Calibri"/>
                <w:b w:val="0"/>
                <w:i w:val="0"/>
                <w:color w:val="212121"/>
                <w:sz w:val="16"/>
              </w:rPr>
              <w:t>Adults with new mood/anxiety symptoms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Exclusionary</w:t>
            </w:r>
          </w:p>
        </w:tc>
        <w:tc>
          <w:tcPr>
            <w:tcW w:type="dxa" w:w="720"/>
            <w:vAlign w:val="top"/>
          </w:tcPr>
          <w:p>
            <w:pPr>
              <w:spacing w:after="40" w:before="0" w:line="259" w:lineRule="auto"/>
            </w:pPr>
            <w:r>
              <w:rPr>
                <w:rFonts w:ascii="Calibri" w:hAnsi="Calibri"/>
                <w:b w:val="0"/>
                <w:i w:val="0"/>
                <w:color w:val="212121"/>
                <w:sz w:val="16"/>
              </w:rPr>
              <w:t>Check if symptoms are atypical or persistent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Complete Blood Count (Haemoglobin)</w:t>
            </w:r>
          </w:p>
        </w:tc>
        <w:tc>
          <w:tcPr>
            <w:tcW w:type="dxa" w:w="892"/>
            <w:vAlign w:val="top"/>
          </w:tcPr>
          <w:p>
            <w:pPr>
              <w:spacing w:after="40" w:before="0" w:line="259" w:lineRule="auto"/>
            </w:pPr>
            <w:r>
              <w:rPr>
                <w:rFonts w:ascii="Calibri" w:hAnsi="Calibri"/>
                <w:b w:val="0"/>
                <w:i w:val="0"/>
                <w:color w:val="212121"/>
                <w:sz w:val="16"/>
              </w:rPr>
              <w:t>Haemogram</w:t>
            </w:r>
          </w:p>
        </w:tc>
        <w:tc>
          <w:tcPr>
            <w:tcW w:type="dxa" w:w="950"/>
            <w:vAlign w:val="top"/>
          </w:tcPr>
          <w:p>
            <w:pPr>
              <w:spacing w:after="40" w:before="0" w:line="259" w:lineRule="auto"/>
            </w:pPr>
            <w:r>
              <w:rPr>
                <w:rFonts w:ascii="Calibri" w:hAnsi="Calibri"/>
                <w:b w:val="0"/>
                <w:i w:val="0"/>
                <w:color w:val="212121"/>
                <w:sz w:val="16"/>
              </w:rPr>
              <w:t>M 13-17, F 12-15 g/dL</w:t>
            </w:r>
          </w:p>
        </w:tc>
        <w:tc>
          <w:tcPr>
            <w:tcW w:type="dxa" w:w="950"/>
            <w:vAlign w:val="top"/>
          </w:tcPr>
          <w:p>
            <w:pPr>
              <w:spacing w:after="40" w:before="0" w:line="259" w:lineRule="auto"/>
            </w:pPr>
            <w:r>
              <w:rPr>
                <w:rFonts w:ascii="Calibri" w:hAnsi="Calibri"/>
                <w:b w:val="0"/>
                <w:i w:val="0"/>
                <w:color w:val="212121"/>
                <w:sz w:val="16"/>
              </w:rPr>
              <w:t>Anaemia (low Hb)</w:t>
            </w:r>
          </w:p>
        </w:tc>
        <w:tc>
          <w:tcPr>
            <w:tcW w:type="dxa" w:w="1036"/>
            <w:vAlign w:val="top"/>
          </w:tcPr>
          <w:p>
            <w:pPr>
              <w:spacing w:after="40" w:before="0" w:line="259" w:lineRule="auto"/>
            </w:pPr>
            <w:r>
              <w:rPr>
                <w:rFonts w:ascii="Calibri" w:hAnsi="Calibri"/>
                <w:b w:val="0"/>
                <w:i w:val="0"/>
                <w:color w:val="212121"/>
                <w:sz w:val="16"/>
              </w:rPr>
              <w:t>Excludes anaemia causing fatigue and poor concentration</w:t>
            </w:r>
          </w:p>
        </w:tc>
        <w:tc>
          <w:tcPr>
            <w:tcW w:type="dxa" w:w="1036"/>
            <w:vAlign w:val="top"/>
          </w:tcPr>
          <w:p>
            <w:pPr>
              <w:spacing w:after="40" w:before="0" w:line="259" w:lineRule="auto"/>
            </w:pPr>
            <w:r>
              <w:rPr>
                <w:rFonts w:ascii="Calibri" w:hAnsi="Calibri"/>
                <w:b w:val="0"/>
                <w:i w:val="0"/>
                <w:color w:val="212121"/>
                <w:sz w:val="16"/>
              </w:rPr>
              <w:t>Fatigued patients, women of reproductive age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Exclusionary</w:t>
            </w:r>
          </w:p>
        </w:tc>
        <w:tc>
          <w:tcPr>
            <w:tcW w:type="dxa" w:w="720"/>
            <w:vAlign w:val="top"/>
          </w:tcPr>
          <w:p>
            <w:pPr>
              <w:spacing w:after="40" w:before="0" w:line="259" w:lineRule="auto"/>
            </w:pPr>
            <w:r>
              <w:rPr>
                <w:rFonts w:ascii="Calibri" w:hAnsi="Calibri"/>
                <w:b w:val="0"/>
                <w:i w:val="0"/>
                <w:color w:val="212121"/>
                <w:sz w:val="16"/>
              </w:rPr>
              <w:t>Iron-deficiency anaemia is highly prevalent in Indian women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Vitamin B12 / Vitamin D</w:t>
            </w:r>
          </w:p>
        </w:tc>
        <w:tc>
          <w:tcPr>
            <w:tcW w:type="dxa" w:w="892"/>
            <w:vAlign w:val="top"/>
          </w:tcPr>
          <w:p>
            <w:pPr>
              <w:spacing w:after="40" w:before="0" w:line="259" w:lineRule="auto"/>
            </w:pPr>
            <w:r>
              <w:rPr>
                <w:rFonts w:ascii="Calibri" w:hAnsi="Calibri"/>
                <w:b w:val="0"/>
                <w:i w:val="0"/>
                <w:color w:val="212121"/>
                <w:sz w:val="16"/>
              </w:rPr>
              <w:t>Micronutrient assay</w:t>
            </w:r>
          </w:p>
        </w:tc>
        <w:tc>
          <w:tcPr>
            <w:tcW w:type="dxa" w:w="950"/>
            <w:vAlign w:val="top"/>
          </w:tcPr>
          <w:p>
            <w:pPr>
              <w:spacing w:after="40" w:before="0" w:line="259" w:lineRule="auto"/>
            </w:pPr>
            <w:r>
              <w:rPr>
                <w:rFonts w:ascii="Calibri" w:hAnsi="Calibri"/>
                <w:b w:val="0"/>
                <w:i w:val="0"/>
                <w:color w:val="212121"/>
                <w:sz w:val="16"/>
              </w:rPr>
              <w:t>B12 over 200 pg/mL; 25-OH-D over 20 ng/mL</w:t>
            </w:r>
          </w:p>
        </w:tc>
        <w:tc>
          <w:tcPr>
            <w:tcW w:type="dxa" w:w="950"/>
            <w:vAlign w:val="top"/>
          </w:tcPr>
          <w:p>
            <w:pPr>
              <w:spacing w:after="40" w:before="0" w:line="259" w:lineRule="auto"/>
            </w:pPr>
            <w:r>
              <w:rPr>
                <w:rFonts w:ascii="Calibri" w:hAnsi="Calibri"/>
                <w:b w:val="0"/>
                <w:i w:val="0"/>
                <w:color w:val="212121"/>
                <w:sz w:val="16"/>
              </w:rPr>
              <w:t>Deficient levels</w:t>
            </w:r>
          </w:p>
        </w:tc>
        <w:tc>
          <w:tcPr>
            <w:tcW w:type="dxa" w:w="1036"/>
            <w:vAlign w:val="top"/>
          </w:tcPr>
          <w:p>
            <w:pPr>
              <w:spacing w:after="40" w:before="0" w:line="259" w:lineRule="auto"/>
            </w:pPr>
            <w:r>
              <w:rPr>
                <w:rFonts w:ascii="Calibri" w:hAnsi="Calibri"/>
                <w:b w:val="0"/>
                <w:i w:val="0"/>
                <w:color w:val="212121"/>
                <w:sz w:val="16"/>
              </w:rPr>
              <w:t>Deficiency can mimic low mood, fatigue and poor concentration</w:t>
            </w:r>
          </w:p>
        </w:tc>
        <w:tc>
          <w:tcPr>
            <w:tcW w:type="dxa" w:w="1036"/>
            <w:vAlign w:val="top"/>
          </w:tcPr>
          <w:p>
            <w:pPr>
              <w:spacing w:after="40" w:before="0" w:line="259" w:lineRule="auto"/>
            </w:pPr>
            <w:r>
              <w:rPr>
                <w:rFonts w:ascii="Calibri" w:hAnsi="Calibri"/>
                <w:b w:val="0"/>
                <w:i w:val="0"/>
                <w:color w:val="212121"/>
                <w:sz w:val="16"/>
              </w:rPr>
              <w:t>Vegetarian, elderly, low sun exposure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Both deficiencies are common in India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FBS 70-99 mg/dL; HbA1c under 5.7%</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Screens for diabetes as a chronic-illness stressor and comorbidity</w:t>
            </w:r>
          </w:p>
        </w:tc>
        <w:tc>
          <w:tcPr>
            <w:tcW w:type="dxa" w:w="1036"/>
            <w:vAlign w:val="top"/>
          </w:tcPr>
          <w:p>
            <w:pPr>
              <w:spacing w:after="40" w:before="0" w:line="259" w:lineRule="auto"/>
            </w:pPr>
            <w:r>
              <w:rPr>
                <w:rFonts w:ascii="Calibri" w:hAnsi="Calibri"/>
                <w:b w:val="0"/>
                <w:i w:val="0"/>
                <w:color w:val="212121"/>
                <w:sz w:val="16"/>
              </w:rPr>
              <w:t>Overweight, family history of diabetes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 new diagnosis may itself be the precipitating stressor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Toxicology</w:t>
            </w:r>
          </w:p>
        </w:tc>
        <w:tc>
          <w:tcPr>
            <w:tcW w:type="dxa" w:w="1036"/>
            <w:vAlign w:val="top"/>
          </w:tcPr>
          <w:p>
            <w:pPr>
              <w:spacing w:after="40" w:before="0" w:line="259" w:lineRule="auto"/>
            </w:pPr>
            <w:r>
              <w:rPr>
                <w:rFonts w:ascii="Calibri" w:hAnsi="Calibri"/>
                <w:b w:val="0"/>
                <w:i w:val="0"/>
                <w:color w:val="212121"/>
                <w:sz w:val="16"/>
              </w:rPr>
              <w:t>Urine drug screen / blood alcohol</w:t>
            </w:r>
          </w:p>
        </w:tc>
        <w:tc>
          <w:tcPr>
            <w:tcW w:type="dxa" w:w="892"/>
            <w:vAlign w:val="top"/>
          </w:tcPr>
          <w:p>
            <w:pPr>
              <w:spacing w:after="40" w:before="0" w:line="259" w:lineRule="auto"/>
            </w:pPr>
            <w:r>
              <w:rPr>
                <w:rFonts w:ascii="Calibri" w:hAnsi="Calibri"/>
                <w:b w:val="0"/>
                <w:i w:val="0"/>
                <w:color w:val="212121"/>
                <w:sz w:val="16"/>
              </w:rPr>
              <w:t>Substance screen</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Identifies substance use complicating or mimicking adjustment disorder</w:t>
            </w:r>
          </w:p>
        </w:tc>
        <w:tc>
          <w:tcPr>
            <w:tcW w:type="dxa" w:w="1036"/>
            <w:vAlign w:val="top"/>
          </w:tcPr>
          <w:p>
            <w:pPr>
              <w:spacing w:after="40" w:before="0" w:line="259" w:lineRule="auto"/>
            </w:pPr>
            <w:r>
              <w:rPr>
                <w:rFonts w:ascii="Calibri" w:hAnsi="Calibri"/>
                <w:b w:val="0"/>
                <w:i w:val="0"/>
                <w:color w:val="212121"/>
                <w:sz w:val="16"/>
              </w:rPr>
              <w:t>Alcohol or drug users, self-harm presentations</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Guides dual-diagnosis management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Electrolytes, renal &amp; liver function</w:t>
            </w:r>
          </w:p>
        </w:tc>
        <w:tc>
          <w:tcPr>
            <w:tcW w:type="dxa" w:w="892"/>
            <w:vAlign w:val="top"/>
          </w:tcPr>
          <w:p>
            <w:pPr>
              <w:spacing w:after="40" w:before="0" w:line="259" w:lineRule="auto"/>
            </w:pPr>
            <w:r>
              <w:rPr>
                <w:rFonts w:ascii="Calibri" w:hAnsi="Calibri"/>
                <w:b w:val="0"/>
                <w:i w:val="0"/>
                <w:color w:val="212121"/>
                <w:sz w:val="16"/>
              </w:rPr>
              <w:t>Metabolic panel</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Deranged values</w:t>
            </w:r>
          </w:p>
        </w:tc>
        <w:tc>
          <w:tcPr>
            <w:tcW w:type="dxa" w:w="1036"/>
            <w:vAlign w:val="top"/>
          </w:tcPr>
          <w:p>
            <w:pPr>
              <w:spacing w:after="40" w:before="0" w:line="259" w:lineRule="auto"/>
            </w:pPr>
            <w:r>
              <w:rPr>
                <w:rFonts w:ascii="Calibri" w:hAnsi="Calibri"/>
                <w:b w:val="0"/>
                <w:i w:val="0"/>
                <w:color w:val="212121"/>
                <w:sz w:val="16"/>
              </w:rPr>
              <w:t>Baseline before pharmacotherapy and excludes organic contributors</w:t>
            </w:r>
          </w:p>
        </w:tc>
        <w:tc>
          <w:tcPr>
            <w:tcW w:type="dxa" w:w="1036"/>
            <w:vAlign w:val="top"/>
          </w:tcPr>
          <w:p>
            <w:pPr>
              <w:spacing w:after="40" w:before="0" w:line="259" w:lineRule="auto"/>
            </w:pPr>
            <w:r>
              <w:rPr>
                <w:rFonts w:ascii="Calibri" w:hAnsi="Calibri"/>
                <w:b w:val="0"/>
                <w:i w:val="0"/>
                <w:color w:val="212121"/>
                <w:sz w:val="16"/>
              </w:rPr>
              <w:t>Elderly, heavy alcohol use</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Baseline</w:t>
            </w:r>
          </w:p>
        </w:tc>
        <w:tc>
          <w:tcPr>
            <w:tcW w:type="dxa" w:w="720"/>
            <w:vAlign w:val="top"/>
          </w:tcPr>
          <w:p>
            <w:pPr>
              <w:spacing w:after="40" w:before="0" w:line="259" w:lineRule="auto"/>
            </w:pPr>
            <w:r>
              <w:rPr>
                <w:rFonts w:ascii="Calibri" w:hAnsi="Calibri"/>
                <w:b w:val="0"/>
                <w:i w:val="0"/>
                <w:color w:val="212121"/>
                <w:sz w:val="16"/>
              </w:rPr>
              <w:t>Required before starting SSRIs or SNRIs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Stressor identification &amp; timeline</w:t>
            </w:r>
          </w:p>
        </w:tc>
        <w:tc>
          <w:tcPr>
            <w:tcW w:type="dxa" w:w="979"/>
            <w:vAlign w:val="top"/>
          </w:tcPr>
          <w:p>
            <w:pPr>
              <w:spacing w:after="40" w:before="0" w:line="259" w:lineRule="auto"/>
            </w:pPr>
            <w:r>
              <w:rPr>
                <w:rFonts w:ascii="Calibri" w:hAnsi="Calibri"/>
                <w:b w:val="0"/>
                <w:i w:val="0"/>
                <w:color w:val="212121"/>
                <w:sz w:val="16"/>
              </w:rPr>
              <w:t>Identifiable stressor within 1-3 months</w:t>
            </w:r>
          </w:p>
        </w:tc>
        <w:tc>
          <w:tcPr>
            <w:tcW w:type="dxa" w:w="950"/>
            <w:vAlign w:val="top"/>
          </w:tcPr>
          <w:p>
            <w:pPr>
              <w:spacing w:after="40" w:before="0" w:line="259" w:lineRule="auto"/>
            </w:pPr>
            <w:r>
              <w:rPr>
                <w:rFonts w:ascii="Calibri" w:hAnsi="Calibri"/>
                <w:b w:val="0"/>
                <w:i w:val="0"/>
                <w:color w:val="212121"/>
                <w:sz w:val="16"/>
              </w:rPr>
              <w:t>No disproportionate reaction</w:t>
            </w:r>
          </w:p>
        </w:tc>
        <w:tc>
          <w:tcPr>
            <w:tcW w:type="dxa" w:w="950"/>
            <w:vAlign w:val="top"/>
          </w:tcPr>
          <w:p>
            <w:pPr>
              <w:spacing w:after="40" w:before="0" w:line="259" w:lineRule="auto"/>
            </w:pPr>
            <w:r>
              <w:rPr>
                <w:rFonts w:ascii="Calibri" w:hAnsi="Calibri"/>
                <w:b w:val="0"/>
                <w:i w:val="0"/>
                <w:color w:val="212121"/>
                <w:sz w:val="16"/>
              </w:rPr>
              <w:t>Clear stressor with excessive distress or impairment</w:t>
            </w:r>
          </w:p>
        </w:tc>
        <w:tc>
          <w:tcPr>
            <w:tcW w:type="dxa" w:w="1036"/>
            <w:vAlign w:val="top"/>
          </w:tcPr>
          <w:p>
            <w:pPr>
              <w:spacing w:after="40" w:before="0" w:line="259" w:lineRule="auto"/>
            </w:pPr>
            <w:r>
              <w:rPr>
                <w:rFonts w:ascii="Calibri" w:hAnsi="Calibri"/>
                <w:b w:val="0"/>
                <w:i w:val="0"/>
                <w:color w:val="212121"/>
                <w:sz w:val="16"/>
              </w:rPr>
              <w:t>Establishes the temporal, causal link central to diagnosis</w:t>
            </w:r>
          </w:p>
        </w:tc>
        <w:tc>
          <w:tcPr>
            <w:tcW w:type="dxa" w:w="1036"/>
            <w:vAlign w:val="top"/>
          </w:tcPr>
          <w:p>
            <w:pPr>
              <w:spacing w:after="40" w:before="0" w:line="259" w:lineRule="auto"/>
            </w:pPr>
            <w:r>
              <w:rPr>
                <w:rFonts w:ascii="Calibri" w:hAnsi="Calibri"/>
                <w:b w:val="0"/>
                <w:i w:val="0"/>
                <w:color w:val="212121"/>
                <w:sz w:val="16"/>
              </w:rPr>
              <w:t>All suspected AD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Document nature, number and chronicity of stressors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Functional impairment assessment</w:t>
            </w:r>
          </w:p>
        </w:tc>
        <w:tc>
          <w:tcPr>
            <w:tcW w:type="dxa" w:w="979"/>
            <w:vAlign w:val="top"/>
          </w:tcPr>
          <w:p>
            <w:pPr>
              <w:spacing w:after="40" w:before="0" w:line="259" w:lineRule="auto"/>
            </w:pPr>
            <w:r>
              <w:rPr>
                <w:rFonts w:ascii="Calibri" w:hAnsi="Calibri"/>
                <w:b w:val="0"/>
                <w:i w:val="0"/>
                <w:color w:val="212121"/>
                <w:sz w:val="16"/>
              </w:rPr>
              <w:t>Work, academic, social and family functioning</w:t>
            </w:r>
          </w:p>
        </w:tc>
        <w:tc>
          <w:tcPr>
            <w:tcW w:type="dxa" w:w="950"/>
            <w:vAlign w:val="top"/>
          </w:tcPr>
          <w:p>
            <w:pPr>
              <w:spacing w:after="40" w:before="0" w:line="259" w:lineRule="auto"/>
            </w:pPr>
            <w:r>
              <w:rPr>
                <w:rFonts w:ascii="Calibri" w:hAnsi="Calibri"/>
                <w:b w:val="0"/>
                <w:i w:val="0"/>
                <w:color w:val="212121"/>
                <w:sz w:val="16"/>
              </w:rPr>
              <w:t>Functioning maintained</w:t>
            </w:r>
          </w:p>
        </w:tc>
        <w:tc>
          <w:tcPr>
            <w:tcW w:type="dxa" w:w="950"/>
            <w:vAlign w:val="top"/>
          </w:tcPr>
          <w:p>
            <w:pPr>
              <w:spacing w:after="40" w:before="0" w:line="259" w:lineRule="auto"/>
            </w:pPr>
            <w:r>
              <w:rPr>
                <w:rFonts w:ascii="Calibri" w:hAnsi="Calibri"/>
                <w:b w:val="0"/>
                <w:i w:val="0"/>
                <w:color w:val="212121"/>
                <w:sz w:val="16"/>
              </w:rPr>
              <w:t>Decline in one or more domains</w:t>
            </w:r>
          </w:p>
        </w:tc>
        <w:tc>
          <w:tcPr>
            <w:tcW w:type="dxa" w:w="1036"/>
            <w:vAlign w:val="top"/>
          </w:tcPr>
          <w:p>
            <w:pPr>
              <w:spacing w:after="40" w:before="0" w:line="259" w:lineRule="auto"/>
            </w:pPr>
            <w:r>
              <w:rPr>
                <w:rFonts w:ascii="Calibri" w:hAnsi="Calibri"/>
                <w:b w:val="0"/>
                <w:i w:val="0"/>
                <w:color w:val="212121"/>
                <w:sz w:val="16"/>
              </w:rPr>
              <w:t>Impairment (or marked distress) is required for diagnosis</w:t>
            </w:r>
          </w:p>
        </w:tc>
        <w:tc>
          <w:tcPr>
            <w:tcW w:type="dxa" w:w="1036"/>
            <w:vAlign w:val="top"/>
          </w:tcPr>
          <w:p>
            <w:pPr>
              <w:spacing w:after="40" w:before="0" w:line="259" w:lineRule="auto"/>
            </w:pPr>
            <w:r>
              <w:rPr>
                <w:rFonts w:ascii="Calibri" w:hAnsi="Calibri"/>
                <w:b w:val="0"/>
                <w:i w:val="0"/>
                <w:color w:val="212121"/>
                <w:sz w:val="16"/>
              </w:rPr>
              <w:t>Students, employees, caregivers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Corroborate with collateral history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Mental State Exam</w:t>
            </w:r>
          </w:p>
        </w:tc>
        <w:tc>
          <w:tcPr>
            <w:tcW w:type="dxa" w:w="950"/>
            <w:vAlign w:val="top"/>
          </w:tcPr>
          <w:p>
            <w:pPr>
              <w:spacing w:after="40" w:before="0" w:line="259" w:lineRule="auto"/>
            </w:pPr>
            <w:r>
              <w:rPr>
                <w:rFonts w:ascii="Calibri" w:hAnsi="Calibri"/>
                <w:b w:val="0"/>
                <w:i w:val="0"/>
                <w:color w:val="212121"/>
                <w:sz w:val="16"/>
              </w:rPr>
              <w:t>Mood, affect &amp; preoccupation</w:t>
            </w:r>
          </w:p>
        </w:tc>
        <w:tc>
          <w:tcPr>
            <w:tcW w:type="dxa" w:w="979"/>
            <w:vAlign w:val="top"/>
          </w:tcPr>
          <w:p>
            <w:pPr>
              <w:spacing w:after="40" w:before="0" w:line="259" w:lineRule="auto"/>
            </w:pPr>
            <w:r>
              <w:rPr>
                <w:rFonts w:ascii="Calibri" w:hAnsi="Calibri"/>
                <w:b w:val="0"/>
                <w:i w:val="0"/>
                <w:color w:val="212121"/>
                <w:sz w:val="16"/>
              </w:rPr>
              <w:t>Depressed/anxious affect, rumination on the stressor</w:t>
            </w:r>
          </w:p>
        </w:tc>
        <w:tc>
          <w:tcPr>
            <w:tcW w:type="dxa" w:w="950"/>
            <w:vAlign w:val="top"/>
          </w:tcPr>
          <w:p>
            <w:pPr>
              <w:spacing w:after="40" w:before="0" w:line="259" w:lineRule="auto"/>
            </w:pPr>
            <w:r>
              <w:rPr>
                <w:rFonts w:ascii="Calibri" w:hAnsi="Calibri"/>
                <w:b w:val="0"/>
                <w:i w:val="0"/>
                <w:color w:val="212121"/>
                <w:sz w:val="16"/>
              </w:rPr>
              <w:t>Euthymic, reactive affect</w:t>
            </w:r>
          </w:p>
        </w:tc>
        <w:tc>
          <w:tcPr>
            <w:tcW w:type="dxa" w:w="950"/>
            <w:vAlign w:val="top"/>
          </w:tcPr>
          <w:p>
            <w:pPr>
              <w:spacing w:after="40" w:before="0" w:line="259" w:lineRule="auto"/>
            </w:pPr>
            <w:r>
              <w:rPr>
                <w:rFonts w:ascii="Calibri" w:hAnsi="Calibri"/>
                <w:b w:val="0"/>
                <w:i w:val="0"/>
                <w:color w:val="212121"/>
                <w:sz w:val="16"/>
              </w:rPr>
              <w:t>Low or anxious affect, preoccupation, tearfulness</w:t>
            </w:r>
          </w:p>
        </w:tc>
        <w:tc>
          <w:tcPr>
            <w:tcW w:type="dxa" w:w="1036"/>
            <w:vAlign w:val="top"/>
          </w:tcPr>
          <w:p>
            <w:pPr>
              <w:spacing w:after="40" w:before="0" w:line="259" w:lineRule="auto"/>
            </w:pPr>
            <w:r>
              <w:rPr>
                <w:rFonts w:ascii="Calibri" w:hAnsi="Calibri"/>
                <w:b w:val="0"/>
                <w:i w:val="0"/>
                <w:color w:val="212121"/>
                <w:sz w:val="16"/>
              </w:rPr>
              <w:t>Characterises subtype and severity</w:t>
            </w:r>
          </w:p>
        </w:tc>
        <w:tc>
          <w:tcPr>
            <w:tcW w:type="dxa" w:w="1036"/>
            <w:vAlign w:val="top"/>
          </w:tcPr>
          <w:p>
            <w:pPr>
              <w:spacing w:after="40" w:before="0" w:line="259" w:lineRule="auto"/>
            </w:pPr>
            <w:r>
              <w:rPr>
                <w:rFonts w:ascii="Calibri" w:hAnsi="Calibri"/>
                <w:b w:val="0"/>
                <w:i w:val="0"/>
                <w:color w:val="212121"/>
                <w:sz w:val="16"/>
              </w:rPr>
              <w:t>All suspected AD</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Core</w:t>
            </w:r>
          </w:p>
        </w:tc>
        <w:tc>
          <w:tcPr>
            <w:tcW w:type="dxa" w:w="720"/>
            <w:vAlign w:val="top"/>
          </w:tcPr>
          <w:p>
            <w:pPr>
              <w:spacing w:after="40" w:before="0" w:line="259" w:lineRule="auto"/>
            </w:pPr>
            <w:r>
              <w:rPr>
                <w:rFonts w:ascii="Calibri" w:hAnsi="Calibri"/>
                <w:b w:val="0"/>
                <w:i w:val="0"/>
                <w:color w:val="212121"/>
                <w:sz w:val="16"/>
              </w:rPr>
              <w:t>ICD-11 emphasises preoccupation and failure to adapt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Risk assessment</w:t>
            </w:r>
          </w:p>
        </w:tc>
        <w:tc>
          <w:tcPr>
            <w:tcW w:type="dxa" w:w="950"/>
            <w:vAlign w:val="top"/>
          </w:tcPr>
          <w:p>
            <w:pPr>
              <w:spacing w:after="40" w:before="0" w:line="259" w:lineRule="auto"/>
            </w:pPr>
            <w:r>
              <w:rPr>
                <w:rFonts w:ascii="Calibri" w:hAnsi="Calibri"/>
                <w:b w:val="0"/>
                <w:i w:val="0"/>
                <w:color w:val="212121"/>
                <w:sz w:val="16"/>
              </w:rPr>
              <w:t>Suicide &amp; self-harm screen</w:t>
            </w:r>
          </w:p>
        </w:tc>
        <w:tc>
          <w:tcPr>
            <w:tcW w:type="dxa" w:w="979"/>
            <w:vAlign w:val="top"/>
          </w:tcPr>
          <w:p>
            <w:pPr>
              <w:spacing w:after="40" w:before="0" w:line="259" w:lineRule="auto"/>
            </w:pPr>
            <w:r>
              <w:rPr>
                <w:rFonts w:ascii="Calibri" w:hAnsi="Calibri"/>
                <w:b w:val="0"/>
                <w:i w:val="0"/>
                <w:color w:val="212121"/>
                <w:sz w:val="16"/>
              </w:rPr>
              <w:t>Ideation, plan, intent, past attempts</w:t>
            </w:r>
          </w:p>
        </w:tc>
        <w:tc>
          <w:tcPr>
            <w:tcW w:type="dxa" w:w="950"/>
            <w:vAlign w:val="top"/>
          </w:tcPr>
          <w:p>
            <w:pPr>
              <w:spacing w:after="40" w:before="0" w:line="259" w:lineRule="auto"/>
            </w:pPr>
            <w:r>
              <w:rPr>
                <w:rFonts w:ascii="Calibri" w:hAnsi="Calibri"/>
                <w:b w:val="0"/>
                <w:i w:val="0"/>
                <w:color w:val="212121"/>
                <w:sz w:val="16"/>
              </w:rPr>
              <w:t>None elicited</w:t>
            </w:r>
          </w:p>
        </w:tc>
        <w:tc>
          <w:tcPr>
            <w:tcW w:type="dxa" w:w="950"/>
            <w:vAlign w:val="top"/>
          </w:tcPr>
          <w:p>
            <w:pPr>
              <w:spacing w:after="40" w:before="0" w:line="259" w:lineRule="auto"/>
            </w:pPr>
            <w:r>
              <w:rPr>
                <w:rFonts w:ascii="Calibri" w:hAnsi="Calibri"/>
                <w:b w:val="0"/>
                <w:i w:val="0"/>
                <w:color w:val="212121"/>
                <w:sz w:val="16"/>
              </w:rPr>
              <w:t>Any ideation, plan or self-harm</w:t>
            </w:r>
          </w:p>
        </w:tc>
        <w:tc>
          <w:tcPr>
            <w:tcW w:type="dxa" w:w="1036"/>
            <w:vAlign w:val="top"/>
          </w:tcPr>
          <w:p>
            <w:pPr>
              <w:spacing w:after="40" w:before="0" w:line="259" w:lineRule="auto"/>
            </w:pPr>
            <w:r>
              <w:rPr>
                <w:rFonts w:ascii="Calibri" w:hAnsi="Calibri"/>
                <w:b w:val="0"/>
                <w:i w:val="0"/>
                <w:color w:val="212121"/>
                <w:sz w:val="16"/>
              </w:rPr>
              <w:t>AD carries a high and often rapid suicide risk</w:t>
            </w:r>
          </w:p>
        </w:tc>
        <w:tc>
          <w:tcPr>
            <w:tcW w:type="dxa" w:w="1036"/>
            <w:vAlign w:val="top"/>
          </w:tcPr>
          <w:p>
            <w:pPr>
              <w:spacing w:after="40" w:before="0" w:line="259" w:lineRule="auto"/>
            </w:pPr>
            <w:r>
              <w:rPr>
                <w:rFonts w:ascii="Calibri" w:hAnsi="Calibri"/>
                <w:b w:val="0"/>
                <w:i w:val="0"/>
                <w:color w:val="212121"/>
                <w:sz w:val="16"/>
              </w:rPr>
              <w:t>Adolescents, self-harm and ED presentations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Safety-critical</w:t>
            </w:r>
          </w:p>
        </w:tc>
        <w:tc>
          <w:tcPr>
            <w:tcW w:type="dxa" w:w="720"/>
            <w:vAlign w:val="top"/>
          </w:tcPr>
          <w:p>
            <w:pPr>
              <w:spacing w:after="40" w:before="0" w:line="259" w:lineRule="auto"/>
            </w:pPr>
            <w:r>
              <w:rPr>
                <w:rFonts w:ascii="Calibri" w:hAnsi="Calibri"/>
                <w:b w:val="0"/>
                <w:i w:val="0"/>
                <w:color w:val="212121"/>
                <w:sz w:val="16"/>
              </w:rPr>
              <w:t>A roughly 12-fold higher suicide rate has been reported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Screening scales</w:t>
            </w:r>
          </w:p>
        </w:tc>
        <w:tc>
          <w:tcPr>
            <w:tcW w:type="dxa" w:w="950"/>
            <w:vAlign w:val="top"/>
          </w:tcPr>
          <w:p>
            <w:pPr>
              <w:spacing w:after="40" w:before="0" w:line="259" w:lineRule="auto"/>
            </w:pPr>
            <w:r>
              <w:rPr>
                <w:rFonts w:ascii="Calibri" w:hAnsi="Calibri"/>
                <w:b w:val="0"/>
                <w:i w:val="0"/>
                <w:color w:val="212121"/>
                <w:sz w:val="16"/>
              </w:rPr>
              <w:t>ADNM-20 / PHQ-9 / GAD-7 / PSS-10</w:t>
            </w:r>
          </w:p>
        </w:tc>
        <w:tc>
          <w:tcPr>
            <w:tcW w:type="dxa" w:w="979"/>
            <w:vAlign w:val="top"/>
          </w:tcPr>
          <w:p>
            <w:pPr>
              <w:spacing w:after="40" w:before="0" w:line="259" w:lineRule="auto"/>
            </w:pPr>
            <w:r>
              <w:rPr>
                <w:rFonts w:ascii="Calibri" w:hAnsi="Calibri"/>
                <w:b w:val="0"/>
                <w:i w:val="0"/>
                <w:color w:val="212121"/>
                <w:sz w:val="16"/>
              </w:rPr>
              <w:t>Standardised symptom and stress scores</w:t>
            </w:r>
          </w:p>
        </w:tc>
        <w:tc>
          <w:tcPr>
            <w:tcW w:type="dxa" w:w="950"/>
            <w:vAlign w:val="top"/>
          </w:tcPr>
          <w:p>
            <w:pPr>
              <w:spacing w:after="40" w:before="0" w:line="259" w:lineRule="auto"/>
            </w:pPr>
            <w:r>
              <w:rPr>
                <w:rFonts w:ascii="Calibri" w:hAnsi="Calibri"/>
                <w:b w:val="0"/>
                <w:i w:val="0"/>
                <w:color w:val="212121"/>
                <w:sz w:val="16"/>
              </w:rPr>
              <w:t>Below cut-offs</w:t>
            </w:r>
          </w:p>
        </w:tc>
        <w:tc>
          <w:tcPr>
            <w:tcW w:type="dxa" w:w="950"/>
            <w:vAlign w:val="top"/>
          </w:tcPr>
          <w:p>
            <w:pPr>
              <w:spacing w:after="40" w:before="0" w:line="259" w:lineRule="auto"/>
            </w:pPr>
            <w:r>
              <w:rPr>
                <w:rFonts w:ascii="Calibri" w:hAnsi="Calibri"/>
                <w:b w:val="0"/>
                <w:i w:val="0"/>
                <w:color w:val="212121"/>
                <w:sz w:val="16"/>
              </w:rPr>
              <w:t>Above cut-offs</w:t>
            </w:r>
          </w:p>
        </w:tc>
        <w:tc>
          <w:tcPr>
            <w:tcW w:type="dxa" w:w="1036"/>
            <w:vAlign w:val="top"/>
          </w:tcPr>
          <w:p>
            <w:pPr>
              <w:spacing w:after="40" w:before="0" w:line="259" w:lineRule="auto"/>
            </w:pPr>
            <w:r>
              <w:rPr>
                <w:rFonts w:ascii="Calibri" w:hAnsi="Calibri"/>
                <w:b w:val="0"/>
                <w:i w:val="0"/>
                <w:color w:val="212121"/>
                <w:sz w:val="16"/>
              </w:rPr>
              <w:t>Quantifies severity, aids differentiation and monitors response</w:t>
            </w:r>
          </w:p>
        </w:tc>
        <w:tc>
          <w:tcPr>
            <w:tcW w:type="dxa" w:w="1036"/>
            <w:vAlign w:val="top"/>
          </w:tcPr>
          <w:p>
            <w:pPr>
              <w:spacing w:after="40" w:before="0" w:line="259" w:lineRule="auto"/>
            </w:pPr>
            <w:r>
              <w:rPr>
                <w:rFonts w:ascii="Calibri" w:hAnsi="Calibri"/>
                <w:b w:val="0"/>
                <w:i w:val="0"/>
                <w:color w:val="212121"/>
                <w:sz w:val="16"/>
              </w:rPr>
              <w:t>Primary care, students, liaison settings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ADNM is specific to adjustment disorder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Substance &amp; coping history</w:t>
            </w:r>
          </w:p>
        </w:tc>
        <w:tc>
          <w:tcPr>
            <w:tcW w:type="dxa" w:w="979"/>
            <w:vAlign w:val="top"/>
          </w:tcPr>
          <w:p>
            <w:pPr>
              <w:spacing w:after="40" w:before="0" w:line="259" w:lineRule="auto"/>
            </w:pPr>
            <w:r>
              <w:rPr>
                <w:rFonts w:ascii="Calibri" w:hAnsi="Calibri"/>
                <w:b w:val="0"/>
                <w:i w:val="0"/>
                <w:color w:val="212121"/>
                <w:sz w:val="16"/>
              </w:rPr>
              <w:t>Alcohol/tobacco/drug use; coping style; support</w:t>
            </w:r>
          </w:p>
        </w:tc>
        <w:tc>
          <w:tcPr>
            <w:tcW w:type="dxa" w:w="950"/>
            <w:vAlign w:val="top"/>
          </w:tcPr>
          <w:p>
            <w:pPr>
              <w:spacing w:after="40" w:before="0" w:line="259" w:lineRule="auto"/>
            </w:pPr>
            <w:r>
              <w:rPr>
                <w:rFonts w:ascii="Calibri" w:hAnsi="Calibri"/>
                <w:b w:val="0"/>
                <w:i w:val="0"/>
                <w:color w:val="212121"/>
                <w:sz w:val="16"/>
              </w:rPr>
              <w:t>Adaptive coping, good support</w:t>
            </w:r>
          </w:p>
        </w:tc>
        <w:tc>
          <w:tcPr>
            <w:tcW w:type="dxa" w:w="950"/>
            <w:vAlign w:val="top"/>
          </w:tcPr>
          <w:p>
            <w:pPr>
              <w:spacing w:after="40" w:before="0" w:line="259" w:lineRule="auto"/>
            </w:pPr>
            <w:r>
              <w:rPr>
                <w:rFonts w:ascii="Calibri" w:hAnsi="Calibri"/>
                <w:b w:val="0"/>
                <w:i w:val="0"/>
                <w:color w:val="212121"/>
                <w:sz w:val="16"/>
              </w:rPr>
              <w:t>Self-medication, poor support</w:t>
            </w:r>
          </w:p>
        </w:tc>
        <w:tc>
          <w:tcPr>
            <w:tcW w:type="dxa" w:w="1036"/>
            <w:vAlign w:val="top"/>
          </w:tcPr>
          <w:p>
            <w:pPr>
              <w:spacing w:after="40" w:before="0" w:line="259" w:lineRule="auto"/>
            </w:pPr>
            <w:r>
              <w:rPr>
                <w:rFonts w:ascii="Calibri" w:hAnsi="Calibri"/>
                <w:b w:val="0"/>
                <w:i w:val="0"/>
                <w:color w:val="212121"/>
                <w:sz w:val="16"/>
              </w:rPr>
              <w:t>Identifies maladaptive coping and comorbidity</w:t>
            </w:r>
          </w:p>
        </w:tc>
        <w:tc>
          <w:tcPr>
            <w:tcW w:type="dxa" w:w="1036"/>
            <w:vAlign w:val="top"/>
          </w:tcPr>
          <w:p>
            <w:pPr>
              <w:spacing w:after="40" w:before="0" w:line="259" w:lineRule="auto"/>
            </w:pPr>
            <w:r>
              <w:rPr>
                <w:rFonts w:ascii="Calibri" w:hAnsi="Calibri"/>
                <w:b w:val="0"/>
                <w:i w:val="0"/>
                <w:color w:val="212121"/>
                <w:sz w:val="16"/>
              </w:rPr>
              <w:t>Alcohol and tobacco users, socially isolated</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Shapes the treatment plan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Differential &amp; duration review</w:t>
            </w:r>
          </w:p>
        </w:tc>
        <w:tc>
          <w:tcPr>
            <w:tcW w:type="dxa" w:w="979"/>
            <w:vAlign w:val="top"/>
          </w:tcPr>
          <w:p>
            <w:pPr>
              <w:spacing w:after="40" w:before="0" w:line="259" w:lineRule="auto"/>
            </w:pPr>
            <w:r>
              <w:rPr>
                <w:rFonts w:ascii="Calibri" w:hAnsi="Calibri"/>
                <w:b w:val="0"/>
                <w:i w:val="0"/>
                <w:color w:val="212121"/>
                <w:sz w:val="16"/>
              </w:rPr>
              <w:t>Symptom duration and criteria for other disorders</w:t>
            </w:r>
          </w:p>
        </w:tc>
        <w:tc>
          <w:tcPr>
            <w:tcW w:type="dxa" w:w="950"/>
            <w:vAlign w:val="top"/>
          </w:tcPr>
          <w:p>
            <w:pPr>
              <w:spacing w:after="40" w:before="0" w:line="259" w:lineRule="auto"/>
            </w:pPr>
            <w:r>
              <w:rPr>
                <w:rFonts w:ascii="Calibri" w:hAnsi="Calibri"/>
                <w:b w:val="0"/>
                <w:i w:val="0"/>
                <w:color w:val="212121"/>
                <w:sz w:val="16"/>
              </w:rPr>
              <w:t>Resolves within 6 mo after stressor ends</w:t>
            </w:r>
          </w:p>
        </w:tc>
        <w:tc>
          <w:tcPr>
            <w:tcW w:type="dxa" w:w="950"/>
            <w:vAlign w:val="top"/>
          </w:tcPr>
          <w:p>
            <w:pPr>
              <w:spacing w:after="40" w:before="0" w:line="259" w:lineRule="auto"/>
            </w:pPr>
            <w:r>
              <w:rPr>
                <w:rFonts w:ascii="Calibri" w:hAnsi="Calibri"/>
                <w:b w:val="0"/>
                <w:i w:val="0"/>
                <w:color w:val="212121"/>
                <w:sz w:val="16"/>
              </w:rPr>
              <w:t>Over 6 mo persistence, or meets MDD/GAD/PTSD criteria</w:t>
            </w:r>
          </w:p>
        </w:tc>
        <w:tc>
          <w:tcPr>
            <w:tcW w:type="dxa" w:w="1036"/>
            <w:vAlign w:val="top"/>
          </w:tcPr>
          <w:p>
            <w:pPr>
              <w:spacing w:after="40" w:before="0" w:line="259" w:lineRule="auto"/>
            </w:pPr>
            <w:r>
              <w:rPr>
                <w:rFonts w:ascii="Calibri" w:hAnsi="Calibri"/>
                <w:b w:val="0"/>
                <w:i w:val="0"/>
                <w:color w:val="212121"/>
                <w:sz w:val="16"/>
              </w:rPr>
              <w:t>Distinguishes AD from major disorders and chronic forms</w:t>
            </w:r>
          </w:p>
        </w:tc>
        <w:tc>
          <w:tcPr>
            <w:tcW w:type="dxa" w:w="1036"/>
            <w:vAlign w:val="top"/>
          </w:tcPr>
          <w:p>
            <w:pPr>
              <w:spacing w:after="40" w:before="0" w:line="259" w:lineRule="auto"/>
            </w:pPr>
            <w:r>
              <w:rPr>
                <w:rFonts w:ascii="Calibri" w:hAnsi="Calibri"/>
                <w:b w:val="0"/>
                <w:i w:val="0"/>
                <w:color w:val="212121"/>
                <w:sz w:val="16"/>
              </w:rPr>
              <w:t>Persistent or relapsing cases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Reclassify if criteria for another disorder are met</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Depressed mood / tearfulness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Low mood, sadness and crying spells tied to the stressor.</w:t>
            </w:r>
          </w:p>
        </w:tc>
      </w:tr>
      <w:tr>
        <w:trPr>
          <w:cantSplit/>
        </w:trPr>
        <w:tc>
          <w:tcPr>
            <w:tcW w:type="dxa" w:w="2304"/>
            <w:vAlign w:val="top"/>
          </w:tcPr>
          <w:p>
            <w:pPr>
              <w:spacing w:after="40" w:before="0" w:line="259" w:lineRule="auto"/>
            </w:pPr>
            <w:r>
              <w:rPr>
                <w:rFonts w:ascii="Calibri" w:hAnsi="Calibri"/>
                <w:b/>
                <w:i w:val="0"/>
                <w:color w:val="212121"/>
                <w:sz w:val="19"/>
              </w:rPr>
              <w:t>Anxiety, worry or nervousness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Apprehension and tension, sometimes with restlessness or, in children, separation anxiety.</w:t>
            </w:r>
          </w:p>
        </w:tc>
      </w:tr>
      <w:tr>
        <w:trPr>
          <w:cantSplit/>
        </w:trPr>
        <w:tc>
          <w:tcPr>
            <w:tcW w:type="dxa" w:w="2304"/>
            <w:vAlign w:val="top"/>
          </w:tcPr>
          <w:p>
            <w:pPr>
              <w:spacing w:after="40" w:before="0" w:line="259" w:lineRule="auto"/>
            </w:pPr>
            <w:r>
              <w:rPr>
                <w:rFonts w:ascii="Calibri" w:hAnsi="Calibri"/>
                <w:b/>
                <w:i w:val="0"/>
                <w:color w:val="212121"/>
                <w:sz w:val="19"/>
              </w:rPr>
              <w:t>Preoccupation / rumination about the stressor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Persistent worry and recurrent distressing thoughts about the event, the ICD-11 core feature.</w:t>
            </w:r>
          </w:p>
        </w:tc>
      </w:tr>
      <w:tr>
        <w:trPr>
          <w:cantSplit/>
        </w:trPr>
        <w:tc>
          <w:tcPr>
            <w:tcW w:type="dxa" w:w="2304"/>
            <w:vAlign w:val="top"/>
          </w:tcPr>
          <w:p>
            <w:pPr>
              <w:spacing w:after="40" w:before="0" w:line="259" w:lineRule="auto"/>
            </w:pPr>
            <w:r>
              <w:rPr>
                <w:rFonts w:ascii="Calibri" w:hAnsi="Calibri"/>
                <w:b/>
                <w:i w:val="0"/>
                <w:color w:val="212121"/>
                <w:sz w:val="19"/>
              </w:rPr>
              <w:t>Feeling overwhelmed / unable to cope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sense that demands exceed one's capacity to manage them.</w:t>
            </w:r>
          </w:p>
        </w:tc>
      </w:tr>
      <w:tr>
        <w:trPr>
          <w:cantSplit/>
        </w:trPr>
        <w:tc>
          <w:tcPr>
            <w:tcW w:type="dxa" w:w="2304"/>
            <w:vAlign w:val="top"/>
          </w:tcPr>
          <w:p>
            <w:pPr>
              <w:spacing w:after="40" w:before="0" w:line="259" w:lineRule="auto"/>
            </w:pPr>
            <w:r>
              <w:rPr>
                <w:rFonts w:ascii="Calibri" w:hAnsi="Calibri"/>
                <w:b/>
                <w:i w:val="0"/>
                <w:color w:val="212121"/>
                <w:sz w:val="19"/>
              </w:rPr>
              <w:t>Difficulty concentrating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focus and decision-making, affecting work or study.</w:t>
            </w:r>
          </w:p>
        </w:tc>
      </w:tr>
      <w:tr>
        <w:trPr>
          <w:cantSplit/>
        </w:trPr>
        <w:tc>
          <w:tcPr>
            <w:tcW w:type="dxa" w:w="2304"/>
            <w:vAlign w:val="top"/>
          </w:tcPr>
          <w:p>
            <w:pPr>
              <w:spacing w:after="40" w:before="0" w:line="259" w:lineRule="auto"/>
            </w:pPr>
            <w:r>
              <w:rPr>
                <w:rFonts w:ascii="Calibri" w:hAnsi="Calibri"/>
                <w:b/>
                <w:i w:val="0"/>
                <w:color w:val="212121"/>
                <w:sz w:val="19"/>
              </w:rPr>
              <w:t>Sleep disturbance (insomnia)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Difficulty falling or staying asleep and unrefreshing sleep.</w:t>
            </w:r>
          </w:p>
        </w:tc>
      </w:tr>
      <w:tr>
        <w:trPr>
          <w:cantSplit/>
        </w:trPr>
        <w:tc>
          <w:tcPr>
            <w:tcW w:type="dxa" w:w="2304"/>
            <w:vAlign w:val="top"/>
          </w:tcPr>
          <w:p>
            <w:pPr>
              <w:spacing w:after="40" w:before="0" w:line="259" w:lineRule="auto"/>
            </w:pPr>
            <w:r>
              <w:rPr>
                <w:rFonts w:ascii="Calibri" w:hAnsi="Calibri"/>
                <w:b/>
                <w:i w:val="0"/>
                <w:color w:val="212121"/>
                <w:sz w:val="19"/>
              </w:rPr>
              <w:t>Irritability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Increased frustration and a short temper.</w:t>
            </w:r>
          </w:p>
        </w:tc>
      </w:tr>
      <w:tr>
        <w:trPr>
          <w:cantSplit/>
        </w:trPr>
        <w:tc>
          <w:tcPr>
            <w:tcW w:type="dxa" w:w="2304"/>
            <w:vAlign w:val="top"/>
          </w:tcPr>
          <w:p>
            <w:pPr>
              <w:spacing w:after="40" w:before="0" w:line="259" w:lineRule="auto"/>
            </w:pPr>
            <w:r>
              <w:rPr>
                <w:rFonts w:ascii="Calibri" w:hAnsi="Calibri"/>
                <w:b/>
                <w:i w:val="0"/>
                <w:color w:val="212121"/>
                <w:sz w:val="19"/>
              </w:rPr>
              <w:t>Loss of interest / reduced functioning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Withdrawal from usual activities and a drop in work or academic output.</w:t>
            </w:r>
          </w:p>
        </w:tc>
      </w:tr>
      <w:tr>
        <w:trPr>
          <w:cantSplit/>
        </w:trPr>
        <w:tc>
          <w:tcPr>
            <w:tcW w:type="dxa" w:w="2304"/>
            <w:vAlign w:val="top"/>
          </w:tcPr>
          <w:p>
            <w:pPr>
              <w:spacing w:after="40" w:before="0" w:line="259" w:lineRule="auto"/>
            </w:pPr>
            <w:r>
              <w:rPr>
                <w:rFonts w:ascii="Calibri" w:hAnsi="Calibri"/>
                <w:b/>
                <w:i w:val="0"/>
                <w:color w:val="212121"/>
                <w:sz w:val="19"/>
              </w:rPr>
              <w:t>Appetite and weight change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Reduced (or occasionally increased) appetite with weight change.</w:t>
            </w:r>
          </w:p>
        </w:tc>
      </w:tr>
      <w:tr>
        <w:trPr>
          <w:cantSplit/>
        </w:trPr>
        <w:tc>
          <w:tcPr>
            <w:tcW w:type="dxa" w:w="2304"/>
            <w:vAlign w:val="top"/>
          </w:tcPr>
          <w:p>
            <w:pPr>
              <w:spacing w:after="40" w:before="0" w:line="259" w:lineRule="auto"/>
            </w:pPr>
            <w:r>
              <w:rPr>
                <w:rFonts w:ascii="Calibri" w:hAnsi="Calibri"/>
                <w:b/>
                <w:i w:val="0"/>
                <w:color w:val="212121"/>
                <w:sz w:val="19"/>
              </w:rPr>
              <w:t>Social withdrawal</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Avoiding friends, family or social situations.</w:t>
            </w:r>
          </w:p>
        </w:tc>
      </w:tr>
      <w:tr>
        <w:trPr>
          <w:cantSplit/>
        </w:trPr>
        <w:tc>
          <w:tcPr>
            <w:tcW w:type="dxa" w:w="2304"/>
            <w:vAlign w:val="top"/>
          </w:tcPr>
          <w:p>
            <w:pPr>
              <w:spacing w:after="40" w:before="0" w:line="259" w:lineRule="auto"/>
            </w:pPr>
            <w:r>
              <w:rPr>
                <w:rFonts w:ascii="Calibri" w:hAnsi="Calibri"/>
                <w:b/>
                <w:i w:val="0"/>
                <w:color w:val="212121"/>
                <w:sz w:val="19"/>
              </w:rPr>
              <w:t>Somatic complaints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Headaches, palpitations, fatigue or gastrointestinal upset without an organic cause.</w:t>
            </w:r>
          </w:p>
        </w:tc>
      </w:tr>
      <w:tr>
        <w:trPr>
          <w:cantSplit/>
        </w:trPr>
        <w:tc>
          <w:tcPr>
            <w:tcW w:type="dxa" w:w="2304"/>
            <w:vAlign w:val="top"/>
          </w:tcPr>
          <w:p>
            <w:pPr>
              <w:spacing w:after="40" w:before="0" w:line="259" w:lineRule="auto"/>
            </w:pPr>
            <w:r>
              <w:rPr>
                <w:rFonts w:ascii="Calibri" w:hAnsi="Calibri"/>
                <w:b/>
                <w:i w:val="0"/>
                <w:color w:val="212121"/>
                <w:sz w:val="19"/>
              </w:rPr>
              <w:t>Reckless / impulsive or conduct behaviour</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Especially in adolescents: aggression, rule-breaking or risk-taking.</w:t>
            </w:r>
          </w:p>
        </w:tc>
      </w:tr>
      <w:tr>
        <w:trPr>
          <w:cantSplit/>
        </w:trPr>
        <w:tc>
          <w:tcPr>
            <w:tcW w:type="dxa" w:w="2304"/>
            <w:vAlign w:val="top"/>
          </w:tcPr>
          <w:p>
            <w:pPr>
              <w:spacing w:after="40" w:before="0" w:line="259" w:lineRule="auto"/>
            </w:pPr>
            <w:r>
              <w:rPr>
                <w:rFonts w:ascii="Calibri" w:hAnsi="Calibri"/>
                <w:b/>
                <w:i w:val="0"/>
                <w:color w:val="212121"/>
                <w:sz w:val="19"/>
              </w:rPr>
              <w:t>Suicidal ideation or self-harm</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Thoughts of self-harm; a critical and sometimes rapidly emerging risk.</w:t>
            </w:r>
          </w:p>
        </w:tc>
      </w:tr>
      <w:tr>
        <w:trPr>
          <w:cantSplit/>
        </w:trPr>
        <w:tc>
          <w:tcPr>
            <w:tcW w:type="dxa" w:w="2304"/>
            <w:vAlign w:val="top"/>
          </w:tcPr>
          <w:p>
            <w:pPr>
              <w:spacing w:after="40" w:before="0" w:line="259" w:lineRule="auto"/>
            </w:pPr>
            <w:r>
              <w:rPr>
                <w:rFonts w:ascii="Calibri" w:hAnsi="Calibri"/>
                <w:b/>
                <w:i w:val="0"/>
                <w:color w:val="212121"/>
                <w:sz w:val="19"/>
              </w:rPr>
              <w:t>Substance use as coping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Increased alcohol, tobacco or drug use to relieve distress.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Dysphoric or tearful affect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Observable low mood and crying during the interview.</w:t>
            </w:r>
          </w:p>
        </w:tc>
      </w:tr>
      <w:tr>
        <w:trPr>
          <w:cantSplit/>
        </w:trPr>
        <w:tc>
          <w:tcPr>
            <w:tcW w:type="dxa" w:w="3456"/>
            <w:vAlign w:val="top"/>
          </w:tcPr>
          <w:p>
            <w:pPr>
              <w:spacing w:after="40" w:before="0" w:line="259" w:lineRule="auto"/>
            </w:pPr>
            <w:r>
              <w:rPr>
                <w:rFonts w:ascii="Calibri" w:hAnsi="Calibri"/>
                <w:b/>
                <w:i w:val="0"/>
                <w:color w:val="212121"/>
                <w:sz w:val="19"/>
              </w:rPr>
              <w:t>Anxious, restless psychomotor activity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Fidgeting, tension and difficulty settling.</w:t>
            </w:r>
          </w:p>
        </w:tc>
      </w:tr>
      <w:tr>
        <w:trPr>
          <w:cantSplit/>
        </w:trPr>
        <w:tc>
          <w:tcPr>
            <w:tcW w:type="dxa" w:w="3456"/>
            <w:vAlign w:val="top"/>
          </w:tcPr>
          <w:p>
            <w:pPr>
              <w:spacing w:after="40" w:before="0" w:line="259" w:lineRule="auto"/>
            </w:pPr>
            <w:r>
              <w:rPr>
                <w:rFonts w:ascii="Calibri" w:hAnsi="Calibri"/>
                <w:b/>
                <w:i w:val="0"/>
                <w:color w:val="212121"/>
                <w:sz w:val="19"/>
              </w:rPr>
              <w:t>Preoccupation evident in speech</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Repeatedly returns to the stressor (rumination).</w:t>
            </w:r>
          </w:p>
        </w:tc>
      </w:tr>
      <w:tr>
        <w:trPr>
          <w:cantSplit/>
        </w:trPr>
        <w:tc>
          <w:tcPr>
            <w:tcW w:type="dxa" w:w="3456"/>
            <w:vAlign w:val="top"/>
          </w:tcPr>
          <w:p>
            <w:pPr>
              <w:spacing w:after="40" w:before="0" w:line="259" w:lineRule="auto"/>
            </w:pPr>
            <w:r>
              <w:rPr>
                <w:rFonts w:ascii="Calibri" w:hAnsi="Calibri"/>
                <w:b/>
                <w:i w:val="0"/>
                <w:color w:val="212121"/>
                <w:sz w:val="19"/>
              </w:rPr>
              <w:t>Impaired attention/concentration on MSE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Poor performance on serial tasks and distractibility.</w:t>
            </w:r>
          </w:p>
        </w:tc>
      </w:tr>
      <w:tr>
        <w:trPr>
          <w:cantSplit/>
        </w:trPr>
        <w:tc>
          <w:tcPr>
            <w:tcW w:type="dxa" w:w="3456"/>
            <w:vAlign w:val="top"/>
          </w:tcPr>
          <w:p>
            <w:pPr>
              <w:spacing w:after="40" w:before="0" w:line="259" w:lineRule="auto"/>
            </w:pPr>
            <w:r>
              <w:rPr>
                <w:rFonts w:ascii="Calibri" w:hAnsi="Calibri"/>
                <w:b/>
                <w:i w:val="0"/>
                <w:color w:val="212121"/>
                <w:sz w:val="19"/>
              </w:rPr>
              <w:t>Withdrawn manner / poor eye contact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Reduced engagement and spontaneity.</w:t>
            </w:r>
          </w:p>
        </w:tc>
      </w:tr>
      <w:tr>
        <w:trPr>
          <w:cantSplit/>
        </w:trPr>
        <w:tc>
          <w:tcPr>
            <w:tcW w:type="dxa" w:w="3456"/>
            <w:vAlign w:val="top"/>
          </w:tcPr>
          <w:p>
            <w:pPr>
              <w:spacing w:after="40" w:before="0" w:line="259" w:lineRule="auto"/>
            </w:pPr>
            <w:r>
              <w:rPr>
                <w:rFonts w:ascii="Calibri" w:hAnsi="Calibri"/>
                <w:b/>
                <w:i w:val="0"/>
                <w:color w:val="212121"/>
                <w:sz w:val="19"/>
              </w:rPr>
              <w:t>Autonomic arousal (tachycardia, tremor, sweating)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Physical signs of anxiety on examination.</w:t>
            </w:r>
          </w:p>
        </w:tc>
      </w:tr>
      <w:tr>
        <w:trPr>
          <w:cantSplit/>
        </w:trPr>
        <w:tc>
          <w:tcPr>
            <w:tcW w:type="dxa" w:w="3456"/>
            <w:vAlign w:val="top"/>
          </w:tcPr>
          <w:p>
            <w:pPr>
              <w:spacing w:after="40" w:before="0" w:line="259" w:lineRule="auto"/>
            </w:pPr>
            <w:r>
              <w:rPr>
                <w:rFonts w:ascii="Calibri" w:hAnsi="Calibri"/>
                <w:b/>
                <w:i w:val="0"/>
                <w:color w:val="212121"/>
                <w:sz w:val="19"/>
              </w:rPr>
              <w:t>Signs of self-neglect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Decline in grooming or hygiene reflecting low mood.</w:t>
            </w:r>
          </w:p>
        </w:tc>
      </w:tr>
      <w:tr>
        <w:trPr>
          <w:cantSplit/>
        </w:trPr>
        <w:tc>
          <w:tcPr>
            <w:tcW w:type="dxa" w:w="3456"/>
            <w:vAlign w:val="top"/>
          </w:tcPr>
          <w:p>
            <w:pPr>
              <w:spacing w:after="40" w:before="0" w:line="259" w:lineRule="auto"/>
            </w:pPr>
            <w:r>
              <w:rPr>
                <w:rFonts w:ascii="Calibri" w:hAnsi="Calibri"/>
                <w:b/>
                <w:i w:val="0"/>
                <w:color w:val="212121"/>
                <w:sz w:val="19"/>
              </w:rPr>
              <w:t>Recent self-harm marks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Cuts or injuries indicating self-harm; a safety red flag.</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functional impairment in work, study, family or social roles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Marked subjective distress and demoralisation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Suicidal ideation and self-harm (elevated, sometimes rapid, risk)</w:t>
            </w:r>
          </w:p>
        </w:tc>
        <w:tc>
          <w:tcPr>
            <w:tcW w:type="dxa" w:w="2980"/>
            <w:vAlign w:val="top"/>
          </w:tcPr>
          <w:p>
            <w:pPr>
              <w:spacing w:after="40" w:before="0" w:line="259" w:lineRule="auto"/>
            </w:pPr>
            <w:r>
              <w:rPr>
                <w:rFonts w:ascii="Calibri" w:hAnsi="Calibri"/>
                <w:b w:val="0"/>
                <w:i w:val="0"/>
                <w:color w:val="212121"/>
                <w:sz w:val="19"/>
              </w:rPr>
              <w:t>Immediate consequences of a maladaptive stress response.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to major depressive disorder, an anxiety disorder or PTSD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Development of an alcohol or substance-use disorder through self-medication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or chronic adjustment disorder when the stressor continues beyond 6 months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Worsened control of, and adherence in, coexisting physical illness</w:t>
            </w:r>
          </w:p>
        </w:tc>
        <w:tc>
          <w:tcPr>
            <w:tcW w:type="dxa" w:w="2980"/>
            <w:vAlign w:val="top"/>
          </w:tcPr>
          <w:p>
            <w:pPr>
              <w:spacing w:after="40" w:before="0" w:line="259" w:lineRule="auto"/>
            </w:pPr>
            <w:r>
              <w:rPr>
                <w:rFonts w:ascii="Calibri" w:hAnsi="Calibri"/>
                <w:b w:val="0"/>
                <w:i w:val="0"/>
                <w:color w:val="212121"/>
                <w:sz w:val="19"/>
              </w:rPr>
              <w:t>Result from unresolved or poorly managed distress and maladaptive coping.</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Completed suicide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substance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occupational, academic or relationship breakdown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Entrenched disability and repeated health-service use</w:t>
            </w:r>
          </w:p>
        </w:tc>
        <w:tc>
          <w:tcPr>
            <w:tcW w:type="dxa" w:w="2980"/>
            <w:vAlign w:val="top"/>
          </w:tcPr>
          <w:p>
            <w:pPr>
              <w:spacing w:after="40" w:before="0" w:line="259" w:lineRule="auto"/>
            </w:pPr>
            <w:r>
              <w:rPr>
                <w:rFonts w:ascii="Calibri" w:hAnsi="Calibri"/>
                <w:b w:val="0"/>
                <w:i w:val="0"/>
                <w:color w:val="212121"/>
                <w:sz w:val="19"/>
              </w:rPr>
              <w:t>Irreversible or disabling outcomes of untreated, progressive illness.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Major depressive disorder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The depressed-mood subtype overlaps with, and can evolve into, MDD; the two frequently coexist. About 35% of AD cases still meet criteria at 12 months, many progressing to more severe disorders.</w:t>
            </w:r>
          </w:p>
        </w:tc>
      </w:tr>
      <w:tr>
        <w:trPr>
          <w:cantSplit/>
        </w:trPr>
        <w:tc>
          <w:tcPr>
            <w:tcW w:type="dxa" w:w="2232"/>
            <w:vAlign w:val="top"/>
          </w:tcPr>
          <w:p>
            <w:pPr>
              <w:spacing w:after="40" w:before="0" w:line="259" w:lineRule="auto"/>
            </w:pPr>
            <w:r>
              <w:rPr>
                <w:rFonts w:ascii="Calibri" w:hAnsi="Calibri"/>
                <w:b/>
                <w:i w:val="0"/>
                <w:color w:val="212121"/>
                <w:sz w:val="19"/>
              </w:rPr>
              <w:t>Anxiety disorders (GAD, panic)</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The anxiety subtype shares worry and autonomic-arousal features and may crystallise into a formal anxiety disorder.</w:t>
            </w:r>
          </w:p>
        </w:tc>
      </w:tr>
      <w:tr>
        <w:trPr>
          <w:cantSplit/>
        </w:trPr>
        <w:tc>
          <w:tcPr>
            <w:tcW w:type="dxa" w:w="2232"/>
            <w:vAlign w:val="top"/>
          </w:tcPr>
          <w:p>
            <w:pPr>
              <w:spacing w:after="40" w:before="0" w:line="259" w:lineRule="auto"/>
            </w:pPr>
            <w:r>
              <w:rPr>
                <w:rFonts w:ascii="Calibri" w:hAnsi="Calibri"/>
                <w:b/>
                <w:i w:val="0"/>
                <w:color w:val="212121"/>
                <w:sz w:val="19"/>
              </w:rPr>
              <w:t>Post-traumatic stress disorder (PTSD)</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After trauma, adjustment disorder at 3 months predicts later, more severe disorders (about 2.67 times more likely); the two share stressor-related mechanisms.</w:t>
            </w:r>
          </w:p>
        </w:tc>
      </w:tr>
      <w:tr>
        <w:trPr>
          <w:cantSplit/>
        </w:trPr>
        <w:tc>
          <w:tcPr>
            <w:tcW w:type="dxa" w:w="2232"/>
            <w:vAlign w:val="top"/>
          </w:tcPr>
          <w:p>
            <w:pPr>
              <w:spacing w:after="40" w:before="0" w:line="259" w:lineRule="auto"/>
            </w:pPr>
            <w:r>
              <w:rPr>
                <w:rFonts w:ascii="Calibri" w:hAnsi="Calibri"/>
                <w:b/>
                <w:i w:val="0"/>
                <w:color w:val="212121"/>
                <w:sz w:val="19"/>
              </w:rPr>
              <w:t>Alcohol / substance-use disorder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Self-medication of distress; in one hospital cohort 59% of AD patients were relabelled with a primary substance diagnosis at discharge.</w:t>
            </w:r>
          </w:p>
          <w:p>
            <w:pPr>
              <w:spacing w:after="40" w:before="0" w:line="259" w:lineRule="auto"/>
            </w:pPr>
            <w:r>
              <w:rPr>
                <w:rFonts w:ascii="Calibri" w:hAnsi="Calibri"/>
                <w:b/>
                <w:i w:val="0"/>
                <w:color w:val="212121"/>
                <w:sz w:val="19"/>
              </w:rPr>
              <w:t>Up to 59%</w:t>
            </w:r>
          </w:p>
        </w:tc>
      </w:tr>
      <w:tr>
        <w:trPr>
          <w:cantSplit/>
        </w:trPr>
        <w:tc>
          <w:tcPr>
            <w:tcW w:type="dxa" w:w="2232"/>
            <w:vAlign w:val="top"/>
          </w:tcPr>
          <w:p>
            <w:pPr>
              <w:spacing w:after="40" w:before="0" w:line="259" w:lineRule="auto"/>
            </w:pPr>
            <w:r>
              <w:rPr>
                <w:rFonts w:ascii="Calibri" w:hAnsi="Calibri"/>
                <w:b/>
                <w:i w:val="0"/>
                <w:color w:val="212121"/>
                <w:sz w:val="19"/>
              </w:rPr>
              <w:t>Suicidal behaviour &amp; self-harm</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AD is strongly associated with self-harm and a roughly 12-fold higher suicide rate, often within a month of the first suicidal communication.</w:t>
            </w:r>
          </w:p>
        </w:tc>
      </w:tr>
      <w:tr>
        <w:trPr>
          <w:cantSplit/>
        </w:trPr>
        <w:tc>
          <w:tcPr>
            <w:tcW w:type="dxa" w:w="2232"/>
            <w:vAlign w:val="top"/>
          </w:tcPr>
          <w:p>
            <w:pPr>
              <w:spacing w:after="40" w:before="0" w:line="259" w:lineRule="auto"/>
            </w:pPr>
            <w:r>
              <w:rPr>
                <w:rFonts w:ascii="Calibri" w:hAnsi="Calibri"/>
                <w:b/>
                <w:i w:val="0"/>
                <w:color w:val="212121"/>
                <w:sz w:val="19"/>
              </w:rPr>
              <w:t>Insomnia / sleep disorder</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Sleep disturbance is both a symptom and an aggravator, worsening emotion regulation and prolonging distress.</w:t>
            </w:r>
          </w:p>
        </w:tc>
      </w:tr>
      <w:tr>
        <w:trPr>
          <w:cantSplit/>
        </w:trPr>
        <w:tc>
          <w:tcPr>
            <w:tcW w:type="dxa" w:w="2232"/>
            <w:vAlign w:val="top"/>
          </w:tcPr>
          <w:p>
            <w:pPr>
              <w:spacing w:after="40" w:before="0" w:line="259" w:lineRule="auto"/>
            </w:pPr>
            <w:r>
              <w:rPr>
                <w:rFonts w:ascii="Calibri" w:hAnsi="Calibri"/>
                <w:b/>
                <w:i w:val="0"/>
                <w:color w:val="212121"/>
                <w:sz w:val="19"/>
              </w:rPr>
              <w:t>Chronic physical illness &amp; cancer</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Diagnosis of serious illness is a common precipitant; AD occurs in about 15-19% of oncology and 14% of acute medical inpatients and worsens adherence.</w:t>
            </w:r>
          </w:p>
        </w:tc>
      </w:tr>
      <w:tr>
        <w:trPr>
          <w:cantSplit/>
        </w:trPr>
        <w:tc>
          <w:tcPr>
            <w:tcW w:type="dxa" w:w="2232"/>
            <w:vAlign w:val="top"/>
          </w:tcPr>
          <w:p>
            <w:pPr>
              <w:spacing w:after="40" w:before="0" w:line="259" w:lineRule="auto"/>
            </w:pPr>
            <w:r>
              <w:rPr>
                <w:rFonts w:ascii="Calibri" w:hAnsi="Calibri"/>
                <w:b/>
                <w:i w:val="0"/>
                <w:color w:val="212121"/>
                <w:sz w:val="19"/>
              </w:rPr>
              <w:t>Somatic symptom disorder</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Medically unexplained physical complaints under stress overlap with the unspecified subtype.</w:t>
            </w:r>
          </w:p>
        </w:tc>
      </w:tr>
      <w:tr>
        <w:trPr>
          <w:cantSplit/>
        </w:trPr>
        <w:tc>
          <w:tcPr>
            <w:tcW w:type="dxa" w:w="2232"/>
            <w:vAlign w:val="top"/>
          </w:tcPr>
          <w:p>
            <w:pPr>
              <w:spacing w:after="40" w:before="0" w:line="259" w:lineRule="auto"/>
            </w:pPr>
            <w:r>
              <w:rPr>
                <w:rFonts w:ascii="Calibri" w:hAnsi="Calibri"/>
                <w:b/>
                <w:i w:val="0"/>
                <w:color w:val="212121"/>
                <w:sz w:val="19"/>
              </w:rPr>
              <w:t>Personality disorders (e.g., borderline)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Trait vulnerability lowers the stress threshold and complicates the course and treatment of adjustment disorder.</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to recognise early warning signs of maladaptive stress (persistent low mood, worry, sleep loss, feeling unable to cope) and seek help within weeks rather than months.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adjustment disorder is common, treatable and usually time-limited, which reduces stigma and encourages help-seeking.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a personal stressor map: anticipate predictable life transitions (exams, job change, relocation, bereavement, illness) and plan coping in advance.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Strengthen problem-solving and time-management skills to reduce deadline and workload pressure, a leading stressor among Indian students and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when to escalate: any thoughts of self-harm, inability to function, or symptoms persisting beyond a few weeks warrant professional assessment.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Working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in transition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facing illness or loss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at least 150 minutes/week of moderate activity (brisk walking, cycling, swimming) to buffer the stress response and lift mood.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short daily stress-reset walks (10-15 min), especially after stressful events or study/work blocks.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2-3 sessions/week of yoga or structured relaxation-based movement, culturally accessible in India and effective at reducing 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Incorporate resistance or group exercise for added mood and social benefit.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small, achievable activity goals to rebuild routine and a sense of control.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or depressed-subtype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(as tolerated)</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regular, balanced meals and avoid skipping meals under stress, which worsens mood and concentration.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ultra-processed and high-sugar foods that destabilise energy and mood.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Cap caffeine (under 400 mg/day, less if anxious) and avoid late-day intake to protect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whole grains, pulses, vegetables, fruit and adequate protein; correct common Indian deficiencies (B12, vitamin D, iron).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hydrated and avoid using food or sugary drinks as the main coping strategy.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 or elderly individuals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consistent sleep-wake schedule (target 7-9 hours) even when stressed.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good sleep hygiene: a wind-down routine, a dark and quiet room, and no screens or caffeine before bed.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relaxation, breathing or brief CBT-for-insomnia techniques for stress-related wakefulness.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as a sleep aid, as it fragments sleep and worsens next-day mood.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review if insomnia persists, since it both signals and sustains adjustment disorder.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Insomnia or stress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taking up smoking or vaping to cope with stress; relief is brief and anxiety rebounds between cigarettes.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you smoke, seek cessation support, as quitting lowers baseline tension over time.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Replace the smoke break with a walk, a breathing exercise or peer contact.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nicotine-replacement or counselling rather than increasing use during stressful periods.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Stressed employees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use alcohol to self-medicate distress; it worsens mood, sleep and functioning and can progress to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within low-risk limits or abstain, especially during acute 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yourself honestly (drinking to cope, morning drinking, rising intake) and seek help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Access integrated dual-diagnosis care if both distress and heavy drinking are present.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using alcohol to cope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Self-harm or ED presentations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under acute stress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First-line care is brief, structured psychotherapy: problem-solving therapy, CBT or supportive counselling focused on the stressor and coping.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Strengthen social support through family involvement, peer groups and, for students, campus counselling services.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stress-management skills such as relaxation, mindfulness, cognitive reframing and problem-solving.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stressor directly where possible (financial counselling, workplace or academic accommodations, mediation).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Reserve short-term medication (for severe anxiety or insomnia) as an adjunct, with regular suicide-risk review.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Arrange follow-up and reassess if symptoms persist beyond 6 months or evolve into a major disorder.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adjustment-disorder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or suicidal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comorbid illness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resilience before crises by maintaining routines, hobbies, physical activity and social connection.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Develop and rehearse healthy coping strategies for anticipated stressors.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Foster help-seeking and reduce stigma in families, schools and workplaces.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at-risk groups (students, the bereaved, newly diagnosed patients, disaster-affected people) for early intervention.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Bereaved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Disaster or displacement-affected populations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medicine.medscape.com/article/2192631-overview" TargetMode="External"/><Relationship Id="rId10" Type="http://schemas.openxmlformats.org/officeDocument/2006/relationships/hyperlink" Target="https://www.mdpi.com/1660-4601/16/14/2537" TargetMode="External"/><Relationship Id="rId11" Type="http://schemas.openxmlformats.org/officeDocument/2006/relationships/hyperlink" Target="https://pmc.ncbi.nlm.nih.gov/articles/PMC10941775/" TargetMode="External"/><Relationship Id="rId12" Type="http://schemas.openxmlformats.org/officeDocument/2006/relationships/hyperlink" Target="https://www.who.int/news-room/fact-sheets/detail/physical-activity" TargetMode="External"/><Relationship Id="rId13" Type="http://schemas.openxmlformats.org/officeDocument/2006/relationships/hyperlink" Target="https://my.clevelandclinic.org/health/diseases/21760-adjustment-disorder" TargetMode="External"/><Relationship Id="rId14" Type="http://schemas.openxmlformats.org/officeDocument/2006/relationships/hyperlink" Target="https://www.jci.org/articles/view/1728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